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C0" w:rsidRDefault="00AE3EC0" w:rsidP="009055CC">
      <w:pPr>
        <w:jc w:val="center"/>
        <w:rPr>
          <w:b/>
          <w:sz w:val="56"/>
          <w:szCs w:val="56"/>
          <w:lang w:val="en-AU"/>
        </w:rPr>
      </w:pPr>
      <w:bookmarkStart w:id="0" w:name="_GoBack"/>
      <w:bookmarkEnd w:id="0"/>
    </w:p>
    <w:p w:rsidR="00AE3EC0" w:rsidRDefault="00AE3EC0" w:rsidP="009055CC">
      <w:pPr>
        <w:jc w:val="center"/>
        <w:rPr>
          <w:b/>
          <w:sz w:val="56"/>
          <w:szCs w:val="56"/>
          <w:lang w:val="en-AU"/>
        </w:rPr>
      </w:pPr>
    </w:p>
    <w:p w:rsidR="00CA6653" w:rsidRPr="009055CC" w:rsidRDefault="009055CC" w:rsidP="009055CC">
      <w:pPr>
        <w:jc w:val="center"/>
        <w:rPr>
          <w:sz w:val="56"/>
          <w:szCs w:val="56"/>
          <w:lang w:val="en-AU"/>
        </w:rPr>
      </w:pPr>
      <w:r w:rsidRPr="009055CC">
        <w:rPr>
          <w:b/>
          <w:sz w:val="56"/>
          <w:szCs w:val="56"/>
          <w:lang w:val="en-AU"/>
        </w:rPr>
        <w:t xml:space="preserve">The Police and Crime Commissioner for </w:t>
      </w:r>
      <w:r w:rsidR="00CA6653" w:rsidRPr="009055CC">
        <w:rPr>
          <w:b/>
          <w:sz w:val="56"/>
          <w:szCs w:val="56"/>
          <w:lang w:val="en-AU"/>
        </w:rPr>
        <w:t>Surre</w:t>
      </w:r>
      <w:r w:rsidRPr="009055CC">
        <w:rPr>
          <w:b/>
          <w:sz w:val="56"/>
          <w:szCs w:val="56"/>
          <w:lang w:val="en-AU"/>
        </w:rPr>
        <w:t>y and The Chief Constable of Surrey</w:t>
      </w:r>
      <w:r>
        <w:rPr>
          <w:b/>
          <w:sz w:val="56"/>
          <w:szCs w:val="56"/>
          <w:lang w:val="en-AU"/>
        </w:rPr>
        <w:t xml:space="preserve"> </w:t>
      </w:r>
      <w:r w:rsidR="00CA6653" w:rsidRPr="009055CC">
        <w:rPr>
          <w:b/>
          <w:sz w:val="56"/>
          <w:szCs w:val="56"/>
          <w:lang w:val="en-AU"/>
        </w:rPr>
        <w:t>Group</w:t>
      </w:r>
    </w:p>
    <w:p w:rsidR="009055CC" w:rsidRDefault="009055CC" w:rsidP="009055CC">
      <w:pPr>
        <w:jc w:val="center"/>
        <w:rPr>
          <w:sz w:val="44"/>
          <w:szCs w:val="44"/>
          <w:lang w:val="en-AU"/>
        </w:rPr>
      </w:pPr>
    </w:p>
    <w:p w:rsidR="00AE3EC0" w:rsidRDefault="00AE3EC0" w:rsidP="009055CC">
      <w:pPr>
        <w:jc w:val="center"/>
        <w:rPr>
          <w:sz w:val="44"/>
          <w:szCs w:val="44"/>
          <w:lang w:val="en-AU"/>
        </w:rPr>
      </w:pPr>
    </w:p>
    <w:p w:rsidR="00CA6653" w:rsidRPr="009055CC" w:rsidRDefault="00CA6653" w:rsidP="009055CC">
      <w:pPr>
        <w:jc w:val="center"/>
        <w:rPr>
          <w:sz w:val="44"/>
          <w:szCs w:val="44"/>
          <w:lang w:val="en-AU"/>
        </w:rPr>
      </w:pPr>
      <w:r w:rsidRPr="00A200D5">
        <w:rPr>
          <w:b/>
          <w:sz w:val="44"/>
          <w:szCs w:val="44"/>
          <w:lang w:val="en-AU"/>
        </w:rPr>
        <w:t xml:space="preserve">Statement of Accounts for the year </w:t>
      </w:r>
      <w:r w:rsidRPr="009055CC">
        <w:rPr>
          <w:b/>
          <w:sz w:val="44"/>
          <w:szCs w:val="44"/>
          <w:lang w:val="en-AU"/>
        </w:rPr>
        <w:t>2019/20</w:t>
      </w:r>
    </w:p>
    <w:p w:rsidR="00CA6653" w:rsidRDefault="008154B1" w:rsidP="00A200D5">
      <w:pPr>
        <w:tabs>
          <w:tab w:val="left" w:pos="1015"/>
        </w:tabs>
        <w:rPr>
          <w:lang w:val="en-AU"/>
        </w:rPr>
      </w:pPr>
      <w:r>
        <w:rPr>
          <w:lang w:val="en-AU"/>
        </w:rPr>
        <w:tab/>
      </w:r>
    </w:p>
    <w:p w:rsidR="00CA6653" w:rsidRDefault="00CA6653" w:rsidP="000D6EF8">
      <w:pPr>
        <w:rPr>
          <w:lang w:val="en-AU"/>
        </w:rPr>
      </w:pPr>
    </w:p>
    <w:p w:rsidR="00CA6653" w:rsidRDefault="00CA6653" w:rsidP="000D6EF8">
      <w:pPr>
        <w:rPr>
          <w:lang w:val="en-AU"/>
        </w:rPr>
      </w:pPr>
    </w:p>
    <w:p w:rsidR="00CA6653" w:rsidRDefault="00CA6653" w:rsidP="000D6EF8">
      <w:pPr>
        <w:rPr>
          <w:lang w:val="en-AU"/>
        </w:rPr>
      </w:pPr>
    </w:p>
    <w:p w:rsidR="00CA6653" w:rsidRDefault="00CA6653" w:rsidP="000D6EF8">
      <w:pPr>
        <w:rPr>
          <w:lang w:val="en-AU"/>
        </w:rPr>
      </w:pPr>
    </w:p>
    <w:p w:rsidR="00CA6653" w:rsidRDefault="00CA6653" w:rsidP="000D6EF8">
      <w:pPr>
        <w:rPr>
          <w:lang w:val="en-AU"/>
        </w:rPr>
      </w:pPr>
    </w:p>
    <w:p w:rsidR="00CA6653" w:rsidRDefault="00CA6653" w:rsidP="000D6EF8">
      <w:pPr>
        <w:rPr>
          <w:lang w:val="en-AU"/>
        </w:rPr>
      </w:pPr>
    </w:p>
    <w:p w:rsidR="00CA6653" w:rsidRDefault="00CA6653" w:rsidP="000D6EF8">
      <w:pPr>
        <w:rPr>
          <w:lang w:val="en-AU"/>
        </w:rPr>
      </w:pPr>
    </w:p>
    <w:p w:rsidR="00AE3EC0" w:rsidRDefault="00AE3EC0" w:rsidP="000D6EF8">
      <w:pPr>
        <w:rPr>
          <w:lang w:val="en-AU"/>
        </w:rPr>
      </w:pPr>
    </w:p>
    <w:p w:rsidR="00AE3EC0" w:rsidRDefault="00AE3EC0" w:rsidP="000D6EF8">
      <w:pPr>
        <w:rPr>
          <w:lang w:val="en-AU"/>
        </w:rPr>
      </w:pPr>
    </w:p>
    <w:p w:rsidR="00AE3EC0" w:rsidRDefault="00AE3EC0" w:rsidP="000D6EF8">
      <w:pPr>
        <w:rPr>
          <w:lang w:val="en-AU"/>
        </w:rPr>
      </w:pPr>
    </w:p>
    <w:p w:rsidR="00AE3EC0" w:rsidRDefault="00AE3EC0" w:rsidP="000D6EF8">
      <w:pPr>
        <w:rPr>
          <w:lang w:val="en-AU"/>
        </w:rPr>
      </w:pPr>
    </w:p>
    <w:p w:rsidR="00CA6653" w:rsidRDefault="00CA6653" w:rsidP="000D6EF8">
      <w:pPr>
        <w:rPr>
          <w:lang w:val="en-AU"/>
        </w:rPr>
      </w:pPr>
    </w:p>
    <w:p w:rsidR="00CA6653" w:rsidRDefault="00CA6653" w:rsidP="000D6EF8">
      <w:pPr>
        <w:rPr>
          <w:lang w:val="en-AU"/>
        </w:rPr>
      </w:pPr>
    </w:p>
    <w:p w:rsidR="00CA6653" w:rsidRDefault="00CA6653" w:rsidP="000D6EF8">
      <w:pPr>
        <w:rPr>
          <w:lang w:val="en-AU"/>
        </w:rPr>
      </w:pPr>
    </w:p>
    <w:p w:rsidR="00CA6653" w:rsidRDefault="002A3942" w:rsidP="000D6EF8">
      <w:pPr>
        <w:rPr>
          <w:lang w:val="en-AU"/>
        </w:rPr>
        <w:sectPr w:rsidR="00CA6653" w:rsidSect="00CA6653">
          <w:footerReference w:type="default" r:id="rId8"/>
          <w:pgSz w:w="11900" w:h="16840"/>
          <w:pgMar w:top="1440" w:right="1440" w:bottom="1440" w:left="1440" w:header="709" w:footer="709" w:gutter="0"/>
          <w:pgNumType w:start="1"/>
          <w:cols w:space="708"/>
          <w:docGrid w:linePitch="360"/>
        </w:sectPr>
      </w:pPr>
      <w:r>
        <w:t xml:space="preserve"> </w:t>
      </w:r>
    </w:p>
    <w:sdt>
      <w:sdtPr>
        <w:rPr>
          <w:rFonts w:ascii="Verdana" w:eastAsiaTheme="minorHAnsi" w:hAnsi="Verdana" w:cstheme="minorBidi"/>
          <w:b w:val="0"/>
          <w:color w:val="auto"/>
          <w:sz w:val="24"/>
          <w:szCs w:val="24"/>
          <w:lang w:val="en-US"/>
        </w:rPr>
        <w:id w:val="-1029258257"/>
        <w:docPartObj>
          <w:docPartGallery w:val="Table of Contents"/>
          <w:docPartUnique/>
        </w:docPartObj>
      </w:sdtPr>
      <w:sdtEndPr>
        <w:rPr>
          <w:noProof/>
          <w:sz w:val="22"/>
          <w:szCs w:val="22"/>
        </w:rPr>
      </w:sdtEndPr>
      <w:sdtContent>
        <w:p w:rsidR="00CA6653" w:rsidRPr="00D52C08" w:rsidRDefault="00CA6653" w:rsidP="00A31A9E">
          <w:pPr>
            <w:pStyle w:val="TOCHeading"/>
            <w:rPr>
              <w:rFonts w:ascii="Verdana" w:hAnsi="Verdana"/>
              <w:color w:val="auto"/>
              <w:sz w:val="28"/>
              <w:szCs w:val="28"/>
            </w:rPr>
          </w:pPr>
          <w:r w:rsidRPr="00D52C08">
            <w:rPr>
              <w:rFonts w:ascii="Verdana" w:hAnsi="Verdana"/>
              <w:color w:val="auto"/>
              <w:sz w:val="28"/>
              <w:szCs w:val="28"/>
            </w:rPr>
            <w:t>Contents</w:t>
          </w:r>
        </w:p>
        <w:p w:rsidR="006B0907" w:rsidRDefault="00CA6653">
          <w:pPr>
            <w:pStyle w:val="TOC1"/>
            <w:tabs>
              <w:tab w:val="right" w:leader="dot" w:pos="9010"/>
            </w:tabs>
            <w:rPr>
              <w:rFonts w:asciiTheme="minorHAnsi" w:eastAsiaTheme="minorEastAsia" w:hAnsiTheme="minorHAnsi"/>
              <w:noProof/>
              <w:lang w:val="en-GB" w:eastAsia="en-GB"/>
            </w:rPr>
          </w:pPr>
          <w:r w:rsidRPr="008615E5">
            <w:fldChar w:fldCharType="begin"/>
          </w:r>
          <w:r w:rsidRPr="008615E5">
            <w:instrText xml:space="preserve"> TOC \o "1-3" \h \z \u </w:instrText>
          </w:r>
          <w:r w:rsidRPr="008615E5">
            <w:fldChar w:fldCharType="separate"/>
          </w:r>
          <w:hyperlink w:anchor="_Toc55900394" w:history="1">
            <w:r w:rsidR="006B0907" w:rsidRPr="00C14B14">
              <w:rPr>
                <w:rStyle w:val="Hyperlink"/>
                <w:noProof/>
                <w:lang w:eastAsia="en-GB"/>
              </w:rPr>
              <w:t>Preface</w:t>
            </w:r>
            <w:r w:rsidR="006B0907">
              <w:rPr>
                <w:noProof/>
                <w:webHidden/>
              </w:rPr>
              <w:tab/>
            </w:r>
            <w:r w:rsidR="006B0907">
              <w:rPr>
                <w:noProof/>
                <w:webHidden/>
              </w:rPr>
              <w:fldChar w:fldCharType="begin"/>
            </w:r>
            <w:r w:rsidR="006B0907">
              <w:rPr>
                <w:noProof/>
                <w:webHidden/>
              </w:rPr>
              <w:instrText xml:space="preserve"> PAGEREF _Toc55900394 \h </w:instrText>
            </w:r>
            <w:r w:rsidR="006B0907">
              <w:rPr>
                <w:noProof/>
                <w:webHidden/>
              </w:rPr>
            </w:r>
            <w:r w:rsidR="006B0907">
              <w:rPr>
                <w:noProof/>
                <w:webHidden/>
              </w:rPr>
              <w:fldChar w:fldCharType="separate"/>
            </w:r>
            <w:r w:rsidR="007906D3">
              <w:rPr>
                <w:noProof/>
                <w:webHidden/>
              </w:rPr>
              <w:t>3</w:t>
            </w:r>
            <w:r w:rsidR="006B0907">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395" w:history="1">
            <w:r w:rsidRPr="00C14B14">
              <w:rPr>
                <w:rStyle w:val="Hyperlink"/>
                <w:noProof/>
                <w:lang w:eastAsia="en-GB"/>
              </w:rPr>
              <w:t>Narrative Report</w:t>
            </w:r>
            <w:r>
              <w:rPr>
                <w:noProof/>
                <w:webHidden/>
              </w:rPr>
              <w:tab/>
            </w:r>
            <w:r>
              <w:rPr>
                <w:noProof/>
                <w:webHidden/>
              </w:rPr>
              <w:fldChar w:fldCharType="begin"/>
            </w:r>
            <w:r>
              <w:rPr>
                <w:noProof/>
                <w:webHidden/>
              </w:rPr>
              <w:instrText xml:space="preserve"> PAGEREF _Toc55900395 \h </w:instrText>
            </w:r>
            <w:r>
              <w:rPr>
                <w:noProof/>
                <w:webHidden/>
              </w:rPr>
            </w:r>
            <w:r>
              <w:rPr>
                <w:noProof/>
                <w:webHidden/>
              </w:rPr>
              <w:fldChar w:fldCharType="separate"/>
            </w:r>
            <w:r w:rsidR="007906D3">
              <w:rPr>
                <w:noProof/>
                <w:webHidden/>
              </w:rPr>
              <w:t>5</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396" w:history="1">
            <w:r w:rsidRPr="00C14B14">
              <w:rPr>
                <w:rStyle w:val="Hyperlink"/>
                <w:noProof/>
                <w:highlight w:val="yellow"/>
              </w:rPr>
              <w:t>External Auditor’s Report</w:t>
            </w:r>
            <w:r>
              <w:rPr>
                <w:noProof/>
                <w:webHidden/>
              </w:rPr>
              <w:tab/>
            </w:r>
            <w:r>
              <w:rPr>
                <w:noProof/>
                <w:webHidden/>
              </w:rPr>
              <w:fldChar w:fldCharType="begin"/>
            </w:r>
            <w:r>
              <w:rPr>
                <w:noProof/>
                <w:webHidden/>
              </w:rPr>
              <w:instrText xml:space="preserve"> PAGEREF _Toc55900396 \h </w:instrText>
            </w:r>
            <w:r>
              <w:rPr>
                <w:noProof/>
                <w:webHidden/>
              </w:rPr>
            </w:r>
            <w:r>
              <w:rPr>
                <w:noProof/>
                <w:webHidden/>
              </w:rPr>
              <w:fldChar w:fldCharType="separate"/>
            </w:r>
            <w:r w:rsidR="007906D3">
              <w:rPr>
                <w:noProof/>
                <w:webHidden/>
              </w:rPr>
              <w:t>22</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397" w:history="1">
            <w:r w:rsidRPr="00C14B14">
              <w:rPr>
                <w:rStyle w:val="Hyperlink"/>
                <w:noProof/>
                <w:lang w:eastAsia="en-GB"/>
              </w:rPr>
              <w:t>Statement of Responsibilities</w:t>
            </w:r>
            <w:r>
              <w:rPr>
                <w:noProof/>
                <w:webHidden/>
              </w:rPr>
              <w:tab/>
            </w:r>
            <w:r>
              <w:rPr>
                <w:noProof/>
                <w:webHidden/>
              </w:rPr>
              <w:fldChar w:fldCharType="begin"/>
            </w:r>
            <w:r>
              <w:rPr>
                <w:noProof/>
                <w:webHidden/>
              </w:rPr>
              <w:instrText xml:space="preserve"> PAGEREF _Toc55900397 \h </w:instrText>
            </w:r>
            <w:r>
              <w:rPr>
                <w:noProof/>
                <w:webHidden/>
              </w:rPr>
            </w:r>
            <w:r>
              <w:rPr>
                <w:noProof/>
                <w:webHidden/>
              </w:rPr>
              <w:fldChar w:fldCharType="separate"/>
            </w:r>
            <w:r w:rsidR="007906D3">
              <w:rPr>
                <w:noProof/>
                <w:webHidden/>
              </w:rPr>
              <w:t>23</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398" w:history="1">
            <w:r w:rsidRPr="00C14B14">
              <w:rPr>
                <w:rStyle w:val="Hyperlink"/>
                <w:noProof/>
              </w:rPr>
              <w:t>Annual Governance Statement</w:t>
            </w:r>
            <w:r>
              <w:rPr>
                <w:noProof/>
                <w:webHidden/>
              </w:rPr>
              <w:tab/>
            </w:r>
            <w:r>
              <w:rPr>
                <w:noProof/>
                <w:webHidden/>
              </w:rPr>
              <w:fldChar w:fldCharType="begin"/>
            </w:r>
            <w:r>
              <w:rPr>
                <w:noProof/>
                <w:webHidden/>
              </w:rPr>
              <w:instrText xml:space="preserve"> PAGEREF _Toc55900398 \h </w:instrText>
            </w:r>
            <w:r>
              <w:rPr>
                <w:noProof/>
                <w:webHidden/>
              </w:rPr>
            </w:r>
            <w:r>
              <w:rPr>
                <w:noProof/>
                <w:webHidden/>
              </w:rPr>
              <w:fldChar w:fldCharType="separate"/>
            </w:r>
            <w:r w:rsidR="007906D3">
              <w:rPr>
                <w:noProof/>
                <w:webHidden/>
              </w:rPr>
              <w:t>24</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399" w:history="1">
            <w:r w:rsidRPr="00C14B14">
              <w:rPr>
                <w:rStyle w:val="Hyperlink"/>
                <w:noProof/>
              </w:rPr>
              <w:t>Movement in Reserves Statement</w:t>
            </w:r>
            <w:r>
              <w:rPr>
                <w:noProof/>
                <w:webHidden/>
              </w:rPr>
              <w:tab/>
            </w:r>
            <w:r>
              <w:rPr>
                <w:noProof/>
                <w:webHidden/>
              </w:rPr>
              <w:fldChar w:fldCharType="begin"/>
            </w:r>
            <w:r>
              <w:rPr>
                <w:noProof/>
                <w:webHidden/>
              </w:rPr>
              <w:instrText xml:space="preserve"> PAGEREF _Toc55900399 \h </w:instrText>
            </w:r>
            <w:r>
              <w:rPr>
                <w:noProof/>
                <w:webHidden/>
              </w:rPr>
            </w:r>
            <w:r>
              <w:rPr>
                <w:noProof/>
                <w:webHidden/>
              </w:rPr>
              <w:fldChar w:fldCharType="separate"/>
            </w:r>
            <w:r w:rsidR="007906D3">
              <w:rPr>
                <w:noProof/>
                <w:webHidden/>
              </w:rPr>
              <w:t>36</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0" w:history="1">
            <w:r w:rsidRPr="00C14B14">
              <w:rPr>
                <w:rStyle w:val="Hyperlink"/>
                <w:noProof/>
              </w:rPr>
              <w:t>Comprehensive Income and Expenditure Statement</w:t>
            </w:r>
            <w:r>
              <w:rPr>
                <w:noProof/>
                <w:webHidden/>
              </w:rPr>
              <w:tab/>
            </w:r>
            <w:r>
              <w:rPr>
                <w:noProof/>
                <w:webHidden/>
              </w:rPr>
              <w:fldChar w:fldCharType="begin"/>
            </w:r>
            <w:r>
              <w:rPr>
                <w:noProof/>
                <w:webHidden/>
              </w:rPr>
              <w:instrText xml:space="preserve"> PAGEREF _Toc55900400 \h </w:instrText>
            </w:r>
            <w:r>
              <w:rPr>
                <w:noProof/>
                <w:webHidden/>
              </w:rPr>
            </w:r>
            <w:r>
              <w:rPr>
                <w:noProof/>
                <w:webHidden/>
              </w:rPr>
              <w:fldChar w:fldCharType="separate"/>
            </w:r>
            <w:r w:rsidR="007906D3">
              <w:rPr>
                <w:noProof/>
                <w:webHidden/>
              </w:rPr>
              <w:t>40</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1" w:history="1">
            <w:r w:rsidRPr="00C14B14">
              <w:rPr>
                <w:rStyle w:val="Hyperlink"/>
                <w:noProof/>
              </w:rPr>
              <w:t>Balance Sheet</w:t>
            </w:r>
            <w:r>
              <w:rPr>
                <w:noProof/>
                <w:webHidden/>
              </w:rPr>
              <w:tab/>
            </w:r>
            <w:r>
              <w:rPr>
                <w:noProof/>
                <w:webHidden/>
              </w:rPr>
              <w:fldChar w:fldCharType="begin"/>
            </w:r>
            <w:r>
              <w:rPr>
                <w:noProof/>
                <w:webHidden/>
              </w:rPr>
              <w:instrText xml:space="preserve"> PAGEREF _Toc55900401 \h </w:instrText>
            </w:r>
            <w:r>
              <w:rPr>
                <w:noProof/>
                <w:webHidden/>
              </w:rPr>
            </w:r>
            <w:r>
              <w:rPr>
                <w:noProof/>
                <w:webHidden/>
              </w:rPr>
              <w:fldChar w:fldCharType="separate"/>
            </w:r>
            <w:r w:rsidR="007906D3">
              <w:rPr>
                <w:noProof/>
                <w:webHidden/>
              </w:rPr>
              <w:t>42</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2" w:history="1">
            <w:r w:rsidRPr="00C14B14">
              <w:rPr>
                <w:rStyle w:val="Hyperlink"/>
                <w:noProof/>
              </w:rPr>
              <w:t>Cash Flow Statement</w:t>
            </w:r>
            <w:r>
              <w:rPr>
                <w:noProof/>
                <w:webHidden/>
              </w:rPr>
              <w:tab/>
            </w:r>
            <w:r>
              <w:rPr>
                <w:noProof/>
                <w:webHidden/>
              </w:rPr>
              <w:fldChar w:fldCharType="begin"/>
            </w:r>
            <w:r>
              <w:rPr>
                <w:noProof/>
                <w:webHidden/>
              </w:rPr>
              <w:instrText xml:space="preserve"> PAGEREF _Toc55900402 \h </w:instrText>
            </w:r>
            <w:r>
              <w:rPr>
                <w:noProof/>
                <w:webHidden/>
              </w:rPr>
            </w:r>
            <w:r>
              <w:rPr>
                <w:noProof/>
                <w:webHidden/>
              </w:rPr>
              <w:fldChar w:fldCharType="separate"/>
            </w:r>
            <w:r w:rsidR="007906D3">
              <w:rPr>
                <w:noProof/>
                <w:webHidden/>
              </w:rPr>
              <w:t>43</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3" w:history="1">
            <w:r w:rsidRPr="00C14B14">
              <w:rPr>
                <w:rStyle w:val="Hyperlink"/>
                <w:noProof/>
              </w:rPr>
              <w:t>Note 1 - Critical Judgements in Applying Accounting Policies</w:t>
            </w:r>
            <w:r>
              <w:rPr>
                <w:noProof/>
                <w:webHidden/>
              </w:rPr>
              <w:tab/>
            </w:r>
            <w:r>
              <w:rPr>
                <w:noProof/>
                <w:webHidden/>
              </w:rPr>
              <w:fldChar w:fldCharType="begin"/>
            </w:r>
            <w:r>
              <w:rPr>
                <w:noProof/>
                <w:webHidden/>
              </w:rPr>
              <w:instrText xml:space="preserve"> PAGEREF _Toc55900403 \h </w:instrText>
            </w:r>
            <w:r>
              <w:rPr>
                <w:noProof/>
                <w:webHidden/>
              </w:rPr>
            </w:r>
            <w:r>
              <w:rPr>
                <w:noProof/>
                <w:webHidden/>
              </w:rPr>
              <w:fldChar w:fldCharType="separate"/>
            </w:r>
            <w:r w:rsidR="007906D3">
              <w:rPr>
                <w:noProof/>
                <w:webHidden/>
              </w:rPr>
              <w:t>44</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4" w:history="1">
            <w:r w:rsidRPr="00C14B14">
              <w:rPr>
                <w:rStyle w:val="Hyperlink"/>
                <w:noProof/>
              </w:rPr>
              <w:t>Note 2 - Going Concern</w:t>
            </w:r>
            <w:r>
              <w:rPr>
                <w:noProof/>
                <w:webHidden/>
              </w:rPr>
              <w:tab/>
            </w:r>
            <w:r>
              <w:rPr>
                <w:noProof/>
                <w:webHidden/>
              </w:rPr>
              <w:fldChar w:fldCharType="begin"/>
            </w:r>
            <w:r>
              <w:rPr>
                <w:noProof/>
                <w:webHidden/>
              </w:rPr>
              <w:instrText xml:space="preserve"> PAGEREF _Toc55900404 \h </w:instrText>
            </w:r>
            <w:r>
              <w:rPr>
                <w:noProof/>
                <w:webHidden/>
              </w:rPr>
            </w:r>
            <w:r>
              <w:rPr>
                <w:noProof/>
                <w:webHidden/>
              </w:rPr>
              <w:fldChar w:fldCharType="separate"/>
            </w:r>
            <w:r w:rsidR="007906D3">
              <w:rPr>
                <w:noProof/>
                <w:webHidden/>
              </w:rPr>
              <w:t>47</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5" w:history="1">
            <w:r w:rsidRPr="00C14B14">
              <w:rPr>
                <w:rStyle w:val="Hyperlink"/>
                <w:noProof/>
              </w:rPr>
              <w:t>Note 3 - Events After the Balance Sheet Date</w:t>
            </w:r>
            <w:r>
              <w:rPr>
                <w:noProof/>
                <w:webHidden/>
              </w:rPr>
              <w:tab/>
            </w:r>
            <w:r>
              <w:rPr>
                <w:noProof/>
                <w:webHidden/>
              </w:rPr>
              <w:fldChar w:fldCharType="begin"/>
            </w:r>
            <w:r>
              <w:rPr>
                <w:noProof/>
                <w:webHidden/>
              </w:rPr>
              <w:instrText xml:space="preserve"> PAGEREF _Toc55900405 \h </w:instrText>
            </w:r>
            <w:r>
              <w:rPr>
                <w:noProof/>
                <w:webHidden/>
              </w:rPr>
            </w:r>
            <w:r>
              <w:rPr>
                <w:noProof/>
                <w:webHidden/>
              </w:rPr>
              <w:fldChar w:fldCharType="separate"/>
            </w:r>
            <w:r w:rsidR="007906D3">
              <w:rPr>
                <w:noProof/>
                <w:webHidden/>
              </w:rPr>
              <w:t>49</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6" w:history="1">
            <w:r w:rsidRPr="00C14B14">
              <w:rPr>
                <w:rStyle w:val="Hyperlink"/>
                <w:noProof/>
              </w:rPr>
              <w:t>Note 4 - Assumptions Made about the Future and Other Major Sources of Estimation Uncertainty</w:t>
            </w:r>
            <w:r>
              <w:rPr>
                <w:noProof/>
                <w:webHidden/>
              </w:rPr>
              <w:tab/>
            </w:r>
            <w:r>
              <w:rPr>
                <w:noProof/>
                <w:webHidden/>
              </w:rPr>
              <w:fldChar w:fldCharType="begin"/>
            </w:r>
            <w:r>
              <w:rPr>
                <w:noProof/>
                <w:webHidden/>
              </w:rPr>
              <w:instrText xml:space="preserve"> PAGEREF _Toc55900406 \h </w:instrText>
            </w:r>
            <w:r>
              <w:rPr>
                <w:noProof/>
                <w:webHidden/>
              </w:rPr>
            </w:r>
            <w:r>
              <w:rPr>
                <w:noProof/>
                <w:webHidden/>
              </w:rPr>
              <w:fldChar w:fldCharType="separate"/>
            </w:r>
            <w:r w:rsidR="007906D3">
              <w:rPr>
                <w:noProof/>
                <w:webHidden/>
              </w:rPr>
              <w:t>51</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7" w:history="1">
            <w:r w:rsidRPr="00C14B14">
              <w:rPr>
                <w:rStyle w:val="Hyperlink"/>
                <w:noProof/>
              </w:rPr>
              <w:t>Note 5 -Expenditure and Funding Analysis</w:t>
            </w:r>
            <w:r>
              <w:rPr>
                <w:noProof/>
                <w:webHidden/>
              </w:rPr>
              <w:tab/>
            </w:r>
            <w:r>
              <w:rPr>
                <w:noProof/>
                <w:webHidden/>
              </w:rPr>
              <w:fldChar w:fldCharType="begin"/>
            </w:r>
            <w:r>
              <w:rPr>
                <w:noProof/>
                <w:webHidden/>
              </w:rPr>
              <w:instrText xml:space="preserve"> PAGEREF _Toc55900407 \h </w:instrText>
            </w:r>
            <w:r>
              <w:rPr>
                <w:noProof/>
                <w:webHidden/>
              </w:rPr>
            </w:r>
            <w:r>
              <w:rPr>
                <w:noProof/>
                <w:webHidden/>
              </w:rPr>
              <w:fldChar w:fldCharType="separate"/>
            </w:r>
            <w:r w:rsidR="007906D3">
              <w:rPr>
                <w:noProof/>
                <w:webHidden/>
              </w:rPr>
              <w:t>54</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8" w:history="1">
            <w:r w:rsidRPr="00C14B14">
              <w:rPr>
                <w:rStyle w:val="Hyperlink"/>
                <w:noProof/>
              </w:rPr>
              <w:t>Note 6 - Adjustments between Accounting Basis and Funding Basis under Regulations</w:t>
            </w:r>
            <w:r>
              <w:rPr>
                <w:noProof/>
                <w:webHidden/>
              </w:rPr>
              <w:tab/>
            </w:r>
            <w:r>
              <w:rPr>
                <w:noProof/>
                <w:webHidden/>
              </w:rPr>
              <w:fldChar w:fldCharType="begin"/>
            </w:r>
            <w:r>
              <w:rPr>
                <w:noProof/>
                <w:webHidden/>
              </w:rPr>
              <w:instrText xml:space="preserve"> PAGEREF _Toc55900408 \h </w:instrText>
            </w:r>
            <w:r>
              <w:rPr>
                <w:noProof/>
                <w:webHidden/>
              </w:rPr>
            </w:r>
            <w:r>
              <w:rPr>
                <w:noProof/>
                <w:webHidden/>
              </w:rPr>
              <w:fldChar w:fldCharType="separate"/>
            </w:r>
            <w:r w:rsidR="007906D3">
              <w:rPr>
                <w:noProof/>
                <w:webHidden/>
              </w:rPr>
              <w:t>56</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09" w:history="1">
            <w:r w:rsidRPr="00C14B14">
              <w:rPr>
                <w:rStyle w:val="Hyperlink"/>
                <w:noProof/>
              </w:rPr>
              <w:t>Note 7 - Transfers to/from Earmarked Reserves</w:t>
            </w:r>
            <w:r>
              <w:rPr>
                <w:noProof/>
                <w:webHidden/>
              </w:rPr>
              <w:tab/>
            </w:r>
            <w:r>
              <w:rPr>
                <w:noProof/>
                <w:webHidden/>
              </w:rPr>
              <w:fldChar w:fldCharType="begin"/>
            </w:r>
            <w:r>
              <w:rPr>
                <w:noProof/>
                <w:webHidden/>
              </w:rPr>
              <w:instrText xml:space="preserve"> PAGEREF _Toc55900409 \h </w:instrText>
            </w:r>
            <w:r>
              <w:rPr>
                <w:noProof/>
                <w:webHidden/>
              </w:rPr>
            </w:r>
            <w:r>
              <w:rPr>
                <w:noProof/>
                <w:webHidden/>
              </w:rPr>
              <w:fldChar w:fldCharType="separate"/>
            </w:r>
            <w:r w:rsidR="007906D3">
              <w:rPr>
                <w:noProof/>
                <w:webHidden/>
              </w:rPr>
              <w:t>60</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0" w:history="1">
            <w:r w:rsidRPr="00C14B14">
              <w:rPr>
                <w:rStyle w:val="Hyperlink"/>
                <w:noProof/>
              </w:rPr>
              <w:t>Note 8 - Taxation and Non-Specific Grant Income</w:t>
            </w:r>
            <w:r>
              <w:rPr>
                <w:noProof/>
                <w:webHidden/>
              </w:rPr>
              <w:tab/>
            </w:r>
            <w:r>
              <w:rPr>
                <w:noProof/>
                <w:webHidden/>
              </w:rPr>
              <w:fldChar w:fldCharType="begin"/>
            </w:r>
            <w:r>
              <w:rPr>
                <w:noProof/>
                <w:webHidden/>
              </w:rPr>
              <w:instrText xml:space="preserve"> PAGEREF _Toc55900410 \h </w:instrText>
            </w:r>
            <w:r>
              <w:rPr>
                <w:noProof/>
                <w:webHidden/>
              </w:rPr>
            </w:r>
            <w:r>
              <w:rPr>
                <w:noProof/>
                <w:webHidden/>
              </w:rPr>
              <w:fldChar w:fldCharType="separate"/>
            </w:r>
            <w:r w:rsidR="007906D3">
              <w:rPr>
                <w:noProof/>
                <w:webHidden/>
              </w:rPr>
              <w:t>62</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1" w:history="1">
            <w:r w:rsidRPr="00C14B14">
              <w:rPr>
                <w:rStyle w:val="Hyperlink"/>
                <w:noProof/>
              </w:rPr>
              <w:t>Note 9 - Grant Income</w:t>
            </w:r>
            <w:r>
              <w:rPr>
                <w:noProof/>
                <w:webHidden/>
              </w:rPr>
              <w:tab/>
            </w:r>
            <w:r>
              <w:rPr>
                <w:noProof/>
                <w:webHidden/>
              </w:rPr>
              <w:fldChar w:fldCharType="begin"/>
            </w:r>
            <w:r>
              <w:rPr>
                <w:noProof/>
                <w:webHidden/>
              </w:rPr>
              <w:instrText xml:space="preserve"> PAGEREF _Toc55900411 \h </w:instrText>
            </w:r>
            <w:r>
              <w:rPr>
                <w:noProof/>
                <w:webHidden/>
              </w:rPr>
            </w:r>
            <w:r>
              <w:rPr>
                <w:noProof/>
                <w:webHidden/>
              </w:rPr>
              <w:fldChar w:fldCharType="separate"/>
            </w:r>
            <w:r w:rsidR="007906D3">
              <w:rPr>
                <w:noProof/>
                <w:webHidden/>
              </w:rPr>
              <w:t>62</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2" w:history="1">
            <w:r w:rsidRPr="00C14B14">
              <w:rPr>
                <w:rStyle w:val="Hyperlink"/>
                <w:noProof/>
              </w:rPr>
              <w:t>Note 10 - Capital Expenditure and Capital Financing</w:t>
            </w:r>
            <w:r>
              <w:rPr>
                <w:noProof/>
                <w:webHidden/>
              </w:rPr>
              <w:tab/>
            </w:r>
            <w:r>
              <w:rPr>
                <w:noProof/>
                <w:webHidden/>
              </w:rPr>
              <w:fldChar w:fldCharType="begin"/>
            </w:r>
            <w:r>
              <w:rPr>
                <w:noProof/>
                <w:webHidden/>
              </w:rPr>
              <w:instrText xml:space="preserve"> PAGEREF _Toc55900412 \h </w:instrText>
            </w:r>
            <w:r>
              <w:rPr>
                <w:noProof/>
                <w:webHidden/>
              </w:rPr>
            </w:r>
            <w:r>
              <w:rPr>
                <w:noProof/>
                <w:webHidden/>
              </w:rPr>
              <w:fldChar w:fldCharType="separate"/>
            </w:r>
            <w:r w:rsidR="007906D3">
              <w:rPr>
                <w:noProof/>
                <w:webHidden/>
              </w:rPr>
              <w:t>63</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3" w:history="1">
            <w:r w:rsidRPr="00C14B14">
              <w:rPr>
                <w:rStyle w:val="Hyperlink"/>
                <w:noProof/>
              </w:rPr>
              <w:t>Note 11 - Property, Plant and Equipment</w:t>
            </w:r>
            <w:r>
              <w:rPr>
                <w:noProof/>
                <w:webHidden/>
              </w:rPr>
              <w:tab/>
            </w:r>
            <w:r>
              <w:rPr>
                <w:noProof/>
                <w:webHidden/>
              </w:rPr>
              <w:fldChar w:fldCharType="begin"/>
            </w:r>
            <w:r>
              <w:rPr>
                <w:noProof/>
                <w:webHidden/>
              </w:rPr>
              <w:instrText xml:space="preserve"> PAGEREF _Toc55900413 \h </w:instrText>
            </w:r>
            <w:r>
              <w:rPr>
                <w:noProof/>
                <w:webHidden/>
              </w:rPr>
            </w:r>
            <w:r>
              <w:rPr>
                <w:noProof/>
                <w:webHidden/>
              </w:rPr>
              <w:fldChar w:fldCharType="separate"/>
            </w:r>
            <w:r w:rsidR="007906D3">
              <w:rPr>
                <w:noProof/>
                <w:webHidden/>
              </w:rPr>
              <w:t>64</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4" w:history="1">
            <w:r w:rsidRPr="00C14B14">
              <w:rPr>
                <w:rStyle w:val="Hyperlink"/>
                <w:noProof/>
              </w:rPr>
              <w:t>Note 12 - Intangible Assets</w:t>
            </w:r>
            <w:r>
              <w:rPr>
                <w:noProof/>
                <w:webHidden/>
              </w:rPr>
              <w:tab/>
            </w:r>
            <w:r>
              <w:rPr>
                <w:noProof/>
                <w:webHidden/>
              </w:rPr>
              <w:fldChar w:fldCharType="begin"/>
            </w:r>
            <w:r>
              <w:rPr>
                <w:noProof/>
                <w:webHidden/>
              </w:rPr>
              <w:instrText xml:space="preserve"> PAGEREF _Toc55900414 \h </w:instrText>
            </w:r>
            <w:r>
              <w:rPr>
                <w:noProof/>
                <w:webHidden/>
              </w:rPr>
            </w:r>
            <w:r>
              <w:rPr>
                <w:noProof/>
                <w:webHidden/>
              </w:rPr>
              <w:fldChar w:fldCharType="separate"/>
            </w:r>
            <w:r w:rsidR="007906D3">
              <w:rPr>
                <w:noProof/>
                <w:webHidden/>
              </w:rPr>
              <w:t>68</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5" w:history="1">
            <w:r w:rsidRPr="00C14B14">
              <w:rPr>
                <w:rStyle w:val="Hyperlink"/>
                <w:noProof/>
              </w:rPr>
              <w:t>Note 13 - Debtors</w:t>
            </w:r>
            <w:r>
              <w:rPr>
                <w:noProof/>
                <w:webHidden/>
              </w:rPr>
              <w:tab/>
            </w:r>
            <w:r>
              <w:rPr>
                <w:noProof/>
                <w:webHidden/>
              </w:rPr>
              <w:fldChar w:fldCharType="begin"/>
            </w:r>
            <w:r>
              <w:rPr>
                <w:noProof/>
                <w:webHidden/>
              </w:rPr>
              <w:instrText xml:space="preserve"> PAGEREF _Toc55900415 \h </w:instrText>
            </w:r>
            <w:r>
              <w:rPr>
                <w:noProof/>
                <w:webHidden/>
              </w:rPr>
            </w:r>
            <w:r>
              <w:rPr>
                <w:noProof/>
                <w:webHidden/>
              </w:rPr>
              <w:fldChar w:fldCharType="separate"/>
            </w:r>
            <w:r w:rsidR="007906D3">
              <w:rPr>
                <w:noProof/>
                <w:webHidden/>
              </w:rPr>
              <w:t>70</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6" w:history="1">
            <w:r w:rsidRPr="00C14B14">
              <w:rPr>
                <w:rStyle w:val="Hyperlink"/>
                <w:noProof/>
              </w:rPr>
              <w:t>Note 14 - Cash and Cash Equivalents</w:t>
            </w:r>
            <w:r>
              <w:rPr>
                <w:noProof/>
                <w:webHidden/>
              </w:rPr>
              <w:tab/>
            </w:r>
            <w:r>
              <w:rPr>
                <w:noProof/>
                <w:webHidden/>
              </w:rPr>
              <w:fldChar w:fldCharType="begin"/>
            </w:r>
            <w:r>
              <w:rPr>
                <w:noProof/>
                <w:webHidden/>
              </w:rPr>
              <w:instrText xml:space="preserve"> PAGEREF _Toc55900416 \h </w:instrText>
            </w:r>
            <w:r>
              <w:rPr>
                <w:noProof/>
                <w:webHidden/>
              </w:rPr>
            </w:r>
            <w:r>
              <w:rPr>
                <w:noProof/>
                <w:webHidden/>
              </w:rPr>
              <w:fldChar w:fldCharType="separate"/>
            </w:r>
            <w:r w:rsidR="007906D3">
              <w:rPr>
                <w:noProof/>
                <w:webHidden/>
              </w:rPr>
              <w:t>70</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7" w:history="1">
            <w:r w:rsidRPr="00C14B14">
              <w:rPr>
                <w:rStyle w:val="Hyperlink"/>
                <w:noProof/>
              </w:rPr>
              <w:t>Note 15 - Assets Held for Sale</w:t>
            </w:r>
            <w:r>
              <w:rPr>
                <w:noProof/>
                <w:webHidden/>
              </w:rPr>
              <w:tab/>
            </w:r>
            <w:r>
              <w:rPr>
                <w:noProof/>
                <w:webHidden/>
              </w:rPr>
              <w:fldChar w:fldCharType="begin"/>
            </w:r>
            <w:r>
              <w:rPr>
                <w:noProof/>
                <w:webHidden/>
              </w:rPr>
              <w:instrText xml:space="preserve"> PAGEREF _Toc55900417 \h </w:instrText>
            </w:r>
            <w:r>
              <w:rPr>
                <w:noProof/>
                <w:webHidden/>
              </w:rPr>
            </w:r>
            <w:r>
              <w:rPr>
                <w:noProof/>
                <w:webHidden/>
              </w:rPr>
              <w:fldChar w:fldCharType="separate"/>
            </w:r>
            <w:r w:rsidR="007906D3">
              <w:rPr>
                <w:noProof/>
                <w:webHidden/>
              </w:rPr>
              <w:t>71</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8" w:history="1">
            <w:r w:rsidRPr="00C14B14">
              <w:rPr>
                <w:rStyle w:val="Hyperlink"/>
                <w:noProof/>
              </w:rPr>
              <w:t>Note 16 – Investments Properties</w:t>
            </w:r>
            <w:r>
              <w:rPr>
                <w:noProof/>
                <w:webHidden/>
              </w:rPr>
              <w:tab/>
            </w:r>
            <w:r>
              <w:rPr>
                <w:noProof/>
                <w:webHidden/>
              </w:rPr>
              <w:fldChar w:fldCharType="begin"/>
            </w:r>
            <w:r>
              <w:rPr>
                <w:noProof/>
                <w:webHidden/>
              </w:rPr>
              <w:instrText xml:space="preserve"> PAGEREF _Toc55900418 \h </w:instrText>
            </w:r>
            <w:r>
              <w:rPr>
                <w:noProof/>
                <w:webHidden/>
              </w:rPr>
            </w:r>
            <w:r>
              <w:rPr>
                <w:noProof/>
                <w:webHidden/>
              </w:rPr>
              <w:fldChar w:fldCharType="separate"/>
            </w:r>
            <w:r w:rsidR="007906D3">
              <w:rPr>
                <w:noProof/>
                <w:webHidden/>
              </w:rPr>
              <w:t>71</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19" w:history="1">
            <w:r w:rsidRPr="00C14B14">
              <w:rPr>
                <w:rStyle w:val="Hyperlink"/>
                <w:noProof/>
              </w:rPr>
              <w:t>Note 17 - Creditors</w:t>
            </w:r>
            <w:r>
              <w:rPr>
                <w:noProof/>
                <w:webHidden/>
              </w:rPr>
              <w:tab/>
            </w:r>
            <w:r>
              <w:rPr>
                <w:noProof/>
                <w:webHidden/>
              </w:rPr>
              <w:fldChar w:fldCharType="begin"/>
            </w:r>
            <w:r>
              <w:rPr>
                <w:noProof/>
                <w:webHidden/>
              </w:rPr>
              <w:instrText xml:space="preserve"> PAGEREF _Toc55900419 \h </w:instrText>
            </w:r>
            <w:r>
              <w:rPr>
                <w:noProof/>
                <w:webHidden/>
              </w:rPr>
            </w:r>
            <w:r>
              <w:rPr>
                <w:noProof/>
                <w:webHidden/>
              </w:rPr>
              <w:fldChar w:fldCharType="separate"/>
            </w:r>
            <w:r w:rsidR="007906D3">
              <w:rPr>
                <w:noProof/>
                <w:webHidden/>
              </w:rPr>
              <w:t>71</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0" w:history="1">
            <w:r w:rsidRPr="00C14B14">
              <w:rPr>
                <w:rStyle w:val="Hyperlink"/>
                <w:noProof/>
              </w:rPr>
              <w:t>Note 18 - Provisions</w:t>
            </w:r>
            <w:r>
              <w:rPr>
                <w:noProof/>
                <w:webHidden/>
              </w:rPr>
              <w:tab/>
            </w:r>
            <w:r>
              <w:rPr>
                <w:noProof/>
                <w:webHidden/>
              </w:rPr>
              <w:fldChar w:fldCharType="begin"/>
            </w:r>
            <w:r>
              <w:rPr>
                <w:noProof/>
                <w:webHidden/>
              </w:rPr>
              <w:instrText xml:space="preserve"> PAGEREF _Toc55900420 \h </w:instrText>
            </w:r>
            <w:r>
              <w:rPr>
                <w:noProof/>
                <w:webHidden/>
              </w:rPr>
            </w:r>
            <w:r>
              <w:rPr>
                <w:noProof/>
                <w:webHidden/>
              </w:rPr>
              <w:fldChar w:fldCharType="separate"/>
            </w:r>
            <w:r w:rsidR="007906D3">
              <w:rPr>
                <w:noProof/>
                <w:webHidden/>
              </w:rPr>
              <w:t>72</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1" w:history="1">
            <w:r w:rsidRPr="00C14B14">
              <w:rPr>
                <w:rStyle w:val="Hyperlink"/>
                <w:noProof/>
              </w:rPr>
              <w:t>Note 19 - Usable Reserves</w:t>
            </w:r>
            <w:r>
              <w:rPr>
                <w:noProof/>
                <w:webHidden/>
              </w:rPr>
              <w:tab/>
            </w:r>
            <w:r>
              <w:rPr>
                <w:noProof/>
                <w:webHidden/>
              </w:rPr>
              <w:fldChar w:fldCharType="begin"/>
            </w:r>
            <w:r>
              <w:rPr>
                <w:noProof/>
                <w:webHidden/>
              </w:rPr>
              <w:instrText xml:space="preserve"> PAGEREF _Toc55900421 \h </w:instrText>
            </w:r>
            <w:r>
              <w:rPr>
                <w:noProof/>
                <w:webHidden/>
              </w:rPr>
            </w:r>
            <w:r>
              <w:rPr>
                <w:noProof/>
                <w:webHidden/>
              </w:rPr>
              <w:fldChar w:fldCharType="separate"/>
            </w:r>
            <w:r w:rsidR="007906D3">
              <w:rPr>
                <w:noProof/>
                <w:webHidden/>
              </w:rPr>
              <w:t>73</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2" w:history="1">
            <w:r w:rsidRPr="00C14B14">
              <w:rPr>
                <w:rStyle w:val="Hyperlink"/>
                <w:noProof/>
              </w:rPr>
              <w:t>Note 20 - Unusable Reserves</w:t>
            </w:r>
            <w:r>
              <w:rPr>
                <w:noProof/>
                <w:webHidden/>
              </w:rPr>
              <w:tab/>
            </w:r>
            <w:r>
              <w:rPr>
                <w:noProof/>
                <w:webHidden/>
              </w:rPr>
              <w:fldChar w:fldCharType="begin"/>
            </w:r>
            <w:r>
              <w:rPr>
                <w:noProof/>
                <w:webHidden/>
              </w:rPr>
              <w:instrText xml:space="preserve"> PAGEREF _Toc55900422 \h </w:instrText>
            </w:r>
            <w:r>
              <w:rPr>
                <w:noProof/>
                <w:webHidden/>
              </w:rPr>
            </w:r>
            <w:r>
              <w:rPr>
                <w:noProof/>
                <w:webHidden/>
              </w:rPr>
              <w:fldChar w:fldCharType="separate"/>
            </w:r>
            <w:r w:rsidR="007906D3">
              <w:rPr>
                <w:noProof/>
                <w:webHidden/>
              </w:rPr>
              <w:t>74</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3" w:history="1">
            <w:r w:rsidRPr="00C14B14">
              <w:rPr>
                <w:rStyle w:val="Hyperlink"/>
                <w:noProof/>
              </w:rPr>
              <w:t>Note 21 - Collaborations</w:t>
            </w:r>
            <w:r>
              <w:rPr>
                <w:noProof/>
                <w:webHidden/>
              </w:rPr>
              <w:tab/>
            </w:r>
            <w:r>
              <w:rPr>
                <w:noProof/>
                <w:webHidden/>
              </w:rPr>
              <w:fldChar w:fldCharType="begin"/>
            </w:r>
            <w:r>
              <w:rPr>
                <w:noProof/>
                <w:webHidden/>
              </w:rPr>
              <w:instrText xml:space="preserve"> PAGEREF _Toc55900423 \h </w:instrText>
            </w:r>
            <w:r>
              <w:rPr>
                <w:noProof/>
                <w:webHidden/>
              </w:rPr>
            </w:r>
            <w:r>
              <w:rPr>
                <w:noProof/>
                <w:webHidden/>
              </w:rPr>
              <w:fldChar w:fldCharType="separate"/>
            </w:r>
            <w:r w:rsidR="007906D3">
              <w:rPr>
                <w:noProof/>
                <w:webHidden/>
              </w:rPr>
              <w:t>77</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4" w:history="1">
            <w:r w:rsidRPr="00C14B14">
              <w:rPr>
                <w:rStyle w:val="Hyperlink"/>
                <w:noProof/>
              </w:rPr>
              <w:t>Note 22 - Leases</w:t>
            </w:r>
            <w:r>
              <w:rPr>
                <w:noProof/>
                <w:webHidden/>
              </w:rPr>
              <w:tab/>
            </w:r>
            <w:r>
              <w:rPr>
                <w:noProof/>
                <w:webHidden/>
              </w:rPr>
              <w:fldChar w:fldCharType="begin"/>
            </w:r>
            <w:r>
              <w:rPr>
                <w:noProof/>
                <w:webHidden/>
              </w:rPr>
              <w:instrText xml:space="preserve"> PAGEREF _Toc55900424 \h </w:instrText>
            </w:r>
            <w:r>
              <w:rPr>
                <w:noProof/>
                <w:webHidden/>
              </w:rPr>
            </w:r>
            <w:r>
              <w:rPr>
                <w:noProof/>
                <w:webHidden/>
              </w:rPr>
              <w:fldChar w:fldCharType="separate"/>
            </w:r>
            <w:r w:rsidR="007906D3">
              <w:rPr>
                <w:noProof/>
                <w:webHidden/>
              </w:rPr>
              <w:t>78</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5" w:history="1">
            <w:r w:rsidRPr="00C14B14">
              <w:rPr>
                <w:rStyle w:val="Hyperlink"/>
                <w:noProof/>
              </w:rPr>
              <w:t>Note 23 - Service Concession Arrangements</w:t>
            </w:r>
            <w:r>
              <w:rPr>
                <w:noProof/>
                <w:webHidden/>
              </w:rPr>
              <w:tab/>
            </w:r>
            <w:r>
              <w:rPr>
                <w:noProof/>
                <w:webHidden/>
              </w:rPr>
              <w:fldChar w:fldCharType="begin"/>
            </w:r>
            <w:r>
              <w:rPr>
                <w:noProof/>
                <w:webHidden/>
              </w:rPr>
              <w:instrText xml:space="preserve"> PAGEREF _Toc55900425 \h </w:instrText>
            </w:r>
            <w:r>
              <w:rPr>
                <w:noProof/>
                <w:webHidden/>
              </w:rPr>
            </w:r>
            <w:r>
              <w:rPr>
                <w:noProof/>
                <w:webHidden/>
              </w:rPr>
              <w:fldChar w:fldCharType="separate"/>
            </w:r>
            <w:r w:rsidR="007906D3">
              <w:rPr>
                <w:noProof/>
                <w:webHidden/>
              </w:rPr>
              <w:t>80</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6" w:history="1">
            <w:r w:rsidRPr="00C14B14">
              <w:rPr>
                <w:rStyle w:val="Hyperlink"/>
                <w:noProof/>
              </w:rPr>
              <w:t>Note 24 - Joint Audit Committee</w:t>
            </w:r>
            <w:r>
              <w:rPr>
                <w:noProof/>
                <w:webHidden/>
              </w:rPr>
              <w:tab/>
            </w:r>
            <w:r>
              <w:rPr>
                <w:noProof/>
                <w:webHidden/>
              </w:rPr>
              <w:fldChar w:fldCharType="begin"/>
            </w:r>
            <w:r>
              <w:rPr>
                <w:noProof/>
                <w:webHidden/>
              </w:rPr>
              <w:instrText xml:space="preserve"> PAGEREF _Toc55900426 \h </w:instrText>
            </w:r>
            <w:r>
              <w:rPr>
                <w:noProof/>
                <w:webHidden/>
              </w:rPr>
            </w:r>
            <w:r>
              <w:rPr>
                <w:noProof/>
                <w:webHidden/>
              </w:rPr>
              <w:fldChar w:fldCharType="separate"/>
            </w:r>
            <w:r w:rsidR="007906D3">
              <w:rPr>
                <w:noProof/>
                <w:webHidden/>
              </w:rPr>
              <w:t>80</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7" w:history="1">
            <w:r w:rsidRPr="00C14B14">
              <w:rPr>
                <w:rStyle w:val="Hyperlink"/>
                <w:noProof/>
              </w:rPr>
              <w:t>Note 25 - Officers’ Remuneration</w:t>
            </w:r>
            <w:r>
              <w:rPr>
                <w:noProof/>
                <w:webHidden/>
              </w:rPr>
              <w:tab/>
            </w:r>
            <w:r>
              <w:rPr>
                <w:noProof/>
                <w:webHidden/>
              </w:rPr>
              <w:fldChar w:fldCharType="begin"/>
            </w:r>
            <w:r>
              <w:rPr>
                <w:noProof/>
                <w:webHidden/>
              </w:rPr>
              <w:instrText xml:space="preserve"> PAGEREF _Toc55900427 \h </w:instrText>
            </w:r>
            <w:r>
              <w:rPr>
                <w:noProof/>
                <w:webHidden/>
              </w:rPr>
            </w:r>
            <w:r>
              <w:rPr>
                <w:noProof/>
                <w:webHidden/>
              </w:rPr>
              <w:fldChar w:fldCharType="separate"/>
            </w:r>
            <w:r w:rsidR="007906D3">
              <w:rPr>
                <w:noProof/>
                <w:webHidden/>
              </w:rPr>
              <w:t>80</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8" w:history="1">
            <w:r w:rsidRPr="00C14B14">
              <w:rPr>
                <w:rStyle w:val="Hyperlink"/>
                <w:noProof/>
              </w:rPr>
              <w:t>Note 26 - Defined Benefit Pension Scheme</w:t>
            </w:r>
            <w:r>
              <w:rPr>
                <w:noProof/>
                <w:webHidden/>
              </w:rPr>
              <w:tab/>
            </w:r>
            <w:r>
              <w:rPr>
                <w:noProof/>
                <w:webHidden/>
              </w:rPr>
              <w:fldChar w:fldCharType="begin"/>
            </w:r>
            <w:r>
              <w:rPr>
                <w:noProof/>
                <w:webHidden/>
              </w:rPr>
              <w:instrText xml:space="preserve"> PAGEREF _Toc55900428 \h </w:instrText>
            </w:r>
            <w:r>
              <w:rPr>
                <w:noProof/>
                <w:webHidden/>
              </w:rPr>
            </w:r>
            <w:r>
              <w:rPr>
                <w:noProof/>
                <w:webHidden/>
              </w:rPr>
              <w:fldChar w:fldCharType="separate"/>
            </w:r>
            <w:r w:rsidR="007906D3">
              <w:rPr>
                <w:noProof/>
                <w:webHidden/>
              </w:rPr>
              <w:t>83</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29" w:history="1">
            <w:r w:rsidRPr="00C14B14">
              <w:rPr>
                <w:rStyle w:val="Hyperlink"/>
                <w:noProof/>
              </w:rPr>
              <w:t>Note 27 - External Audit Costs</w:t>
            </w:r>
            <w:r>
              <w:rPr>
                <w:noProof/>
                <w:webHidden/>
              </w:rPr>
              <w:tab/>
            </w:r>
            <w:r>
              <w:rPr>
                <w:noProof/>
                <w:webHidden/>
              </w:rPr>
              <w:fldChar w:fldCharType="begin"/>
            </w:r>
            <w:r>
              <w:rPr>
                <w:noProof/>
                <w:webHidden/>
              </w:rPr>
              <w:instrText xml:space="preserve"> PAGEREF _Toc55900429 \h </w:instrText>
            </w:r>
            <w:r>
              <w:rPr>
                <w:noProof/>
                <w:webHidden/>
              </w:rPr>
            </w:r>
            <w:r>
              <w:rPr>
                <w:noProof/>
                <w:webHidden/>
              </w:rPr>
              <w:fldChar w:fldCharType="separate"/>
            </w:r>
            <w:r w:rsidR="007906D3">
              <w:rPr>
                <w:noProof/>
                <w:webHidden/>
              </w:rPr>
              <w:t>89</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0" w:history="1">
            <w:r w:rsidRPr="00C14B14">
              <w:rPr>
                <w:rStyle w:val="Hyperlink"/>
                <w:noProof/>
              </w:rPr>
              <w:t>Note 28 - Related Parties</w:t>
            </w:r>
            <w:r>
              <w:rPr>
                <w:noProof/>
                <w:webHidden/>
              </w:rPr>
              <w:tab/>
            </w:r>
            <w:r>
              <w:rPr>
                <w:noProof/>
                <w:webHidden/>
              </w:rPr>
              <w:fldChar w:fldCharType="begin"/>
            </w:r>
            <w:r>
              <w:rPr>
                <w:noProof/>
                <w:webHidden/>
              </w:rPr>
              <w:instrText xml:space="preserve"> PAGEREF _Toc55900430 \h </w:instrText>
            </w:r>
            <w:r>
              <w:rPr>
                <w:noProof/>
                <w:webHidden/>
              </w:rPr>
            </w:r>
            <w:r>
              <w:rPr>
                <w:noProof/>
                <w:webHidden/>
              </w:rPr>
              <w:fldChar w:fldCharType="separate"/>
            </w:r>
            <w:r w:rsidR="007906D3">
              <w:rPr>
                <w:noProof/>
                <w:webHidden/>
              </w:rPr>
              <w:t>90</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1" w:history="1">
            <w:r w:rsidRPr="00C14B14">
              <w:rPr>
                <w:rStyle w:val="Hyperlink"/>
                <w:noProof/>
              </w:rPr>
              <w:t>Note 29 - Contingent Liabilities</w:t>
            </w:r>
            <w:r>
              <w:rPr>
                <w:noProof/>
                <w:webHidden/>
              </w:rPr>
              <w:tab/>
            </w:r>
            <w:r>
              <w:rPr>
                <w:noProof/>
                <w:webHidden/>
              </w:rPr>
              <w:fldChar w:fldCharType="begin"/>
            </w:r>
            <w:r>
              <w:rPr>
                <w:noProof/>
                <w:webHidden/>
              </w:rPr>
              <w:instrText xml:space="preserve"> PAGEREF _Toc55900431 \h </w:instrText>
            </w:r>
            <w:r>
              <w:rPr>
                <w:noProof/>
                <w:webHidden/>
              </w:rPr>
            </w:r>
            <w:r>
              <w:rPr>
                <w:noProof/>
                <w:webHidden/>
              </w:rPr>
              <w:fldChar w:fldCharType="separate"/>
            </w:r>
            <w:r w:rsidR="007906D3">
              <w:rPr>
                <w:noProof/>
                <w:webHidden/>
              </w:rPr>
              <w:t>91</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2" w:history="1">
            <w:r w:rsidRPr="00C14B14">
              <w:rPr>
                <w:rStyle w:val="Hyperlink"/>
                <w:noProof/>
              </w:rPr>
              <w:t>Note 30 - Contingent Assets</w:t>
            </w:r>
            <w:r>
              <w:rPr>
                <w:noProof/>
                <w:webHidden/>
              </w:rPr>
              <w:tab/>
            </w:r>
            <w:r>
              <w:rPr>
                <w:noProof/>
                <w:webHidden/>
              </w:rPr>
              <w:fldChar w:fldCharType="begin"/>
            </w:r>
            <w:r>
              <w:rPr>
                <w:noProof/>
                <w:webHidden/>
              </w:rPr>
              <w:instrText xml:space="preserve"> PAGEREF _Toc55900432 \h </w:instrText>
            </w:r>
            <w:r>
              <w:rPr>
                <w:noProof/>
                <w:webHidden/>
              </w:rPr>
            </w:r>
            <w:r>
              <w:rPr>
                <w:noProof/>
                <w:webHidden/>
              </w:rPr>
              <w:fldChar w:fldCharType="separate"/>
            </w:r>
            <w:r w:rsidR="007906D3">
              <w:rPr>
                <w:noProof/>
                <w:webHidden/>
              </w:rPr>
              <w:t>91</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3" w:history="1">
            <w:r w:rsidRPr="00C14B14">
              <w:rPr>
                <w:rStyle w:val="Hyperlink"/>
                <w:noProof/>
              </w:rPr>
              <w:t>Note 31 - Financial Instruments</w:t>
            </w:r>
            <w:r>
              <w:rPr>
                <w:noProof/>
                <w:webHidden/>
              </w:rPr>
              <w:tab/>
            </w:r>
            <w:r>
              <w:rPr>
                <w:noProof/>
                <w:webHidden/>
              </w:rPr>
              <w:fldChar w:fldCharType="begin"/>
            </w:r>
            <w:r>
              <w:rPr>
                <w:noProof/>
                <w:webHidden/>
              </w:rPr>
              <w:instrText xml:space="preserve"> PAGEREF _Toc55900433 \h </w:instrText>
            </w:r>
            <w:r>
              <w:rPr>
                <w:noProof/>
                <w:webHidden/>
              </w:rPr>
            </w:r>
            <w:r>
              <w:rPr>
                <w:noProof/>
                <w:webHidden/>
              </w:rPr>
              <w:fldChar w:fldCharType="separate"/>
            </w:r>
            <w:r w:rsidR="007906D3">
              <w:rPr>
                <w:noProof/>
                <w:webHidden/>
              </w:rPr>
              <w:t>91</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4" w:history="1">
            <w:r w:rsidRPr="00C14B14">
              <w:rPr>
                <w:rStyle w:val="Hyperlink"/>
                <w:noProof/>
              </w:rPr>
              <w:t>Note 32 - Nature and Extent of Risks Arising from Financial Instruments</w:t>
            </w:r>
            <w:r>
              <w:rPr>
                <w:noProof/>
                <w:webHidden/>
              </w:rPr>
              <w:tab/>
            </w:r>
            <w:r>
              <w:rPr>
                <w:noProof/>
                <w:webHidden/>
              </w:rPr>
              <w:fldChar w:fldCharType="begin"/>
            </w:r>
            <w:r>
              <w:rPr>
                <w:noProof/>
                <w:webHidden/>
              </w:rPr>
              <w:instrText xml:space="preserve"> PAGEREF _Toc55900434 \h </w:instrText>
            </w:r>
            <w:r>
              <w:rPr>
                <w:noProof/>
                <w:webHidden/>
              </w:rPr>
            </w:r>
            <w:r>
              <w:rPr>
                <w:noProof/>
                <w:webHidden/>
              </w:rPr>
              <w:fldChar w:fldCharType="separate"/>
            </w:r>
            <w:r w:rsidR="007906D3">
              <w:rPr>
                <w:noProof/>
                <w:webHidden/>
              </w:rPr>
              <w:t>93</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5" w:history="1">
            <w:r w:rsidRPr="00C14B14">
              <w:rPr>
                <w:rStyle w:val="Hyperlink"/>
                <w:noProof/>
              </w:rPr>
              <w:t>Note 33 - Financing and Investment Income and Expenditure</w:t>
            </w:r>
            <w:r>
              <w:rPr>
                <w:noProof/>
                <w:webHidden/>
              </w:rPr>
              <w:tab/>
            </w:r>
            <w:r>
              <w:rPr>
                <w:noProof/>
                <w:webHidden/>
              </w:rPr>
              <w:fldChar w:fldCharType="begin"/>
            </w:r>
            <w:r>
              <w:rPr>
                <w:noProof/>
                <w:webHidden/>
              </w:rPr>
              <w:instrText xml:space="preserve"> PAGEREF _Toc55900435 \h </w:instrText>
            </w:r>
            <w:r>
              <w:rPr>
                <w:noProof/>
                <w:webHidden/>
              </w:rPr>
            </w:r>
            <w:r>
              <w:rPr>
                <w:noProof/>
                <w:webHidden/>
              </w:rPr>
              <w:fldChar w:fldCharType="separate"/>
            </w:r>
            <w:r w:rsidR="007906D3">
              <w:rPr>
                <w:noProof/>
                <w:webHidden/>
              </w:rPr>
              <w:t>94</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6" w:history="1">
            <w:r w:rsidRPr="00C14B14">
              <w:rPr>
                <w:rStyle w:val="Hyperlink"/>
                <w:noProof/>
              </w:rPr>
              <w:t>Note 34 - Other Operating Expenditure</w:t>
            </w:r>
            <w:r>
              <w:rPr>
                <w:noProof/>
                <w:webHidden/>
              </w:rPr>
              <w:tab/>
            </w:r>
            <w:r>
              <w:rPr>
                <w:noProof/>
                <w:webHidden/>
              </w:rPr>
              <w:fldChar w:fldCharType="begin"/>
            </w:r>
            <w:r>
              <w:rPr>
                <w:noProof/>
                <w:webHidden/>
              </w:rPr>
              <w:instrText xml:space="preserve"> PAGEREF _Toc55900436 \h </w:instrText>
            </w:r>
            <w:r>
              <w:rPr>
                <w:noProof/>
                <w:webHidden/>
              </w:rPr>
            </w:r>
            <w:r>
              <w:rPr>
                <w:noProof/>
                <w:webHidden/>
              </w:rPr>
              <w:fldChar w:fldCharType="separate"/>
            </w:r>
            <w:r w:rsidR="007906D3">
              <w:rPr>
                <w:noProof/>
                <w:webHidden/>
              </w:rPr>
              <w:t>95</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7" w:history="1">
            <w:r w:rsidRPr="00C14B14">
              <w:rPr>
                <w:rStyle w:val="Hyperlink"/>
                <w:noProof/>
              </w:rPr>
              <w:t>Note 35 - Cash Flow from Operating Activities</w:t>
            </w:r>
            <w:r>
              <w:rPr>
                <w:noProof/>
                <w:webHidden/>
              </w:rPr>
              <w:tab/>
            </w:r>
            <w:r>
              <w:rPr>
                <w:noProof/>
                <w:webHidden/>
              </w:rPr>
              <w:fldChar w:fldCharType="begin"/>
            </w:r>
            <w:r>
              <w:rPr>
                <w:noProof/>
                <w:webHidden/>
              </w:rPr>
              <w:instrText xml:space="preserve"> PAGEREF _Toc55900437 \h </w:instrText>
            </w:r>
            <w:r>
              <w:rPr>
                <w:noProof/>
                <w:webHidden/>
              </w:rPr>
            </w:r>
            <w:r>
              <w:rPr>
                <w:noProof/>
                <w:webHidden/>
              </w:rPr>
              <w:fldChar w:fldCharType="separate"/>
            </w:r>
            <w:r w:rsidR="007906D3">
              <w:rPr>
                <w:noProof/>
                <w:webHidden/>
              </w:rPr>
              <w:t>95</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8" w:history="1">
            <w:r w:rsidRPr="00C14B14">
              <w:rPr>
                <w:rStyle w:val="Hyperlink"/>
                <w:noProof/>
              </w:rPr>
              <w:t>Note 36 - Cash Flow from Investing Activities</w:t>
            </w:r>
            <w:r>
              <w:rPr>
                <w:noProof/>
                <w:webHidden/>
              </w:rPr>
              <w:tab/>
            </w:r>
            <w:r>
              <w:rPr>
                <w:noProof/>
                <w:webHidden/>
              </w:rPr>
              <w:fldChar w:fldCharType="begin"/>
            </w:r>
            <w:r>
              <w:rPr>
                <w:noProof/>
                <w:webHidden/>
              </w:rPr>
              <w:instrText xml:space="preserve"> PAGEREF _Toc55900438 \h </w:instrText>
            </w:r>
            <w:r>
              <w:rPr>
                <w:noProof/>
                <w:webHidden/>
              </w:rPr>
            </w:r>
            <w:r>
              <w:rPr>
                <w:noProof/>
                <w:webHidden/>
              </w:rPr>
              <w:fldChar w:fldCharType="separate"/>
            </w:r>
            <w:r w:rsidR="007906D3">
              <w:rPr>
                <w:noProof/>
                <w:webHidden/>
              </w:rPr>
              <w:t>96</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39" w:history="1">
            <w:r w:rsidRPr="00C14B14">
              <w:rPr>
                <w:rStyle w:val="Hyperlink"/>
                <w:noProof/>
              </w:rPr>
              <w:t>Note 37 - Cash Flow from Financing Activities</w:t>
            </w:r>
            <w:r>
              <w:rPr>
                <w:noProof/>
                <w:webHidden/>
              </w:rPr>
              <w:tab/>
            </w:r>
            <w:r>
              <w:rPr>
                <w:noProof/>
                <w:webHidden/>
              </w:rPr>
              <w:fldChar w:fldCharType="begin"/>
            </w:r>
            <w:r>
              <w:rPr>
                <w:noProof/>
                <w:webHidden/>
              </w:rPr>
              <w:instrText xml:space="preserve"> PAGEREF _Toc55900439 \h </w:instrText>
            </w:r>
            <w:r>
              <w:rPr>
                <w:noProof/>
                <w:webHidden/>
              </w:rPr>
            </w:r>
            <w:r>
              <w:rPr>
                <w:noProof/>
                <w:webHidden/>
              </w:rPr>
              <w:fldChar w:fldCharType="separate"/>
            </w:r>
            <w:r w:rsidR="007906D3">
              <w:rPr>
                <w:noProof/>
                <w:webHidden/>
              </w:rPr>
              <w:t>96</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40" w:history="1">
            <w:r w:rsidRPr="00C14B14">
              <w:rPr>
                <w:rStyle w:val="Hyperlink"/>
                <w:noProof/>
              </w:rPr>
              <w:t>Note 38 - Reconciliation of Liabilities Arising from Financing Activities</w:t>
            </w:r>
            <w:r>
              <w:rPr>
                <w:noProof/>
                <w:webHidden/>
              </w:rPr>
              <w:tab/>
            </w:r>
            <w:r>
              <w:rPr>
                <w:noProof/>
                <w:webHidden/>
              </w:rPr>
              <w:fldChar w:fldCharType="begin"/>
            </w:r>
            <w:r>
              <w:rPr>
                <w:noProof/>
                <w:webHidden/>
              </w:rPr>
              <w:instrText xml:space="preserve"> PAGEREF _Toc55900440 \h </w:instrText>
            </w:r>
            <w:r>
              <w:rPr>
                <w:noProof/>
                <w:webHidden/>
              </w:rPr>
            </w:r>
            <w:r>
              <w:rPr>
                <w:noProof/>
                <w:webHidden/>
              </w:rPr>
              <w:fldChar w:fldCharType="separate"/>
            </w:r>
            <w:r w:rsidR="007906D3">
              <w:rPr>
                <w:noProof/>
                <w:webHidden/>
              </w:rPr>
              <w:t>97</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41" w:history="1">
            <w:r w:rsidRPr="00C14B14">
              <w:rPr>
                <w:rStyle w:val="Hyperlink"/>
                <w:noProof/>
              </w:rPr>
              <w:t xml:space="preserve">Note 39 - </w:t>
            </w:r>
            <w:r w:rsidRPr="00C14B14">
              <w:rPr>
                <w:rStyle w:val="Hyperlink"/>
                <w:rFonts w:eastAsia="Times New Roman"/>
                <w:noProof/>
                <w:lang w:eastAsia="en-GB"/>
              </w:rPr>
              <w:t>Accounting Policies</w:t>
            </w:r>
            <w:r>
              <w:rPr>
                <w:noProof/>
                <w:webHidden/>
              </w:rPr>
              <w:tab/>
            </w:r>
            <w:r>
              <w:rPr>
                <w:noProof/>
                <w:webHidden/>
              </w:rPr>
              <w:fldChar w:fldCharType="begin"/>
            </w:r>
            <w:r>
              <w:rPr>
                <w:noProof/>
                <w:webHidden/>
              </w:rPr>
              <w:instrText xml:space="preserve"> PAGEREF _Toc55900441 \h </w:instrText>
            </w:r>
            <w:r>
              <w:rPr>
                <w:noProof/>
                <w:webHidden/>
              </w:rPr>
            </w:r>
            <w:r>
              <w:rPr>
                <w:noProof/>
                <w:webHidden/>
              </w:rPr>
              <w:fldChar w:fldCharType="separate"/>
            </w:r>
            <w:r w:rsidR="007906D3">
              <w:rPr>
                <w:noProof/>
                <w:webHidden/>
              </w:rPr>
              <w:t>97</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42" w:history="1">
            <w:r w:rsidRPr="00C14B14">
              <w:rPr>
                <w:rStyle w:val="Hyperlink"/>
                <w:noProof/>
              </w:rPr>
              <w:t>Note 40 - Accounting Standards issued but not yet adopted</w:t>
            </w:r>
            <w:r>
              <w:rPr>
                <w:noProof/>
                <w:webHidden/>
              </w:rPr>
              <w:tab/>
            </w:r>
            <w:r>
              <w:rPr>
                <w:noProof/>
                <w:webHidden/>
              </w:rPr>
              <w:fldChar w:fldCharType="begin"/>
            </w:r>
            <w:r>
              <w:rPr>
                <w:noProof/>
                <w:webHidden/>
              </w:rPr>
              <w:instrText xml:space="preserve"> PAGEREF _Toc55900442 \h </w:instrText>
            </w:r>
            <w:r>
              <w:rPr>
                <w:noProof/>
                <w:webHidden/>
              </w:rPr>
            </w:r>
            <w:r>
              <w:rPr>
                <w:noProof/>
                <w:webHidden/>
              </w:rPr>
              <w:fldChar w:fldCharType="separate"/>
            </w:r>
            <w:r w:rsidR="007906D3">
              <w:rPr>
                <w:noProof/>
                <w:webHidden/>
              </w:rPr>
              <w:t>113</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43" w:history="1">
            <w:r w:rsidRPr="00C14B14">
              <w:rPr>
                <w:rStyle w:val="Hyperlink"/>
                <w:noProof/>
              </w:rPr>
              <w:t>Police Pensions Fund Account Statements as at 31 March 2020</w:t>
            </w:r>
            <w:r>
              <w:rPr>
                <w:noProof/>
                <w:webHidden/>
              </w:rPr>
              <w:tab/>
            </w:r>
            <w:r>
              <w:rPr>
                <w:noProof/>
                <w:webHidden/>
              </w:rPr>
              <w:fldChar w:fldCharType="begin"/>
            </w:r>
            <w:r>
              <w:rPr>
                <w:noProof/>
                <w:webHidden/>
              </w:rPr>
              <w:instrText xml:space="preserve"> PAGEREF _Toc55900443 \h </w:instrText>
            </w:r>
            <w:r>
              <w:rPr>
                <w:noProof/>
                <w:webHidden/>
              </w:rPr>
            </w:r>
            <w:r>
              <w:rPr>
                <w:noProof/>
                <w:webHidden/>
              </w:rPr>
              <w:fldChar w:fldCharType="separate"/>
            </w:r>
            <w:r w:rsidR="007906D3">
              <w:rPr>
                <w:noProof/>
                <w:webHidden/>
              </w:rPr>
              <w:t>115</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44" w:history="1">
            <w:r w:rsidRPr="00C14B14">
              <w:rPr>
                <w:rStyle w:val="Hyperlink"/>
                <w:noProof/>
                <w:lang w:eastAsia="en-GB"/>
              </w:rPr>
              <w:t>Police Pension Funds - Notes</w:t>
            </w:r>
            <w:r>
              <w:rPr>
                <w:noProof/>
                <w:webHidden/>
              </w:rPr>
              <w:tab/>
            </w:r>
            <w:r>
              <w:rPr>
                <w:noProof/>
                <w:webHidden/>
              </w:rPr>
              <w:fldChar w:fldCharType="begin"/>
            </w:r>
            <w:r>
              <w:rPr>
                <w:noProof/>
                <w:webHidden/>
              </w:rPr>
              <w:instrText xml:space="preserve"> PAGEREF _Toc55900444 \h </w:instrText>
            </w:r>
            <w:r>
              <w:rPr>
                <w:noProof/>
                <w:webHidden/>
              </w:rPr>
            </w:r>
            <w:r>
              <w:rPr>
                <w:noProof/>
                <w:webHidden/>
              </w:rPr>
              <w:fldChar w:fldCharType="separate"/>
            </w:r>
            <w:r w:rsidR="007906D3">
              <w:rPr>
                <w:noProof/>
                <w:webHidden/>
              </w:rPr>
              <w:t>116</w:t>
            </w:r>
            <w:r>
              <w:rPr>
                <w:noProof/>
                <w:webHidden/>
              </w:rPr>
              <w:fldChar w:fldCharType="end"/>
            </w:r>
          </w:hyperlink>
        </w:p>
        <w:p w:rsidR="006B0907" w:rsidRDefault="006B0907">
          <w:pPr>
            <w:pStyle w:val="TOC1"/>
            <w:tabs>
              <w:tab w:val="right" w:leader="dot" w:pos="9010"/>
            </w:tabs>
            <w:rPr>
              <w:rFonts w:asciiTheme="minorHAnsi" w:eastAsiaTheme="minorEastAsia" w:hAnsiTheme="minorHAnsi"/>
              <w:noProof/>
              <w:lang w:val="en-GB" w:eastAsia="en-GB"/>
            </w:rPr>
          </w:pPr>
          <w:hyperlink w:anchor="_Toc55900445" w:history="1">
            <w:r w:rsidRPr="00C14B14">
              <w:rPr>
                <w:rStyle w:val="Hyperlink"/>
                <w:noProof/>
                <w:lang w:eastAsia="en-GB"/>
              </w:rPr>
              <w:t>Glossary of Accounting Terms</w:t>
            </w:r>
            <w:r>
              <w:rPr>
                <w:noProof/>
                <w:webHidden/>
              </w:rPr>
              <w:tab/>
            </w:r>
            <w:r>
              <w:rPr>
                <w:noProof/>
                <w:webHidden/>
              </w:rPr>
              <w:fldChar w:fldCharType="begin"/>
            </w:r>
            <w:r>
              <w:rPr>
                <w:noProof/>
                <w:webHidden/>
              </w:rPr>
              <w:instrText xml:space="preserve"> PAGEREF _Toc55900445 \h </w:instrText>
            </w:r>
            <w:r>
              <w:rPr>
                <w:noProof/>
                <w:webHidden/>
              </w:rPr>
            </w:r>
            <w:r>
              <w:rPr>
                <w:noProof/>
                <w:webHidden/>
              </w:rPr>
              <w:fldChar w:fldCharType="separate"/>
            </w:r>
            <w:r w:rsidR="007906D3">
              <w:rPr>
                <w:noProof/>
                <w:webHidden/>
              </w:rPr>
              <w:t>118</w:t>
            </w:r>
            <w:r>
              <w:rPr>
                <w:noProof/>
                <w:webHidden/>
              </w:rPr>
              <w:fldChar w:fldCharType="end"/>
            </w:r>
          </w:hyperlink>
        </w:p>
        <w:p w:rsidR="004D417B" w:rsidRPr="008615E5" w:rsidRDefault="00CA6653" w:rsidP="000D6EF8">
          <w:pPr>
            <w:rPr>
              <w:noProof/>
            </w:rPr>
          </w:pPr>
          <w:r w:rsidRPr="008615E5">
            <w:rPr>
              <w:noProof/>
            </w:rPr>
            <w:fldChar w:fldCharType="end"/>
          </w:r>
        </w:p>
      </w:sdtContent>
    </w:sdt>
    <w:p w:rsidR="00CA6653" w:rsidRDefault="00CA6653" w:rsidP="000D6EF8">
      <w:pPr>
        <w:rPr>
          <w:lang w:val="en-AU"/>
        </w:rPr>
      </w:pPr>
      <w:r>
        <w:rPr>
          <w:lang w:val="en-AU"/>
        </w:rPr>
        <w:t xml:space="preserve"> </w:t>
      </w:r>
    </w:p>
    <w:p w:rsidR="00CA6653" w:rsidRDefault="00CA6653" w:rsidP="000D6EF8">
      <w:pPr>
        <w:rPr>
          <w:lang w:val="en-AU"/>
        </w:rPr>
      </w:pPr>
      <w:r>
        <w:rPr>
          <w:lang w:val="en-AU"/>
        </w:rPr>
        <w:br w:type="page"/>
      </w:r>
    </w:p>
    <w:p w:rsidR="00CA6653" w:rsidRDefault="00CA6653" w:rsidP="000D6EF8">
      <w:pPr>
        <w:rPr>
          <w:lang w:val="en-AU"/>
        </w:rPr>
        <w:sectPr w:rsidR="00CA6653" w:rsidSect="00CA6653">
          <w:footerReference w:type="default" r:id="rId9"/>
          <w:pgSz w:w="11900" w:h="16840"/>
          <w:pgMar w:top="1440" w:right="1440" w:bottom="1440" w:left="1440" w:header="708" w:footer="708" w:gutter="0"/>
          <w:pgNumType w:start="1"/>
          <w:cols w:space="708"/>
          <w:docGrid w:linePitch="360"/>
        </w:sectPr>
      </w:pPr>
    </w:p>
    <w:p w:rsidR="00E4069E" w:rsidRDefault="00E4069E" w:rsidP="00A31A9E">
      <w:pPr>
        <w:pStyle w:val="Heading1"/>
        <w:rPr>
          <w:lang w:eastAsia="en-GB"/>
        </w:rPr>
      </w:pPr>
      <w:bookmarkStart w:id="1" w:name="_Toc55900394"/>
      <w:r>
        <w:rPr>
          <w:lang w:eastAsia="en-GB"/>
        </w:rPr>
        <w:lastRenderedPageBreak/>
        <w:t>Preface</w:t>
      </w:r>
      <w:bookmarkEnd w:id="1"/>
    </w:p>
    <w:p w:rsidR="00E4069E" w:rsidRPr="00E4069E" w:rsidRDefault="00E4069E" w:rsidP="00A200D5">
      <w:pPr>
        <w:pStyle w:val="Default"/>
        <w:jc w:val="both"/>
        <w:rPr>
          <w:rFonts w:ascii="Verdana" w:hAnsi="Verdana"/>
          <w:sz w:val="22"/>
          <w:szCs w:val="22"/>
        </w:rPr>
      </w:pPr>
      <w:r w:rsidRPr="00A200D5">
        <w:rPr>
          <w:rFonts w:ascii="Verdana" w:hAnsi="Verdana"/>
          <w:b/>
          <w:bCs/>
          <w:sz w:val="22"/>
          <w:szCs w:val="22"/>
        </w:rPr>
        <w:t xml:space="preserve">David Munro – Police and Crime Commissioner for Surrey (PCC) </w:t>
      </w:r>
    </w:p>
    <w:p w:rsidR="00A95F85" w:rsidRDefault="00A95F85" w:rsidP="00A200D5">
      <w:pPr>
        <w:spacing w:before="100" w:beforeAutospacing="1"/>
        <w:ind w:right="147"/>
        <w:jc w:val="both"/>
        <w:rPr>
          <w:rFonts w:cs="Verdana"/>
          <w:color w:val="000000"/>
          <w:lang w:val="en-GB"/>
        </w:rPr>
      </w:pPr>
      <w:r w:rsidRPr="00A95F85">
        <w:rPr>
          <w:rFonts w:cs="Verdana"/>
          <w:color w:val="000000"/>
          <w:lang w:val="en-GB"/>
        </w:rPr>
        <w:t xml:space="preserve">In May 2016 I was elected as one of the 41 elected Police and Crime Commissioners across England and Wales. I am there to ensure that public’s policing priorities and concerns are acted upon and ensure the Chief Constable provides effective and efficient policing across the county. </w:t>
      </w:r>
    </w:p>
    <w:p w:rsidR="00A95F85" w:rsidRDefault="00A95F85" w:rsidP="00A200D5">
      <w:pPr>
        <w:spacing w:before="100" w:beforeAutospacing="1"/>
        <w:ind w:right="147"/>
        <w:jc w:val="both"/>
        <w:rPr>
          <w:rFonts w:cs="Verdana"/>
          <w:color w:val="000000"/>
          <w:lang w:val="en-GB"/>
        </w:rPr>
      </w:pPr>
      <w:r w:rsidRPr="00A95F85">
        <w:rPr>
          <w:rFonts w:cs="Verdana"/>
          <w:color w:val="000000"/>
          <w:lang w:val="en-GB"/>
        </w:rPr>
        <w:t>This involves holding the Chief Constable and Force to account for local policing issues, as set out in my Police and Crime Plan, but also ensuring that Surrey Police meets its strategic policing requirements in areas such as serious organised crime and terrorism. I have continued to monitor the plans in place on behalf of the Surrey public.  The threat has not gone away and we must maintain our plans and expertise to prevent terrorism and to be able to respond if necessary.</w:t>
      </w:r>
    </w:p>
    <w:p w:rsidR="00A95F85" w:rsidRDefault="00A95F85" w:rsidP="00A200D5">
      <w:pPr>
        <w:spacing w:before="100" w:beforeAutospacing="1"/>
        <w:ind w:right="147"/>
        <w:jc w:val="both"/>
        <w:rPr>
          <w:rFonts w:cs="Verdana"/>
          <w:color w:val="000000"/>
          <w:lang w:val="en-GB"/>
        </w:rPr>
      </w:pPr>
      <w:r w:rsidRPr="00A95F85">
        <w:rPr>
          <w:rFonts w:cs="Verdana"/>
          <w:color w:val="000000"/>
          <w:lang w:val="en-GB"/>
        </w:rPr>
        <w:t xml:space="preserve">I am working to prevent and reduce crime by working with and funding a number of community safety and criminal justice partners. In addition in consultation with residents I determine the precept – the police element of Council Tax – set the force budget and grant funding to commission services to support the victims of crime. </w:t>
      </w:r>
    </w:p>
    <w:p w:rsidR="00A95F85" w:rsidRDefault="00A95F85" w:rsidP="00A200D5">
      <w:pPr>
        <w:spacing w:before="100" w:beforeAutospacing="1"/>
        <w:ind w:right="147"/>
        <w:jc w:val="both"/>
        <w:rPr>
          <w:rFonts w:cs="Verdana"/>
          <w:color w:val="000000"/>
          <w:lang w:val="en-GB"/>
        </w:rPr>
      </w:pPr>
      <w:r w:rsidRPr="00A95F85">
        <w:rPr>
          <w:rFonts w:cs="Verdana"/>
          <w:color w:val="000000"/>
          <w:lang w:val="en-GB"/>
        </w:rPr>
        <w:t xml:space="preserve">I’m pleased to say, that after a decade of austerity, we are moving in the right direction. We have made much progress in Surrey Police and in protecting our communities over the last year, but as always there is more to be done.   I know from your comments what residents most want to see are more police officers and front-line staff and I am pleased to say these are now being delivered.   Support for an increase in the police element of council tax as well as Government funding has meant that we have met our target for an increase in front-line resources and more are being recruited this year.  </w:t>
      </w:r>
    </w:p>
    <w:p w:rsidR="00A95F85" w:rsidRDefault="00A95F85" w:rsidP="00A200D5">
      <w:pPr>
        <w:ind w:right="147"/>
        <w:jc w:val="both"/>
        <w:rPr>
          <w:rFonts w:cs="Verdana"/>
          <w:color w:val="000000"/>
          <w:lang w:val="en-GB"/>
        </w:rPr>
      </w:pPr>
    </w:p>
    <w:p w:rsidR="00A95F85" w:rsidRDefault="00A95F85" w:rsidP="00A200D5">
      <w:pPr>
        <w:ind w:right="147"/>
        <w:jc w:val="both"/>
        <w:rPr>
          <w:rFonts w:cs="Verdana"/>
          <w:color w:val="000000"/>
          <w:lang w:val="en-GB"/>
        </w:rPr>
      </w:pPr>
      <w:r w:rsidRPr="00A95F85">
        <w:rPr>
          <w:rFonts w:cs="Verdana"/>
          <w:color w:val="000000"/>
          <w:lang w:val="en-GB"/>
        </w:rPr>
        <w:t>Surrey residents are very supportive of their local police with 88% of people surveyed saying they have confidence in their local neighbourhood police.  In 2018 I published my Police and Crime Plan which set out your priorities for the period 2018-20. These were as follows:</w:t>
      </w:r>
    </w:p>
    <w:p w:rsidR="00A95F85" w:rsidRPr="00A95F85" w:rsidRDefault="00A95F85" w:rsidP="00A200D5">
      <w:pPr>
        <w:ind w:right="147"/>
        <w:jc w:val="both"/>
        <w:rPr>
          <w:rFonts w:cs="Verdana"/>
          <w:color w:val="000000"/>
          <w:lang w:val="en-GB"/>
        </w:rPr>
      </w:pPr>
    </w:p>
    <w:p w:rsidR="00A95F85" w:rsidRPr="00A200D5" w:rsidRDefault="00A95F85" w:rsidP="00A200D5">
      <w:pPr>
        <w:spacing w:line="259" w:lineRule="auto"/>
        <w:jc w:val="both"/>
        <w:rPr>
          <w:rFonts w:eastAsia="Calibri" w:cs="Times New Roman"/>
          <w:b/>
          <w:lang w:val="en-GB"/>
        </w:rPr>
      </w:pPr>
      <w:r w:rsidRPr="00A200D5">
        <w:rPr>
          <w:rFonts w:eastAsia="Calibri" w:cs="Times New Roman"/>
          <w:b/>
          <w:i/>
          <w:lang w:val="en-GB"/>
        </w:rPr>
        <w:t>Tackling Crime and Keeping Surrey Safe</w:t>
      </w:r>
    </w:p>
    <w:p w:rsidR="00A95F85" w:rsidRDefault="00A95F85" w:rsidP="00A200D5">
      <w:pPr>
        <w:spacing w:line="259" w:lineRule="auto"/>
        <w:jc w:val="both"/>
        <w:rPr>
          <w:rFonts w:eastAsia="Calibri" w:cs="Verdana"/>
          <w:color w:val="000000"/>
          <w:lang w:val="en-GB"/>
        </w:rPr>
      </w:pPr>
    </w:p>
    <w:p w:rsidR="00A95F85" w:rsidRPr="00A95F85" w:rsidRDefault="00A95F85" w:rsidP="00A200D5">
      <w:pPr>
        <w:spacing w:line="259" w:lineRule="auto"/>
        <w:jc w:val="both"/>
        <w:rPr>
          <w:rFonts w:eastAsia="Calibri" w:cs="Verdana"/>
          <w:color w:val="000000"/>
          <w:lang w:val="en-GB"/>
        </w:rPr>
      </w:pPr>
      <w:r w:rsidRPr="00A95F85">
        <w:rPr>
          <w:rFonts w:eastAsia="Calibri" w:cs="Verdana"/>
          <w:color w:val="000000"/>
          <w:lang w:val="en-GB"/>
        </w:rPr>
        <w:t xml:space="preserve">When talking to residents one of the things that they wanted was a local officer who knew their local area. I am pleased to say that during this year every ward in Surrey had its own named neighbourhood officers or Police Community Support Officers.     </w:t>
      </w:r>
    </w:p>
    <w:p w:rsidR="00A95F85" w:rsidRDefault="00A95F85">
      <w:pPr>
        <w:spacing w:line="259" w:lineRule="auto"/>
        <w:jc w:val="both"/>
        <w:rPr>
          <w:rFonts w:eastAsia="Calibri" w:cs="Verdana"/>
          <w:color w:val="000000"/>
          <w:lang w:val="en-GB"/>
        </w:rPr>
      </w:pPr>
    </w:p>
    <w:p w:rsidR="00A95F85" w:rsidRPr="00A95F85" w:rsidRDefault="00A95F85">
      <w:pPr>
        <w:spacing w:line="259" w:lineRule="auto"/>
        <w:jc w:val="both"/>
        <w:rPr>
          <w:rFonts w:eastAsia="Calibri" w:cs="Verdana"/>
          <w:color w:val="000000"/>
          <w:lang w:val="en-GB"/>
        </w:rPr>
      </w:pPr>
      <w:r w:rsidRPr="00A95F85">
        <w:rPr>
          <w:rFonts w:eastAsia="Calibri" w:cs="Verdana"/>
          <w:color w:val="000000"/>
          <w:lang w:val="en-GB"/>
        </w:rPr>
        <w:t xml:space="preserve">Whilst police recorded crime has shown a slight increase nationally, in Surrey total recorded crime in the county remained level with 76,578 crimes recorded by the police.  Burglary is a key concern for residents with levels increasing during the year following a drop last year. In recent months levels of burglary are starting to fall again and I will be working to ensure that this trend continues in the coming year. </w:t>
      </w:r>
    </w:p>
    <w:p w:rsidR="00A95F85" w:rsidRPr="00A95F85" w:rsidRDefault="00A95F85">
      <w:pPr>
        <w:spacing w:line="259" w:lineRule="auto"/>
        <w:jc w:val="both"/>
        <w:rPr>
          <w:rFonts w:eastAsia="Calibri" w:cs="Arial"/>
          <w:sz w:val="20"/>
          <w:szCs w:val="20"/>
          <w:lang w:val="en-GB" w:eastAsia="en-GB"/>
        </w:rPr>
      </w:pPr>
    </w:p>
    <w:p w:rsidR="00A95F85" w:rsidRPr="00A95F85" w:rsidRDefault="00A95F85">
      <w:pPr>
        <w:spacing w:line="259" w:lineRule="auto"/>
        <w:jc w:val="both"/>
        <w:rPr>
          <w:rFonts w:eastAsia="Calibri" w:cs="Verdana"/>
          <w:color w:val="000000"/>
          <w:lang w:val="en-GB"/>
        </w:rPr>
      </w:pPr>
      <w:r w:rsidRPr="00A95F85">
        <w:rPr>
          <w:rFonts w:eastAsia="Calibri" w:cs="Verdana"/>
          <w:color w:val="000000"/>
          <w:lang w:val="en-GB"/>
        </w:rPr>
        <w:t>Surrey residents tell me how important it is that they are able to contact police in a timely manner.  The 101 non-emergency number continues to be answered within an average of 90 seconds, with over 95% of 999 calls being answered with 10 seconds.</w:t>
      </w:r>
    </w:p>
    <w:p w:rsidR="00A95F85" w:rsidRDefault="00A95F85" w:rsidP="00A200D5">
      <w:pPr>
        <w:spacing w:line="259" w:lineRule="auto"/>
        <w:jc w:val="both"/>
        <w:rPr>
          <w:rFonts w:eastAsia="Calibri" w:cs="Times New Roman"/>
          <w:b/>
          <w:i/>
          <w:lang w:val="en-GB"/>
        </w:rPr>
      </w:pPr>
    </w:p>
    <w:p w:rsidR="00EB075B" w:rsidRDefault="00EB075B" w:rsidP="00A200D5">
      <w:pPr>
        <w:spacing w:line="259" w:lineRule="auto"/>
        <w:jc w:val="both"/>
        <w:rPr>
          <w:rFonts w:eastAsia="Calibri" w:cs="Times New Roman"/>
          <w:b/>
          <w:i/>
          <w:lang w:val="en-GB"/>
        </w:rPr>
      </w:pPr>
    </w:p>
    <w:p w:rsidR="00EB075B" w:rsidRDefault="00EB075B" w:rsidP="00A200D5">
      <w:pPr>
        <w:spacing w:line="259" w:lineRule="auto"/>
        <w:jc w:val="both"/>
        <w:rPr>
          <w:rFonts w:eastAsia="Calibri" w:cs="Times New Roman"/>
          <w:b/>
          <w:i/>
          <w:lang w:val="en-GB"/>
        </w:rPr>
      </w:pPr>
    </w:p>
    <w:p w:rsidR="00EB075B" w:rsidRDefault="00EB075B" w:rsidP="00A200D5">
      <w:pPr>
        <w:spacing w:line="259" w:lineRule="auto"/>
        <w:jc w:val="both"/>
        <w:rPr>
          <w:rFonts w:eastAsia="Calibri" w:cs="Times New Roman"/>
          <w:b/>
          <w:i/>
          <w:lang w:val="en-GB"/>
        </w:rPr>
      </w:pPr>
    </w:p>
    <w:p w:rsidR="00A95F85" w:rsidRPr="00A95F85" w:rsidRDefault="00A95F85" w:rsidP="00A200D5">
      <w:pPr>
        <w:spacing w:line="259" w:lineRule="auto"/>
        <w:jc w:val="both"/>
        <w:rPr>
          <w:rFonts w:eastAsia="Calibri" w:cs="Verdana"/>
          <w:color w:val="000000"/>
          <w:lang w:val="en-GB"/>
        </w:rPr>
      </w:pPr>
      <w:r w:rsidRPr="00A200D5">
        <w:rPr>
          <w:rFonts w:eastAsia="Calibri" w:cs="Times New Roman"/>
          <w:b/>
          <w:i/>
          <w:lang w:val="en-GB"/>
        </w:rPr>
        <w:lastRenderedPageBreak/>
        <w:t>Build Confident Communities</w:t>
      </w:r>
    </w:p>
    <w:p w:rsidR="00A95F85" w:rsidRDefault="00A95F85" w:rsidP="00A200D5">
      <w:pPr>
        <w:spacing w:line="259" w:lineRule="auto"/>
        <w:jc w:val="both"/>
        <w:rPr>
          <w:rFonts w:eastAsia="Calibri" w:cs="Verdana"/>
          <w:color w:val="000000"/>
          <w:lang w:val="en-GB"/>
        </w:rPr>
      </w:pPr>
    </w:p>
    <w:p w:rsidR="00A95F85" w:rsidRPr="00A95F85" w:rsidRDefault="00A95F85" w:rsidP="00A200D5">
      <w:pPr>
        <w:spacing w:line="259" w:lineRule="auto"/>
        <w:jc w:val="both"/>
        <w:rPr>
          <w:rFonts w:eastAsia="Calibri" w:cs="Verdana"/>
          <w:color w:val="000000"/>
          <w:lang w:val="en-GB"/>
        </w:rPr>
      </w:pPr>
      <w:r w:rsidRPr="00A95F85">
        <w:rPr>
          <w:rFonts w:eastAsia="Calibri" w:cs="Verdana"/>
          <w:color w:val="000000"/>
          <w:lang w:val="en-GB"/>
        </w:rPr>
        <w:t xml:space="preserve">I have worked hard to ensure that local neighbourhood teams are put in place to address local issues. This involves a system being set up which where local officers identify a particular issue a plan is put in place to work with the community to address it. During the year I have given £845,000 to support community safety, an increase of 11% on the previous year. </w:t>
      </w:r>
    </w:p>
    <w:p w:rsidR="00A95F85" w:rsidRDefault="00A95F85" w:rsidP="00A200D5">
      <w:pPr>
        <w:spacing w:line="259" w:lineRule="auto"/>
        <w:jc w:val="both"/>
        <w:rPr>
          <w:rFonts w:eastAsia="Calibri" w:cs="Calibri"/>
          <w:b/>
          <w:i/>
          <w:lang w:val="en-GB"/>
        </w:rPr>
      </w:pPr>
    </w:p>
    <w:p w:rsidR="00A95F85" w:rsidRPr="00A200D5" w:rsidRDefault="00A95F85" w:rsidP="00A200D5">
      <w:pPr>
        <w:spacing w:line="259" w:lineRule="auto"/>
        <w:jc w:val="both"/>
        <w:rPr>
          <w:rFonts w:eastAsia="Calibri" w:cs="Calibri"/>
          <w:lang w:val="en-GB"/>
        </w:rPr>
      </w:pPr>
      <w:r w:rsidRPr="00A200D5">
        <w:rPr>
          <w:rFonts w:eastAsia="Calibri" w:cs="Calibri"/>
          <w:b/>
          <w:i/>
          <w:lang w:val="en-GB"/>
        </w:rPr>
        <w:t>S</w:t>
      </w:r>
      <w:r w:rsidRPr="00A200D5">
        <w:rPr>
          <w:rFonts w:eastAsia="Calibri" w:cs="Times New Roman"/>
          <w:b/>
          <w:i/>
          <w:lang w:val="en-GB"/>
        </w:rPr>
        <w:t>upporting Victims</w:t>
      </w:r>
    </w:p>
    <w:p w:rsidR="00A95F85" w:rsidRDefault="00A95F85">
      <w:pPr>
        <w:autoSpaceDE w:val="0"/>
        <w:autoSpaceDN w:val="0"/>
        <w:adjustRightInd w:val="0"/>
        <w:jc w:val="both"/>
        <w:rPr>
          <w:rFonts w:eastAsia="Calibri" w:cs="Verdana"/>
          <w:color w:val="000000"/>
          <w:lang w:val="en-GB"/>
        </w:rPr>
      </w:pPr>
    </w:p>
    <w:p w:rsidR="00A95F85" w:rsidRPr="00A95F85" w:rsidRDefault="00A95F85">
      <w:pPr>
        <w:autoSpaceDE w:val="0"/>
        <w:autoSpaceDN w:val="0"/>
        <w:adjustRightInd w:val="0"/>
        <w:jc w:val="both"/>
        <w:rPr>
          <w:rFonts w:eastAsia="Calibri" w:cs="Verdana"/>
          <w:color w:val="000000"/>
          <w:lang w:val="en-GB"/>
        </w:rPr>
      </w:pPr>
      <w:r w:rsidRPr="00A95F85">
        <w:rPr>
          <w:rFonts w:eastAsia="Calibri" w:cs="Verdana"/>
          <w:color w:val="000000"/>
          <w:lang w:val="en-GB"/>
        </w:rPr>
        <w:t>Whilst there needs to be a focus on policing I have worked hard to ensure that Surrey Police support victims of crime and in particular how it protects vulnerable people. As a result of this the national inspection body for policing is now consistently grading Surrey Police as being ‘Good’ in this area. The new in-house Victim and Witness Care Unit launched in April 2019 has helped put victims at the heart of policing.  Over the last year, 61% of victims surveyed said they were satisfied with the service received by Surrey Police. As PCC I continue to commission services to support victims in Surrey and in the last year £1.4m was given to support this work.</w:t>
      </w:r>
    </w:p>
    <w:p w:rsidR="00A95F85" w:rsidRPr="00A95F85" w:rsidRDefault="00A95F85">
      <w:pPr>
        <w:spacing w:line="259" w:lineRule="auto"/>
        <w:jc w:val="both"/>
        <w:rPr>
          <w:rFonts w:eastAsia="Calibri" w:cs="Times New Roman"/>
          <w:b/>
          <w:i/>
          <w:sz w:val="20"/>
          <w:szCs w:val="20"/>
          <w:lang w:val="en-GB"/>
        </w:rPr>
      </w:pPr>
    </w:p>
    <w:p w:rsidR="00A95F85" w:rsidRPr="00A200D5" w:rsidRDefault="00A95F85">
      <w:pPr>
        <w:spacing w:line="259" w:lineRule="auto"/>
        <w:jc w:val="both"/>
        <w:rPr>
          <w:rFonts w:eastAsia="Calibri" w:cs="Calibri"/>
          <w:lang w:val="en-GB"/>
        </w:rPr>
      </w:pPr>
      <w:r w:rsidRPr="00A200D5">
        <w:rPr>
          <w:rFonts w:eastAsia="Calibri" w:cs="Times New Roman"/>
          <w:b/>
          <w:i/>
          <w:lang w:val="en-GB"/>
        </w:rPr>
        <w:t>Making Every Pound Count</w:t>
      </w:r>
    </w:p>
    <w:p w:rsidR="00A95F85" w:rsidRPr="00A95F85" w:rsidRDefault="00A95F85">
      <w:pPr>
        <w:spacing w:line="259" w:lineRule="auto"/>
        <w:jc w:val="both"/>
        <w:rPr>
          <w:rFonts w:eastAsia="Calibri" w:cs="Calibri"/>
          <w:sz w:val="20"/>
          <w:szCs w:val="20"/>
          <w:lang w:val="en-GB"/>
        </w:rPr>
      </w:pPr>
    </w:p>
    <w:p w:rsidR="00A95F85" w:rsidRPr="00DE3276" w:rsidRDefault="00A95F85">
      <w:pPr>
        <w:spacing w:line="259" w:lineRule="auto"/>
        <w:jc w:val="both"/>
        <w:rPr>
          <w:rFonts w:eastAsia="Calibri" w:cs="Verdana"/>
          <w:color w:val="000000"/>
          <w:lang w:val="en-GB"/>
        </w:rPr>
      </w:pPr>
      <w:r w:rsidRPr="00A95F85">
        <w:rPr>
          <w:rFonts w:eastAsia="Calibri" w:cs="Verdana"/>
          <w:color w:val="000000"/>
          <w:lang w:val="en-GB"/>
        </w:rPr>
        <w:t>Surrey Police over the past 10 years has suffered significant real terms funding reductions and has had to deliver savings without impacting the service it delivers. I have worked to make Surrey Police as efficient as possible through collaboration, with Sussex in particular, and the use of technology. The work means that Surrey Police is in a stable financial position going forward</w:t>
      </w:r>
      <w:r w:rsidRPr="00DE3276">
        <w:rPr>
          <w:rFonts w:eastAsia="Calibri" w:cs="Verdana"/>
          <w:color w:val="000000"/>
          <w:lang w:val="en-GB"/>
        </w:rPr>
        <w:t xml:space="preserve">. </w:t>
      </w:r>
    </w:p>
    <w:p w:rsidR="00A95F85" w:rsidRPr="00DE3276" w:rsidRDefault="00A95F85">
      <w:pPr>
        <w:spacing w:line="259" w:lineRule="auto"/>
        <w:jc w:val="both"/>
        <w:rPr>
          <w:rFonts w:eastAsia="Calibri" w:cs="Verdana"/>
          <w:color w:val="000000"/>
          <w:lang w:val="en-GB"/>
        </w:rPr>
      </w:pPr>
    </w:p>
    <w:p w:rsidR="00A95F85" w:rsidRPr="00DE3276" w:rsidRDefault="00A95F85">
      <w:pPr>
        <w:spacing w:line="259" w:lineRule="auto"/>
        <w:jc w:val="both"/>
        <w:rPr>
          <w:rFonts w:eastAsia="Calibri" w:cs="Verdana"/>
          <w:color w:val="000000"/>
          <w:lang w:val="en-GB"/>
        </w:rPr>
      </w:pPr>
      <w:r w:rsidRPr="00DE3276">
        <w:rPr>
          <w:rFonts w:eastAsia="Calibri" w:cs="Verdana"/>
          <w:color w:val="000000"/>
          <w:lang w:val="en-GB"/>
        </w:rPr>
        <w:t>In the last year following an increase in funding I have ensured that Surrey Police can add an extra 178 police officers and 50 operational staff to its establishment. In terms of my own office OPCC costs have come in under budget and remain amongst the lowest in the country.</w:t>
      </w:r>
    </w:p>
    <w:p w:rsidR="00A95F85" w:rsidRPr="00A200D5" w:rsidRDefault="00A95F85" w:rsidP="00A200D5">
      <w:pPr>
        <w:spacing w:line="259" w:lineRule="auto"/>
        <w:jc w:val="both"/>
        <w:rPr>
          <w:rFonts w:eastAsia="Calibri" w:cs="Calibri"/>
          <w:lang w:val="en-GB"/>
        </w:rPr>
      </w:pPr>
    </w:p>
    <w:p w:rsidR="00A95F85" w:rsidRPr="00A200D5" w:rsidRDefault="00A95F85" w:rsidP="00A200D5">
      <w:pPr>
        <w:spacing w:line="259" w:lineRule="auto"/>
        <w:jc w:val="both"/>
        <w:rPr>
          <w:rFonts w:eastAsia="Calibri" w:cs="Times New Roman"/>
          <w:b/>
          <w:i/>
          <w:lang w:val="en-GB"/>
        </w:rPr>
      </w:pPr>
      <w:r w:rsidRPr="00A200D5">
        <w:rPr>
          <w:rFonts w:eastAsia="Calibri" w:cs="Times New Roman"/>
          <w:b/>
          <w:i/>
          <w:lang w:val="en-GB"/>
        </w:rPr>
        <w:t>A Force fit for the Future</w:t>
      </w:r>
    </w:p>
    <w:p w:rsidR="00A95F85" w:rsidRPr="00A200D5" w:rsidRDefault="00A95F85" w:rsidP="00A200D5">
      <w:pPr>
        <w:spacing w:line="259" w:lineRule="auto"/>
        <w:jc w:val="both"/>
        <w:rPr>
          <w:rFonts w:eastAsia="Calibri" w:cs="Calibri"/>
          <w:lang w:val="en-GB"/>
        </w:rPr>
      </w:pPr>
    </w:p>
    <w:p w:rsidR="00DE3276" w:rsidRPr="00A200D5" w:rsidRDefault="00A95F85" w:rsidP="00A200D5">
      <w:pPr>
        <w:spacing w:line="259" w:lineRule="auto"/>
        <w:jc w:val="both"/>
        <w:rPr>
          <w:rFonts w:eastAsia="Calibri" w:cs="Calibri"/>
          <w:lang w:val="en-GB"/>
        </w:rPr>
      </w:pPr>
      <w:r w:rsidRPr="00A200D5">
        <w:rPr>
          <w:rFonts w:eastAsia="Calibri" w:cs="Calibri"/>
          <w:lang w:val="en-GB"/>
        </w:rPr>
        <w:t>Whilst concentrating on the service now I have not lost sight of the fact that the force needs to adapt to meet the challenges of modern policing. In addition to my responsibility for the policing budget, I also ensure that the Surrey police estate - our stations and offices – meets the needs of 21st century policing. A total of £6.4m was invested in the Surrey Police estate in 2019/20 with most of this being used towards the new HQ site in Leatherhead. Video enabled justice has been developed in Surrey with facilities available in Guildford and Reigate police stations so that police officers can give remote video evidence, making court processes more efficient.</w:t>
      </w:r>
      <w:r w:rsidR="00DE3276">
        <w:rPr>
          <w:rFonts w:eastAsia="Calibri" w:cs="Calibri"/>
          <w:lang w:val="en-GB"/>
        </w:rPr>
        <w:t xml:space="preserve"> </w:t>
      </w:r>
    </w:p>
    <w:p w:rsidR="00A95F85" w:rsidRPr="00A200D5" w:rsidRDefault="00A95F85" w:rsidP="00A200D5">
      <w:pPr>
        <w:spacing w:line="259" w:lineRule="auto"/>
        <w:jc w:val="both"/>
        <w:rPr>
          <w:rFonts w:eastAsia="Calibri" w:cs="Calibri"/>
          <w:lang w:val="en-GB"/>
        </w:rPr>
      </w:pPr>
      <w:r w:rsidRPr="00A200D5">
        <w:rPr>
          <w:rFonts w:eastAsia="Calibri" w:cs="Calibri"/>
          <w:lang w:val="en-GB"/>
        </w:rPr>
        <w:t xml:space="preserve">Towards the end of this reporting year, policing, like many other public sector organisations, had the challenge of the Covid-19 lockdown.  I worked with Surrey Police to ensure that their response plans struck the right balance right between education and enforcement whilst also addressing concerns of local residents. As PCC I also released £500,000 of grant funding for those organisations working with those affected by crime and community safety issues as a result of the lockdown. I have also agreed that our reserves are increased by £2m at the end of the year to strengthen the Forces finances in the light of the significant financial pressures arising out of the Covid-19 pandemic in 2019/20. </w:t>
      </w:r>
    </w:p>
    <w:p w:rsidR="00A95F85" w:rsidRPr="00A200D5" w:rsidRDefault="00A95F85" w:rsidP="00A200D5">
      <w:pPr>
        <w:spacing w:line="259" w:lineRule="auto"/>
        <w:jc w:val="both"/>
        <w:rPr>
          <w:rFonts w:eastAsia="Calibri" w:cs="Calibri"/>
          <w:lang w:val="en-GB"/>
        </w:rPr>
      </w:pPr>
    </w:p>
    <w:p w:rsidR="00A95F85" w:rsidRPr="00DE3276" w:rsidRDefault="00A95F85">
      <w:pPr>
        <w:autoSpaceDE w:val="0"/>
        <w:autoSpaceDN w:val="0"/>
        <w:adjustRightInd w:val="0"/>
        <w:jc w:val="both"/>
        <w:rPr>
          <w:rFonts w:eastAsia="Calibri" w:cs="Verdana"/>
          <w:color w:val="000000"/>
          <w:lang w:val="en-GB"/>
        </w:rPr>
      </w:pPr>
      <w:r w:rsidRPr="00DE3276">
        <w:rPr>
          <w:rFonts w:eastAsia="Calibri" w:cs="Verdana"/>
          <w:color w:val="000000"/>
          <w:lang w:val="en-GB"/>
        </w:rPr>
        <w:t xml:space="preserve">Finally none of the programmes and results described in this Statement of Accounts could have been achieved without the dedication and professionalism of my team, police officers and police staff at all ranks and grades nor without the support and hard work of our partners and countless volunteers. </w:t>
      </w:r>
    </w:p>
    <w:p w:rsidR="00A95F85" w:rsidRPr="00DE3276" w:rsidRDefault="00A95F85">
      <w:pPr>
        <w:autoSpaceDE w:val="0"/>
        <w:autoSpaceDN w:val="0"/>
        <w:adjustRightInd w:val="0"/>
        <w:jc w:val="both"/>
        <w:rPr>
          <w:rFonts w:eastAsia="Calibri" w:cs="Verdana"/>
          <w:color w:val="000000"/>
          <w:lang w:val="en-GB"/>
        </w:rPr>
      </w:pPr>
    </w:p>
    <w:p w:rsidR="00A95F85" w:rsidRPr="00A95F85" w:rsidRDefault="00A95F85">
      <w:pPr>
        <w:autoSpaceDE w:val="0"/>
        <w:autoSpaceDN w:val="0"/>
        <w:adjustRightInd w:val="0"/>
        <w:jc w:val="both"/>
        <w:rPr>
          <w:rFonts w:eastAsia="Calibri" w:cs="Verdana"/>
          <w:color w:val="000000"/>
          <w:lang w:val="en-GB"/>
        </w:rPr>
      </w:pPr>
      <w:r w:rsidRPr="00A95F85">
        <w:rPr>
          <w:rFonts w:eastAsia="Calibri" w:cs="Verdana"/>
          <w:color w:val="000000"/>
          <w:lang w:val="en-GB"/>
        </w:rPr>
        <w:lastRenderedPageBreak/>
        <w:t xml:space="preserve">I also want to thank Surrey residents for getting in touch, doing their part to help the Police and their continuing support as I seek to keep your county a safe place to live with a trusted police force that responds to your concerns. </w:t>
      </w:r>
    </w:p>
    <w:p w:rsidR="00A95F85" w:rsidRPr="00A95F85" w:rsidRDefault="00A95F85" w:rsidP="00A200D5">
      <w:pPr>
        <w:spacing w:line="259" w:lineRule="auto"/>
        <w:jc w:val="both"/>
        <w:rPr>
          <w:rFonts w:eastAsia="Calibri" w:cs="Verdana"/>
          <w:color w:val="000000"/>
          <w:lang w:val="en-GB"/>
        </w:rPr>
      </w:pPr>
    </w:p>
    <w:p w:rsidR="00A95F85" w:rsidRPr="00A95F85" w:rsidRDefault="00A95F85">
      <w:pPr>
        <w:autoSpaceDE w:val="0"/>
        <w:autoSpaceDN w:val="0"/>
        <w:adjustRightInd w:val="0"/>
        <w:jc w:val="both"/>
        <w:rPr>
          <w:rFonts w:eastAsia="Calibri" w:cs="Verdana"/>
          <w:color w:val="000000"/>
          <w:lang w:val="en-GB"/>
        </w:rPr>
      </w:pPr>
      <w:r w:rsidRPr="00A95F85">
        <w:rPr>
          <w:rFonts w:eastAsia="Calibri" w:cs="Verdana"/>
          <w:color w:val="000000"/>
          <w:lang w:val="en-GB"/>
        </w:rPr>
        <w:t>I look forward to working with you all again over the next year in providing a policing service the people of Surrey can continue to be proud of.</w:t>
      </w:r>
    </w:p>
    <w:p w:rsidR="00E4069E" w:rsidRDefault="00E4069E" w:rsidP="00A200D5">
      <w:pPr>
        <w:jc w:val="both"/>
      </w:pPr>
    </w:p>
    <w:p w:rsidR="00A95F85" w:rsidRDefault="00A95F85" w:rsidP="00A200D5">
      <w:pPr>
        <w:jc w:val="both"/>
      </w:pPr>
    </w:p>
    <w:p w:rsidR="00DE3276" w:rsidRPr="00E4069E" w:rsidRDefault="00DE3276" w:rsidP="00A200D5">
      <w:pPr>
        <w:jc w:val="both"/>
      </w:pPr>
    </w:p>
    <w:p w:rsidR="00E4069E" w:rsidRPr="00E4069E" w:rsidRDefault="00E4069E" w:rsidP="00A200D5">
      <w:pPr>
        <w:jc w:val="both"/>
      </w:pPr>
    </w:p>
    <w:p w:rsidR="00E4069E" w:rsidRPr="00E4069E" w:rsidRDefault="00E4069E" w:rsidP="00A200D5">
      <w:pPr>
        <w:jc w:val="both"/>
        <w:rPr>
          <w:rFonts w:cs="Verdana"/>
          <w:b/>
          <w:color w:val="000000"/>
        </w:rPr>
      </w:pPr>
      <w:r w:rsidRPr="00E4069E">
        <w:rPr>
          <w:rFonts w:cs="Verdana"/>
          <w:b/>
          <w:color w:val="000000"/>
        </w:rPr>
        <w:t>David Munro</w:t>
      </w:r>
    </w:p>
    <w:p w:rsidR="00E4069E" w:rsidRPr="00E4069E" w:rsidRDefault="00E4069E" w:rsidP="00A200D5">
      <w:pPr>
        <w:jc w:val="both"/>
        <w:rPr>
          <w:rFonts w:cs="Verdana"/>
          <w:b/>
          <w:color w:val="000000"/>
        </w:rPr>
      </w:pPr>
      <w:r w:rsidRPr="00E4069E">
        <w:rPr>
          <w:rFonts w:cs="Verdana"/>
          <w:b/>
          <w:color w:val="000000"/>
        </w:rPr>
        <w:t>Police and Crime Commissioner for Surrey</w:t>
      </w:r>
    </w:p>
    <w:p w:rsidR="00E4069E" w:rsidRDefault="00E4069E" w:rsidP="00A31A9E">
      <w:pPr>
        <w:pStyle w:val="Heading1"/>
        <w:rPr>
          <w:lang w:eastAsia="en-GB"/>
        </w:rPr>
      </w:pPr>
    </w:p>
    <w:p w:rsidR="00CA6653" w:rsidRPr="00270F67" w:rsidRDefault="00CA6653" w:rsidP="00A31A9E">
      <w:pPr>
        <w:pStyle w:val="Heading1"/>
        <w:rPr>
          <w:lang w:eastAsia="en-GB"/>
        </w:rPr>
      </w:pPr>
      <w:bookmarkStart w:id="2" w:name="_Toc55900395"/>
      <w:r w:rsidRPr="00270F67">
        <w:rPr>
          <w:lang w:eastAsia="en-GB"/>
        </w:rPr>
        <w:t>Narrative Report</w:t>
      </w:r>
      <w:bookmarkEnd w:id="2"/>
    </w:p>
    <w:p w:rsidR="00270F67" w:rsidRPr="00270F67" w:rsidRDefault="00270F67" w:rsidP="000D6EF8"/>
    <w:p w:rsidR="00270F67" w:rsidRPr="00270F67" w:rsidRDefault="00270F67" w:rsidP="00270F67">
      <w:pPr>
        <w:pStyle w:val="Style1"/>
        <w:numPr>
          <w:ilvl w:val="0"/>
          <w:numId w:val="19"/>
        </w:numPr>
        <w:ind w:left="360"/>
        <w:rPr>
          <w:rFonts w:ascii="Verdana" w:hAnsi="Verdana"/>
          <w:sz w:val="22"/>
          <w:szCs w:val="22"/>
        </w:rPr>
      </w:pPr>
      <w:bookmarkStart w:id="3" w:name="_Toc483386538"/>
      <w:r w:rsidRPr="00270F67">
        <w:rPr>
          <w:rFonts w:ascii="Verdana" w:hAnsi="Verdana"/>
          <w:sz w:val="22"/>
          <w:szCs w:val="22"/>
        </w:rPr>
        <w:t>Introduction</w:t>
      </w:r>
      <w:bookmarkEnd w:id="3"/>
    </w:p>
    <w:p w:rsidR="00270F67" w:rsidRPr="00270F67" w:rsidRDefault="00270F67" w:rsidP="000D6EF8"/>
    <w:p w:rsidR="005272A1" w:rsidRPr="005272A1" w:rsidRDefault="005272A1" w:rsidP="005272A1">
      <w:pPr>
        <w:jc w:val="both"/>
      </w:pPr>
      <w:r w:rsidRPr="005272A1">
        <w:t>The Statement of Accounts has been prepared in accordance with the requirements of the Chartered Institute of Public Finance and Accountancy (CIPFA), and sets out the overall financial position of the Police and Crime Commissioner for Surrey and the Group Accounts for the year ending 31 March 2020. The accounts have been prepared using the International Financial Reporting Standards (IFRS), in accordance with the Code of Practice on Local Authority Accounting in the United Kingdom 2019/20.</w:t>
      </w:r>
    </w:p>
    <w:p w:rsidR="005272A1" w:rsidRPr="005272A1" w:rsidRDefault="005272A1" w:rsidP="005272A1">
      <w:pPr>
        <w:jc w:val="both"/>
      </w:pPr>
    </w:p>
    <w:p w:rsidR="005272A1" w:rsidRPr="005272A1" w:rsidRDefault="005272A1" w:rsidP="005272A1">
      <w:pPr>
        <w:jc w:val="both"/>
      </w:pPr>
      <w:r w:rsidRPr="005272A1">
        <w:t>The Statement of Accounts aims to provide information so that members of the public, including electors and residents of Surrey, partners and stakeholders can:</w:t>
      </w:r>
    </w:p>
    <w:p w:rsidR="005272A1" w:rsidRPr="005272A1" w:rsidRDefault="005272A1" w:rsidP="005272A1">
      <w:pPr>
        <w:jc w:val="both"/>
      </w:pPr>
    </w:p>
    <w:p w:rsidR="005272A1" w:rsidRPr="00A200D5" w:rsidRDefault="005272A1" w:rsidP="005272A1">
      <w:pPr>
        <w:pStyle w:val="ListParagraph"/>
        <w:numPr>
          <w:ilvl w:val="0"/>
          <w:numId w:val="31"/>
        </w:numPr>
        <w:jc w:val="both"/>
        <w:rPr>
          <w:sz w:val="22"/>
        </w:rPr>
      </w:pPr>
      <w:r w:rsidRPr="00A200D5">
        <w:rPr>
          <w:sz w:val="22"/>
        </w:rPr>
        <w:t>Understand the overarching financial position of the PCC (and the ‘PCC Group’ including Surrey Police);</w:t>
      </w:r>
    </w:p>
    <w:p w:rsidR="005272A1" w:rsidRPr="00A200D5" w:rsidRDefault="005272A1" w:rsidP="005272A1">
      <w:pPr>
        <w:pStyle w:val="ListParagraph"/>
        <w:numPr>
          <w:ilvl w:val="0"/>
          <w:numId w:val="31"/>
        </w:numPr>
        <w:jc w:val="both"/>
        <w:rPr>
          <w:sz w:val="22"/>
        </w:rPr>
      </w:pPr>
      <w:r w:rsidRPr="00A200D5">
        <w:rPr>
          <w:sz w:val="22"/>
        </w:rPr>
        <w:t>Have confidence that the PCC has spent public money wisely and has been accounted for in an appropriate manner;</w:t>
      </w:r>
    </w:p>
    <w:p w:rsidR="005272A1" w:rsidRPr="00A200D5" w:rsidRDefault="005272A1" w:rsidP="005272A1">
      <w:pPr>
        <w:pStyle w:val="ListParagraph"/>
        <w:numPr>
          <w:ilvl w:val="0"/>
          <w:numId w:val="31"/>
        </w:numPr>
        <w:jc w:val="both"/>
        <w:rPr>
          <w:sz w:val="22"/>
        </w:rPr>
      </w:pPr>
      <w:r w:rsidRPr="00A200D5">
        <w:rPr>
          <w:sz w:val="22"/>
        </w:rPr>
        <w:t>Be assured that the financial position of the PCC (and Group) is sound and secure</w:t>
      </w:r>
    </w:p>
    <w:p w:rsidR="005272A1" w:rsidRPr="005272A1" w:rsidRDefault="005272A1" w:rsidP="005272A1">
      <w:pPr>
        <w:jc w:val="both"/>
      </w:pPr>
    </w:p>
    <w:p w:rsidR="005272A1" w:rsidRPr="005272A1" w:rsidRDefault="005272A1" w:rsidP="005272A1">
      <w:pPr>
        <w:jc w:val="both"/>
      </w:pPr>
      <w:r w:rsidRPr="005272A1">
        <w:t>The style and format of the accounts complies with CIPFA standards and is similar to that of previous years. The information contained within these accounts is presented as simply and clearly as possible, but by their nature are both technical and complex.</w:t>
      </w:r>
    </w:p>
    <w:p w:rsidR="005272A1" w:rsidRPr="005272A1" w:rsidRDefault="005272A1" w:rsidP="005272A1">
      <w:pPr>
        <w:jc w:val="both"/>
      </w:pPr>
    </w:p>
    <w:p w:rsidR="005272A1" w:rsidRPr="005272A1" w:rsidRDefault="005272A1" w:rsidP="005272A1">
      <w:pPr>
        <w:jc w:val="both"/>
      </w:pPr>
      <w:r w:rsidRPr="005272A1">
        <w:t>This narrative report aims to help readers better understand the role of the PCC, and to assist in understanding and interpreting the accounts through an explanation and overview of the financial performance and activities during 2019/20.</w:t>
      </w:r>
    </w:p>
    <w:p w:rsidR="005272A1" w:rsidRDefault="005272A1" w:rsidP="000D6EF8">
      <w:r w:rsidRPr="00270F67" w:rsidDel="005272A1">
        <w:t xml:space="preserve"> </w:t>
      </w: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Explanation of the PCC and Group</w:t>
      </w:r>
    </w:p>
    <w:p w:rsidR="005272A1" w:rsidRDefault="005272A1" w:rsidP="005272A1">
      <w:pPr>
        <w:pStyle w:val="Style1"/>
        <w:ind w:left="360" w:firstLine="0"/>
        <w:rPr>
          <w:rFonts w:ascii="Verdana" w:hAnsi="Verdana"/>
          <w:sz w:val="22"/>
          <w:szCs w:val="22"/>
        </w:rPr>
      </w:pPr>
    </w:p>
    <w:p w:rsidR="005272A1" w:rsidRDefault="005272A1" w:rsidP="005272A1">
      <w:pPr>
        <w:jc w:val="both"/>
      </w:pPr>
      <w:r>
        <w:t>The Police &amp; Crime Commissioner (PCC) and the Chief Constable are established as separate legal entities or “Corporation Sole” bodies.</w:t>
      </w:r>
    </w:p>
    <w:p w:rsidR="005272A1" w:rsidRDefault="005272A1" w:rsidP="005272A1">
      <w:pPr>
        <w:jc w:val="both"/>
      </w:pPr>
    </w:p>
    <w:p w:rsidR="005272A1" w:rsidRDefault="005272A1" w:rsidP="005272A1">
      <w:pPr>
        <w:jc w:val="both"/>
      </w:pPr>
      <w:r>
        <w:t>The PCC is elected by the public every four years to secure the maintenance of an efficient and effective police force and to hold the chief constable to account for the exercise of his functions and those of persons under his direction and control (it should be noted that due to the current Covid-19 pandemic, the PCC elections scheduled for May 2020 have been postponed until May 2021, thus extending the current term of the PCC to 5 years).</w:t>
      </w:r>
    </w:p>
    <w:p w:rsidR="005272A1" w:rsidRDefault="005272A1" w:rsidP="005272A1">
      <w:pPr>
        <w:jc w:val="both"/>
      </w:pPr>
    </w:p>
    <w:p w:rsidR="005272A1" w:rsidRDefault="005272A1" w:rsidP="005272A1">
      <w:pPr>
        <w:jc w:val="both"/>
      </w:pPr>
      <w:r>
        <w:t>The Chief Constable has a statutory responsibility for the control, direction and delivery of operational policing services in the Surrey Police area.</w:t>
      </w:r>
    </w:p>
    <w:p w:rsidR="005272A1" w:rsidRDefault="005272A1" w:rsidP="005272A1">
      <w:pPr>
        <w:jc w:val="both"/>
      </w:pPr>
    </w:p>
    <w:p w:rsidR="005272A1" w:rsidRDefault="005272A1">
      <w:pPr>
        <w:jc w:val="both"/>
      </w:pPr>
      <w:r>
        <w:t>This set of accounts focuses on those discrete activities which the PCC is directly responsible for, such as commissioning services for victims and witnesses of crime, as well as the “PCC Group” which includes all aspects of operational policing under the direction and control of the Chief Constable.</w:t>
      </w:r>
    </w:p>
    <w:p w:rsidR="005272A1" w:rsidRDefault="005272A1">
      <w:pPr>
        <w:jc w:val="both"/>
      </w:pPr>
    </w:p>
    <w:p w:rsidR="005272A1" w:rsidRDefault="005272A1">
      <w:pPr>
        <w:jc w:val="both"/>
      </w:pPr>
      <w:r>
        <w:t>The Chief Constable has produced a separate set of accounts which explains how the resources provided by the PCC have been used to deliver operational policing services.</w:t>
      </w:r>
    </w:p>
    <w:p w:rsidR="005272A1" w:rsidRDefault="005272A1">
      <w:pPr>
        <w:jc w:val="both"/>
      </w:pPr>
    </w:p>
    <w:p w:rsidR="005272A1" w:rsidRDefault="005272A1">
      <w:pPr>
        <w:jc w:val="both"/>
      </w:pPr>
      <w:r>
        <w:t>The Net Revenue Budget for the Group for 2019/20 was £234 million, of which £2.1 million was under the PCC’s direct control.</w:t>
      </w:r>
    </w:p>
    <w:p w:rsidR="005272A1" w:rsidRDefault="005272A1" w:rsidP="005272A1">
      <w:pPr>
        <w:jc w:val="both"/>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Introduction to Surrey</w:t>
      </w:r>
    </w:p>
    <w:p w:rsidR="005272A1" w:rsidRDefault="005272A1" w:rsidP="005272A1">
      <w:pPr>
        <w:pStyle w:val="Style1"/>
        <w:ind w:left="360" w:firstLine="0"/>
        <w:rPr>
          <w:rFonts w:ascii="Verdana" w:hAnsi="Verdana"/>
          <w:sz w:val="22"/>
          <w:szCs w:val="22"/>
        </w:rPr>
      </w:pPr>
    </w:p>
    <w:p w:rsidR="005272A1" w:rsidRDefault="005272A1" w:rsidP="005272A1">
      <w:pPr>
        <w:spacing w:after="150"/>
        <w:jc w:val="both"/>
      </w:pPr>
      <w:r>
        <w:t>Surrey is a county in the South East of England, covering 644 square-miles, with one county council, 11 boroughs/districts and 6 major hospitals with A&amp;E departments. It has 62 miles of motorway, including the busiest M25 stretch. Surrey’s rivers include the Thames (notable flooding risk); the county is 73% greenbelt. Surrey borders the UK’s busiest two airports. It is the most densely populated county in South East England with a population of 1.2 million. The Olympic legacy increased the sporting footprint, with national cycling competitions and the Epsom Derby which is the country’s largest one-day sporting event attracting over 100,000 racegoers each year.</w:t>
      </w:r>
    </w:p>
    <w:p w:rsidR="005272A1" w:rsidRDefault="005272A1" w:rsidP="005272A1">
      <w:pPr>
        <w:jc w:val="both"/>
      </w:pPr>
      <w:r>
        <w:t>The Constabulary delivers a number of services in collaboration with other Police Forces across the south of England. The PCC and Constabulary are also part of a joint working arrangement with Sussex PCC and Constabulary for the provision of professional support services including finance, human resources, facilities management, ICT and across all four organisations. Internal audit is provided in partnership with Hampshire County Council.</w:t>
      </w:r>
    </w:p>
    <w:p w:rsidR="005272A1" w:rsidRDefault="005272A1" w:rsidP="005272A1">
      <w:pPr>
        <w:jc w:val="both"/>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The Police and Crime Commissioner (PCC)</w:t>
      </w:r>
    </w:p>
    <w:p w:rsidR="005272A1" w:rsidRDefault="005272A1" w:rsidP="005272A1">
      <w:pPr>
        <w:jc w:val="both"/>
      </w:pPr>
    </w:p>
    <w:p w:rsidR="005272A1" w:rsidRPr="005272A1" w:rsidRDefault="005272A1" w:rsidP="005272A1">
      <w:pPr>
        <w:jc w:val="both"/>
      </w:pPr>
      <w:r>
        <w:t xml:space="preserve">The core functions of the PCC for Surrey are to secure the maintenance of the police force for the </w:t>
      </w:r>
      <w:r w:rsidRPr="005272A1">
        <w:t>area and to ensure that the police force is efficient and effective. Other key functions include:</w:t>
      </w:r>
    </w:p>
    <w:p w:rsidR="005272A1" w:rsidRPr="005272A1" w:rsidRDefault="005272A1" w:rsidP="005272A1">
      <w:pPr>
        <w:jc w:val="both"/>
      </w:pPr>
    </w:p>
    <w:p w:rsidR="005272A1" w:rsidRPr="00A200D5" w:rsidRDefault="005272A1" w:rsidP="005272A1">
      <w:pPr>
        <w:pStyle w:val="ListParagraph"/>
        <w:numPr>
          <w:ilvl w:val="0"/>
          <w:numId w:val="31"/>
        </w:numPr>
        <w:jc w:val="both"/>
        <w:rPr>
          <w:sz w:val="22"/>
        </w:rPr>
      </w:pPr>
      <w:r w:rsidRPr="00A200D5">
        <w:rPr>
          <w:sz w:val="22"/>
        </w:rPr>
        <w:t>Holding the Chief Constable to account</w:t>
      </w:r>
    </w:p>
    <w:p w:rsidR="005272A1" w:rsidRPr="00A200D5" w:rsidRDefault="005272A1" w:rsidP="005272A1">
      <w:pPr>
        <w:pStyle w:val="ListParagraph"/>
        <w:numPr>
          <w:ilvl w:val="0"/>
          <w:numId w:val="31"/>
        </w:numPr>
        <w:jc w:val="both"/>
        <w:rPr>
          <w:sz w:val="22"/>
        </w:rPr>
      </w:pPr>
      <w:r w:rsidRPr="00A200D5">
        <w:rPr>
          <w:sz w:val="22"/>
        </w:rPr>
        <w:t>Appointment / suspension / removal of the Chief Constable</w:t>
      </w:r>
    </w:p>
    <w:p w:rsidR="005272A1" w:rsidRPr="00A200D5" w:rsidRDefault="005272A1" w:rsidP="005272A1">
      <w:pPr>
        <w:pStyle w:val="ListParagraph"/>
        <w:numPr>
          <w:ilvl w:val="0"/>
          <w:numId w:val="31"/>
        </w:numPr>
        <w:jc w:val="both"/>
        <w:rPr>
          <w:sz w:val="22"/>
        </w:rPr>
      </w:pPr>
      <w:r w:rsidRPr="00A200D5">
        <w:rPr>
          <w:sz w:val="22"/>
        </w:rPr>
        <w:t>Setting the priorities for the Force and producing the Police and Crime Plan</w:t>
      </w:r>
    </w:p>
    <w:p w:rsidR="005272A1" w:rsidRPr="00A200D5" w:rsidRDefault="005272A1" w:rsidP="005272A1">
      <w:pPr>
        <w:pStyle w:val="ListParagraph"/>
        <w:numPr>
          <w:ilvl w:val="0"/>
          <w:numId w:val="31"/>
        </w:numPr>
        <w:jc w:val="both"/>
        <w:rPr>
          <w:sz w:val="22"/>
        </w:rPr>
      </w:pPr>
      <w:r w:rsidRPr="00A200D5">
        <w:rPr>
          <w:sz w:val="22"/>
        </w:rPr>
        <w:t>Attending the Police and Crime Panel</w:t>
      </w:r>
    </w:p>
    <w:p w:rsidR="005272A1" w:rsidRPr="00A200D5" w:rsidRDefault="005272A1" w:rsidP="005272A1">
      <w:pPr>
        <w:pStyle w:val="ListParagraph"/>
        <w:numPr>
          <w:ilvl w:val="0"/>
          <w:numId w:val="31"/>
        </w:numPr>
        <w:jc w:val="both"/>
        <w:rPr>
          <w:sz w:val="22"/>
        </w:rPr>
      </w:pPr>
      <w:r w:rsidRPr="00A200D5">
        <w:rPr>
          <w:sz w:val="22"/>
        </w:rPr>
        <w:t>Setting of the annual budget and Council Tax precept</w:t>
      </w:r>
    </w:p>
    <w:p w:rsidR="005272A1" w:rsidRPr="00A200D5" w:rsidRDefault="005272A1" w:rsidP="005272A1">
      <w:pPr>
        <w:pStyle w:val="ListParagraph"/>
        <w:numPr>
          <w:ilvl w:val="0"/>
          <w:numId w:val="31"/>
        </w:numPr>
        <w:jc w:val="both"/>
        <w:rPr>
          <w:sz w:val="22"/>
        </w:rPr>
      </w:pPr>
      <w:r w:rsidRPr="00A200D5">
        <w:rPr>
          <w:sz w:val="22"/>
        </w:rPr>
        <w:t>Direct engagement with the public</w:t>
      </w:r>
    </w:p>
    <w:p w:rsidR="005272A1" w:rsidRPr="00A200D5" w:rsidRDefault="005272A1" w:rsidP="005272A1">
      <w:pPr>
        <w:pStyle w:val="ListParagraph"/>
        <w:numPr>
          <w:ilvl w:val="0"/>
          <w:numId w:val="31"/>
        </w:numPr>
        <w:jc w:val="both"/>
        <w:rPr>
          <w:sz w:val="22"/>
        </w:rPr>
      </w:pPr>
      <w:r w:rsidRPr="00A200D5">
        <w:rPr>
          <w:sz w:val="22"/>
        </w:rPr>
        <w:t>Publishing an annual report stating how priorities and targets have been met, and other information as specified by the Secretary of State to enable greater public awareness of police and crime performance in the area</w:t>
      </w:r>
    </w:p>
    <w:p w:rsidR="005272A1" w:rsidRPr="00A200D5" w:rsidRDefault="005272A1" w:rsidP="005272A1">
      <w:pPr>
        <w:pStyle w:val="ListParagraph"/>
        <w:numPr>
          <w:ilvl w:val="0"/>
          <w:numId w:val="31"/>
        </w:numPr>
        <w:jc w:val="both"/>
        <w:rPr>
          <w:sz w:val="22"/>
        </w:rPr>
      </w:pPr>
      <w:r w:rsidRPr="00A200D5">
        <w:rPr>
          <w:sz w:val="22"/>
        </w:rPr>
        <w:t>Collaborating for an efficient and effective Criminal Justice System for Surrey with partners such as the Youth Offending Team, Crown Prosecution Service and Prison Service etc.</w:t>
      </w:r>
    </w:p>
    <w:p w:rsidR="005272A1" w:rsidRPr="005272A1" w:rsidRDefault="005272A1" w:rsidP="005272A1">
      <w:pPr>
        <w:jc w:val="both"/>
      </w:pPr>
    </w:p>
    <w:p w:rsidR="005272A1" w:rsidRPr="005272A1" w:rsidRDefault="005272A1" w:rsidP="005272A1">
      <w:pPr>
        <w:jc w:val="both"/>
      </w:pPr>
      <w:r w:rsidRPr="005272A1">
        <w:t>The Commissioner is ultimately accountable to the electorate via the ballot box. A Police and Crime Panel (PCP) is also established under the Police Reform and Social Responsibility Act 2011 and is charged with scrutinising and supporting the work of the Commissioner. The Panel, however, cannot hold the Chief Constable to account.</w:t>
      </w:r>
    </w:p>
    <w:p w:rsidR="005272A1" w:rsidRPr="005272A1" w:rsidRDefault="005272A1" w:rsidP="005272A1">
      <w:pPr>
        <w:jc w:val="both"/>
      </w:pPr>
    </w:p>
    <w:p w:rsidR="005272A1" w:rsidRPr="005272A1" w:rsidRDefault="005272A1" w:rsidP="005272A1">
      <w:pPr>
        <w:jc w:val="both"/>
      </w:pPr>
      <w:r w:rsidRPr="005272A1">
        <w:lastRenderedPageBreak/>
        <w:t>The PCP’s core functions include:</w:t>
      </w:r>
    </w:p>
    <w:p w:rsidR="005272A1" w:rsidRPr="005272A1" w:rsidRDefault="005272A1" w:rsidP="005272A1">
      <w:pPr>
        <w:jc w:val="both"/>
      </w:pPr>
    </w:p>
    <w:p w:rsidR="005272A1" w:rsidRPr="00A200D5" w:rsidRDefault="005272A1" w:rsidP="005272A1">
      <w:pPr>
        <w:pStyle w:val="ListParagraph"/>
        <w:numPr>
          <w:ilvl w:val="0"/>
          <w:numId w:val="31"/>
        </w:numPr>
        <w:jc w:val="both"/>
        <w:rPr>
          <w:sz w:val="22"/>
        </w:rPr>
      </w:pPr>
      <w:r w:rsidRPr="00A200D5">
        <w:rPr>
          <w:sz w:val="22"/>
        </w:rPr>
        <w:t>To review the draft Police and Crime Plan</w:t>
      </w:r>
    </w:p>
    <w:p w:rsidR="005272A1" w:rsidRPr="00A200D5" w:rsidRDefault="005272A1" w:rsidP="005272A1">
      <w:pPr>
        <w:pStyle w:val="ListParagraph"/>
        <w:numPr>
          <w:ilvl w:val="0"/>
          <w:numId w:val="31"/>
        </w:numPr>
        <w:jc w:val="both"/>
        <w:rPr>
          <w:sz w:val="22"/>
        </w:rPr>
      </w:pPr>
      <w:r w:rsidRPr="00A200D5">
        <w:rPr>
          <w:sz w:val="22"/>
        </w:rPr>
        <w:t>To publicly scrutinise the Commissioner's Annual Report</w:t>
      </w:r>
    </w:p>
    <w:p w:rsidR="005272A1" w:rsidRPr="00A200D5" w:rsidRDefault="005272A1" w:rsidP="005272A1">
      <w:pPr>
        <w:pStyle w:val="ListParagraph"/>
        <w:numPr>
          <w:ilvl w:val="0"/>
          <w:numId w:val="31"/>
        </w:numPr>
        <w:jc w:val="both"/>
        <w:rPr>
          <w:sz w:val="22"/>
        </w:rPr>
      </w:pPr>
      <w:r w:rsidRPr="00A200D5">
        <w:rPr>
          <w:sz w:val="22"/>
        </w:rPr>
        <w:t>To review and scrutinise decisions and actions of the Commissioner</w:t>
      </w:r>
    </w:p>
    <w:p w:rsidR="005272A1" w:rsidRPr="00A200D5" w:rsidRDefault="005272A1" w:rsidP="005272A1">
      <w:pPr>
        <w:pStyle w:val="ListParagraph"/>
        <w:numPr>
          <w:ilvl w:val="0"/>
          <w:numId w:val="33"/>
        </w:numPr>
        <w:jc w:val="both"/>
        <w:rPr>
          <w:sz w:val="22"/>
        </w:rPr>
      </w:pPr>
      <w:r w:rsidRPr="00A200D5">
        <w:rPr>
          <w:sz w:val="22"/>
        </w:rPr>
        <w:t>To review and have the power to veto the Commissioner's proposed Council Tax precept levels</w:t>
      </w:r>
    </w:p>
    <w:p w:rsidR="005272A1" w:rsidRPr="00A200D5" w:rsidRDefault="005272A1" w:rsidP="005272A1">
      <w:pPr>
        <w:pStyle w:val="ListParagraph"/>
        <w:numPr>
          <w:ilvl w:val="0"/>
          <w:numId w:val="33"/>
        </w:numPr>
        <w:jc w:val="both"/>
        <w:rPr>
          <w:sz w:val="22"/>
        </w:rPr>
      </w:pPr>
      <w:r w:rsidRPr="00A200D5">
        <w:rPr>
          <w:sz w:val="22"/>
        </w:rPr>
        <w:t>To review the Commissioner’s Conduct – the PCP can suspend the Commissioner if he is charged with a minimum of a 2-year imprisonable offence and report to the Independent Police Complaints Commission, however they cannot remove the Commissioner</w:t>
      </w:r>
    </w:p>
    <w:p w:rsidR="005272A1" w:rsidRPr="00A200D5" w:rsidRDefault="005272A1" w:rsidP="005272A1">
      <w:pPr>
        <w:pStyle w:val="ListParagraph"/>
        <w:numPr>
          <w:ilvl w:val="0"/>
          <w:numId w:val="33"/>
        </w:numPr>
        <w:jc w:val="both"/>
        <w:rPr>
          <w:sz w:val="22"/>
        </w:rPr>
      </w:pPr>
      <w:r w:rsidRPr="00A200D5">
        <w:rPr>
          <w:sz w:val="22"/>
        </w:rPr>
        <w:t>To confirm the Chief Constable’s appointment</w:t>
      </w:r>
    </w:p>
    <w:p w:rsidR="005272A1" w:rsidRPr="00A200D5" w:rsidRDefault="005272A1" w:rsidP="005272A1">
      <w:pPr>
        <w:pStyle w:val="ListParagraph"/>
        <w:numPr>
          <w:ilvl w:val="0"/>
          <w:numId w:val="33"/>
        </w:numPr>
        <w:jc w:val="both"/>
        <w:rPr>
          <w:sz w:val="22"/>
        </w:rPr>
      </w:pPr>
      <w:r w:rsidRPr="00A200D5">
        <w:rPr>
          <w:sz w:val="22"/>
        </w:rPr>
        <w:t>To appoint an acting Commissioner, if required.</w:t>
      </w:r>
    </w:p>
    <w:p w:rsidR="005272A1" w:rsidRPr="005272A1" w:rsidRDefault="005272A1" w:rsidP="005272A1">
      <w:pPr>
        <w:jc w:val="both"/>
      </w:pPr>
    </w:p>
    <w:p w:rsidR="005272A1" w:rsidRPr="005272A1" w:rsidRDefault="005272A1" w:rsidP="005272A1">
      <w:pPr>
        <w:jc w:val="both"/>
      </w:pPr>
      <w:r w:rsidRPr="005272A1">
        <w:t xml:space="preserve">The Police and Crime Panel work have set up a separate Finance Group to review the budget prior to precept setting.  </w:t>
      </w:r>
    </w:p>
    <w:p w:rsidR="005272A1" w:rsidRPr="005272A1" w:rsidRDefault="005272A1" w:rsidP="005272A1">
      <w:pPr>
        <w:jc w:val="both"/>
      </w:pPr>
    </w:p>
    <w:p w:rsidR="005272A1" w:rsidRPr="005272A1" w:rsidRDefault="005272A1" w:rsidP="005272A1">
      <w:pPr>
        <w:jc w:val="both"/>
      </w:pPr>
      <w:r>
        <w:t xml:space="preserve">The PCC has established a Joint Audit Committee with the Chief Constable. Its purpose is to provide independent advice on the adequacy of the corporate governance and risk management arrangements in place and the associated control environment, advising according to good </w:t>
      </w:r>
      <w:r w:rsidRPr="005272A1">
        <w:t>governance principles and proper practices. More specifically, this includes the following terms of reference:-</w:t>
      </w:r>
    </w:p>
    <w:p w:rsidR="005272A1" w:rsidRPr="005272A1" w:rsidRDefault="005272A1" w:rsidP="005272A1">
      <w:pPr>
        <w:jc w:val="both"/>
      </w:pPr>
    </w:p>
    <w:p w:rsidR="005272A1" w:rsidRPr="00A200D5" w:rsidRDefault="005272A1" w:rsidP="005272A1">
      <w:pPr>
        <w:pStyle w:val="ListParagraph"/>
        <w:numPr>
          <w:ilvl w:val="0"/>
          <w:numId w:val="34"/>
        </w:numPr>
        <w:jc w:val="both"/>
        <w:rPr>
          <w:sz w:val="22"/>
        </w:rPr>
      </w:pPr>
      <w:r w:rsidRPr="00A200D5">
        <w:rPr>
          <w:sz w:val="22"/>
        </w:rPr>
        <w:t>Review the corporate governance arrangements against the good governance framework and consider annual governance reports and assurances</w:t>
      </w:r>
    </w:p>
    <w:p w:rsidR="005272A1" w:rsidRPr="00A200D5" w:rsidRDefault="005272A1" w:rsidP="005272A1">
      <w:pPr>
        <w:pStyle w:val="ListParagraph"/>
        <w:numPr>
          <w:ilvl w:val="0"/>
          <w:numId w:val="34"/>
        </w:numPr>
        <w:jc w:val="both"/>
        <w:rPr>
          <w:sz w:val="22"/>
        </w:rPr>
      </w:pPr>
      <w:r w:rsidRPr="00A200D5">
        <w:rPr>
          <w:sz w:val="22"/>
        </w:rPr>
        <w:t>Review the Annual Governance Statements (AGS) prior to approval and consider whether they properly reflect the governance, risk and control environment and supporting assurances and identify any actions required for improvement</w:t>
      </w:r>
    </w:p>
    <w:p w:rsidR="005272A1" w:rsidRPr="00A200D5" w:rsidRDefault="005272A1" w:rsidP="005272A1">
      <w:pPr>
        <w:pStyle w:val="ListParagraph"/>
        <w:numPr>
          <w:ilvl w:val="0"/>
          <w:numId w:val="34"/>
        </w:numPr>
        <w:jc w:val="both"/>
        <w:rPr>
          <w:sz w:val="22"/>
        </w:rPr>
      </w:pPr>
      <w:r w:rsidRPr="00A200D5">
        <w:rPr>
          <w:sz w:val="22"/>
        </w:rPr>
        <w:t>Consider the arrangements to secure value for money and review assurances and assessments on the effectiveness of these arrangements</w:t>
      </w:r>
    </w:p>
    <w:p w:rsidR="005272A1" w:rsidRPr="00A200D5" w:rsidRDefault="005272A1" w:rsidP="005272A1">
      <w:pPr>
        <w:pStyle w:val="ListParagraph"/>
        <w:numPr>
          <w:ilvl w:val="0"/>
          <w:numId w:val="34"/>
        </w:numPr>
        <w:jc w:val="both"/>
        <w:rPr>
          <w:sz w:val="22"/>
        </w:rPr>
      </w:pPr>
      <w:r w:rsidRPr="00A200D5">
        <w:rPr>
          <w:sz w:val="22"/>
        </w:rPr>
        <w:t>Consider the framework of assurance and ensure that it adequately addresses the risks and priorities of the OPCC and the SC</w:t>
      </w:r>
    </w:p>
    <w:p w:rsidR="005272A1" w:rsidRPr="00A200D5" w:rsidRDefault="005272A1" w:rsidP="005272A1">
      <w:pPr>
        <w:pStyle w:val="ListParagraph"/>
        <w:numPr>
          <w:ilvl w:val="0"/>
          <w:numId w:val="34"/>
        </w:numPr>
        <w:jc w:val="both"/>
        <w:rPr>
          <w:sz w:val="22"/>
        </w:rPr>
      </w:pPr>
      <w:r w:rsidRPr="00A200D5">
        <w:rPr>
          <w:sz w:val="22"/>
        </w:rPr>
        <w:t>Monitor the effective development and operation of risk management, review the risk profile, and monitor progress of the PCC and the CC in addressing risk-related issues reported to them</w:t>
      </w:r>
    </w:p>
    <w:p w:rsidR="005272A1" w:rsidRPr="00A200D5" w:rsidRDefault="005272A1" w:rsidP="005272A1">
      <w:pPr>
        <w:pStyle w:val="ListParagraph"/>
        <w:numPr>
          <w:ilvl w:val="0"/>
          <w:numId w:val="34"/>
        </w:numPr>
        <w:jc w:val="both"/>
        <w:rPr>
          <w:sz w:val="22"/>
        </w:rPr>
      </w:pPr>
      <w:r w:rsidRPr="00A200D5">
        <w:rPr>
          <w:sz w:val="22"/>
        </w:rPr>
        <w:t>Consider reports on the effectiveness of internal controls and monitor the implementation of agreed actions</w:t>
      </w:r>
    </w:p>
    <w:p w:rsidR="005272A1" w:rsidRPr="00A200D5" w:rsidRDefault="005272A1" w:rsidP="005272A1">
      <w:pPr>
        <w:pStyle w:val="ListParagraph"/>
        <w:numPr>
          <w:ilvl w:val="0"/>
          <w:numId w:val="34"/>
        </w:numPr>
        <w:jc w:val="both"/>
        <w:rPr>
          <w:sz w:val="22"/>
        </w:rPr>
      </w:pPr>
      <w:r w:rsidRPr="00A200D5">
        <w:rPr>
          <w:sz w:val="22"/>
        </w:rPr>
        <w:t>Review anti-fraud arrangements (including whistleblowing procedures) and the assessment of fraud risks and potential harm from fraud and corruption and monitor the effectiveness of the counter-fraud strategy actions and resources</w:t>
      </w:r>
    </w:p>
    <w:p w:rsidR="005272A1" w:rsidRPr="00A200D5" w:rsidRDefault="005272A1" w:rsidP="005272A1">
      <w:pPr>
        <w:pStyle w:val="ListParagraph"/>
        <w:numPr>
          <w:ilvl w:val="0"/>
          <w:numId w:val="34"/>
        </w:numPr>
        <w:jc w:val="both"/>
        <w:rPr>
          <w:sz w:val="22"/>
        </w:rPr>
      </w:pPr>
      <w:r w:rsidRPr="00A200D5">
        <w:rPr>
          <w:sz w:val="22"/>
        </w:rPr>
        <w:t>Further consideration and advice in relation to Internal Audit, External Audit, Financial Reporting, Partnership Governance and Accountability Arrangements.</w:t>
      </w:r>
    </w:p>
    <w:p w:rsidR="005272A1" w:rsidRPr="005272A1" w:rsidRDefault="005272A1">
      <w:pPr>
        <w:jc w:val="both"/>
      </w:pPr>
    </w:p>
    <w:p w:rsidR="005272A1" w:rsidRPr="005272A1" w:rsidRDefault="005272A1" w:rsidP="00A200D5">
      <w:pPr>
        <w:autoSpaceDE w:val="0"/>
        <w:autoSpaceDN w:val="0"/>
        <w:adjustRightInd w:val="0"/>
        <w:jc w:val="both"/>
        <w:rPr>
          <w:rFonts w:cs="Arial"/>
          <w:color w:val="000000"/>
        </w:rPr>
      </w:pPr>
      <w:r w:rsidRPr="005272A1">
        <w:rPr>
          <w:rFonts w:cs="Arial"/>
          <w:color w:val="000000"/>
        </w:rPr>
        <w:t>The Police and Crime Plan</w:t>
      </w:r>
      <w:r w:rsidR="002A3942">
        <w:rPr>
          <w:rFonts w:cs="Arial"/>
          <w:color w:val="000000"/>
        </w:rPr>
        <w:t xml:space="preserve"> </w:t>
      </w:r>
      <w:r w:rsidRPr="005272A1">
        <w:rPr>
          <w:rFonts w:cs="Arial"/>
          <w:color w:val="000000"/>
        </w:rPr>
        <w:t>sets out the Commissioner’s vision and priorities for policing and community safety across Surrey and is available in full on the OPCC website. It has 6 themes as follows:</w:t>
      </w:r>
    </w:p>
    <w:p w:rsidR="005272A1" w:rsidRPr="005272A1" w:rsidRDefault="005272A1" w:rsidP="00A200D5">
      <w:pPr>
        <w:autoSpaceDE w:val="0"/>
        <w:autoSpaceDN w:val="0"/>
        <w:adjustRightInd w:val="0"/>
        <w:jc w:val="both"/>
        <w:rPr>
          <w:rFonts w:cs="Arial"/>
          <w:color w:val="000000"/>
        </w:rPr>
      </w:pPr>
    </w:p>
    <w:p w:rsidR="005272A1" w:rsidRPr="00A200D5" w:rsidRDefault="005272A1" w:rsidP="005272A1">
      <w:pPr>
        <w:pStyle w:val="ListParagraph"/>
        <w:numPr>
          <w:ilvl w:val="0"/>
          <w:numId w:val="35"/>
        </w:numPr>
        <w:autoSpaceDE w:val="0"/>
        <w:autoSpaceDN w:val="0"/>
        <w:adjustRightInd w:val="0"/>
        <w:rPr>
          <w:color w:val="000000"/>
          <w:sz w:val="22"/>
        </w:rPr>
      </w:pPr>
      <w:r w:rsidRPr="00A200D5">
        <w:rPr>
          <w:color w:val="000000"/>
          <w:sz w:val="22"/>
        </w:rPr>
        <w:t>Cutting Crime and Keeping Surrey Safe</w:t>
      </w:r>
    </w:p>
    <w:p w:rsidR="005272A1" w:rsidRPr="00A200D5" w:rsidRDefault="005272A1" w:rsidP="005272A1">
      <w:pPr>
        <w:pStyle w:val="ListParagraph"/>
        <w:numPr>
          <w:ilvl w:val="0"/>
          <w:numId w:val="35"/>
        </w:numPr>
        <w:autoSpaceDE w:val="0"/>
        <w:autoSpaceDN w:val="0"/>
        <w:adjustRightInd w:val="0"/>
        <w:rPr>
          <w:color w:val="000000"/>
          <w:sz w:val="22"/>
        </w:rPr>
      </w:pPr>
      <w:r w:rsidRPr="00A200D5">
        <w:rPr>
          <w:color w:val="000000"/>
          <w:sz w:val="22"/>
        </w:rPr>
        <w:t>Building Confident Communities</w:t>
      </w:r>
    </w:p>
    <w:p w:rsidR="005272A1" w:rsidRPr="00A200D5" w:rsidRDefault="005272A1" w:rsidP="005272A1">
      <w:pPr>
        <w:pStyle w:val="ListParagraph"/>
        <w:numPr>
          <w:ilvl w:val="0"/>
          <w:numId w:val="35"/>
        </w:numPr>
        <w:autoSpaceDE w:val="0"/>
        <w:autoSpaceDN w:val="0"/>
        <w:adjustRightInd w:val="0"/>
        <w:rPr>
          <w:color w:val="000000"/>
          <w:sz w:val="22"/>
        </w:rPr>
      </w:pPr>
      <w:r w:rsidRPr="00A200D5">
        <w:rPr>
          <w:color w:val="000000"/>
          <w:sz w:val="22"/>
        </w:rPr>
        <w:t>Supporting Victims</w:t>
      </w:r>
    </w:p>
    <w:p w:rsidR="005272A1" w:rsidRPr="00A200D5" w:rsidRDefault="005272A1" w:rsidP="005272A1">
      <w:pPr>
        <w:pStyle w:val="ListParagraph"/>
        <w:numPr>
          <w:ilvl w:val="0"/>
          <w:numId w:val="35"/>
        </w:numPr>
        <w:autoSpaceDE w:val="0"/>
        <w:autoSpaceDN w:val="0"/>
        <w:adjustRightInd w:val="0"/>
        <w:rPr>
          <w:color w:val="000000"/>
          <w:sz w:val="22"/>
        </w:rPr>
      </w:pPr>
      <w:r w:rsidRPr="00A200D5">
        <w:rPr>
          <w:color w:val="000000"/>
          <w:sz w:val="22"/>
        </w:rPr>
        <w:t>Preventing Harm</w:t>
      </w:r>
    </w:p>
    <w:p w:rsidR="005272A1" w:rsidRPr="00A200D5" w:rsidRDefault="005272A1" w:rsidP="005272A1">
      <w:pPr>
        <w:pStyle w:val="ListParagraph"/>
        <w:numPr>
          <w:ilvl w:val="0"/>
          <w:numId w:val="35"/>
        </w:numPr>
        <w:autoSpaceDE w:val="0"/>
        <w:autoSpaceDN w:val="0"/>
        <w:adjustRightInd w:val="0"/>
        <w:rPr>
          <w:color w:val="000000"/>
          <w:sz w:val="22"/>
        </w:rPr>
      </w:pPr>
      <w:r w:rsidRPr="00A200D5">
        <w:rPr>
          <w:color w:val="000000"/>
          <w:sz w:val="22"/>
        </w:rPr>
        <w:t>Making Every Pound Count</w:t>
      </w:r>
    </w:p>
    <w:p w:rsidR="005272A1" w:rsidRPr="00A200D5" w:rsidRDefault="005272A1" w:rsidP="005272A1">
      <w:pPr>
        <w:pStyle w:val="ListParagraph"/>
        <w:numPr>
          <w:ilvl w:val="0"/>
          <w:numId w:val="35"/>
        </w:numPr>
        <w:autoSpaceDE w:val="0"/>
        <w:autoSpaceDN w:val="0"/>
        <w:adjustRightInd w:val="0"/>
        <w:rPr>
          <w:color w:val="000000"/>
          <w:sz w:val="22"/>
        </w:rPr>
      </w:pPr>
      <w:r w:rsidRPr="00A200D5">
        <w:rPr>
          <w:color w:val="000000"/>
          <w:sz w:val="22"/>
        </w:rPr>
        <w:t>A Force Fit for the Future</w:t>
      </w:r>
    </w:p>
    <w:p w:rsidR="005272A1" w:rsidRPr="005272A1" w:rsidRDefault="005272A1" w:rsidP="005272A1">
      <w:pPr>
        <w:autoSpaceDE w:val="0"/>
        <w:autoSpaceDN w:val="0"/>
        <w:adjustRightInd w:val="0"/>
        <w:rPr>
          <w:rFonts w:cs="Arial"/>
          <w:color w:val="000000"/>
        </w:rPr>
      </w:pPr>
    </w:p>
    <w:p w:rsidR="00EB075B" w:rsidRDefault="005272A1" w:rsidP="00A200D5">
      <w:pPr>
        <w:autoSpaceDE w:val="0"/>
        <w:autoSpaceDN w:val="0"/>
        <w:adjustRightInd w:val="0"/>
        <w:jc w:val="both"/>
        <w:rPr>
          <w:rFonts w:cs="Arial"/>
          <w:color w:val="000000"/>
        </w:rPr>
      </w:pPr>
      <w:r w:rsidRPr="005272A1">
        <w:rPr>
          <w:rFonts w:cs="Arial"/>
          <w:color w:val="000000"/>
        </w:rPr>
        <w:t xml:space="preserve">A full version can be found on the Surrey OPCC website at </w:t>
      </w:r>
      <w:hyperlink r:id="rId10" w:history="1">
        <w:r w:rsidR="00EB075B" w:rsidRPr="0087264B">
          <w:rPr>
            <w:rStyle w:val="Hyperlink"/>
            <w:rFonts w:cs="Arial"/>
          </w:rPr>
          <w:t>https://www.surrey-pcc.gov.uk/plan/</w:t>
        </w:r>
      </w:hyperlink>
    </w:p>
    <w:p w:rsidR="005272A1" w:rsidRPr="005272A1" w:rsidRDefault="005272A1" w:rsidP="00A200D5">
      <w:pPr>
        <w:autoSpaceDE w:val="0"/>
        <w:autoSpaceDN w:val="0"/>
        <w:adjustRightInd w:val="0"/>
        <w:jc w:val="both"/>
        <w:rPr>
          <w:rFonts w:cs="Arial"/>
          <w:color w:val="000000"/>
        </w:rPr>
      </w:pPr>
    </w:p>
    <w:p w:rsidR="005272A1" w:rsidRPr="005272A1" w:rsidRDefault="005272A1" w:rsidP="00A200D5">
      <w:pPr>
        <w:autoSpaceDE w:val="0"/>
        <w:autoSpaceDN w:val="0"/>
        <w:adjustRightInd w:val="0"/>
        <w:jc w:val="both"/>
        <w:rPr>
          <w:rFonts w:cs="Arial"/>
          <w:color w:val="000000"/>
        </w:rPr>
      </w:pPr>
      <w:r w:rsidRPr="005272A1">
        <w:rPr>
          <w:rFonts w:cs="Arial"/>
          <w:color w:val="000000"/>
        </w:rPr>
        <w:t>As set out earlier, due to the impact of Covid-19, the current term of office for the</w:t>
      </w:r>
      <w:r>
        <w:rPr>
          <w:rFonts w:cs="Arial"/>
          <w:color w:val="000000"/>
        </w:rPr>
        <w:t xml:space="preserve"> </w:t>
      </w:r>
      <w:r w:rsidRPr="005272A1">
        <w:rPr>
          <w:rFonts w:cs="Arial"/>
          <w:color w:val="000000"/>
        </w:rPr>
        <w:t>Commissioner has been extended through until May 2021. In light of this, the Commissioner has asked the Chief Constable to continue to concentrate on the exiting priorities with a particular emphasis on three areas:</w:t>
      </w:r>
    </w:p>
    <w:p w:rsidR="005272A1" w:rsidRPr="005272A1" w:rsidRDefault="005272A1" w:rsidP="005272A1">
      <w:pPr>
        <w:autoSpaceDE w:val="0"/>
        <w:autoSpaceDN w:val="0"/>
        <w:adjustRightInd w:val="0"/>
        <w:rPr>
          <w:rFonts w:cs="Arial"/>
          <w:color w:val="000000"/>
        </w:rPr>
      </w:pPr>
    </w:p>
    <w:p w:rsidR="005272A1" w:rsidRPr="00A200D5" w:rsidRDefault="005272A1" w:rsidP="005272A1">
      <w:pPr>
        <w:pStyle w:val="ListParagraph"/>
        <w:numPr>
          <w:ilvl w:val="0"/>
          <w:numId w:val="36"/>
        </w:numPr>
        <w:autoSpaceDE w:val="0"/>
        <w:autoSpaceDN w:val="0"/>
        <w:adjustRightInd w:val="0"/>
        <w:rPr>
          <w:color w:val="000000"/>
          <w:sz w:val="22"/>
        </w:rPr>
      </w:pPr>
      <w:r w:rsidRPr="00A200D5">
        <w:rPr>
          <w:color w:val="000000"/>
          <w:sz w:val="22"/>
        </w:rPr>
        <w:t xml:space="preserve">More Police Officers and Frontline Staff </w:t>
      </w:r>
    </w:p>
    <w:p w:rsidR="005272A1" w:rsidRPr="00A200D5" w:rsidRDefault="005272A1" w:rsidP="005272A1">
      <w:pPr>
        <w:pStyle w:val="ListParagraph"/>
        <w:numPr>
          <w:ilvl w:val="0"/>
          <w:numId w:val="36"/>
        </w:numPr>
        <w:autoSpaceDE w:val="0"/>
        <w:autoSpaceDN w:val="0"/>
        <w:adjustRightInd w:val="0"/>
        <w:rPr>
          <w:color w:val="000000"/>
          <w:sz w:val="22"/>
        </w:rPr>
      </w:pPr>
      <w:r w:rsidRPr="00A200D5">
        <w:rPr>
          <w:color w:val="000000"/>
          <w:sz w:val="22"/>
        </w:rPr>
        <w:t xml:space="preserve">Better Crime </w:t>
      </w:r>
    </w:p>
    <w:p w:rsidR="005272A1" w:rsidRPr="00A200D5" w:rsidRDefault="005272A1" w:rsidP="005272A1">
      <w:pPr>
        <w:pStyle w:val="ListParagraph"/>
        <w:numPr>
          <w:ilvl w:val="0"/>
          <w:numId w:val="36"/>
        </w:numPr>
        <w:autoSpaceDE w:val="0"/>
        <w:autoSpaceDN w:val="0"/>
        <w:adjustRightInd w:val="0"/>
        <w:rPr>
          <w:color w:val="000000"/>
          <w:sz w:val="22"/>
        </w:rPr>
      </w:pPr>
      <w:r w:rsidRPr="00A200D5">
        <w:rPr>
          <w:color w:val="000000"/>
          <w:sz w:val="22"/>
        </w:rPr>
        <w:t>More Crimes Solved</w:t>
      </w:r>
    </w:p>
    <w:p w:rsidR="005272A1" w:rsidRPr="00A200D5" w:rsidRDefault="005272A1" w:rsidP="00A200D5">
      <w:pPr>
        <w:pStyle w:val="ListParagraph"/>
        <w:numPr>
          <w:ilvl w:val="0"/>
          <w:numId w:val="0"/>
        </w:numPr>
        <w:autoSpaceDE w:val="0"/>
        <w:autoSpaceDN w:val="0"/>
        <w:adjustRightInd w:val="0"/>
        <w:ind w:left="357"/>
        <w:rPr>
          <w:color w:val="000000"/>
          <w:sz w:val="22"/>
        </w:rPr>
      </w:pPr>
    </w:p>
    <w:p w:rsidR="005272A1" w:rsidRPr="00A200D5" w:rsidRDefault="005272A1" w:rsidP="00A200D5">
      <w:pPr>
        <w:pStyle w:val="ListParagraph"/>
        <w:numPr>
          <w:ilvl w:val="0"/>
          <w:numId w:val="0"/>
        </w:numPr>
        <w:autoSpaceDE w:val="0"/>
        <w:autoSpaceDN w:val="0"/>
        <w:adjustRightInd w:val="0"/>
        <w:rPr>
          <w:color w:val="000000"/>
          <w:sz w:val="22"/>
        </w:rPr>
      </w:pPr>
      <w:r w:rsidRPr="00A200D5">
        <w:rPr>
          <w:color w:val="000000"/>
          <w:sz w:val="22"/>
        </w:rPr>
        <w:t>Again further details can be found on the Surrey OPCC website.</w:t>
      </w:r>
    </w:p>
    <w:p w:rsidR="005272A1" w:rsidRPr="005272A1" w:rsidRDefault="005272A1" w:rsidP="005272A1"/>
    <w:p w:rsidR="005272A1" w:rsidRPr="005272A1" w:rsidRDefault="005272A1" w:rsidP="005272A1">
      <w:pPr>
        <w:pStyle w:val="Style1"/>
        <w:numPr>
          <w:ilvl w:val="0"/>
          <w:numId w:val="32"/>
        </w:numPr>
        <w:ind w:left="360"/>
        <w:rPr>
          <w:rFonts w:ascii="Verdana" w:hAnsi="Verdana"/>
          <w:sz w:val="22"/>
          <w:szCs w:val="22"/>
        </w:rPr>
      </w:pPr>
      <w:r w:rsidRPr="005272A1">
        <w:rPr>
          <w:rFonts w:ascii="Verdana" w:hAnsi="Verdana"/>
          <w:sz w:val="22"/>
          <w:szCs w:val="22"/>
        </w:rPr>
        <w:t>Role of the Chief Finance Officer</w:t>
      </w:r>
    </w:p>
    <w:p w:rsidR="005272A1" w:rsidRPr="005272A1" w:rsidRDefault="005272A1" w:rsidP="005272A1"/>
    <w:p w:rsidR="005272A1" w:rsidRPr="005272A1" w:rsidRDefault="005272A1" w:rsidP="005272A1">
      <w:pPr>
        <w:jc w:val="both"/>
      </w:pPr>
      <w:r w:rsidRPr="005272A1">
        <w:t>The Chief Finance Officer is the professional adviser on financial matters to the PCC. The Chief Finance Officer has</w:t>
      </w:r>
      <w:r>
        <w:t xml:space="preserve"> certain statutory duties in relation to financial administration and </w:t>
      </w:r>
      <w:r w:rsidRPr="005272A1">
        <w:t>stewardship. Statutory responsibilities include securing the production of and signing a statement that the Statement of Accounts provide a true and fair view of the financial position, maintaining financial standing and securing an adequate and effective internal audit function.</w:t>
      </w:r>
    </w:p>
    <w:p w:rsidR="005272A1" w:rsidRPr="005272A1" w:rsidRDefault="005272A1" w:rsidP="005272A1">
      <w:pPr>
        <w:spacing w:after="160" w:line="256" w:lineRule="auto"/>
        <w:rPr>
          <w:rFonts w:eastAsia="Times New Roman" w:cs="Arial"/>
          <w:b/>
          <w:lang w:eastAsia="en-GB"/>
        </w:rPr>
      </w:pPr>
    </w:p>
    <w:p w:rsidR="005272A1" w:rsidRPr="005272A1" w:rsidRDefault="005272A1" w:rsidP="005272A1">
      <w:pPr>
        <w:pStyle w:val="Style1"/>
        <w:numPr>
          <w:ilvl w:val="0"/>
          <w:numId w:val="32"/>
        </w:numPr>
        <w:ind w:left="360"/>
        <w:rPr>
          <w:rFonts w:ascii="Verdana" w:hAnsi="Verdana"/>
          <w:sz w:val="22"/>
          <w:szCs w:val="22"/>
        </w:rPr>
      </w:pPr>
      <w:r w:rsidRPr="005272A1">
        <w:rPr>
          <w:rFonts w:ascii="Verdana" w:hAnsi="Verdana"/>
          <w:sz w:val="22"/>
          <w:szCs w:val="22"/>
        </w:rPr>
        <w:t>The PCC and Group’s Financial Performance</w:t>
      </w:r>
    </w:p>
    <w:p w:rsidR="005272A1" w:rsidRPr="005272A1" w:rsidRDefault="005272A1" w:rsidP="005272A1">
      <w:pPr>
        <w:pStyle w:val="Style1"/>
        <w:ind w:left="360" w:firstLine="0"/>
        <w:rPr>
          <w:rFonts w:ascii="Verdana" w:hAnsi="Verdana"/>
          <w:sz w:val="22"/>
          <w:szCs w:val="22"/>
        </w:rPr>
      </w:pPr>
    </w:p>
    <w:p w:rsidR="005272A1" w:rsidRPr="00A200D5" w:rsidRDefault="005272A1" w:rsidP="00A200D5">
      <w:pPr>
        <w:pStyle w:val="ListParagraph"/>
        <w:numPr>
          <w:ilvl w:val="0"/>
          <w:numId w:val="0"/>
        </w:numPr>
        <w:autoSpaceDE w:val="0"/>
        <w:autoSpaceDN w:val="0"/>
        <w:adjustRightInd w:val="0"/>
        <w:rPr>
          <w:b/>
          <w:color w:val="000000"/>
          <w:sz w:val="22"/>
        </w:rPr>
      </w:pPr>
      <w:r w:rsidRPr="00A200D5">
        <w:rPr>
          <w:b/>
          <w:color w:val="000000"/>
          <w:sz w:val="22"/>
        </w:rPr>
        <w:t>Revenue Budget 2019/20</w:t>
      </w:r>
    </w:p>
    <w:p w:rsidR="005272A1" w:rsidRPr="00A200D5" w:rsidRDefault="005272A1" w:rsidP="00A200D5">
      <w:pPr>
        <w:pStyle w:val="ListParagraph"/>
        <w:numPr>
          <w:ilvl w:val="0"/>
          <w:numId w:val="0"/>
        </w:numPr>
        <w:autoSpaceDE w:val="0"/>
        <w:autoSpaceDN w:val="0"/>
        <w:adjustRightInd w:val="0"/>
        <w:rPr>
          <w:color w:val="000000"/>
          <w:sz w:val="22"/>
        </w:rPr>
      </w:pPr>
    </w:p>
    <w:p w:rsidR="005272A1" w:rsidRPr="00A200D5" w:rsidRDefault="005272A1" w:rsidP="00A200D5">
      <w:pPr>
        <w:pStyle w:val="ListParagraph"/>
        <w:numPr>
          <w:ilvl w:val="0"/>
          <w:numId w:val="0"/>
        </w:numPr>
        <w:autoSpaceDE w:val="0"/>
        <w:autoSpaceDN w:val="0"/>
        <w:adjustRightInd w:val="0"/>
        <w:jc w:val="both"/>
        <w:rPr>
          <w:color w:val="000000"/>
          <w:sz w:val="22"/>
        </w:rPr>
      </w:pPr>
      <w:r w:rsidRPr="00A200D5">
        <w:rPr>
          <w:color w:val="000000"/>
          <w:sz w:val="22"/>
        </w:rPr>
        <w:t>In February 2019, the Commissioner approved funding for a net revenue budget for 2019/20 for the Group of £235.1m, an increase of £20.5m on the previous year. This is shown in the table below:</w:t>
      </w:r>
    </w:p>
    <w:tbl>
      <w:tblPr>
        <w:tblW w:w="6534" w:type="dxa"/>
        <w:jc w:val="center"/>
        <w:tblLook w:val="04A0" w:firstRow="1" w:lastRow="0" w:firstColumn="1" w:lastColumn="0" w:noHBand="0" w:noVBand="1"/>
      </w:tblPr>
      <w:tblGrid>
        <w:gridCol w:w="1307"/>
        <w:gridCol w:w="3920"/>
        <w:gridCol w:w="1307"/>
      </w:tblGrid>
      <w:tr w:rsidR="005272A1" w:rsidRPr="005272A1" w:rsidTr="005272A1">
        <w:trPr>
          <w:trHeight w:val="612"/>
          <w:jc w:val="center"/>
        </w:trPr>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72A1" w:rsidRPr="005272A1" w:rsidRDefault="005272A1">
            <w:pPr>
              <w:spacing w:line="256" w:lineRule="auto"/>
              <w:jc w:val="center"/>
              <w:rPr>
                <w:b/>
              </w:rPr>
            </w:pPr>
            <w:r w:rsidRPr="005272A1">
              <w:rPr>
                <w:b/>
              </w:rPr>
              <w:t>2018/19</w:t>
            </w:r>
            <w:r w:rsidRPr="005272A1">
              <w:rPr>
                <w:b/>
              </w:rPr>
              <w:br/>
              <w:t>£m</w:t>
            </w:r>
          </w:p>
        </w:tc>
        <w:tc>
          <w:tcPr>
            <w:tcW w:w="3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72A1" w:rsidRPr="005272A1" w:rsidRDefault="005272A1">
            <w:pPr>
              <w:spacing w:line="256" w:lineRule="auto"/>
              <w:jc w:val="center"/>
              <w:rPr>
                <w:b/>
              </w:rPr>
            </w:pPr>
            <w:r w:rsidRPr="005272A1">
              <w:rPr>
                <w:b/>
              </w:rPr>
              <w:t>Police Funding</w:t>
            </w:r>
          </w:p>
        </w:tc>
        <w:tc>
          <w:tcPr>
            <w:tcW w:w="1307" w:type="dxa"/>
            <w:tcBorders>
              <w:top w:val="single" w:sz="4" w:space="0" w:color="auto"/>
              <w:left w:val="nil"/>
              <w:bottom w:val="single" w:sz="4" w:space="0" w:color="auto"/>
              <w:right w:val="single" w:sz="4" w:space="0" w:color="auto"/>
            </w:tcBorders>
            <w:vAlign w:val="center"/>
            <w:hideMark/>
          </w:tcPr>
          <w:p w:rsidR="005272A1" w:rsidRPr="005272A1" w:rsidRDefault="005272A1">
            <w:pPr>
              <w:spacing w:line="256" w:lineRule="auto"/>
              <w:jc w:val="center"/>
              <w:rPr>
                <w:b/>
              </w:rPr>
            </w:pPr>
            <w:r w:rsidRPr="005272A1">
              <w:rPr>
                <w:b/>
              </w:rPr>
              <w:t>2019/20</w:t>
            </w:r>
            <w:r w:rsidRPr="005272A1">
              <w:rPr>
                <w:b/>
              </w:rPr>
              <w:br/>
              <w:t>£m</w:t>
            </w:r>
          </w:p>
        </w:tc>
      </w:tr>
      <w:tr w:rsidR="005272A1" w:rsidRPr="005272A1" w:rsidTr="005272A1">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rsidR="005272A1" w:rsidRPr="005272A1" w:rsidRDefault="005272A1">
            <w:pPr>
              <w:spacing w:line="256" w:lineRule="auto"/>
              <w:jc w:val="right"/>
            </w:pPr>
            <w:r w:rsidRPr="005272A1">
              <w:t xml:space="preserve">61.2  </w:t>
            </w:r>
          </w:p>
        </w:tc>
        <w:tc>
          <w:tcPr>
            <w:tcW w:w="3920" w:type="dxa"/>
            <w:tcBorders>
              <w:top w:val="nil"/>
              <w:left w:val="single" w:sz="4" w:space="0" w:color="auto"/>
              <w:bottom w:val="nil"/>
              <w:right w:val="single" w:sz="4" w:space="0" w:color="auto"/>
            </w:tcBorders>
            <w:shd w:val="clear" w:color="auto" w:fill="FFFFFF"/>
            <w:noWrap/>
            <w:vAlign w:val="center"/>
            <w:hideMark/>
          </w:tcPr>
          <w:p w:rsidR="005272A1" w:rsidRPr="005272A1" w:rsidRDefault="005272A1">
            <w:pPr>
              <w:spacing w:line="256" w:lineRule="auto"/>
            </w:pPr>
            <w:r w:rsidRPr="005272A1">
              <w:t>Home Office Police Grants</w:t>
            </w:r>
          </w:p>
        </w:tc>
        <w:tc>
          <w:tcPr>
            <w:tcW w:w="1307" w:type="dxa"/>
            <w:tcBorders>
              <w:top w:val="nil"/>
              <w:left w:val="nil"/>
              <w:bottom w:val="nil"/>
              <w:right w:val="single" w:sz="4" w:space="0" w:color="auto"/>
            </w:tcBorders>
            <w:shd w:val="clear" w:color="auto" w:fill="FFFFFF"/>
            <w:noWrap/>
            <w:vAlign w:val="center"/>
            <w:hideMark/>
          </w:tcPr>
          <w:p w:rsidR="005272A1" w:rsidRPr="005272A1" w:rsidRDefault="005272A1">
            <w:pPr>
              <w:spacing w:line="256" w:lineRule="auto"/>
              <w:jc w:val="right"/>
            </w:pPr>
            <w:r w:rsidRPr="005272A1">
              <w:t xml:space="preserve">62.6  </w:t>
            </w:r>
          </w:p>
        </w:tc>
      </w:tr>
      <w:tr w:rsidR="005272A1" w:rsidRPr="005272A1" w:rsidTr="005272A1">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rsidR="005272A1" w:rsidRPr="005272A1" w:rsidRDefault="005272A1">
            <w:pPr>
              <w:spacing w:line="256" w:lineRule="auto"/>
              <w:jc w:val="right"/>
            </w:pPr>
            <w:r w:rsidRPr="005272A1">
              <w:t xml:space="preserve">28.8  </w:t>
            </w:r>
          </w:p>
        </w:tc>
        <w:tc>
          <w:tcPr>
            <w:tcW w:w="3920" w:type="dxa"/>
            <w:tcBorders>
              <w:top w:val="nil"/>
              <w:left w:val="single" w:sz="4" w:space="0" w:color="auto"/>
              <w:bottom w:val="nil"/>
              <w:right w:val="single" w:sz="4" w:space="0" w:color="auto"/>
            </w:tcBorders>
            <w:shd w:val="clear" w:color="auto" w:fill="FFFFFF"/>
            <w:noWrap/>
            <w:vAlign w:val="center"/>
            <w:hideMark/>
          </w:tcPr>
          <w:p w:rsidR="005272A1" w:rsidRPr="005272A1" w:rsidRDefault="005272A1">
            <w:pPr>
              <w:spacing w:line="256" w:lineRule="auto"/>
            </w:pPr>
            <w:r w:rsidRPr="005272A1">
              <w:t>Non Domestic Rates</w:t>
            </w:r>
          </w:p>
        </w:tc>
        <w:tc>
          <w:tcPr>
            <w:tcW w:w="1307" w:type="dxa"/>
            <w:tcBorders>
              <w:top w:val="nil"/>
              <w:left w:val="nil"/>
              <w:bottom w:val="nil"/>
              <w:right w:val="single" w:sz="4" w:space="0" w:color="auto"/>
            </w:tcBorders>
            <w:shd w:val="clear" w:color="auto" w:fill="FFFFFF"/>
            <w:noWrap/>
            <w:vAlign w:val="center"/>
            <w:hideMark/>
          </w:tcPr>
          <w:p w:rsidR="005272A1" w:rsidRPr="005272A1" w:rsidRDefault="005272A1">
            <w:pPr>
              <w:spacing w:line="256" w:lineRule="auto"/>
              <w:jc w:val="right"/>
            </w:pPr>
            <w:r w:rsidRPr="005272A1">
              <w:t xml:space="preserve">29.4  </w:t>
            </w:r>
          </w:p>
        </w:tc>
      </w:tr>
      <w:tr w:rsidR="005272A1" w:rsidRPr="005272A1" w:rsidTr="005272A1">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rsidR="005272A1" w:rsidRPr="005272A1" w:rsidRDefault="005272A1">
            <w:pPr>
              <w:spacing w:line="256" w:lineRule="auto"/>
              <w:jc w:val="right"/>
            </w:pPr>
            <w:r w:rsidRPr="005272A1">
              <w:t xml:space="preserve">2.5  </w:t>
            </w:r>
          </w:p>
        </w:tc>
        <w:tc>
          <w:tcPr>
            <w:tcW w:w="3920" w:type="dxa"/>
            <w:tcBorders>
              <w:top w:val="nil"/>
              <w:left w:val="single" w:sz="4" w:space="0" w:color="auto"/>
              <w:bottom w:val="nil"/>
              <w:right w:val="single" w:sz="4" w:space="0" w:color="auto"/>
            </w:tcBorders>
            <w:shd w:val="clear" w:color="auto" w:fill="FFFFFF"/>
            <w:noWrap/>
            <w:vAlign w:val="center"/>
            <w:hideMark/>
          </w:tcPr>
          <w:p w:rsidR="005272A1" w:rsidRPr="005272A1" w:rsidRDefault="005272A1">
            <w:pPr>
              <w:spacing w:line="256" w:lineRule="auto"/>
            </w:pPr>
            <w:r w:rsidRPr="005272A1">
              <w:t>Council Tax Freeze Grant</w:t>
            </w:r>
          </w:p>
        </w:tc>
        <w:tc>
          <w:tcPr>
            <w:tcW w:w="1307" w:type="dxa"/>
            <w:tcBorders>
              <w:top w:val="nil"/>
              <w:left w:val="nil"/>
              <w:bottom w:val="nil"/>
              <w:right w:val="single" w:sz="4" w:space="0" w:color="auto"/>
            </w:tcBorders>
            <w:shd w:val="clear" w:color="auto" w:fill="FFFFFF"/>
            <w:noWrap/>
            <w:vAlign w:val="center"/>
            <w:hideMark/>
          </w:tcPr>
          <w:p w:rsidR="005272A1" w:rsidRPr="005272A1" w:rsidRDefault="005272A1">
            <w:pPr>
              <w:spacing w:line="256" w:lineRule="auto"/>
              <w:jc w:val="right"/>
            </w:pPr>
            <w:r w:rsidRPr="005272A1">
              <w:t xml:space="preserve">2.5  </w:t>
            </w:r>
          </w:p>
        </w:tc>
      </w:tr>
      <w:tr w:rsidR="005272A1" w:rsidRPr="005272A1" w:rsidTr="005272A1">
        <w:trPr>
          <w:trHeight w:val="120"/>
          <w:jc w:val="center"/>
        </w:trPr>
        <w:tc>
          <w:tcPr>
            <w:tcW w:w="1307" w:type="dxa"/>
            <w:tcBorders>
              <w:top w:val="nil"/>
              <w:left w:val="single" w:sz="4" w:space="0" w:color="auto"/>
              <w:bottom w:val="single" w:sz="4" w:space="0" w:color="auto"/>
              <w:right w:val="single" w:sz="4" w:space="0" w:color="auto"/>
            </w:tcBorders>
            <w:shd w:val="clear" w:color="auto" w:fill="FFFFFF"/>
            <w:vAlign w:val="center"/>
            <w:hideMark/>
          </w:tcPr>
          <w:p w:rsidR="005272A1" w:rsidRPr="00A200D5" w:rsidRDefault="005272A1">
            <w:pPr>
              <w:spacing w:line="256" w:lineRule="auto"/>
              <w:jc w:val="right"/>
              <w:rPr>
                <w:sz w:val="4"/>
                <w:szCs w:val="4"/>
              </w:rPr>
            </w:pPr>
            <w:r w:rsidRPr="00A200D5">
              <w:rPr>
                <w:sz w:val="4"/>
                <w:szCs w:val="4"/>
              </w:rPr>
              <w:t> </w:t>
            </w:r>
          </w:p>
        </w:tc>
        <w:tc>
          <w:tcPr>
            <w:tcW w:w="3920" w:type="dxa"/>
            <w:tcBorders>
              <w:top w:val="nil"/>
              <w:left w:val="single" w:sz="4" w:space="0" w:color="auto"/>
              <w:bottom w:val="single" w:sz="4" w:space="0" w:color="auto"/>
              <w:right w:val="single" w:sz="4" w:space="0" w:color="auto"/>
            </w:tcBorders>
            <w:shd w:val="clear" w:color="auto" w:fill="FFFFFF"/>
            <w:noWrap/>
            <w:vAlign w:val="center"/>
            <w:hideMark/>
          </w:tcPr>
          <w:p w:rsidR="005272A1" w:rsidRPr="00A200D5" w:rsidRDefault="005272A1">
            <w:pPr>
              <w:spacing w:line="256" w:lineRule="auto"/>
              <w:rPr>
                <w:sz w:val="4"/>
                <w:szCs w:val="4"/>
              </w:rPr>
            </w:pPr>
            <w:r w:rsidRPr="00A200D5">
              <w:rPr>
                <w:sz w:val="4"/>
                <w:szCs w:val="4"/>
              </w:rPr>
              <w:t> </w:t>
            </w:r>
          </w:p>
        </w:tc>
        <w:tc>
          <w:tcPr>
            <w:tcW w:w="1307" w:type="dxa"/>
            <w:tcBorders>
              <w:top w:val="nil"/>
              <w:left w:val="nil"/>
              <w:bottom w:val="single" w:sz="4" w:space="0" w:color="auto"/>
              <w:right w:val="single" w:sz="4" w:space="0" w:color="auto"/>
            </w:tcBorders>
            <w:shd w:val="clear" w:color="auto" w:fill="FFFFFF"/>
            <w:noWrap/>
            <w:vAlign w:val="center"/>
            <w:hideMark/>
          </w:tcPr>
          <w:p w:rsidR="005272A1" w:rsidRPr="00A200D5" w:rsidRDefault="005272A1">
            <w:pPr>
              <w:spacing w:line="256" w:lineRule="auto"/>
              <w:jc w:val="right"/>
              <w:rPr>
                <w:sz w:val="4"/>
                <w:szCs w:val="4"/>
              </w:rPr>
            </w:pPr>
            <w:r w:rsidRPr="00A200D5">
              <w:rPr>
                <w:sz w:val="4"/>
                <w:szCs w:val="4"/>
              </w:rPr>
              <w:t> </w:t>
            </w:r>
          </w:p>
        </w:tc>
      </w:tr>
      <w:tr w:rsidR="005272A1" w:rsidRPr="005272A1" w:rsidTr="005272A1">
        <w:trPr>
          <w:trHeight w:val="282"/>
          <w:jc w:val="center"/>
        </w:trPr>
        <w:tc>
          <w:tcPr>
            <w:tcW w:w="1307" w:type="dxa"/>
            <w:tcBorders>
              <w:top w:val="nil"/>
              <w:left w:val="single" w:sz="4" w:space="0" w:color="auto"/>
              <w:bottom w:val="single" w:sz="4" w:space="0" w:color="auto"/>
              <w:right w:val="single" w:sz="4" w:space="0" w:color="auto"/>
            </w:tcBorders>
            <w:vAlign w:val="center"/>
            <w:hideMark/>
          </w:tcPr>
          <w:p w:rsidR="005272A1" w:rsidRPr="005272A1" w:rsidRDefault="005272A1">
            <w:pPr>
              <w:spacing w:line="256" w:lineRule="auto"/>
              <w:jc w:val="right"/>
              <w:rPr>
                <w:b/>
              </w:rPr>
            </w:pPr>
            <w:r w:rsidRPr="005272A1">
              <w:rPr>
                <w:b/>
              </w:rPr>
              <w:t xml:space="preserve">92.5  </w:t>
            </w:r>
          </w:p>
        </w:tc>
        <w:tc>
          <w:tcPr>
            <w:tcW w:w="3920" w:type="dxa"/>
            <w:tcBorders>
              <w:top w:val="nil"/>
              <w:left w:val="single" w:sz="4" w:space="0" w:color="auto"/>
              <w:bottom w:val="single" w:sz="4" w:space="0" w:color="auto"/>
              <w:right w:val="single" w:sz="4" w:space="0" w:color="auto"/>
            </w:tcBorders>
            <w:noWrap/>
            <w:vAlign w:val="center"/>
            <w:hideMark/>
          </w:tcPr>
          <w:p w:rsidR="005272A1" w:rsidRPr="005272A1" w:rsidRDefault="005272A1">
            <w:pPr>
              <w:spacing w:line="256" w:lineRule="auto"/>
              <w:rPr>
                <w:b/>
              </w:rPr>
            </w:pPr>
            <w:r w:rsidRPr="005272A1">
              <w:rPr>
                <w:b/>
              </w:rPr>
              <w:t>Total Central Support</w:t>
            </w:r>
          </w:p>
        </w:tc>
        <w:tc>
          <w:tcPr>
            <w:tcW w:w="1307" w:type="dxa"/>
            <w:tcBorders>
              <w:top w:val="nil"/>
              <w:left w:val="nil"/>
              <w:bottom w:val="single" w:sz="4" w:space="0" w:color="auto"/>
              <w:right w:val="single" w:sz="4" w:space="0" w:color="auto"/>
            </w:tcBorders>
            <w:noWrap/>
            <w:vAlign w:val="center"/>
            <w:hideMark/>
          </w:tcPr>
          <w:p w:rsidR="005272A1" w:rsidRPr="005272A1" w:rsidRDefault="005272A1">
            <w:pPr>
              <w:spacing w:line="256" w:lineRule="auto"/>
              <w:jc w:val="right"/>
              <w:rPr>
                <w:b/>
              </w:rPr>
            </w:pPr>
            <w:r w:rsidRPr="005272A1">
              <w:rPr>
                <w:b/>
              </w:rPr>
              <w:t xml:space="preserve">94.5  </w:t>
            </w:r>
          </w:p>
        </w:tc>
      </w:tr>
      <w:tr w:rsidR="005272A1" w:rsidRPr="005272A1" w:rsidTr="005272A1">
        <w:trPr>
          <w:trHeight w:val="120"/>
          <w:jc w:val="center"/>
        </w:trPr>
        <w:tc>
          <w:tcPr>
            <w:tcW w:w="1307" w:type="dxa"/>
            <w:tcBorders>
              <w:top w:val="nil"/>
              <w:left w:val="single" w:sz="4" w:space="0" w:color="auto"/>
              <w:bottom w:val="nil"/>
              <w:right w:val="single" w:sz="4" w:space="0" w:color="auto"/>
            </w:tcBorders>
            <w:shd w:val="clear" w:color="auto" w:fill="FFFFFF"/>
            <w:vAlign w:val="center"/>
            <w:hideMark/>
          </w:tcPr>
          <w:p w:rsidR="005272A1" w:rsidRPr="005272A1" w:rsidRDefault="005272A1">
            <w:pPr>
              <w:spacing w:line="256" w:lineRule="auto"/>
              <w:jc w:val="right"/>
            </w:pPr>
            <w:r w:rsidRPr="005272A1">
              <w:t> </w:t>
            </w:r>
          </w:p>
        </w:tc>
        <w:tc>
          <w:tcPr>
            <w:tcW w:w="3920" w:type="dxa"/>
            <w:tcBorders>
              <w:top w:val="nil"/>
              <w:left w:val="single" w:sz="4" w:space="0" w:color="auto"/>
              <w:bottom w:val="nil"/>
              <w:right w:val="single" w:sz="4" w:space="0" w:color="auto"/>
            </w:tcBorders>
            <w:shd w:val="clear" w:color="auto" w:fill="FFFFFF"/>
            <w:noWrap/>
            <w:vAlign w:val="center"/>
            <w:hideMark/>
          </w:tcPr>
          <w:p w:rsidR="005272A1" w:rsidRPr="005272A1" w:rsidRDefault="005272A1">
            <w:pPr>
              <w:spacing w:line="256" w:lineRule="auto"/>
            </w:pPr>
            <w:r w:rsidRPr="005272A1">
              <w:t> </w:t>
            </w:r>
          </w:p>
        </w:tc>
        <w:tc>
          <w:tcPr>
            <w:tcW w:w="1307" w:type="dxa"/>
            <w:tcBorders>
              <w:top w:val="nil"/>
              <w:left w:val="nil"/>
              <w:bottom w:val="nil"/>
              <w:right w:val="single" w:sz="4" w:space="0" w:color="auto"/>
            </w:tcBorders>
            <w:noWrap/>
            <w:vAlign w:val="center"/>
            <w:hideMark/>
          </w:tcPr>
          <w:p w:rsidR="005272A1" w:rsidRPr="005272A1" w:rsidRDefault="005272A1">
            <w:pPr>
              <w:spacing w:line="256" w:lineRule="auto"/>
              <w:jc w:val="right"/>
            </w:pPr>
            <w:r w:rsidRPr="005272A1">
              <w:t> </w:t>
            </w:r>
          </w:p>
        </w:tc>
      </w:tr>
      <w:tr w:rsidR="005272A1" w:rsidRPr="005272A1" w:rsidTr="005272A1">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rsidR="005272A1" w:rsidRPr="005272A1" w:rsidRDefault="005272A1">
            <w:pPr>
              <w:spacing w:line="256" w:lineRule="auto"/>
              <w:jc w:val="right"/>
            </w:pPr>
            <w:r w:rsidRPr="005272A1">
              <w:t xml:space="preserve">119.2  </w:t>
            </w:r>
          </w:p>
        </w:tc>
        <w:tc>
          <w:tcPr>
            <w:tcW w:w="3920" w:type="dxa"/>
            <w:tcBorders>
              <w:top w:val="nil"/>
              <w:left w:val="single" w:sz="4" w:space="0" w:color="auto"/>
              <w:bottom w:val="nil"/>
              <w:right w:val="single" w:sz="4" w:space="0" w:color="auto"/>
            </w:tcBorders>
            <w:shd w:val="clear" w:color="auto" w:fill="FFFFFF"/>
            <w:noWrap/>
            <w:vAlign w:val="center"/>
            <w:hideMark/>
          </w:tcPr>
          <w:p w:rsidR="005272A1" w:rsidRPr="005272A1" w:rsidRDefault="005272A1">
            <w:pPr>
              <w:spacing w:line="256" w:lineRule="auto"/>
            </w:pPr>
            <w:r w:rsidRPr="005272A1">
              <w:t>Gross Council Tax Precept</w:t>
            </w:r>
          </w:p>
        </w:tc>
        <w:tc>
          <w:tcPr>
            <w:tcW w:w="1307" w:type="dxa"/>
            <w:tcBorders>
              <w:top w:val="nil"/>
              <w:left w:val="nil"/>
              <w:bottom w:val="nil"/>
              <w:right w:val="single" w:sz="4" w:space="0" w:color="auto"/>
            </w:tcBorders>
            <w:shd w:val="clear" w:color="auto" w:fill="FFFFFF"/>
            <w:noWrap/>
            <w:vAlign w:val="center"/>
            <w:hideMark/>
          </w:tcPr>
          <w:p w:rsidR="005272A1" w:rsidRPr="005272A1" w:rsidRDefault="005272A1">
            <w:pPr>
              <w:spacing w:line="256" w:lineRule="auto"/>
              <w:jc w:val="right"/>
            </w:pPr>
            <w:r w:rsidRPr="005272A1">
              <w:t xml:space="preserve">132.8  </w:t>
            </w:r>
          </w:p>
        </w:tc>
      </w:tr>
      <w:tr w:rsidR="005272A1" w:rsidRPr="005272A1" w:rsidTr="005272A1">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rsidR="005272A1" w:rsidRPr="005272A1" w:rsidRDefault="005272A1">
            <w:pPr>
              <w:spacing w:line="256" w:lineRule="auto"/>
              <w:jc w:val="right"/>
            </w:pPr>
            <w:r w:rsidRPr="005272A1">
              <w:t xml:space="preserve">6.7  </w:t>
            </w:r>
          </w:p>
        </w:tc>
        <w:tc>
          <w:tcPr>
            <w:tcW w:w="3920" w:type="dxa"/>
            <w:tcBorders>
              <w:top w:val="nil"/>
              <w:left w:val="single" w:sz="4" w:space="0" w:color="auto"/>
              <w:bottom w:val="nil"/>
              <w:right w:val="single" w:sz="4" w:space="0" w:color="auto"/>
            </w:tcBorders>
            <w:shd w:val="clear" w:color="auto" w:fill="FFFFFF"/>
            <w:noWrap/>
            <w:vAlign w:val="center"/>
            <w:hideMark/>
          </w:tcPr>
          <w:p w:rsidR="005272A1" w:rsidRPr="005272A1" w:rsidRDefault="005272A1">
            <w:pPr>
              <w:spacing w:line="256" w:lineRule="auto"/>
            </w:pPr>
            <w:r w:rsidRPr="005272A1">
              <w:t>Council Tax Localisation Grant</w:t>
            </w:r>
          </w:p>
        </w:tc>
        <w:tc>
          <w:tcPr>
            <w:tcW w:w="1307" w:type="dxa"/>
            <w:tcBorders>
              <w:top w:val="nil"/>
              <w:left w:val="nil"/>
              <w:bottom w:val="nil"/>
              <w:right w:val="single" w:sz="4" w:space="0" w:color="auto"/>
            </w:tcBorders>
            <w:shd w:val="clear" w:color="auto" w:fill="FFFFFF"/>
            <w:noWrap/>
            <w:vAlign w:val="center"/>
            <w:hideMark/>
          </w:tcPr>
          <w:p w:rsidR="005272A1" w:rsidRPr="005272A1" w:rsidRDefault="005272A1">
            <w:pPr>
              <w:spacing w:line="256" w:lineRule="auto"/>
              <w:jc w:val="right"/>
            </w:pPr>
            <w:r w:rsidRPr="005272A1">
              <w:t xml:space="preserve">6.7  </w:t>
            </w:r>
          </w:p>
        </w:tc>
      </w:tr>
      <w:tr w:rsidR="005272A1" w:rsidRPr="005272A1" w:rsidTr="005272A1">
        <w:trPr>
          <w:trHeight w:val="282"/>
          <w:jc w:val="center"/>
        </w:trPr>
        <w:tc>
          <w:tcPr>
            <w:tcW w:w="1307" w:type="dxa"/>
            <w:tcBorders>
              <w:top w:val="nil"/>
              <w:left w:val="single" w:sz="4" w:space="0" w:color="auto"/>
              <w:bottom w:val="nil"/>
              <w:right w:val="single" w:sz="4" w:space="0" w:color="auto"/>
            </w:tcBorders>
            <w:shd w:val="clear" w:color="auto" w:fill="FFFFFF"/>
            <w:vAlign w:val="center"/>
            <w:hideMark/>
          </w:tcPr>
          <w:p w:rsidR="005272A1" w:rsidRPr="005272A1" w:rsidRDefault="005272A1">
            <w:pPr>
              <w:spacing w:line="256" w:lineRule="auto"/>
              <w:jc w:val="right"/>
            </w:pPr>
            <w:r w:rsidRPr="005272A1">
              <w:t xml:space="preserve">(3.8) </w:t>
            </w:r>
          </w:p>
        </w:tc>
        <w:tc>
          <w:tcPr>
            <w:tcW w:w="3920" w:type="dxa"/>
            <w:tcBorders>
              <w:top w:val="nil"/>
              <w:left w:val="single" w:sz="4" w:space="0" w:color="auto"/>
              <w:bottom w:val="nil"/>
              <w:right w:val="single" w:sz="4" w:space="0" w:color="auto"/>
            </w:tcBorders>
            <w:shd w:val="clear" w:color="auto" w:fill="FFFFFF"/>
            <w:noWrap/>
            <w:vAlign w:val="center"/>
            <w:hideMark/>
          </w:tcPr>
          <w:p w:rsidR="005272A1" w:rsidRPr="005272A1" w:rsidRDefault="005272A1">
            <w:pPr>
              <w:spacing w:line="256" w:lineRule="auto"/>
            </w:pPr>
            <w:r w:rsidRPr="005272A1">
              <w:t>General Reserves</w:t>
            </w:r>
          </w:p>
        </w:tc>
        <w:tc>
          <w:tcPr>
            <w:tcW w:w="1307" w:type="dxa"/>
            <w:tcBorders>
              <w:top w:val="nil"/>
              <w:left w:val="nil"/>
              <w:bottom w:val="nil"/>
              <w:right w:val="single" w:sz="4" w:space="0" w:color="auto"/>
            </w:tcBorders>
            <w:shd w:val="clear" w:color="auto" w:fill="FFFFFF"/>
            <w:noWrap/>
            <w:vAlign w:val="center"/>
            <w:hideMark/>
          </w:tcPr>
          <w:p w:rsidR="005272A1" w:rsidRPr="005272A1" w:rsidRDefault="005272A1">
            <w:pPr>
              <w:spacing w:line="256" w:lineRule="auto"/>
              <w:jc w:val="right"/>
            </w:pPr>
            <w:r w:rsidRPr="005272A1">
              <w:t xml:space="preserve">1.1  </w:t>
            </w:r>
          </w:p>
        </w:tc>
      </w:tr>
      <w:tr w:rsidR="005272A1" w:rsidRPr="005272A1" w:rsidTr="005272A1">
        <w:trPr>
          <w:trHeight w:val="120"/>
          <w:jc w:val="center"/>
        </w:trPr>
        <w:tc>
          <w:tcPr>
            <w:tcW w:w="1307" w:type="dxa"/>
            <w:tcBorders>
              <w:top w:val="nil"/>
              <w:left w:val="single" w:sz="4" w:space="0" w:color="auto"/>
              <w:bottom w:val="single" w:sz="4" w:space="0" w:color="auto"/>
              <w:right w:val="single" w:sz="4" w:space="0" w:color="auto"/>
            </w:tcBorders>
            <w:shd w:val="clear" w:color="auto" w:fill="FFFFFF"/>
            <w:vAlign w:val="center"/>
            <w:hideMark/>
          </w:tcPr>
          <w:p w:rsidR="005272A1" w:rsidRPr="00A200D5" w:rsidRDefault="005272A1">
            <w:pPr>
              <w:spacing w:line="256" w:lineRule="auto"/>
              <w:jc w:val="right"/>
              <w:rPr>
                <w:sz w:val="4"/>
                <w:szCs w:val="4"/>
              </w:rPr>
            </w:pPr>
            <w:r w:rsidRPr="00A200D5">
              <w:rPr>
                <w:sz w:val="4"/>
                <w:szCs w:val="4"/>
              </w:rPr>
              <w:t> </w:t>
            </w:r>
          </w:p>
        </w:tc>
        <w:tc>
          <w:tcPr>
            <w:tcW w:w="3920" w:type="dxa"/>
            <w:tcBorders>
              <w:top w:val="nil"/>
              <w:left w:val="single" w:sz="4" w:space="0" w:color="auto"/>
              <w:bottom w:val="single" w:sz="4" w:space="0" w:color="auto"/>
              <w:right w:val="single" w:sz="4" w:space="0" w:color="auto"/>
            </w:tcBorders>
            <w:shd w:val="clear" w:color="auto" w:fill="FFFFFF"/>
            <w:noWrap/>
            <w:vAlign w:val="center"/>
            <w:hideMark/>
          </w:tcPr>
          <w:p w:rsidR="005272A1" w:rsidRPr="00A200D5" w:rsidRDefault="005272A1">
            <w:pPr>
              <w:spacing w:line="256" w:lineRule="auto"/>
              <w:rPr>
                <w:sz w:val="4"/>
                <w:szCs w:val="4"/>
              </w:rPr>
            </w:pPr>
            <w:r w:rsidRPr="00A200D5">
              <w:rPr>
                <w:sz w:val="4"/>
                <w:szCs w:val="4"/>
              </w:rPr>
              <w:t> </w:t>
            </w:r>
          </w:p>
        </w:tc>
        <w:tc>
          <w:tcPr>
            <w:tcW w:w="1307" w:type="dxa"/>
            <w:tcBorders>
              <w:top w:val="nil"/>
              <w:left w:val="nil"/>
              <w:bottom w:val="single" w:sz="4" w:space="0" w:color="auto"/>
              <w:right w:val="single" w:sz="4" w:space="0" w:color="auto"/>
            </w:tcBorders>
            <w:shd w:val="clear" w:color="auto" w:fill="FFFFFF"/>
            <w:noWrap/>
            <w:vAlign w:val="center"/>
            <w:hideMark/>
          </w:tcPr>
          <w:p w:rsidR="005272A1" w:rsidRPr="00A200D5" w:rsidRDefault="005272A1">
            <w:pPr>
              <w:spacing w:line="256" w:lineRule="auto"/>
              <w:jc w:val="right"/>
              <w:rPr>
                <w:sz w:val="4"/>
                <w:szCs w:val="4"/>
              </w:rPr>
            </w:pPr>
            <w:r w:rsidRPr="00A200D5">
              <w:rPr>
                <w:sz w:val="4"/>
                <w:szCs w:val="4"/>
              </w:rPr>
              <w:t> </w:t>
            </w:r>
          </w:p>
        </w:tc>
      </w:tr>
      <w:tr w:rsidR="005272A1" w:rsidRPr="005272A1" w:rsidTr="005272A1">
        <w:trPr>
          <w:trHeight w:val="282"/>
          <w:jc w:val="center"/>
        </w:trPr>
        <w:tc>
          <w:tcPr>
            <w:tcW w:w="1307" w:type="dxa"/>
            <w:tcBorders>
              <w:top w:val="nil"/>
              <w:left w:val="single" w:sz="4" w:space="0" w:color="auto"/>
              <w:bottom w:val="single" w:sz="4" w:space="0" w:color="auto"/>
              <w:right w:val="single" w:sz="4" w:space="0" w:color="auto"/>
            </w:tcBorders>
            <w:vAlign w:val="center"/>
            <w:hideMark/>
          </w:tcPr>
          <w:p w:rsidR="005272A1" w:rsidRPr="005272A1" w:rsidRDefault="005272A1">
            <w:pPr>
              <w:spacing w:line="256" w:lineRule="auto"/>
              <w:jc w:val="right"/>
              <w:rPr>
                <w:b/>
              </w:rPr>
            </w:pPr>
            <w:r w:rsidRPr="005272A1">
              <w:rPr>
                <w:b/>
              </w:rPr>
              <w:t xml:space="preserve">214.6  </w:t>
            </w:r>
          </w:p>
        </w:tc>
        <w:tc>
          <w:tcPr>
            <w:tcW w:w="3920" w:type="dxa"/>
            <w:tcBorders>
              <w:top w:val="nil"/>
              <w:left w:val="single" w:sz="4" w:space="0" w:color="auto"/>
              <w:bottom w:val="single" w:sz="4" w:space="0" w:color="auto"/>
              <w:right w:val="single" w:sz="4" w:space="0" w:color="auto"/>
            </w:tcBorders>
            <w:noWrap/>
            <w:vAlign w:val="center"/>
            <w:hideMark/>
          </w:tcPr>
          <w:p w:rsidR="005272A1" w:rsidRPr="005272A1" w:rsidRDefault="005272A1">
            <w:pPr>
              <w:spacing w:line="256" w:lineRule="auto"/>
              <w:rPr>
                <w:b/>
              </w:rPr>
            </w:pPr>
            <w:r w:rsidRPr="005272A1">
              <w:rPr>
                <w:b/>
              </w:rPr>
              <w:t>Total Group Funding</w:t>
            </w:r>
          </w:p>
        </w:tc>
        <w:tc>
          <w:tcPr>
            <w:tcW w:w="1307" w:type="dxa"/>
            <w:tcBorders>
              <w:top w:val="nil"/>
              <w:left w:val="nil"/>
              <w:bottom w:val="single" w:sz="4" w:space="0" w:color="auto"/>
              <w:right w:val="single" w:sz="4" w:space="0" w:color="auto"/>
            </w:tcBorders>
            <w:noWrap/>
            <w:vAlign w:val="center"/>
            <w:hideMark/>
          </w:tcPr>
          <w:p w:rsidR="005272A1" w:rsidRPr="005272A1" w:rsidRDefault="005272A1">
            <w:pPr>
              <w:spacing w:line="256" w:lineRule="auto"/>
              <w:jc w:val="right"/>
              <w:rPr>
                <w:b/>
              </w:rPr>
            </w:pPr>
            <w:r w:rsidRPr="005272A1">
              <w:rPr>
                <w:b/>
              </w:rPr>
              <w:t xml:space="preserve">235.1  </w:t>
            </w:r>
          </w:p>
        </w:tc>
      </w:tr>
    </w:tbl>
    <w:p w:rsidR="005272A1" w:rsidRPr="005272A1" w:rsidRDefault="005272A1" w:rsidP="00A200D5">
      <w:pPr>
        <w:pStyle w:val="ListParagraph"/>
        <w:numPr>
          <w:ilvl w:val="0"/>
          <w:numId w:val="0"/>
        </w:numPr>
        <w:autoSpaceDE w:val="0"/>
        <w:autoSpaceDN w:val="0"/>
        <w:adjustRightInd w:val="0"/>
        <w:rPr>
          <w:b/>
          <w:color w:val="000000"/>
          <w:sz w:val="22"/>
          <w:u w:val="single"/>
          <w:lang w:eastAsia="en-US"/>
        </w:rPr>
      </w:pPr>
    </w:p>
    <w:p w:rsidR="005272A1" w:rsidRPr="00A200D5" w:rsidRDefault="005272A1" w:rsidP="00A200D5">
      <w:pPr>
        <w:pStyle w:val="ListParagraph"/>
        <w:numPr>
          <w:ilvl w:val="0"/>
          <w:numId w:val="0"/>
        </w:numPr>
        <w:autoSpaceDE w:val="0"/>
        <w:autoSpaceDN w:val="0"/>
        <w:adjustRightInd w:val="0"/>
        <w:rPr>
          <w:b/>
          <w:color w:val="000000"/>
          <w:sz w:val="22"/>
        </w:rPr>
      </w:pPr>
      <w:r w:rsidRPr="00A200D5">
        <w:rPr>
          <w:b/>
          <w:color w:val="000000"/>
          <w:sz w:val="22"/>
        </w:rPr>
        <w:t>Revenue Expenditure Outturn</w:t>
      </w:r>
    </w:p>
    <w:p w:rsidR="005272A1" w:rsidRPr="00A200D5" w:rsidRDefault="005272A1" w:rsidP="00A200D5">
      <w:pPr>
        <w:pStyle w:val="ListParagraph"/>
        <w:numPr>
          <w:ilvl w:val="0"/>
          <w:numId w:val="0"/>
        </w:numPr>
        <w:autoSpaceDE w:val="0"/>
        <w:autoSpaceDN w:val="0"/>
        <w:adjustRightInd w:val="0"/>
        <w:rPr>
          <w:color w:val="000000"/>
          <w:sz w:val="22"/>
        </w:rPr>
      </w:pPr>
    </w:p>
    <w:p w:rsidR="005272A1" w:rsidRPr="00A200D5" w:rsidRDefault="005272A1" w:rsidP="00A200D5">
      <w:pPr>
        <w:pStyle w:val="ListParagraph"/>
        <w:numPr>
          <w:ilvl w:val="0"/>
          <w:numId w:val="0"/>
        </w:numPr>
        <w:autoSpaceDE w:val="0"/>
        <w:autoSpaceDN w:val="0"/>
        <w:adjustRightInd w:val="0"/>
        <w:jc w:val="both"/>
        <w:rPr>
          <w:color w:val="000000"/>
          <w:sz w:val="22"/>
        </w:rPr>
      </w:pPr>
      <w:r w:rsidRPr="00A200D5">
        <w:rPr>
          <w:color w:val="000000"/>
          <w:sz w:val="22"/>
        </w:rPr>
        <w:t>The financial performance of the group over the year is set out below and more detail is shown in the accounts which follow.</w:t>
      </w:r>
    </w:p>
    <w:p w:rsidR="005272A1" w:rsidRPr="00A200D5" w:rsidRDefault="005272A1" w:rsidP="00A200D5">
      <w:pPr>
        <w:pStyle w:val="ListParagraph"/>
        <w:numPr>
          <w:ilvl w:val="0"/>
          <w:numId w:val="0"/>
        </w:numPr>
        <w:autoSpaceDE w:val="0"/>
        <w:autoSpaceDN w:val="0"/>
        <w:adjustRightInd w:val="0"/>
        <w:jc w:val="both"/>
        <w:rPr>
          <w:color w:val="000000"/>
          <w:sz w:val="22"/>
        </w:rPr>
      </w:pPr>
    </w:p>
    <w:p w:rsidR="005272A1" w:rsidRPr="00A200D5" w:rsidRDefault="005272A1" w:rsidP="00A200D5">
      <w:pPr>
        <w:autoSpaceDE w:val="0"/>
        <w:autoSpaceDN w:val="0"/>
        <w:adjustRightInd w:val="0"/>
        <w:jc w:val="both"/>
        <w:rPr>
          <w:rFonts w:cs="Arial"/>
          <w:b/>
          <w:bCs/>
          <w:color w:val="000000"/>
        </w:rPr>
      </w:pPr>
      <w:r w:rsidRPr="00A200D5">
        <w:rPr>
          <w:rFonts w:cs="Arial"/>
          <w:b/>
          <w:bCs/>
          <w:color w:val="000000"/>
        </w:rPr>
        <w:t>PCC Controlled Expenditure</w:t>
      </w:r>
    </w:p>
    <w:p w:rsidR="005272A1" w:rsidRPr="005272A1" w:rsidRDefault="005272A1" w:rsidP="00A200D5">
      <w:pPr>
        <w:autoSpaceDE w:val="0"/>
        <w:autoSpaceDN w:val="0"/>
        <w:adjustRightInd w:val="0"/>
        <w:jc w:val="both"/>
        <w:rPr>
          <w:rFonts w:cs="Arial"/>
          <w:color w:val="000000"/>
        </w:rPr>
      </w:pPr>
    </w:p>
    <w:p w:rsidR="005272A1" w:rsidRDefault="005272A1" w:rsidP="00A200D5">
      <w:pPr>
        <w:autoSpaceDE w:val="0"/>
        <w:autoSpaceDN w:val="0"/>
        <w:adjustRightInd w:val="0"/>
        <w:jc w:val="both"/>
        <w:rPr>
          <w:rFonts w:cs="Arial"/>
          <w:color w:val="000000"/>
        </w:rPr>
      </w:pPr>
      <w:r w:rsidRPr="005272A1">
        <w:rPr>
          <w:rFonts w:cs="Arial"/>
          <w:color w:val="000000"/>
        </w:rPr>
        <w:t>The</w:t>
      </w:r>
      <w:r>
        <w:rPr>
          <w:rFonts w:cs="Arial"/>
          <w:color w:val="000000"/>
        </w:rPr>
        <w:t xml:space="preserve"> following</w:t>
      </w:r>
      <w:r w:rsidRPr="005272A1">
        <w:rPr>
          <w:rFonts w:cs="Arial"/>
          <w:color w:val="000000"/>
        </w:rPr>
        <w:t xml:space="preserve"> table provides a high level</w:t>
      </w:r>
      <w:r>
        <w:rPr>
          <w:rFonts w:cs="Arial"/>
          <w:color w:val="000000"/>
        </w:rPr>
        <w:t xml:space="preserve"> analysis of the income and expenditure directly controlled by the Commissioner for 2019/20, in the format of the management accounting figures prepared for scrutiny by the PCC, and shows a net underspend for the year of £20k.</w:t>
      </w:r>
    </w:p>
    <w:p w:rsidR="005272A1" w:rsidRDefault="005272A1" w:rsidP="005272A1">
      <w:pPr>
        <w:autoSpaceDE w:val="0"/>
        <w:autoSpaceDN w:val="0"/>
        <w:adjustRightInd w:val="0"/>
        <w:rPr>
          <w:rFonts w:cs="Arial"/>
          <w:b/>
          <w:bCs/>
          <w:color w:val="FFFFFF"/>
        </w:rPr>
      </w:pPr>
      <w:r>
        <w:rPr>
          <w:rFonts w:cs="Arial"/>
          <w:b/>
          <w:bCs/>
          <w:color w:val="FFFFFF"/>
        </w:rPr>
        <w:t>Outturn 2019/20 B</w:t>
      </w:r>
    </w:p>
    <w:p w:rsidR="005272A1" w:rsidRDefault="005272A1">
      <w:pPr>
        <w:rPr>
          <w:rFonts w:cs="Arial"/>
          <w:b/>
          <w:bCs/>
          <w:color w:val="FFFFFF"/>
        </w:rPr>
      </w:pPr>
      <w:r>
        <w:rPr>
          <w:rFonts w:cs="Arial"/>
          <w:b/>
          <w:bCs/>
          <w:color w:val="FFFFFF"/>
        </w:rPr>
        <w:br w:type="page"/>
      </w:r>
    </w:p>
    <w:p w:rsidR="005272A1" w:rsidRDefault="005272A1" w:rsidP="005272A1">
      <w:pPr>
        <w:autoSpaceDE w:val="0"/>
        <w:autoSpaceDN w:val="0"/>
        <w:adjustRightInd w:val="0"/>
        <w:rPr>
          <w:rFonts w:cs="Arial"/>
          <w:b/>
          <w:bCs/>
          <w:color w:val="FFFFFF"/>
        </w:rPr>
      </w:pPr>
      <w:r>
        <w:rPr>
          <w:rFonts w:cs="Arial"/>
          <w:b/>
          <w:bCs/>
          <w:color w:val="FFFFFF"/>
        </w:rPr>
        <w:t xml:space="preserve"> Actuals Variance</w:t>
      </w:r>
    </w:p>
    <w:tbl>
      <w:tblPr>
        <w:tblW w:w="8131" w:type="dxa"/>
        <w:jc w:val="center"/>
        <w:tblLook w:val="04A0" w:firstRow="1" w:lastRow="0" w:firstColumn="1" w:lastColumn="0" w:noHBand="0" w:noVBand="1"/>
      </w:tblPr>
      <w:tblGrid>
        <w:gridCol w:w="4646"/>
        <w:gridCol w:w="1095"/>
        <w:gridCol w:w="1095"/>
        <w:gridCol w:w="1295"/>
      </w:tblGrid>
      <w:tr w:rsidR="005272A1" w:rsidTr="00A200D5">
        <w:trPr>
          <w:trHeight w:val="253"/>
          <w:jc w:val="center"/>
        </w:trPr>
        <w:tc>
          <w:tcPr>
            <w:tcW w:w="4646"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Outturn 2019/20</w:t>
            </w:r>
          </w:p>
        </w:tc>
        <w:tc>
          <w:tcPr>
            <w:tcW w:w="1095" w:type="dxa"/>
            <w:tcBorders>
              <w:top w:val="single" w:sz="4" w:space="0" w:color="auto"/>
              <w:left w:val="nil"/>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Budget</w:t>
            </w:r>
          </w:p>
          <w:p w:rsidR="005272A1" w:rsidRDefault="005272A1">
            <w:pPr>
              <w:spacing w:line="256" w:lineRule="auto"/>
              <w:rPr>
                <w:b/>
                <w:lang w:eastAsia="en-GB"/>
              </w:rPr>
            </w:pPr>
            <w:r>
              <w:rPr>
                <w:b/>
                <w:lang w:eastAsia="en-GB"/>
              </w:rPr>
              <w:t xml:space="preserve">£000 </w:t>
            </w:r>
          </w:p>
        </w:tc>
        <w:tc>
          <w:tcPr>
            <w:tcW w:w="1095" w:type="dxa"/>
            <w:tcBorders>
              <w:top w:val="single" w:sz="4" w:space="0" w:color="auto"/>
              <w:left w:val="nil"/>
              <w:bottom w:val="single" w:sz="4" w:space="0" w:color="auto"/>
              <w:right w:val="nil"/>
            </w:tcBorders>
            <w:noWrap/>
            <w:vAlign w:val="bottom"/>
            <w:hideMark/>
          </w:tcPr>
          <w:p w:rsidR="005272A1" w:rsidRDefault="005272A1">
            <w:pPr>
              <w:spacing w:line="256" w:lineRule="auto"/>
              <w:rPr>
                <w:b/>
                <w:lang w:eastAsia="en-GB"/>
              </w:rPr>
            </w:pPr>
            <w:r>
              <w:rPr>
                <w:b/>
                <w:lang w:eastAsia="en-GB"/>
              </w:rPr>
              <w:t>Actual</w:t>
            </w:r>
          </w:p>
          <w:p w:rsidR="005272A1" w:rsidRDefault="005272A1">
            <w:pPr>
              <w:spacing w:line="256" w:lineRule="auto"/>
              <w:rPr>
                <w:b/>
                <w:lang w:eastAsia="en-GB"/>
              </w:rPr>
            </w:pPr>
            <w:r>
              <w:rPr>
                <w:b/>
                <w:lang w:eastAsia="en-GB"/>
              </w:rPr>
              <w:t xml:space="preserve">£000 </w:t>
            </w:r>
          </w:p>
        </w:tc>
        <w:tc>
          <w:tcPr>
            <w:tcW w:w="1295"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Variance</w:t>
            </w:r>
          </w:p>
          <w:p w:rsidR="005272A1" w:rsidRDefault="005272A1">
            <w:pPr>
              <w:spacing w:line="256" w:lineRule="auto"/>
              <w:rPr>
                <w:b/>
                <w:lang w:eastAsia="en-GB"/>
              </w:rPr>
            </w:pPr>
            <w:r>
              <w:rPr>
                <w:b/>
                <w:lang w:eastAsia="en-GB"/>
              </w:rPr>
              <w:t>£000</w:t>
            </w:r>
          </w:p>
        </w:tc>
      </w:tr>
      <w:tr w:rsidR="005272A1" w:rsidTr="00A200D5">
        <w:trPr>
          <w:trHeight w:val="253"/>
          <w:jc w:val="center"/>
        </w:trPr>
        <w:tc>
          <w:tcPr>
            <w:tcW w:w="4646" w:type="dxa"/>
            <w:tcBorders>
              <w:top w:val="single" w:sz="4" w:space="0" w:color="auto"/>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Police and Crime Commissioner</w:t>
            </w:r>
          </w:p>
        </w:tc>
        <w:tc>
          <w:tcPr>
            <w:tcW w:w="1095" w:type="dxa"/>
            <w:noWrap/>
            <w:vAlign w:val="bottom"/>
            <w:hideMark/>
          </w:tcPr>
          <w:p w:rsidR="005272A1" w:rsidRDefault="005272A1">
            <w:pPr>
              <w:spacing w:line="256" w:lineRule="auto"/>
              <w:jc w:val="right"/>
              <w:rPr>
                <w:lang w:eastAsia="en-GB"/>
              </w:rPr>
            </w:pPr>
            <w:r>
              <w:rPr>
                <w:lang w:eastAsia="en-GB"/>
              </w:rPr>
              <w:t>97</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97</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0</w:t>
            </w:r>
          </w:p>
        </w:tc>
      </w:tr>
      <w:tr w:rsidR="005272A1" w:rsidTr="00A200D5">
        <w:trPr>
          <w:trHeight w:val="253"/>
          <w:jc w:val="center"/>
        </w:trPr>
        <w:tc>
          <w:tcPr>
            <w:tcW w:w="4646"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Staffing costs</w:t>
            </w:r>
          </w:p>
        </w:tc>
        <w:tc>
          <w:tcPr>
            <w:tcW w:w="1095" w:type="dxa"/>
            <w:noWrap/>
            <w:vAlign w:val="bottom"/>
            <w:hideMark/>
          </w:tcPr>
          <w:p w:rsidR="005272A1" w:rsidRDefault="005272A1">
            <w:pPr>
              <w:spacing w:line="256" w:lineRule="auto"/>
              <w:jc w:val="right"/>
              <w:rPr>
                <w:lang w:eastAsia="en-GB"/>
              </w:rPr>
            </w:pPr>
            <w:r>
              <w:rPr>
                <w:lang w:eastAsia="en-GB"/>
              </w:rPr>
              <w:t>763</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737</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(26)</w:t>
            </w:r>
          </w:p>
        </w:tc>
      </w:tr>
      <w:tr w:rsidR="005272A1" w:rsidTr="00A200D5">
        <w:trPr>
          <w:trHeight w:val="253"/>
          <w:jc w:val="center"/>
        </w:trPr>
        <w:tc>
          <w:tcPr>
            <w:tcW w:w="4646"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PCC Commissioning</w:t>
            </w:r>
          </w:p>
        </w:tc>
        <w:tc>
          <w:tcPr>
            <w:tcW w:w="1095" w:type="dxa"/>
            <w:noWrap/>
            <w:vAlign w:val="bottom"/>
            <w:hideMark/>
          </w:tcPr>
          <w:p w:rsidR="005272A1" w:rsidRDefault="005272A1">
            <w:pPr>
              <w:spacing w:line="256" w:lineRule="auto"/>
              <w:jc w:val="right"/>
              <w:rPr>
                <w:lang w:eastAsia="en-GB"/>
              </w:rPr>
            </w:pPr>
            <w:r>
              <w:rPr>
                <w:lang w:eastAsia="en-GB"/>
              </w:rPr>
              <w:t>989</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1,017</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28</w:t>
            </w:r>
          </w:p>
        </w:tc>
      </w:tr>
      <w:tr w:rsidR="005272A1" w:rsidTr="00A200D5">
        <w:trPr>
          <w:trHeight w:val="253"/>
          <w:jc w:val="center"/>
        </w:trPr>
        <w:tc>
          <w:tcPr>
            <w:tcW w:w="4646"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Audit and Governance</w:t>
            </w:r>
          </w:p>
        </w:tc>
        <w:tc>
          <w:tcPr>
            <w:tcW w:w="1095" w:type="dxa"/>
            <w:noWrap/>
            <w:vAlign w:val="bottom"/>
            <w:hideMark/>
          </w:tcPr>
          <w:p w:rsidR="005272A1" w:rsidRDefault="005272A1">
            <w:pPr>
              <w:spacing w:line="256" w:lineRule="auto"/>
              <w:jc w:val="right"/>
              <w:rPr>
                <w:lang w:eastAsia="en-GB"/>
              </w:rPr>
            </w:pPr>
            <w:r>
              <w:rPr>
                <w:lang w:eastAsia="en-GB"/>
              </w:rPr>
              <w:t>152</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117</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(35)</w:t>
            </w:r>
          </w:p>
        </w:tc>
      </w:tr>
      <w:tr w:rsidR="005272A1" w:rsidTr="00A200D5">
        <w:trPr>
          <w:trHeight w:val="253"/>
          <w:jc w:val="center"/>
        </w:trPr>
        <w:tc>
          <w:tcPr>
            <w:tcW w:w="4646"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Memberships and Subscriptions</w:t>
            </w:r>
          </w:p>
        </w:tc>
        <w:tc>
          <w:tcPr>
            <w:tcW w:w="1095" w:type="dxa"/>
            <w:noWrap/>
            <w:vAlign w:val="bottom"/>
            <w:hideMark/>
          </w:tcPr>
          <w:p w:rsidR="005272A1" w:rsidRDefault="005272A1">
            <w:pPr>
              <w:spacing w:line="256" w:lineRule="auto"/>
              <w:jc w:val="right"/>
              <w:rPr>
                <w:lang w:eastAsia="en-GB"/>
              </w:rPr>
            </w:pPr>
            <w:r>
              <w:rPr>
                <w:lang w:eastAsia="en-GB"/>
              </w:rPr>
              <w:t>33</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31</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(2)</w:t>
            </w:r>
          </w:p>
        </w:tc>
      </w:tr>
      <w:tr w:rsidR="005272A1" w:rsidTr="00A200D5">
        <w:trPr>
          <w:trHeight w:val="253"/>
          <w:jc w:val="center"/>
        </w:trPr>
        <w:tc>
          <w:tcPr>
            <w:tcW w:w="4646"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Office running costs</w:t>
            </w:r>
          </w:p>
        </w:tc>
        <w:tc>
          <w:tcPr>
            <w:tcW w:w="1095" w:type="dxa"/>
            <w:noWrap/>
            <w:vAlign w:val="bottom"/>
            <w:hideMark/>
          </w:tcPr>
          <w:p w:rsidR="005272A1" w:rsidRDefault="005272A1">
            <w:pPr>
              <w:spacing w:line="256" w:lineRule="auto"/>
              <w:jc w:val="right"/>
              <w:rPr>
                <w:lang w:eastAsia="en-GB"/>
              </w:rPr>
            </w:pPr>
            <w:r>
              <w:rPr>
                <w:lang w:eastAsia="en-GB"/>
              </w:rPr>
              <w:t>58</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57</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(1)</w:t>
            </w:r>
          </w:p>
        </w:tc>
      </w:tr>
      <w:tr w:rsidR="005272A1" w:rsidTr="00A200D5">
        <w:trPr>
          <w:trHeight w:val="253"/>
          <w:jc w:val="center"/>
        </w:trPr>
        <w:tc>
          <w:tcPr>
            <w:tcW w:w="4646" w:type="dxa"/>
            <w:tcBorders>
              <w:top w:val="nil"/>
              <w:left w:val="single" w:sz="4" w:space="0" w:color="auto"/>
              <w:bottom w:val="single" w:sz="4" w:space="0" w:color="auto"/>
              <w:right w:val="single" w:sz="4" w:space="0" w:color="auto"/>
            </w:tcBorders>
            <w:noWrap/>
            <w:vAlign w:val="bottom"/>
            <w:hideMark/>
          </w:tcPr>
          <w:p w:rsidR="005272A1" w:rsidRDefault="005272A1">
            <w:pPr>
              <w:spacing w:line="256" w:lineRule="auto"/>
              <w:rPr>
                <w:lang w:eastAsia="en-GB"/>
              </w:rPr>
            </w:pPr>
            <w:r>
              <w:rPr>
                <w:lang w:eastAsia="en-GB"/>
              </w:rPr>
              <w:t>Victim Services</w:t>
            </w:r>
          </w:p>
        </w:tc>
        <w:tc>
          <w:tcPr>
            <w:tcW w:w="1095" w:type="dxa"/>
            <w:tcBorders>
              <w:top w:val="nil"/>
              <w:left w:val="nil"/>
              <w:bottom w:val="single" w:sz="4" w:space="0" w:color="auto"/>
              <w:right w:val="nil"/>
            </w:tcBorders>
            <w:noWrap/>
            <w:vAlign w:val="bottom"/>
            <w:hideMark/>
          </w:tcPr>
          <w:p w:rsidR="005272A1" w:rsidRDefault="005272A1">
            <w:pPr>
              <w:spacing w:line="256" w:lineRule="auto"/>
              <w:jc w:val="right"/>
              <w:rPr>
                <w:lang w:eastAsia="en-GB"/>
              </w:rPr>
            </w:pPr>
            <w:r>
              <w:rPr>
                <w:lang w:eastAsia="en-GB"/>
              </w:rPr>
              <w:t>1,395</w:t>
            </w:r>
          </w:p>
        </w:tc>
        <w:tc>
          <w:tcPr>
            <w:tcW w:w="1095" w:type="dxa"/>
            <w:tcBorders>
              <w:top w:val="nil"/>
              <w:left w:val="single" w:sz="4" w:space="0" w:color="auto"/>
              <w:bottom w:val="single" w:sz="4" w:space="0" w:color="auto"/>
              <w:right w:val="single" w:sz="4" w:space="0" w:color="auto"/>
            </w:tcBorders>
            <w:noWrap/>
            <w:vAlign w:val="bottom"/>
            <w:hideMark/>
          </w:tcPr>
          <w:p w:rsidR="005272A1" w:rsidRDefault="005272A1">
            <w:pPr>
              <w:spacing w:line="256" w:lineRule="auto"/>
              <w:jc w:val="right"/>
              <w:rPr>
                <w:lang w:eastAsia="en-GB"/>
              </w:rPr>
            </w:pPr>
            <w:r>
              <w:rPr>
                <w:lang w:eastAsia="en-GB"/>
              </w:rPr>
              <w:t>1,411</w:t>
            </w:r>
          </w:p>
        </w:tc>
        <w:tc>
          <w:tcPr>
            <w:tcW w:w="1295" w:type="dxa"/>
            <w:tcBorders>
              <w:top w:val="nil"/>
              <w:left w:val="nil"/>
              <w:bottom w:val="single" w:sz="4" w:space="0" w:color="auto"/>
              <w:right w:val="single" w:sz="4" w:space="0" w:color="auto"/>
            </w:tcBorders>
            <w:noWrap/>
            <w:vAlign w:val="bottom"/>
            <w:hideMark/>
          </w:tcPr>
          <w:p w:rsidR="005272A1" w:rsidRDefault="005272A1">
            <w:pPr>
              <w:spacing w:line="256" w:lineRule="auto"/>
              <w:jc w:val="right"/>
              <w:rPr>
                <w:lang w:eastAsia="en-GB"/>
              </w:rPr>
            </w:pPr>
            <w:r>
              <w:rPr>
                <w:lang w:eastAsia="en-GB"/>
              </w:rPr>
              <w:t>16</w:t>
            </w:r>
          </w:p>
        </w:tc>
      </w:tr>
      <w:tr w:rsidR="005272A1" w:rsidTr="00A200D5">
        <w:trPr>
          <w:trHeight w:val="253"/>
          <w:jc w:val="center"/>
        </w:trPr>
        <w:tc>
          <w:tcPr>
            <w:tcW w:w="4646" w:type="dxa"/>
            <w:tcBorders>
              <w:top w:val="nil"/>
              <w:left w:val="single" w:sz="4" w:space="0" w:color="auto"/>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Gross expenditure for the PCC</w:t>
            </w:r>
          </w:p>
        </w:tc>
        <w:tc>
          <w:tcPr>
            <w:tcW w:w="1095" w:type="dxa"/>
            <w:tcBorders>
              <w:top w:val="nil"/>
              <w:left w:val="nil"/>
              <w:bottom w:val="single" w:sz="4" w:space="0" w:color="auto"/>
              <w:right w:val="nil"/>
            </w:tcBorders>
            <w:noWrap/>
            <w:vAlign w:val="bottom"/>
            <w:hideMark/>
          </w:tcPr>
          <w:p w:rsidR="005272A1" w:rsidRDefault="005272A1">
            <w:pPr>
              <w:spacing w:line="256" w:lineRule="auto"/>
              <w:jc w:val="right"/>
              <w:rPr>
                <w:b/>
                <w:lang w:eastAsia="en-GB"/>
              </w:rPr>
            </w:pPr>
            <w:r>
              <w:rPr>
                <w:b/>
                <w:lang w:eastAsia="en-GB"/>
              </w:rPr>
              <w:t>3,487</w:t>
            </w:r>
          </w:p>
        </w:tc>
        <w:tc>
          <w:tcPr>
            <w:tcW w:w="1095" w:type="dxa"/>
            <w:tcBorders>
              <w:top w:val="nil"/>
              <w:left w:val="single" w:sz="4" w:space="0" w:color="auto"/>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3,467</w:t>
            </w:r>
          </w:p>
        </w:tc>
        <w:tc>
          <w:tcPr>
            <w:tcW w:w="1295" w:type="dxa"/>
            <w:tcBorders>
              <w:top w:val="nil"/>
              <w:left w:val="nil"/>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(20)</w:t>
            </w:r>
          </w:p>
        </w:tc>
      </w:tr>
      <w:tr w:rsidR="005272A1" w:rsidTr="00A200D5">
        <w:trPr>
          <w:trHeight w:val="253"/>
          <w:jc w:val="center"/>
        </w:trPr>
        <w:tc>
          <w:tcPr>
            <w:tcW w:w="4646" w:type="dxa"/>
            <w:tcBorders>
              <w:top w:val="single" w:sz="4" w:space="0" w:color="auto"/>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Less Grants for Victim’s Services</w:t>
            </w:r>
          </w:p>
        </w:tc>
        <w:tc>
          <w:tcPr>
            <w:tcW w:w="1095" w:type="dxa"/>
            <w:tcBorders>
              <w:top w:val="single" w:sz="4" w:space="0" w:color="auto"/>
              <w:left w:val="nil"/>
              <w:bottom w:val="nil"/>
              <w:right w:val="nil"/>
            </w:tcBorders>
            <w:noWrap/>
            <w:vAlign w:val="bottom"/>
            <w:hideMark/>
          </w:tcPr>
          <w:p w:rsidR="005272A1" w:rsidRDefault="005272A1">
            <w:pPr>
              <w:spacing w:line="256" w:lineRule="auto"/>
              <w:jc w:val="right"/>
              <w:rPr>
                <w:lang w:eastAsia="en-GB"/>
              </w:rPr>
            </w:pPr>
            <w:r>
              <w:rPr>
                <w:lang w:eastAsia="en-GB"/>
              </w:rPr>
              <w:t>(1,369)</w:t>
            </w:r>
          </w:p>
        </w:tc>
        <w:tc>
          <w:tcPr>
            <w:tcW w:w="1095" w:type="dxa"/>
            <w:tcBorders>
              <w:top w:val="single" w:sz="4" w:space="0" w:color="auto"/>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(1,369)</w:t>
            </w:r>
          </w:p>
        </w:tc>
        <w:tc>
          <w:tcPr>
            <w:tcW w:w="1295" w:type="dxa"/>
            <w:tcBorders>
              <w:top w:val="single" w:sz="4" w:space="0" w:color="auto"/>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0</w:t>
            </w:r>
          </w:p>
        </w:tc>
      </w:tr>
      <w:tr w:rsidR="005272A1" w:rsidTr="00A200D5">
        <w:trPr>
          <w:trHeight w:val="182"/>
          <w:jc w:val="center"/>
        </w:trPr>
        <w:tc>
          <w:tcPr>
            <w:tcW w:w="4646"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Net Expenditure owned by the PCC</w:t>
            </w:r>
          </w:p>
        </w:tc>
        <w:tc>
          <w:tcPr>
            <w:tcW w:w="1095" w:type="dxa"/>
            <w:tcBorders>
              <w:top w:val="single" w:sz="4" w:space="0" w:color="auto"/>
              <w:left w:val="nil"/>
              <w:bottom w:val="single" w:sz="4" w:space="0" w:color="auto"/>
              <w:right w:val="nil"/>
            </w:tcBorders>
            <w:noWrap/>
            <w:vAlign w:val="bottom"/>
            <w:hideMark/>
          </w:tcPr>
          <w:p w:rsidR="005272A1" w:rsidRDefault="005272A1">
            <w:pPr>
              <w:spacing w:line="256" w:lineRule="auto"/>
              <w:jc w:val="right"/>
              <w:rPr>
                <w:b/>
                <w:lang w:eastAsia="en-GB"/>
              </w:rPr>
            </w:pPr>
            <w:r>
              <w:rPr>
                <w:b/>
                <w:lang w:eastAsia="en-GB"/>
              </w:rPr>
              <w:t>2,118</w:t>
            </w:r>
          </w:p>
        </w:tc>
        <w:tc>
          <w:tcPr>
            <w:tcW w:w="1095"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2,098</w:t>
            </w:r>
          </w:p>
        </w:tc>
        <w:tc>
          <w:tcPr>
            <w:tcW w:w="1295" w:type="dxa"/>
            <w:tcBorders>
              <w:top w:val="single" w:sz="4" w:space="0" w:color="auto"/>
              <w:left w:val="nil"/>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(20)</w:t>
            </w:r>
          </w:p>
        </w:tc>
      </w:tr>
    </w:tbl>
    <w:p w:rsidR="005272A1" w:rsidRDefault="005272A1" w:rsidP="005272A1">
      <w:pPr>
        <w:jc w:val="both"/>
        <w:rPr>
          <w:highlight w:val="yellow"/>
        </w:rPr>
      </w:pPr>
      <w:r>
        <w:rPr>
          <w:rFonts w:cs="Arial"/>
          <w:b/>
          <w:bCs/>
          <w:color w:val="FFFFFF"/>
        </w:rPr>
        <w:t>Net Revenue Position (Under)/ Overspend 0 (9,961) (9,961)</w:t>
      </w:r>
    </w:p>
    <w:p w:rsidR="005272A1" w:rsidRPr="00A200D5" w:rsidRDefault="005272A1" w:rsidP="005272A1">
      <w:pPr>
        <w:autoSpaceDE w:val="0"/>
        <w:autoSpaceDN w:val="0"/>
        <w:adjustRightInd w:val="0"/>
        <w:rPr>
          <w:rFonts w:cs="Arial"/>
          <w:b/>
          <w:bCs/>
          <w:color w:val="000000"/>
        </w:rPr>
      </w:pPr>
      <w:r w:rsidRPr="00A200D5">
        <w:rPr>
          <w:rFonts w:cs="Arial"/>
          <w:b/>
          <w:bCs/>
          <w:color w:val="000000"/>
        </w:rPr>
        <w:t>PCC Group Level</w:t>
      </w:r>
    </w:p>
    <w:p w:rsidR="005272A1" w:rsidRDefault="005272A1" w:rsidP="005272A1">
      <w:pPr>
        <w:jc w:val="both"/>
      </w:pPr>
    </w:p>
    <w:p w:rsidR="005272A1" w:rsidRDefault="005272A1" w:rsidP="005272A1">
      <w:pPr>
        <w:jc w:val="both"/>
      </w:pPr>
      <w:r>
        <w:t>The table below provides a high level comparison between the approved budget for 2019/20 and actual expenditure at the Group Level (i.e. PCC and Chief Constable), and shows at a Group level an overall underspend for the year of £1.4m against a budget of £235.1m.</w:t>
      </w:r>
    </w:p>
    <w:p w:rsidR="005272A1" w:rsidRDefault="005272A1" w:rsidP="005272A1">
      <w:pPr>
        <w:jc w:val="both"/>
      </w:pPr>
    </w:p>
    <w:tbl>
      <w:tblPr>
        <w:tblW w:w="7890" w:type="dxa"/>
        <w:jc w:val="center"/>
        <w:tblLook w:val="04A0" w:firstRow="1" w:lastRow="0" w:firstColumn="1" w:lastColumn="0" w:noHBand="0" w:noVBand="1"/>
      </w:tblPr>
      <w:tblGrid>
        <w:gridCol w:w="4504"/>
        <w:gridCol w:w="996"/>
        <w:gridCol w:w="1095"/>
        <w:gridCol w:w="1295"/>
      </w:tblGrid>
      <w:tr w:rsidR="005272A1" w:rsidTr="00A200D5">
        <w:trPr>
          <w:trHeight w:val="253"/>
          <w:jc w:val="center"/>
        </w:trPr>
        <w:tc>
          <w:tcPr>
            <w:tcW w:w="4504"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Outturn 2019/20</w:t>
            </w:r>
          </w:p>
        </w:tc>
        <w:tc>
          <w:tcPr>
            <w:tcW w:w="996" w:type="dxa"/>
            <w:tcBorders>
              <w:top w:val="single" w:sz="4" w:space="0" w:color="auto"/>
              <w:left w:val="nil"/>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Actual</w:t>
            </w:r>
          </w:p>
          <w:p w:rsidR="005272A1" w:rsidRDefault="005272A1">
            <w:pPr>
              <w:spacing w:line="256" w:lineRule="auto"/>
              <w:rPr>
                <w:b/>
                <w:lang w:eastAsia="en-GB"/>
              </w:rPr>
            </w:pPr>
            <w:r>
              <w:rPr>
                <w:b/>
                <w:lang w:eastAsia="en-GB"/>
              </w:rPr>
              <w:t xml:space="preserve">£000 </w:t>
            </w:r>
          </w:p>
        </w:tc>
        <w:tc>
          <w:tcPr>
            <w:tcW w:w="1095" w:type="dxa"/>
            <w:tcBorders>
              <w:top w:val="single" w:sz="4" w:space="0" w:color="auto"/>
              <w:left w:val="nil"/>
              <w:bottom w:val="single" w:sz="4" w:space="0" w:color="auto"/>
              <w:right w:val="nil"/>
            </w:tcBorders>
            <w:noWrap/>
            <w:vAlign w:val="bottom"/>
            <w:hideMark/>
          </w:tcPr>
          <w:p w:rsidR="005272A1" w:rsidRDefault="005272A1">
            <w:pPr>
              <w:spacing w:line="256" w:lineRule="auto"/>
              <w:rPr>
                <w:b/>
                <w:lang w:eastAsia="en-GB"/>
              </w:rPr>
            </w:pPr>
            <w:r>
              <w:rPr>
                <w:b/>
                <w:lang w:eastAsia="en-GB"/>
              </w:rPr>
              <w:t>Budget</w:t>
            </w:r>
          </w:p>
          <w:p w:rsidR="005272A1" w:rsidRDefault="005272A1">
            <w:pPr>
              <w:spacing w:line="256" w:lineRule="auto"/>
              <w:rPr>
                <w:b/>
                <w:lang w:eastAsia="en-GB"/>
              </w:rPr>
            </w:pPr>
            <w:r>
              <w:rPr>
                <w:b/>
                <w:lang w:eastAsia="en-GB"/>
              </w:rPr>
              <w:t xml:space="preserve">£000 </w:t>
            </w:r>
          </w:p>
        </w:tc>
        <w:tc>
          <w:tcPr>
            <w:tcW w:w="1295"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Variance</w:t>
            </w:r>
          </w:p>
          <w:p w:rsidR="005272A1" w:rsidRDefault="005272A1">
            <w:pPr>
              <w:spacing w:line="256" w:lineRule="auto"/>
              <w:rPr>
                <w:b/>
                <w:lang w:eastAsia="en-GB"/>
              </w:rPr>
            </w:pPr>
            <w:r>
              <w:rPr>
                <w:b/>
                <w:lang w:eastAsia="en-GB"/>
              </w:rPr>
              <w:t>£000</w:t>
            </w:r>
          </w:p>
        </w:tc>
      </w:tr>
      <w:tr w:rsidR="005272A1" w:rsidTr="00A200D5">
        <w:trPr>
          <w:trHeight w:val="253"/>
          <w:jc w:val="center"/>
        </w:trPr>
        <w:tc>
          <w:tcPr>
            <w:tcW w:w="4504" w:type="dxa"/>
            <w:tcBorders>
              <w:top w:val="single" w:sz="4" w:space="0" w:color="auto"/>
              <w:left w:val="single" w:sz="4" w:space="0" w:color="auto"/>
              <w:bottom w:val="nil"/>
              <w:right w:val="single" w:sz="4" w:space="0" w:color="auto"/>
            </w:tcBorders>
            <w:noWrap/>
            <w:vAlign w:val="bottom"/>
            <w:hideMark/>
          </w:tcPr>
          <w:p w:rsidR="005272A1" w:rsidRDefault="005272A1">
            <w:pPr>
              <w:spacing w:line="256" w:lineRule="auto"/>
              <w:rPr>
                <w:i/>
                <w:lang w:eastAsia="en-GB"/>
              </w:rPr>
            </w:pPr>
            <w:r>
              <w:rPr>
                <w:i/>
                <w:lang w:eastAsia="en-GB"/>
              </w:rPr>
              <w:t>Police Payroll</w:t>
            </w:r>
          </w:p>
        </w:tc>
        <w:tc>
          <w:tcPr>
            <w:tcW w:w="996" w:type="dxa"/>
            <w:noWrap/>
            <w:vAlign w:val="bottom"/>
            <w:hideMark/>
          </w:tcPr>
          <w:p w:rsidR="005272A1" w:rsidRDefault="005272A1">
            <w:pPr>
              <w:spacing w:line="256" w:lineRule="auto"/>
              <w:jc w:val="right"/>
              <w:rPr>
                <w:i/>
                <w:lang w:eastAsia="en-GB"/>
              </w:rPr>
            </w:pPr>
            <w:r>
              <w:rPr>
                <w:i/>
                <w:lang w:eastAsia="en-GB"/>
              </w:rPr>
              <w:t>111.0</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110.8</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0.2</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i/>
                <w:lang w:eastAsia="en-GB"/>
              </w:rPr>
            </w:pPr>
            <w:r>
              <w:rPr>
                <w:i/>
                <w:lang w:eastAsia="en-GB"/>
              </w:rPr>
              <w:t>Police Overtime</w:t>
            </w:r>
          </w:p>
        </w:tc>
        <w:tc>
          <w:tcPr>
            <w:tcW w:w="996" w:type="dxa"/>
            <w:noWrap/>
            <w:vAlign w:val="bottom"/>
            <w:hideMark/>
          </w:tcPr>
          <w:p w:rsidR="005272A1" w:rsidRDefault="005272A1">
            <w:pPr>
              <w:spacing w:line="256" w:lineRule="auto"/>
              <w:jc w:val="right"/>
              <w:rPr>
                <w:i/>
                <w:lang w:eastAsia="en-GB"/>
              </w:rPr>
            </w:pPr>
            <w:r>
              <w:rPr>
                <w:i/>
                <w:lang w:eastAsia="en-GB"/>
              </w:rPr>
              <w:t>4.8</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3.5</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1.3</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i/>
                <w:lang w:eastAsia="en-GB"/>
              </w:rPr>
            </w:pPr>
            <w:r>
              <w:rPr>
                <w:i/>
                <w:lang w:eastAsia="en-GB"/>
              </w:rPr>
              <w:t>Staff Payroll</w:t>
            </w:r>
          </w:p>
        </w:tc>
        <w:tc>
          <w:tcPr>
            <w:tcW w:w="996" w:type="dxa"/>
            <w:noWrap/>
            <w:vAlign w:val="bottom"/>
            <w:hideMark/>
          </w:tcPr>
          <w:p w:rsidR="005272A1" w:rsidRDefault="005272A1">
            <w:pPr>
              <w:spacing w:line="256" w:lineRule="auto"/>
              <w:jc w:val="right"/>
              <w:rPr>
                <w:i/>
                <w:lang w:eastAsia="en-GB"/>
              </w:rPr>
            </w:pPr>
            <w:r>
              <w:rPr>
                <w:i/>
                <w:lang w:eastAsia="en-GB"/>
              </w:rPr>
              <w:t>65.9</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69.6</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(3.7)</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i/>
                <w:lang w:eastAsia="en-GB"/>
              </w:rPr>
            </w:pPr>
            <w:r>
              <w:rPr>
                <w:i/>
                <w:lang w:eastAsia="en-GB"/>
              </w:rPr>
              <w:t>Staff Overtime</w:t>
            </w:r>
          </w:p>
        </w:tc>
        <w:tc>
          <w:tcPr>
            <w:tcW w:w="996" w:type="dxa"/>
            <w:noWrap/>
            <w:vAlign w:val="bottom"/>
            <w:hideMark/>
          </w:tcPr>
          <w:p w:rsidR="005272A1" w:rsidRDefault="005272A1">
            <w:pPr>
              <w:spacing w:line="256" w:lineRule="auto"/>
              <w:jc w:val="right"/>
              <w:rPr>
                <w:i/>
                <w:lang w:eastAsia="en-GB"/>
              </w:rPr>
            </w:pPr>
            <w:r>
              <w:rPr>
                <w:i/>
                <w:lang w:eastAsia="en-GB"/>
              </w:rPr>
              <w:t>1.5</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1.1</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0.4</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i/>
                <w:lang w:eastAsia="en-GB"/>
              </w:rPr>
            </w:pPr>
            <w:r>
              <w:rPr>
                <w:i/>
                <w:lang w:eastAsia="en-GB"/>
              </w:rPr>
              <w:t>Agency</w:t>
            </w:r>
          </w:p>
        </w:tc>
        <w:tc>
          <w:tcPr>
            <w:tcW w:w="996" w:type="dxa"/>
            <w:noWrap/>
            <w:vAlign w:val="bottom"/>
            <w:hideMark/>
          </w:tcPr>
          <w:p w:rsidR="005272A1" w:rsidRDefault="005272A1">
            <w:pPr>
              <w:spacing w:line="256" w:lineRule="auto"/>
              <w:jc w:val="right"/>
              <w:rPr>
                <w:i/>
                <w:lang w:eastAsia="en-GB"/>
              </w:rPr>
            </w:pPr>
            <w:r>
              <w:rPr>
                <w:i/>
                <w:lang w:eastAsia="en-GB"/>
              </w:rPr>
              <w:t>2.0</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1.4</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0.6</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i/>
                <w:lang w:eastAsia="en-GB"/>
              </w:rPr>
            </w:pPr>
            <w:r>
              <w:rPr>
                <w:i/>
                <w:lang w:eastAsia="en-GB"/>
              </w:rPr>
              <w:t>Training</w:t>
            </w:r>
          </w:p>
        </w:tc>
        <w:tc>
          <w:tcPr>
            <w:tcW w:w="996" w:type="dxa"/>
            <w:noWrap/>
            <w:vAlign w:val="bottom"/>
            <w:hideMark/>
          </w:tcPr>
          <w:p w:rsidR="005272A1" w:rsidRDefault="005272A1">
            <w:pPr>
              <w:spacing w:line="256" w:lineRule="auto"/>
              <w:jc w:val="right"/>
              <w:rPr>
                <w:i/>
                <w:lang w:eastAsia="en-GB"/>
              </w:rPr>
            </w:pPr>
            <w:r>
              <w:rPr>
                <w:i/>
                <w:lang w:eastAsia="en-GB"/>
              </w:rPr>
              <w:t>1.5</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1.3</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i/>
                <w:lang w:eastAsia="en-GB"/>
              </w:rPr>
            </w:pPr>
            <w:r>
              <w:rPr>
                <w:i/>
                <w:lang w:eastAsia="en-GB"/>
              </w:rPr>
              <w:t>0.2</w:t>
            </w:r>
          </w:p>
        </w:tc>
      </w:tr>
      <w:tr w:rsidR="005272A1" w:rsidTr="00A200D5">
        <w:trPr>
          <w:trHeight w:val="253"/>
          <w:jc w:val="center"/>
        </w:trPr>
        <w:tc>
          <w:tcPr>
            <w:tcW w:w="4504" w:type="dxa"/>
            <w:tcBorders>
              <w:top w:val="nil"/>
              <w:left w:val="single" w:sz="4" w:space="0" w:color="auto"/>
              <w:bottom w:val="single" w:sz="4" w:space="0" w:color="auto"/>
              <w:right w:val="single" w:sz="4" w:space="0" w:color="auto"/>
            </w:tcBorders>
            <w:noWrap/>
            <w:vAlign w:val="bottom"/>
            <w:hideMark/>
          </w:tcPr>
          <w:p w:rsidR="005272A1" w:rsidRDefault="005272A1">
            <w:pPr>
              <w:spacing w:line="256" w:lineRule="auto"/>
              <w:rPr>
                <w:i/>
                <w:lang w:eastAsia="en-GB"/>
              </w:rPr>
            </w:pPr>
            <w:r>
              <w:rPr>
                <w:i/>
                <w:lang w:eastAsia="en-GB"/>
              </w:rPr>
              <w:t>Other Payroll Costs</w:t>
            </w:r>
          </w:p>
        </w:tc>
        <w:tc>
          <w:tcPr>
            <w:tcW w:w="996" w:type="dxa"/>
            <w:tcBorders>
              <w:top w:val="nil"/>
              <w:left w:val="nil"/>
              <w:bottom w:val="single" w:sz="4" w:space="0" w:color="auto"/>
              <w:right w:val="nil"/>
            </w:tcBorders>
            <w:noWrap/>
            <w:vAlign w:val="bottom"/>
            <w:hideMark/>
          </w:tcPr>
          <w:p w:rsidR="005272A1" w:rsidRDefault="005272A1">
            <w:pPr>
              <w:spacing w:line="256" w:lineRule="auto"/>
              <w:jc w:val="right"/>
              <w:rPr>
                <w:i/>
                <w:lang w:eastAsia="en-GB"/>
              </w:rPr>
            </w:pPr>
            <w:r>
              <w:rPr>
                <w:i/>
                <w:lang w:eastAsia="en-GB"/>
              </w:rPr>
              <w:t>4.3</w:t>
            </w:r>
          </w:p>
        </w:tc>
        <w:tc>
          <w:tcPr>
            <w:tcW w:w="1095" w:type="dxa"/>
            <w:tcBorders>
              <w:top w:val="nil"/>
              <w:left w:val="single" w:sz="4" w:space="0" w:color="auto"/>
              <w:bottom w:val="single" w:sz="4" w:space="0" w:color="auto"/>
              <w:right w:val="single" w:sz="4" w:space="0" w:color="auto"/>
            </w:tcBorders>
            <w:noWrap/>
            <w:vAlign w:val="bottom"/>
            <w:hideMark/>
          </w:tcPr>
          <w:p w:rsidR="005272A1" w:rsidRDefault="005272A1">
            <w:pPr>
              <w:spacing w:line="256" w:lineRule="auto"/>
              <w:jc w:val="right"/>
              <w:rPr>
                <w:i/>
                <w:lang w:eastAsia="en-GB"/>
              </w:rPr>
            </w:pPr>
            <w:r>
              <w:rPr>
                <w:i/>
                <w:lang w:eastAsia="en-GB"/>
              </w:rPr>
              <w:t>4.1</w:t>
            </w:r>
          </w:p>
        </w:tc>
        <w:tc>
          <w:tcPr>
            <w:tcW w:w="1295" w:type="dxa"/>
            <w:tcBorders>
              <w:top w:val="nil"/>
              <w:left w:val="nil"/>
              <w:bottom w:val="single" w:sz="4" w:space="0" w:color="auto"/>
              <w:right w:val="single" w:sz="4" w:space="0" w:color="auto"/>
            </w:tcBorders>
            <w:noWrap/>
            <w:vAlign w:val="bottom"/>
            <w:hideMark/>
          </w:tcPr>
          <w:p w:rsidR="005272A1" w:rsidRDefault="005272A1">
            <w:pPr>
              <w:spacing w:line="256" w:lineRule="auto"/>
              <w:jc w:val="right"/>
              <w:rPr>
                <w:i/>
                <w:lang w:eastAsia="en-GB"/>
              </w:rPr>
            </w:pPr>
            <w:r>
              <w:rPr>
                <w:i/>
                <w:lang w:eastAsia="en-GB"/>
              </w:rPr>
              <w:t>0.2</w:t>
            </w:r>
          </w:p>
        </w:tc>
      </w:tr>
      <w:tr w:rsidR="005272A1" w:rsidTr="00A200D5">
        <w:trPr>
          <w:trHeight w:val="253"/>
          <w:jc w:val="center"/>
        </w:trPr>
        <w:tc>
          <w:tcPr>
            <w:tcW w:w="4504" w:type="dxa"/>
            <w:tcBorders>
              <w:top w:val="single" w:sz="4" w:space="0" w:color="auto"/>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Total Employee Costs</w:t>
            </w:r>
          </w:p>
        </w:tc>
        <w:tc>
          <w:tcPr>
            <w:tcW w:w="996" w:type="dxa"/>
            <w:tcBorders>
              <w:top w:val="single" w:sz="4" w:space="0" w:color="auto"/>
              <w:left w:val="nil"/>
              <w:bottom w:val="nil"/>
              <w:right w:val="nil"/>
            </w:tcBorders>
            <w:noWrap/>
            <w:vAlign w:val="bottom"/>
            <w:hideMark/>
          </w:tcPr>
          <w:p w:rsidR="005272A1" w:rsidRDefault="005272A1">
            <w:pPr>
              <w:spacing w:line="256" w:lineRule="auto"/>
              <w:jc w:val="right"/>
              <w:rPr>
                <w:lang w:eastAsia="en-GB"/>
              </w:rPr>
            </w:pPr>
            <w:r>
              <w:rPr>
                <w:lang w:eastAsia="en-GB"/>
              </w:rPr>
              <w:t>191.0</w:t>
            </w:r>
          </w:p>
        </w:tc>
        <w:tc>
          <w:tcPr>
            <w:tcW w:w="1095" w:type="dxa"/>
            <w:tcBorders>
              <w:top w:val="single" w:sz="4" w:space="0" w:color="auto"/>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191.8</w:t>
            </w:r>
          </w:p>
        </w:tc>
        <w:tc>
          <w:tcPr>
            <w:tcW w:w="1295" w:type="dxa"/>
            <w:tcBorders>
              <w:top w:val="single" w:sz="4" w:space="0" w:color="auto"/>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(0.8)</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Premises</w:t>
            </w:r>
          </w:p>
        </w:tc>
        <w:tc>
          <w:tcPr>
            <w:tcW w:w="996" w:type="dxa"/>
            <w:noWrap/>
            <w:vAlign w:val="bottom"/>
            <w:hideMark/>
          </w:tcPr>
          <w:p w:rsidR="005272A1" w:rsidRDefault="005272A1">
            <w:pPr>
              <w:spacing w:line="256" w:lineRule="auto"/>
              <w:jc w:val="right"/>
              <w:rPr>
                <w:lang w:eastAsia="en-GB"/>
              </w:rPr>
            </w:pPr>
            <w:r>
              <w:rPr>
                <w:lang w:eastAsia="en-GB"/>
              </w:rPr>
              <w:t>12.7</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10.8</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1.9</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Transport</w:t>
            </w:r>
          </w:p>
        </w:tc>
        <w:tc>
          <w:tcPr>
            <w:tcW w:w="996" w:type="dxa"/>
            <w:noWrap/>
            <w:vAlign w:val="bottom"/>
            <w:hideMark/>
          </w:tcPr>
          <w:p w:rsidR="005272A1" w:rsidRDefault="005272A1">
            <w:pPr>
              <w:spacing w:line="256" w:lineRule="auto"/>
              <w:jc w:val="right"/>
              <w:rPr>
                <w:lang w:eastAsia="en-GB"/>
              </w:rPr>
            </w:pPr>
            <w:r>
              <w:rPr>
                <w:lang w:eastAsia="en-GB"/>
              </w:rPr>
              <w:t>6.1</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5.1</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1.0</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Supplies and Services</w:t>
            </w:r>
          </w:p>
        </w:tc>
        <w:tc>
          <w:tcPr>
            <w:tcW w:w="996" w:type="dxa"/>
            <w:noWrap/>
            <w:vAlign w:val="bottom"/>
            <w:hideMark/>
          </w:tcPr>
          <w:p w:rsidR="005272A1" w:rsidRDefault="005272A1">
            <w:pPr>
              <w:spacing w:line="256" w:lineRule="auto"/>
              <w:jc w:val="right"/>
              <w:rPr>
                <w:lang w:eastAsia="en-GB"/>
              </w:rPr>
            </w:pPr>
            <w:r>
              <w:rPr>
                <w:lang w:eastAsia="en-GB"/>
              </w:rPr>
              <w:t>27.3</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30.6</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(3.3)</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Financing</w:t>
            </w:r>
          </w:p>
        </w:tc>
        <w:tc>
          <w:tcPr>
            <w:tcW w:w="996" w:type="dxa"/>
            <w:noWrap/>
            <w:vAlign w:val="bottom"/>
            <w:hideMark/>
          </w:tcPr>
          <w:p w:rsidR="005272A1" w:rsidRDefault="005272A1">
            <w:pPr>
              <w:spacing w:line="256" w:lineRule="auto"/>
              <w:jc w:val="right"/>
              <w:rPr>
                <w:lang w:eastAsia="en-GB"/>
              </w:rPr>
            </w:pPr>
            <w:r>
              <w:rPr>
                <w:lang w:eastAsia="en-GB"/>
              </w:rPr>
              <w:t>7.0</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4.1</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2.9</w:t>
            </w:r>
          </w:p>
        </w:tc>
      </w:tr>
      <w:tr w:rsidR="005272A1" w:rsidTr="00A200D5">
        <w:trPr>
          <w:trHeight w:val="253"/>
          <w:jc w:val="center"/>
        </w:trPr>
        <w:tc>
          <w:tcPr>
            <w:tcW w:w="4504" w:type="dxa"/>
            <w:tcBorders>
              <w:top w:val="nil"/>
              <w:left w:val="single" w:sz="4" w:space="0" w:color="auto"/>
              <w:bottom w:val="nil"/>
              <w:right w:val="single" w:sz="4" w:space="0" w:color="auto"/>
            </w:tcBorders>
            <w:noWrap/>
            <w:vAlign w:val="bottom"/>
            <w:hideMark/>
          </w:tcPr>
          <w:p w:rsidR="005272A1" w:rsidRDefault="005272A1">
            <w:pPr>
              <w:spacing w:line="256" w:lineRule="auto"/>
              <w:rPr>
                <w:lang w:eastAsia="en-GB"/>
              </w:rPr>
            </w:pPr>
            <w:r>
              <w:rPr>
                <w:lang w:eastAsia="en-GB"/>
              </w:rPr>
              <w:t>Income and Grants</w:t>
            </w:r>
          </w:p>
        </w:tc>
        <w:tc>
          <w:tcPr>
            <w:tcW w:w="996" w:type="dxa"/>
            <w:noWrap/>
            <w:vAlign w:val="bottom"/>
            <w:hideMark/>
          </w:tcPr>
          <w:p w:rsidR="005272A1" w:rsidRDefault="005272A1">
            <w:pPr>
              <w:spacing w:line="256" w:lineRule="auto"/>
              <w:jc w:val="right"/>
              <w:rPr>
                <w:lang w:eastAsia="en-GB"/>
              </w:rPr>
            </w:pPr>
            <w:r>
              <w:rPr>
                <w:lang w:eastAsia="en-GB"/>
              </w:rPr>
              <w:t>(12.5)</w:t>
            </w:r>
          </w:p>
        </w:tc>
        <w:tc>
          <w:tcPr>
            <w:tcW w:w="1095" w:type="dxa"/>
            <w:tcBorders>
              <w:top w:val="nil"/>
              <w:left w:val="single" w:sz="4" w:space="0" w:color="auto"/>
              <w:bottom w:val="nil"/>
              <w:right w:val="single" w:sz="4" w:space="0" w:color="auto"/>
            </w:tcBorders>
            <w:noWrap/>
            <w:vAlign w:val="bottom"/>
            <w:hideMark/>
          </w:tcPr>
          <w:p w:rsidR="005272A1" w:rsidRDefault="005272A1">
            <w:pPr>
              <w:spacing w:line="256" w:lineRule="auto"/>
              <w:jc w:val="right"/>
              <w:rPr>
                <w:lang w:eastAsia="en-GB"/>
              </w:rPr>
            </w:pPr>
            <w:r>
              <w:rPr>
                <w:lang w:eastAsia="en-GB"/>
              </w:rPr>
              <w:t>(10.5)</w:t>
            </w:r>
          </w:p>
        </w:tc>
        <w:tc>
          <w:tcPr>
            <w:tcW w:w="1295" w:type="dxa"/>
            <w:tcBorders>
              <w:top w:val="nil"/>
              <w:left w:val="nil"/>
              <w:bottom w:val="nil"/>
              <w:right w:val="single" w:sz="4" w:space="0" w:color="auto"/>
            </w:tcBorders>
            <w:noWrap/>
            <w:vAlign w:val="bottom"/>
            <w:hideMark/>
          </w:tcPr>
          <w:p w:rsidR="005272A1" w:rsidRDefault="005272A1">
            <w:pPr>
              <w:spacing w:line="256" w:lineRule="auto"/>
              <w:jc w:val="right"/>
              <w:rPr>
                <w:lang w:eastAsia="en-GB"/>
              </w:rPr>
            </w:pPr>
            <w:r>
              <w:rPr>
                <w:lang w:eastAsia="en-GB"/>
              </w:rPr>
              <w:t>(2.0)</w:t>
            </w:r>
          </w:p>
        </w:tc>
      </w:tr>
      <w:tr w:rsidR="005272A1" w:rsidTr="00A200D5">
        <w:trPr>
          <w:trHeight w:val="182"/>
          <w:jc w:val="center"/>
        </w:trPr>
        <w:tc>
          <w:tcPr>
            <w:tcW w:w="4504"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Total Chief Constable Costs</w:t>
            </w:r>
          </w:p>
        </w:tc>
        <w:tc>
          <w:tcPr>
            <w:tcW w:w="996" w:type="dxa"/>
            <w:tcBorders>
              <w:top w:val="single" w:sz="4" w:space="0" w:color="auto"/>
              <w:left w:val="nil"/>
              <w:bottom w:val="single" w:sz="4" w:space="0" w:color="auto"/>
              <w:right w:val="nil"/>
            </w:tcBorders>
            <w:noWrap/>
            <w:vAlign w:val="bottom"/>
            <w:hideMark/>
          </w:tcPr>
          <w:p w:rsidR="005272A1" w:rsidRDefault="005272A1">
            <w:pPr>
              <w:spacing w:line="256" w:lineRule="auto"/>
              <w:jc w:val="right"/>
              <w:rPr>
                <w:b/>
                <w:lang w:eastAsia="en-GB"/>
              </w:rPr>
            </w:pPr>
            <w:r>
              <w:rPr>
                <w:b/>
                <w:lang w:eastAsia="en-GB"/>
              </w:rPr>
              <w:t>231.6</w:t>
            </w:r>
          </w:p>
        </w:tc>
        <w:tc>
          <w:tcPr>
            <w:tcW w:w="1095"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231.9</w:t>
            </w:r>
          </w:p>
        </w:tc>
        <w:tc>
          <w:tcPr>
            <w:tcW w:w="1295" w:type="dxa"/>
            <w:tcBorders>
              <w:top w:val="single" w:sz="4" w:space="0" w:color="auto"/>
              <w:left w:val="nil"/>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(0.3)</w:t>
            </w:r>
          </w:p>
        </w:tc>
      </w:tr>
      <w:tr w:rsidR="005272A1" w:rsidTr="00A200D5">
        <w:trPr>
          <w:trHeight w:val="196"/>
          <w:jc w:val="center"/>
        </w:trPr>
        <w:tc>
          <w:tcPr>
            <w:tcW w:w="4504"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PCC Controlled Costs</w:t>
            </w:r>
          </w:p>
        </w:tc>
        <w:tc>
          <w:tcPr>
            <w:tcW w:w="996" w:type="dxa"/>
            <w:tcBorders>
              <w:top w:val="single" w:sz="4" w:space="0" w:color="auto"/>
              <w:left w:val="nil"/>
              <w:bottom w:val="single" w:sz="4" w:space="0" w:color="auto"/>
              <w:right w:val="nil"/>
            </w:tcBorders>
            <w:noWrap/>
            <w:vAlign w:val="bottom"/>
            <w:hideMark/>
          </w:tcPr>
          <w:p w:rsidR="005272A1" w:rsidRDefault="005272A1">
            <w:pPr>
              <w:spacing w:line="256" w:lineRule="auto"/>
              <w:jc w:val="right"/>
              <w:rPr>
                <w:b/>
                <w:lang w:eastAsia="en-GB"/>
              </w:rPr>
            </w:pPr>
            <w:r>
              <w:rPr>
                <w:b/>
                <w:lang w:eastAsia="en-GB"/>
              </w:rPr>
              <w:t xml:space="preserve">     2.1</w:t>
            </w:r>
          </w:p>
        </w:tc>
        <w:tc>
          <w:tcPr>
            <w:tcW w:w="1095"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 xml:space="preserve">     2.1 </w:t>
            </w:r>
          </w:p>
        </w:tc>
        <w:tc>
          <w:tcPr>
            <w:tcW w:w="1295" w:type="dxa"/>
            <w:tcBorders>
              <w:top w:val="single" w:sz="4" w:space="0" w:color="auto"/>
              <w:left w:val="nil"/>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0.0</w:t>
            </w:r>
          </w:p>
        </w:tc>
      </w:tr>
      <w:tr w:rsidR="005272A1" w:rsidTr="00A200D5">
        <w:trPr>
          <w:trHeight w:val="253"/>
          <w:jc w:val="center"/>
        </w:trPr>
        <w:tc>
          <w:tcPr>
            <w:tcW w:w="4504" w:type="dxa"/>
            <w:tcBorders>
              <w:top w:val="nil"/>
              <w:left w:val="single" w:sz="4" w:space="0" w:color="auto"/>
              <w:bottom w:val="single" w:sz="4" w:space="0" w:color="auto"/>
              <w:right w:val="single" w:sz="4" w:space="0" w:color="auto"/>
            </w:tcBorders>
            <w:shd w:val="clear" w:color="auto" w:fill="FFFFCC"/>
            <w:noWrap/>
            <w:vAlign w:val="bottom"/>
            <w:hideMark/>
          </w:tcPr>
          <w:p w:rsidR="005272A1" w:rsidRDefault="005272A1">
            <w:pPr>
              <w:spacing w:line="256" w:lineRule="auto"/>
              <w:rPr>
                <w:b/>
                <w:lang w:eastAsia="en-GB"/>
              </w:rPr>
            </w:pPr>
            <w:r>
              <w:rPr>
                <w:b/>
                <w:lang w:eastAsia="en-GB"/>
              </w:rPr>
              <w:t>Group Expenditure</w:t>
            </w:r>
          </w:p>
        </w:tc>
        <w:tc>
          <w:tcPr>
            <w:tcW w:w="996" w:type="dxa"/>
            <w:tcBorders>
              <w:top w:val="nil"/>
              <w:left w:val="nil"/>
              <w:bottom w:val="single" w:sz="4" w:space="0" w:color="auto"/>
              <w:right w:val="nil"/>
            </w:tcBorders>
            <w:shd w:val="clear" w:color="auto" w:fill="FFFFCC"/>
            <w:noWrap/>
            <w:vAlign w:val="bottom"/>
            <w:hideMark/>
          </w:tcPr>
          <w:p w:rsidR="005272A1" w:rsidRDefault="005272A1">
            <w:pPr>
              <w:spacing w:line="256" w:lineRule="auto"/>
              <w:jc w:val="right"/>
              <w:rPr>
                <w:b/>
                <w:lang w:eastAsia="en-GB"/>
              </w:rPr>
            </w:pPr>
            <w:r>
              <w:rPr>
                <w:b/>
                <w:lang w:eastAsia="en-GB"/>
              </w:rPr>
              <w:t xml:space="preserve">233.7 </w:t>
            </w:r>
          </w:p>
        </w:tc>
        <w:tc>
          <w:tcPr>
            <w:tcW w:w="1095" w:type="dxa"/>
            <w:tcBorders>
              <w:top w:val="nil"/>
              <w:left w:val="single" w:sz="4" w:space="0" w:color="auto"/>
              <w:bottom w:val="single" w:sz="4" w:space="0" w:color="auto"/>
              <w:right w:val="single" w:sz="4" w:space="0" w:color="auto"/>
            </w:tcBorders>
            <w:shd w:val="clear" w:color="auto" w:fill="FFFFCC"/>
            <w:noWrap/>
            <w:vAlign w:val="bottom"/>
            <w:hideMark/>
          </w:tcPr>
          <w:p w:rsidR="005272A1" w:rsidRDefault="005272A1">
            <w:pPr>
              <w:spacing w:line="256" w:lineRule="auto"/>
              <w:jc w:val="right"/>
              <w:rPr>
                <w:b/>
                <w:lang w:eastAsia="en-GB"/>
              </w:rPr>
            </w:pPr>
            <w:r>
              <w:rPr>
                <w:b/>
                <w:lang w:eastAsia="en-GB"/>
              </w:rPr>
              <w:t xml:space="preserve">  234.0</w:t>
            </w:r>
          </w:p>
        </w:tc>
        <w:tc>
          <w:tcPr>
            <w:tcW w:w="1295" w:type="dxa"/>
            <w:tcBorders>
              <w:top w:val="nil"/>
              <w:left w:val="nil"/>
              <w:bottom w:val="single" w:sz="4" w:space="0" w:color="auto"/>
              <w:right w:val="single" w:sz="4" w:space="0" w:color="auto"/>
            </w:tcBorders>
            <w:shd w:val="clear" w:color="auto" w:fill="FFFFCC"/>
            <w:noWrap/>
            <w:vAlign w:val="bottom"/>
            <w:hideMark/>
          </w:tcPr>
          <w:p w:rsidR="005272A1" w:rsidRDefault="005272A1">
            <w:pPr>
              <w:spacing w:line="256" w:lineRule="auto"/>
              <w:jc w:val="right"/>
              <w:rPr>
                <w:b/>
                <w:lang w:eastAsia="en-GB"/>
              </w:rPr>
            </w:pPr>
            <w:r>
              <w:rPr>
                <w:b/>
                <w:lang w:eastAsia="en-GB"/>
              </w:rPr>
              <w:t>(0.3)</w:t>
            </w:r>
          </w:p>
        </w:tc>
      </w:tr>
      <w:tr w:rsidR="005272A1" w:rsidTr="00A200D5">
        <w:trPr>
          <w:trHeight w:val="50"/>
          <w:jc w:val="center"/>
        </w:trPr>
        <w:tc>
          <w:tcPr>
            <w:tcW w:w="4504" w:type="dxa"/>
            <w:tcBorders>
              <w:top w:val="nil"/>
              <w:left w:val="single" w:sz="4" w:space="0" w:color="auto"/>
              <w:bottom w:val="single" w:sz="4" w:space="0" w:color="auto"/>
              <w:right w:val="single" w:sz="4" w:space="0" w:color="auto"/>
            </w:tcBorders>
            <w:noWrap/>
            <w:vAlign w:val="bottom"/>
            <w:hideMark/>
          </w:tcPr>
          <w:p w:rsidR="005272A1" w:rsidRDefault="005272A1">
            <w:pPr>
              <w:spacing w:line="256" w:lineRule="auto"/>
              <w:rPr>
                <w:lang w:eastAsia="en-GB"/>
              </w:rPr>
            </w:pPr>
            <w:r>
              <w:rPr>
                <w:lang w:eastAsia="en-GB"/>
              </w:rPr>
              <w:t xml:space="preserve">Use of reserves </w:t>
            </w:r>
          </w:p>
        </w:tc>
        <w:tc>
          <w:tcPr>
            <w:tcW w:w="996" w:type="dxa"/>
            <w:tcBorders>
              <w:top w:val="nil"/>
              <w:left w:val="nil"/>
              <w:bottom w:val="single" w:sz="4" w:space="0" w:color="auto"/>
              <w:right w:val="single" w:sz="4" w:space="0" w:color="auto"/>
            </w:tcBorders>
            <w:noWrap/>
            <w:vAlign w:val="bottom"/>
            <w:hideMark/>
          </w:tcPr>
          <w:p w:rsidR="005272A1" w:rsidRDefault="005272A1">
            <w:pPr>
              <w:spacing w:line="256" w:lineRule="auto"/>
              <w:jc w:val="right"/>
              <w:rPr>
                <w:lang w:eastAsia="en-GB"/>
              </w:rPr>
            </w:pPr>
            <w:r>
              <w:rPr>
                <w:lang w:eastAsia="en-GB"/>
              </w:rPr>
              <w:t>0.0</w:t>
            </w:r>
          </w:p>
        </w:tc>
        <w:tc>
          <w:tcPr>
            <w:tcW w:w="1095" w:type="dxa"/>
            <w:tcBorders>
              <w:top w:val="nil"/>
              <w:left w:val="nil"/>
              <w:bottom w:val="single" w:sz="4" w:space="0" w:color="auto"/>
              <w:right w:val="single" w:sz="4" w:space="0" w:color="auto"/>
            </w:tcBorders>
            <w:noWrap/>
            <w:vAlign w:val="bottom"/>
            <w:hideMark/>
          </w:tcPr>
          <w:p w:rsidR="005272A1" w:rsidRDefault="005272A1">
            <w:pPr>
              <w:spacing w:line="256" w:lineRule="auto"/>
              <w:jc w:val="right"/>
              <w:rPr>
                <w:lang w:eastAsia="en-GB"/>
              </w:rPr>
            </w:pPr>
            <w:r>
              <w:rPr>
                <w:lang w:eastAsia="en-GB"/>
              </w:rPr>
              <w:t>1.1</w:t>
            </w:r>
          </w:p>
        </w:tc>
        <w:tc>
          <w:tcPr>
            <w:tcW w:w="1295" w:type="dxa"/>
            <w:tcBorders>
              <w:top w:val="nil"/>
              <w:left w:val="nil"/>
              <w:bottom w:val="single" w:sz="4" w:space="0" w:color="auto"/>
              <w:right w:val="single" w:sz="4" w:space="0" w:color="auto"/>
            </w:tcBorders>
            <w:noWrap/>
            <w:vAlign w:val="bottom"/>
            <w:hideMark/>
          </w:tcPr>
          <w:p w:rsidR="005272A1" w:rsidRDefault="005272A1">
            <w:pPr>
              <w:spacing w:line="256" w:lineRule="auto"/>
              <w:jc w:val="right"/>
              <w:rPr>
                <w:lang w:eastAsia="en-GB"/>
              </w:rPr>
            </w:pPr>
            <w:r>
              <w:rPr>
                <w:lang w:eastAsia="en-GB"/>
              </w:rPr>
              <w:t>(1.1)</w:t>
            </w:r>
          </w:p>
        </w:tc>
      </w:tr>
      <w:tr w:rsidR="005272A1" w:rsidTr="00A200D5">
        <w:trPr>
          <w:trHeight w:val="50"/>
          <w:jc w:val="center"/>
        </w:trPr>
        <w:tc>
          <w:tcPr>
            <w:tcW w:w="4504" w:type="dxa"/>
            <w:tcBorders>
              <w:top w:val="single" w:sz="4" w:space="0" w:color="auto"/>
              <w:left w:val="single" w:sz="4" w:space="0" w:color="auto"/>
              <w:bottom w:val="single" w:sz="4" w:space="0" w:color="auto"/>
              <w:right w:val="single" w:sz="4" w:space="0" w:color="auto"/>
            </w:tcBorders>
            <w:noWrap/>
            <w:vAlign w:val="bottom"/>
            <w:hideMark/>
          </w:tcPr>
          <w:p w:rsidR="005272A1" w:rsidRDefault="005272A1">
            <w:pPr>
              <w:spacing w:line="256" w:lineRule="auto"/>
              <w:rPr>
                <w:b/>
                <w:lang w:eastAsia="en-GB"/>
              </w:rPr>
            </w:pPr>
            <w:r>
              <w:rPr>
                <w:b/>
                <w:lang w:eastAsia="en-GB"/>
              </w:rPr>
              <w:t>Total Actual/Budget Expenditure</w:t>
            </w:r>
          </w:p>
        </w:tc>
        <w:tc>
          <w:tcPr>
            <w:tcW w:w="996" w:type="dxa"/>
            <w:tcBorders>
              <w:top w:val="single" w:sz="4" w:space="0" w:color="auto"/>
              <w:left w:val="nil"/>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233.7</w:t>
            </w:r>
          </w:p>
        </w:tc>
        <w:tc>
          <w:tcPr>
            <w:tcW w:w="1095" w:type="dxa"/>
            <w:tcBorders>
              <w:top w:val="single" w:sz="4" w:space="0" w:color="auto"/>
              <w:left w:val="nil"/>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235.1</w:t>
            </w:r>
          </w:p>
        </w:tc>
        <w:tc>
          <w:tcPr>
            <w:tcW w:w="1295" w:type="dxa"/>
            <w:tcBorders>
              <w:top w:val="single" w:sz="4" w:space="0" w:color="auto"/>
              <w:left w:val="nil"/>
              <w:bottom w:val="single" w:sz="4" w:space="0" w:color="auto"/>
              <w:right w:val="single" w:sz="4" w:space="0" w:color="auto"/>
            </w:tcBorders>
            <w:noWrap/>
            <w:vAlign w:val="bottom"/>
            <w:hideMark/>
          </w:tcPr>
          <w:p w:rsidR="005272A1" w:rsidRDefault="005272A1">
            <w:pPr>
              <w:spacing w:line="256" w:lineRule="auto"/>
              <w:jc w:val="right"/>
              <w:rPr>
                <w:b/>
                <w:lang w:eastAsia="en-GB"/>
              </w:rPr>
            </w:pPr>
            <w:r>
              <w:rPr>
                <w:b/>
                <w:lang w:eastAsia="en-GB"/>
              </w:rPr>
              <w:t>(1.4)</w:t>
            </w:r>
          </w:p>
        </w:tc>
      </w:tr>
    </w:tbl>
    <w:p w:rsidR="005272A1" w:rsidRDefault="005272A1" w:rsidP="005272A1">
      <w:pPr>
        <w:jc w:val="both"/>
      </w:pPr>
    </w:p>
    <w:p w:rsidR="005272A1" w:rsidRDefault="005272A1" w:rsidP="005272A1">
      <w:pPr>
        <w:jc w:val="both"/>
      </w:pPr>
    </w:p>
    <w:p w:rsidR="005272A1" w:rsidRDefault="005272A1" w:rsidP="005272A1">
      <w:pPr>
        <w:jc w:val="both"/>
      </w:pPr>
      <w:r>
        <w:t>Detailed analysis of actual expenditure for the year ended 31 March 2020 can also be seen in the Comprehensive Income and Expenditure Statement.</w:t>
      </w:r>
    </w:p>
    <w:p w:rsidR="005272A1" w:rsidRDefault="005272A1" w:rsidP="005272A1">
      <w:pPr>
        <w:jc w:val="both"/>
      </w:pPr>
    </w:p>
    <w:p w:rsidR="005272A1" w:rsidRDefault="005272A1" w:rsidP="005272A1">
      <w:pPr>
        <w:jc w:val="both"/>
      </w:pPr>
      <w:r>
        <w:t>The Comprehensive Income and Expenditure Statement (CIES) measures the financial performance for the year in terms of resources consumed over the period and the funding provided to finance these resources. The accounting basis used for the CIES is different to the statutory basis used to calculate net expenditure to be funded from local taxation in the form of council tax, as it includes non-cash elements.</w:t>
      </w:r>
    </w:p>
    <w:p w:rsidR="005272A1" w:rsidRDefault="005272A1" w:rsidP="005272A1">
      <w:pPr>
        <w:jc w:val="both"/>
      </w:pPr>
    </w:p>
    <w:p w:rsidR="005272A1" w:rsidRDefault="005272A1" w:rsidP="005272A1">
      <w:pPr>
        <w:jc w:val="both"/>
      </w:pPr>
      <w:r>
        <w:t>The total net expenditure shown in the CIES includes operating income and expenditure along with adjustments for non-cash accounting transactions for depreciation, capital grants and pension costs in accordance with IAS 19 requirements. The intra-group funding is a transfer between the PCC and Chief Constable accounts to offset the financial resources consumed at the request of the Chief Constable on behalf of the Group.</w:t>
      </w:r>
    </w:p>
    <w:p w:rsidR="005272A1" w:rsidRDefault="005272A1" w:rsidP="005272A1">
      <w:pPr>
        <w:jc w:val="both"/>
      </w:pPr>
    </w:p>
    <w:p w:rsidR="005272A1" w:rsidRDefault="005272A1" w:rsidP="005272A1">
      <w:pPr>
        <w:jc w:val="both"/>
      </w:pPr>
      <w:r>
        <w:t>The following table reconciles Group operational expenditure for 2019/20 to the position reported in the CIES by showing how management accounts are adjusted for accounting regulations and other statutory adjustments to arrive at the deficit on provision of services as reported in the Comprehensive Income and Expenditure Statement.</w:t>
      </w:r>
    </w:p>
    <w:p w:rsidR="005272A1" w:rsidRDefault="005272A1" w:rsidP="005272A1">
      <w:pPr>
        <w:rPr>
          <w:highlight w:val="yellow"/>
        </w:rPr>
      </w:pPr>
    </w:p>
    <w:tbl>
      <w:tblPr>
        <w:tblW w:w="0" w:type="dxa"/>
        <w:jc w:val="center"/>
        <w:tblLayout w:type="fixed"/>
        <w:tblLook w:val="04A0" w:firstRow="1" w:lastRow="0" w:firstColumn="1" w:lastColumn="0" w:noHBand="0" w:noVBand="1"/>
      </w:tblPr>
      <w:tblGrid>
        <w:gridCol w:w="5812"/>
        <w:gridCol w:w="1276"/>
        <w:gridCol w:w="1134"/>
        <w:gridCol w:w="1134"/>
      </w:tblGrid>
      <w:tr w:rsidR="005272A1" w:rsidTr="00A200D5">
        <w:trPr>
          <w:trHeight w:val="231"/>
          <w:jc w:val="center"/>
        </w:trPr>
        <w:tc>
          <w:tcPr>
            <w:tcW w:w="5812" w:type="dxa"/>
            <w:tcBorders>
              <w:top w:val="single" w:sz="4" w:space="0" w:color="auto"/>
              <w:left w:val="single" w:sz="4" w:space="0" w:color="auto"/>
              <w:bottom w:val="nil"/>
              <w:right w:val="single" w:sz="4" w:space="0" w:color="auto"/>
            </w:tcBorders>
            <w:shd w:val="clear" w:color="auto" w:fill="FFFFFF"/>
            <w:noWrap/>
            <w:vAlign w:val="bottom"/>
            <w:hideMark/>
          </w:tcPr>
          <w:p w:rsidR="005272A1" w:rsidRDefault="005272A1">
            <w:pPr>
              <w:rPr>
                <w:highlight w:val="yellow"/>
              </w:rPr>
            </w:pPr>
          </w:p>
        </w:tc>
        <w:tc>
          <w:tcPr>
            <w:tcW w:w="3544" w:type="dxa"/>
            <w:gridSpan w:val="3"/>
            <w:tcBorders>
              <w:top w:val="single" w:sz="4" w:space="0" w:color="auto"/>
              <w:left w:val="nil"/>
              <w:bottom w:val="single" w:sz="4" w:space="0" w:color="auto"/>
              <w:right w:val="single" w:sz="4" w:space="0" w:color="000000"/>
            </w:tcBorders>
            <w:shd w:val="clear" w:color="auto" w:fill="FFFFFF"/>
            <w:noWrap/>
            <w:vAlign w:val="bottom"/>
            <w:hideMark/>
          </w:tcPr>
          <w:p w:rsidR="005272A1" w:rsidRDefault="005272A1">
            <w:pPr>
              <w:spacing w:line="256" w:lineRule="auto"/>
              <w:jc w:val="center"/>
              <w:rPr>
                <w:b/>
                <w:lang w:eastAsia="en-GB"/>
              </w:rPr>
            </w:pPr>
            <w:r>
              <w:rPr>
                <w:b/>
                <w:lang w:eastAsia="en-GB"/>
              </w:rPr>
              <w:t>2019/20</w:t>
            </w:r>
          </w:p>
        </w:tc>
      </w:tr>
      <w:tr w:rsidR="005272A1" w:rsidTr="00A200D5">
        <w:trPr>
          <w:cantSplit/>
          <w:trHeight w:val="465"/>
          <w:jc w:val="center"/>
        </w:trPr>
        <w:tc>
          <w:tcPr>
            <w:tcW w:w="5812" w:type="dxa"/>
            <w:tcBorders>
              <w:top w:val="nil"/>
              <w:left w:val="single" w:sz="4" w:space="0" w:color="auto"/>
              <w:bottom w:val="single" w:sz="4" w:space="0" w:color="auto"/>
              <w:right w:val="single" w:sz="4" w:space="0" w:color="auto"/>
            </w:tcBorders>
            <w:shd w:val="clear" w:color="auto" w:fill="FFFFFF"/>
            <w:noWrap/>
            <w:vAlign w:val="bottom"/>
            <w:hideMark/>
          </w:tcPr>
          <w:p w:rsidR="005272A1" w:rsidRDefault="005272A1">
            <w:pPr>
              <w:rPr>
                <w:b/>
                <w:lang w:eastAsia="en-GB"/>
              </w:rPr>
            </w:pPr>
          </w:p>
        </w:tc>
        <w:tc>
          <w:tcPr>
            <w:tcW w:w="1276" w:type="dxa"/>
            <w:tcBorders>
              <w:top w:val="nil"/>
              <w:left w:val="nil"/>
              <w:bottom w:val="single" w:sz="4" w:space="0" w:color="auto"/>
              <w:right w:val="single" w:sz="4" w:space="0" w:color="auto"/>
            </w:tcBorders>
            <w:shd w:val="clear" w:color="auto" w:fill="FFFFFF"/>
            <w:vAlign w:val="center"/>
            <w:hideMark/>
          </w:tcPr>
          <w:p w:rsidR="005272A1" w:rsidRDefault="005272A1">
            <w:pPr>
              <w:spacing w:line="256" w:lineRule="auto"/>
              <w:jc w:val="center"/>
              <w:rPr>
                <w:b/>
                <w:sz w:val="20"/>
                <w:szCs w:val="20"/>
                <w:lang w:eastAsia="en-GB"/>
              </w:rPr>
            </w:pPr>
            <w:r>
              <w:rPr>
                <w:b/>
                <w:sz w:val="20"/>
                <w:szCs w:val="20"/>
                <w:lang w:eastAsia="en-GB"/>
              </w:rPr>
              <w:t>Group</w:t>
            </w:r>
            <w:r>
              <w:rPr>
                <w:b/>
                <w:sz w:val="20"/>
                <w:szCs w:val="20"/>
                <w:lang w:eastAsia="en-GB"/>
              </w:rPr>
              <w:br/>
              <w:t>£m</w:t>
            </w:r>
          </w:p>
        </w:tc>
        <w:tc>
          <w:tcPr>
            <w:tcW w:w="1134" w:type="dxa"/>
            <w:tcBorders>
              <w:top w:val="nil"/>
              <w:left w:val="nil"/>
              <w:bottom w:val="single" w:sz="4" w:space="0" w:color="auto"/>
              <w:right w:val="single" w:sz="4" w:space="0" w:color="auto"/>
            </w:tcBorders>
            <w:shd w:val="clear" w:color="auto" w:fill="FFFFFF"/>
            <w:vAlign w:val="center"/>
            <w:hideMark/>
          </w:tcPr>
          <w:p w:rsidR="005272A1" w:rsidRDefault="005272A1">
            <w:pPr>
              <w:spacing w:line="256" w:lineRule="auto"/>
              <w:jc w:val="center"/>
              <w:rPr>
                <w:b/>
                <w:sz w:val="20"/>
                <w:szCs w:val="20"/>
                <w:lang w:eastAsia="en-GB"/>
              </w:rPr>
            </w:pPr>
            <w:r>
              <w:rPr>
                <w:b/>
                <w:sz w:val="20"/>
                <w:szCs w:val="20"/>
                <w:lang w:eastAsia="en-GB"/>
              </w:rPr>
              <w:t>PCC</w:t>
            </w:r>
            <w:r>
              <w:rPr>
                <w:b/>
                <w:sz w:val="20"/>
                <w:szCs w:val="20"/>
                <w:lang w:eastAsia="en-GB"/>
              </w:rPr>
              <w:br/>
              <w:t>£m</w:t>
            </w:r>
          </w:p>
        </w:tc>
        <w:tc>
          <w:tcPr>
            <w:tcW w:w="1134" w:type="dxa"/>
            <w:tcBorders>
              <w:top w:val="nil"/>
              <w:left w:val="nil"/>
              <w:bottom w:val="single" w:sz="4" w:space="0" w:color="auto"/>
              <w:right w:val="single" w:sz="4" w:space="0" w:color="auto"/>
            </w:tcBorders>
            <w:shd w:val="clear" w:color="auto" w:fill="FFFFFF"/>
            <w:vAlign w:val="center"/>
            <w:hideMark/>
          </w:tcPr>
          <w:p w:rsidR="005272A1" w:rsidRDefault="005272A1">
            <w:pPr>
              <w:spacing w:line="256" w:lineRule="auto"/>
              <w:jc w:val="center"/>
              <w:rPr>
                <w:b/>
                <w:sz w:val="20"/>
                <w:szCs w:val="20"/>
                <w:lang w:eastAsia="en-GB"/>
              </w:rPr>
            </w:pPr>
            <w:r>
              <w:rPr>
                <w:b/>
                <w:sz w:val="20"/>
                <w:szCs w:val="20"/>
                <w:lang w:eastAsia="en-GB"/>
              </w:rPr>
              <w:t>CC</w:t>
            </w:r>
            <w:r>
              <w:rPr>
                <w:b/>
                <w:sz w:val="20"/>
                <w:szCs w:val="20"/>
                <w:lang w:eastAsia="en-GB"/>
              </w:rPr>
              <w:br/>
              <w:t>£m</w:t>
            </w:r>
          </w:p>
        </w:tc>
      </w:tr>
      <w:tr w:rsidR="005272A1" w:rsidTr="00A200D5">
        <w:trPr>
          <w:cantSplit/>
          <w:trHeight w:val="465"/>
          <w:jc w:val="center"/>
        </w:trPr>
        <w:tc>
          <w:tcPr>
            <w:tcW w:w="5812" w:type="dxa"/>
            <w:tcBorders>
              <w:top w:val="nil"/>
              <w:left w:val="single" w:sz="4" w:space="0" w:color="auto"/>
              <w:bottom w:val="single" w:sz="4" w:space="0" w:color="auto"/>
              <w:right w:val="nil"/>
            </w:tcBorders>
            <w:shd w:val="clear" w:color="auto" w:fill="FFFFFF"/>
            <w:vAlign w:val="center"/>
            <w:hideMark/>
          </w:tcPr>
          <w:p w:rsidR="005272A1" w:rsidRDefault="005272A1">
            <w:pPr>
              <w:spacing w:line="256" w:lineRule="auto"/>
              <w:rPr>
                <w:b/>
                <w:sz w:val="20"/>
                <w:szCs w:val="20"/>
                <w:lang w:eastAsia="en-GB"/>
              </w:rPr>
            </w:pPr>
            <w:r>
              <w:rPr>
                <w:b/>
                <w:sz w:val="20"/>
                <w:szCs w:val="20"/>
                <w:lang w:eastAsia="en-GB"/>
              </w:rPr>
              <w:t>Total Actual net Expenditure per revenue outturn report 2019/20</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233.7</w:t>
            </w:r>
          </w:p>
        </w:tc>
        <w:tc>
          <w:tcPr>
            <w:tcW w:w="1134" w:type="dxa"/>
            <w:tcBorders>
              <w:top w:val="nil"/>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2.1</w:t>
            </w:r>
          </w:p>
        </w:tc>
        <w:tc>
          <w:tcPr>
            <w:tcW w:w="1134" w:type="dxa"/>
            <w:tcBorders>
              <w:top w:val="nil"/>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231.6</w:t>
            </w:r>
          </w:p>
        </w:tc>
      </w:tr>
      <w:tr w:rsidR="005272A1" w:rsidTr="00A200D5">
        <w:trPr>
          <w:cantSplit/>
          <w:trHeight w:val="78"/>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4"/>
                <w:szCs w:val="4"/>
                <w:lang w:eastAsia="en-GB"/>
              </w:rPr>
            </w:pPr>
            <w:r>
              <w:rPr>
                <w:sz w:val="4"/>
                <w:szCs w:val="4"/>
                <w:lang w:eastAsia="en-GB"/>
              </w:rPr>
              <w:softHyphen/>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r>
      <w:tr w:rsidR="005272A1" w:rsidTr="00A200D5">
        <w:trPr>
          <w:cantSplit/>
          <w:trHeight w:val="231"/>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Reserve and Provision transfers excluded from (Surplus)/Deficit on Provision of Services:</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 </w:t>
            </w:r>
          </w:p>
        </w:tc>
      </w:tr>
      <w:tr w:rsidR="005272A1" w:rsidTr="00A200D5">
        <w:trPr>
          <w:cantSplit/>
          <w:trHeight w:val="231"/>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Usable Reserves</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(2.</w:t>
            </w:r>
            <w:r w:rsidR="00152DD8">
              <w:rPr>
                <w:sz w:val="20"/>
                <w:szCs w:val="20"/>
                <w:lang w:eastAsia="en-GB"/>
              </w:rPr>
              <w:t>6</w:t>
            </w:r>
            <w:r>
              <w:rPr>
                <w:sz w:val="20"/>
                <w:szCs w:val="20"/>
                <w:lang w:eastAsia="en-GB"/>
              </w:rPr>
              <w:t>)</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0.0</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(2.</w:t>
            </w:r>
            <w:r w:rsidR="00152DD8">
              <w:rPr>
                <w:sz w:val="20"/>
                <w:szCs w:val="20"/>
                <w:lang w:eastAsia="en-GB"/>
              </w:rPr>
              <w:t>6</w:t>
            </w:r>
            <w:r>
              <w:rPr>
                <w:sz w:val="20"/>
                <w:szCs w:val="20"/>
                <w:lang w:eastAsia="en-GB"/>
              </w:rPr>
              <w:t>)</w:t>
            </w:r>
          </w:p>
        </w:tc>
      </w:tr>
      <w:tr w:rsidR="005272A1" w:rsidTr="00A200D5">
        <w:trPr>
          <w:cantSplit/>
          <w:trHeight w:val="231"/>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Financial year end accounting adjustments</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(6.</w:t>
            </w:r>
            <w:r w:rsidR="00152DD8">
              <w:rPr>
                <w:sz w:val="20"/>
                <w:szCs w:val="20"/>
                <w:lang w:eastAsia="en-GB"/>
              </w:rPr>
              <w:t>6</w:t>
            </w:r>
            <w:r>
              <w:rPr>
                <w:sz w:val="20"/>
                <w:szCs w:val="20"/>
                <w:lang w:eastAsia="en-GB"/>
              </w:rPr>
              <w:t>)</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0.0</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(6.</w:t>
            </w:r>
            <w:r w:rsidR="00152DD8">
              <w:rPr>
                <w:sz w:val="20"/>
                <w:szCs w:val="20"/>
                <w:lang w:eastAsia="en-GB"/>
              </w:rPr>
              <w:t>6</w:t>
            </w:r>
            <w:r>
              <w:rPr>
                <w:sz w:val="20"/>
                <w:szCs w:val="20"/>
                <w:lang w:eastAsia="en-GB"/>
              </w:rPr>
              <w:t>)</w:t>
            </w:r>
          </w:p>
        </w:tc>
      </w:tr>
      <w:tr w:rsidR="005272A1" w:rsidTr="00A200D5">
        <w:trPr>
          <w:cantSplit/>
          <w:trHeight w:val="231"/>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Amounts in the CIES not in the outturn report:</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 </w:t>
            </w:r>
          </w:p>
        </w:tc>
      </w:tr>
      <w:tr w:rsidR="005272A1" w:rsidTr="00A200D5">
        <w:trPr>
          <w:cantSplit/>
          <w:trHeight w:val="231"/>
          <w:jc w:val="center"/>
        </w:trPr>
        <w:tc>
          <w:tcPr>
            <w:tcW w:w="5812" w:type="dxa"/>
            <w:tcBorders>
              <w:top w:val="nil"/>
              <w:left w:val="single" w:sz="4" w:space="0" w:color="auto"/>
              <w:bottom w:val="nil"/>
              <w:right w:val="nil"/>
            </w:tcBorders>
            <w:shd w:val="clear" w:color="auto" w:fill="FFFFFF"/>
            <w:noWrap/>
            <w:vAlign w:val="bottom"/>
            <w:hideMark/>
          </w:tcPr>
          <w:p w:rsidR="005272A1" w:rsidRDefault="00EB075B">
            <w:pPr>
              <w:spacing w:line="256" w:lineRule="auto"/>
              <w:rPr>
                <w:sz w:val="20"/>
                <w:szCs w:val="20"/>
                <w:lang w:eastAsia="en-GB"/>
              </w:rPr>
            </w:pPr>
            <w:r>
              <w:rPr>
                <w:sz w:val="20"/>
                <w:szCs w:val="20"/>
                <w:lang w:eastAsia="en-GB"/>
              </w:rPr>
              <w:t>Depreciation &amp; A</w:t>
            </w:r>
            <w:r w:rsidR="005272A1">
              <w:rPr>
                <w:sz w:val="20"/>
                <w:szCs w:val="20"/>
                <w:lang w:eastAsia="en-GB"/>
              </w:rPr>
              <w:t>mortisation</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11.2</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0.0</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11.2</w:t>
            </w:r>
          </w:p>
        </w:tc>
      </w:tr>
      <w:tr w:rsidR="005272A1" w:rsidTr="00A200D5">
        <w:trPr>
          <w:cantSplit/>
          <w:trHeight w:val="231"/>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Pensions</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152DD8">
            <w:pPr>
              <w:spacing w:line="256" w:lineRule="auto"/>
              <w:jc w:val="right"/>
              <w:rPr>
                <w:sz w:val="20"/>
                <w:szCs w:val="20"/>
                <w:lang w:eastAsia="en-GB"/>
              </w:rPr>
            </w:pPr>
            <w:r>
              <w:rPr>
                <w:sz w:val="20"/>
                <w:szCs w:val="20"/>
                <w:lang w:eastAsia="en-GB"/>
              </w:rPr>
              <w:t>27.3</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0.1</w:t>
            </w:r>
          </w:p>
        </w:tc>
        <w:tc>
          <w:tcPr>
            <w:tcW w:w="1134" w:type="dxa"/>
            <w:tcBorders>
              <w:top w:val="nil"/>
              <w:left w:val="nil"/>
              <w:bottom w:val="nil"/>
              <w:right w:val="single" w:sz="4" w:space="0" w:color="auto"/>
            </w:tcBorders>
            <w:shd w:val="clear" w:color="auto" w:fill="FFFFFF"/>
            <w:noWrap/>
            <w:vAlign w:val="bottom"/>
            <w:hideMark/>
          </w:tcPr>
          <w:p w:rsidR="005272A1" w:rsidRDefault="00152DD8">
            <w:pPr>
              <w:spacing w:line="256" w:lineRule="auto"/>
              <w:jc w:val="right"/>
              <w:rPr>
                <w:sz w:val="20"/>
                <w:szCs w:val="20"/>
                <w:lang w:eastAsia="en-GB"/>
              </w:rPr>
            </w:pPr>
            <w:r>
              <w:rPr>
                <w:sz w:val="20"/>
                <w:szCs w:val="20"/>
                <w:lang w:eastAsia="en-GB"/>
              </w:rPr>
              <w:t>27.</w:t>
            </w:r>
            <w:r w:rsidR="00350248">
              <w:rPr>
                <w:sz w:val="20"/>
                <w:szCs w:val="20"/>
                <w:lang w:eastAsia="en-GB"/>
              </w:rPr>
              <w:t>2</w:t>
            </w:r>
          </w:p>
        </w:tc>
      </w:tr>
      <w:tr w:rsidR="005272A1" w:rsidTr="00A200D5">
        <w:trPr>
          <w:cantSplit/>
          <w:trHeight w:val="92"/>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4"/>
                <w:szCs w:val="4"/>
                <w:lang w:eastAsia="en-GB"/>
              </w:rPr>
            </w:pPr>
            <w:r>
              <w:rPr>
                <w:sz w:val="4"/>
                <w:szCs w:val="4"/>
                <w:lang w:eastAsia="en-GB"/>
              </w:rPr>
              <w:t> </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r>
      <w:tr w:rsidR="005272A1" w:rsidTr="00A200D5">
        <w:trPr>
          <w:cantSplit/>
          <w:trHeight w:val="92"/>
          <w:jc w:val="center"/>
        </w:trPr>
        <w:tc>
          <w:tcPr>
            <w:tcW w:w="5812" w:type="dxa"/>
            <w:tcBorders>
              <w:top w:val="single" w:sz="4" w:space="0" w:color="auto"/>
              <w:left w:val="single" w:sz="4" w:space="0" w:color="auto"/>
              <w:bottom w:val="nil"/>
              <w:right w:val="nil"/>
            </w:tcBorders>
            <w:shd w:val="clear" w:color="auto" w:fill="FFFFFF"/>
            <w:noWrap/>
            <w:vAlign w:val="bottom"/>
            <w:hideMark/>
          </w:tcPr>
          <w:p w:rsidR="005272A1" w:rsidRDefault="005272A1">
            <w:pPr>
              <w:rPr>
                <w:sz w:val="4"/>
                <w:szCs w:val="4"/>
                <w:lang w:eastAsia="en-GB"/>
              </w:rPr>
            </w:pPr>
          </w:p>
        </w:tc>
        <w:tc>
          <w:tcPr>
            <w:tcW w:w="1276" w:type="dxa"/>
            <w:tcBorders>
              <w:top w:val="single" w:sz="4" w:space="0" w:color="auto"/>
              <w:left w:val="single" w:sz="4" w:space="0" w:color="auto"/>
              <w:bottom w:val="nil"/>
              <w:right w:val="single" w:sz="4" w:space="0" w:color="auto"/>
            </w:tcBorders>
            <w:shd w:val="clear" w:color="auto" w:fill="FFFFFF"/>
            <w:noWrap/>
            <w:vAlign w:val="bottom"/>
            <w:hideMark/>
          </w:tcPr>
          <w:p w:rsidR="005272A1" w:rsidRDefault="005272A1">
            <w:pPr>
              <w:spacing w:line="256" w:lineRule="auto"/>
              <w:rPr>
                <w:rFonts w:asciiTheme="minorHAnsi" w:hAnsiTheme="minorHAnsi"/>
                <w:sz w:val="20"/>
                <w:szCs w:val="20"/>
                <w:lang w:eastAsia="en-GB"/>
              </w:rPr>
            </w:pPr>
          </w:p>
        </w:tc>
        <w:tc>
          <w:tcPr>
            <w:tcW w:w="1134" w:type="dxa"/>
            <w:tcBorders>
              <w:top w:val="single" w:sz="4" w:space="0" w:color="auto"/>
              <w:left w:val="nil"/>
              <w:bottom w:val="nil"/>
              <w:right w:val="single" w:sz="4" w:space="0" w:color="auto"/>
            </w:tcBorders>
            <w:shd w:val="clear" w:color="auto" w:fill="FFFFFF"/>
            <w:noWrap/>
            <w:vAlign w:val="bottom"/>
            <w:hideMark/>
          </w:tcPr>
          <w:p w:rsidR="005272A1" w:rsidRDefault="005272A1">
            <w:pPr>
              <w:spacing w:line="256" w:lineRule="auto"/>
              <w:rPr>
                <w:rFonts w:asciiTheme="minorHAnsi" w:hAnsiTheme="minorHAnsi"/>
                <w:sz w:val="20"/>
                <w:szCs w:val="20"/>
                <w:lang w:eastAsia="en-GB"/>
              </w:rPr>
            </w:pPr>
          </w:p>
        </w:tc>
        <w:tc>
          <w:tcPr>
            <w:tcW w:w="1134" w:type="dxa"/>
            <w:tcBorders>
              <w:top w:val="single" w:sz="4" w:space="0" w:color="auto"/>
              <w:left w:val="nil"/>
              <w:bottom w:val="nil"/>
              <w:right w:val="single" w:sz="4" w:space="0" w:color="auto"/>
            </w:tcBorders>
            <w:shd w:val="clear" w:color="auto" w:fill="FFFFFF"/>
            <w:noWrap/>
            <w:vAlign w:val="bottom"/>
            <w:hideMark/>
          </w:tcPr>
          <w:p w:rsidR="005272A1" w:rsidRDefault="005272A1">
            <w:pPr>
              <w:spacing w:line="256" w:lineRule="auto"/>
              <w:rPr>
                <w:rFonts w:asciiTheme="minorHAnsi" w:hAnsiTheme="minorHAnsi"/>
                <w:sz w:val="20"/>
                <w:szCs w:val="20"/>
                <w:lang w:eastAsia="en-GB"/>
              </w:rPr>
            </w:pPr>
          </w:p>
        </w:tc>
      </w:tr>
      <w:tr w:rsidR="005272A1" w:rsidTr="00A200D5">
        <w:trPr>
          <w:cantSplit/>
          <w:trHeight w:val="289"/>
          <w:jc w:val="center"/>
        </w:trPr>
        <w:tc>
          <w:tcPr>
            <w:tcW w:w="5812" w:type="dxa"/>
            <w:tcBorders>
              <w:top w:val="nil"/>
              <w:left w:val="single" w:sz="4" w:space="0" w:color="auto"/>
              <w:bottom w:val="single" w:sz="4" w:space="0" w:color="auto"/>
              <w:right w:val="nil"/>
            </w:tcBorders>
            <w:shd w:val="clear" w:color="auto" w:fill="FFFFFF"/>
            <w:noWrap/>
            <w:vAlign w:val="center"/>
            <w:hideMark/>
          </w:tcPr>
          <w:p w:rsidR="005272A1" w:rsidRDefault="005272A1">
            <w:pPr>
              <w:spacing w:line="256" w:lineRule="auto"/>
              <w:rPr>
                <w:b/>
                <w:sz w:val="20"/>
                <w:szCs w:val="20"/>
                <w:lang w:eastAsia="en-GB"/>
              </w:rPr>
            </w:pPr>
            <w:r>
              <w:rPr>
                <w:b/>
                <w:sz w:val="20"/>
                <w:szCs w:val="20"/>
                <w:lang w:eastAsia="en-GB"/>
              </w:rPr>
              <w:t>Net Cost of Services</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2</w:t>
            </w:r>
            <w:r w:rsidR="00152DD8">
              <w:rPr>
                <w:b/>
                <w:sz w:val="20"/>
                <w:szCs w:val="20"/>
                <w:lang w:eastAsia="en-GB"/>
              </w:rPr>
              <w:t>63.0</w:t>
            </w:r>
          </w:p>
        </w:tc>
        <w:tc>
          <w:tcPr>
            <w:tcW w:w="1134" w:type="dxa"/>
            <w:tcBorders>
              <w:top w:val="nil"/>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2.2</w:t>
            </w:r>
          </w:p>
        </w:tc>
        <w:tc>
          <w:tcPr>
            <w:tcW w:w="1134" w:type="dxa"/>
            <w:tcBorders>
              <w:top w:val="nil"/>
              <w:left w:val="nil"/>
              <w:bottom w:val="single" w:sz="4" w:space="0" w:color="auto"/>
              <w:right w:val="single" w:sz="4" w:space="0" w:color="auto"/>
            </w:tcBorders>
            <w:shd w:val="clear" w:color="auto" w:fill="FFFFFF"/>
            <w:noWrap/>
            <w:vAlign w:val="center"/>
            <w:hideMark/>
          </w:tcPr>
          <w:p w:rsidR="005272A1" w:rsidRDefault="00152DD8">
            <w:pPr>
              <w:spacing w:line="256" w:lineRule="auto"/>
              <w:jc w:val="right"/>
              <w:rPr>
                <w:b/>
                <w:sz w:val="20"/>
                <w:szCs w:val="20"/>
                <w:lang w:eastAsia="en-GB"/>
              </w:rPr>
            </w:pPr>
            <w:r>
              <w:rPr>
                <w:b/>
                <w:sz w:val="20"/>
                <w:szCs w:val="20"/>
                <w:lang w:eastAsia="en-GB"/>
              </w:rPr>
              <w:t>260.</w:t>
            </w:r>
            <w:r w:rsidR="00350248">
              <w:rPr>
                <w:b/>
                <w:sz w:val="20"/>
                <w:szCs w:val="20"/>
                <w:lang w:eastAsia="en-GB"/>
              </w:rPr>
              <w:t>8</w:t>
            </w:r>
          </w:p>
        </w:tc>
      </w:tr>
      <w:tr w:rsidR="005272A1" w:rsidTr="00A200D5">
        <w:trPr>
          <w:cantSplit/>
          <w:trHeight w:val="581"/>
          <w:jc w:val="center"/>
        </w:trPr>
        <w:tc>
          <w:tcPr>
            <w:tcW w:w="5812" w:type="dxa"/>
            <w:tcBorders>
              <w:top w:val="single" w:sz="4" w:space="0" w:color="auto"/>
              <w:left w:val="single" w:sz="4" w:space="0" w:color="auto"/>
              <w:bottom w:val="single" w:sz="4" w:space="0" w:color="auto"/>
              <w:right w:val="nil"/>
            </w:tcBorders>
            <w:shd w:val="clear" w:color="auto" w:fill="FFFFFF"/>
            <w:vAlign w:val="center"/>
            <w:hideMark/>
          </w:tcPr>
          <w:p w:rsidR="005272A1" w:rsidRDefault="005272A1">
            <w:pPr>
              <w:spacing w:line="256" w:lineRule="auto"/>
              <w:rPr>
                <w:sz w:val="20"/>
                <w:szCs w:val="20"/>
                <w:lang w:eastAsia="en-GB"/>
              </w:rPr>
            </w:pPr>
            <w:r>
              <w:rPr>
                <w:sz w:val="20"/>
                <w:szCs w:val="20"/>
                <w:lang w:eastAsia="en-GB"/>
              </w:rPr>
              <w:t>Intra-group Adjustment from PCC to CC for resources consumed at the request of the Chief Constable</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251.3</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(251.3)</w:t>
            </w:r>
          </w:p>
        </w:tc>
      </w:tr>
      <w:tr w:rsidR="005272A1" w:rsidTr="00A200D5">
        <w:trPr>
          <w:cantSplit/>
          <w:trHeight w:val="92"/>
          <w:jc w:val="center"/>
        </w:trPr>
        <w:tc>
          <w:tcPr>
            <w:tcW w:w="5812"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rPr>
                <w:sz w:val="4"/>
                <w:szCs w:val="4"/>
                <w:lang w:eastAsia="en-GB"/>
              </w:rPr>
            </w:pPr>
            <w:r>
              <w:rPr>
                <w:sz w:val="4"/>
                <w:szCs w:val="4"/>
                <w:lang w:eastAsia="en-GB"/>
              </w:rPr>
              <w:t> </w:t>
            </w:r>
          </w:p>
        </w:tc>
        <w:tc>
          <w:tcPr>
            <w:tcW w:w="1276"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r>
      <w:tr w:rsidR="005272A1" w:rsidTr="00A200D5">
        <w:trPr>
          <w:cantSplit/>
          <w:trHeight w:val="231"/>
          <w:jc w:val="center"/>
        </w:trPr>
        <w:tc>
          <w:tcPr>
            <w:tcW w:w="5812"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Pension Interest costs and expected return on pension assets</w:t>
            </w:r>
          </w:p>
        </w:tc>
        <w:tc>
          <w:tcPr>
            <w:tcW w:w="1276"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53.</w:t>
            </w:r>
            <w:r w:rsidR="00152DD8">
              <w:rPr>
                <w:sz w:val="20"/>
                <w:szCs w:val="20"/>
                <w:lang w:eastAsia="en-GB"/>
              </w:rPr>
              <w:t>2</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w:t>
            </w:r>
            <w:r w:rsidR="00105BE5">
              <w:rPr>
                <w:sz w:val="20"/>
                <w:szCs w:val="20"/>
                <w:lang w:eastAsia="en-GB"/>
              </w:rPr>
              <w:t>1</w:t>
            </w:r>
          </w:p>
        </w:tc>
        <w:tc>
          <w:tcPr>
            <w:tcW w:w="1134" w:type="dxa"/>
            <w:tcBorders>
              <w:top w:val="nil"/>
              <w:left w:val="nil"/>
              <w:bottom w:val="nil"/>
              <w:right w:val="single" w:sz="4" w:space="0" w:color="auto"/>
            </w:tcBorders>
            <w:shd w:val="clear" w:color="auto" w:fill="FFFFFF"/>
            <w:noWrap/>
            <w:vAlign w:val="bottom"/>
            <w:hideMark/>
          </w:tcPr>
          <w:p w:rsidR="005272A1" w:rsidRDefault="00152DD8">
            <w:pPr>
              <w:spacing w:line="256" w:lineRule="auto"/>
              <w:jc w:val="right"/>
              <w:rPr>
                <w:sz w:val="20"/>
                <w:szCs w:val="20"/>
                <w:lang w:eastAsia="en-GB"/>
              </w:rPr>
            </w:pPr>
            <w:r>
              <w:rPr>
                <w:sz w:val="20"/>
                <w:szCs w:val="20"/>
                <w:lang w:eastAsia="en-GB"/>
              </w:rPr>
              <w:t>53.1</w:t>
            </w:r>
          </w:p>
        </w:tc>
      </w:tr>
      <w:tr w:rsidR="005272A1" w:rsidTr="00A200D5">
        <w:trPr>
          <w:cantSplit/>
          <w:trHeight w:val="231"/>
          <w:jc w:val="center"/>
        </w:trPr>
        <w:tc>
          <w:tcPr>
            <w:tcW w:w="5812"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Levies &amp; other operating expenditure</w:t>
            </w:r>
          </w:p>
        </w:tc>
        <w:tc>
          <w:tcPr>
            <w:tcW w:w="1276"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0.5</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0.0</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0.5</w:t>
            </w:r>
          </w:p>
        </w:tc>
      </w:tr>
      <w:tr w:rsidR="005272A1" w:rsidTr="00A200D5">
        <w:trPr>
          <w:cantSplit/>
          <w:trHeight w:val="231"/>
          <w:jc w:val="center"/>
        </w:trPr>
        <w:tc>
          <w:tcPr>
            <w:tcW w:w="5812"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Taxation and non-specific grant income</w:t>
            </w:r>
          </w:p>
        </w:tc>
        <w:tc>
          <w:tcPr>
            <w:tcW w:w="1276"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(252.</w:t>
            </w:r>
            <w:r w:rsidR="00105BE5">
              <w:rPr>
                <w:sz w:val="20"/>
                <w:szCs w:val="20"/>
                <w:lang w:eastAsia="en-GB"/>
              </w:rPr>
              <w:t>8</w:t>
            </w:r>
            <w:r>
              <w:rPr>
                <w:sz w:val="20"/>
                <w:szCs w:val="20"/>
                <w:lang w:eastAsia="en-GB"/>
              </w:rPr>
              <w:t>)</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(252.</w:t>
            </w:r>
            <w:r w:rsidR="00105BE5">
              <w:rPr>
                <w:sz w:val="20"/>
                <w:szCs w:val="20"/>
                <w:lang w:eastAsia="en-GB"/>
              </w:rPr>
              <w:t>8</w:t>
            </w:r>
            <w:r>
              <w:rPr>
                <w:sz w:val="20"/>
                <w:szCs w:val="20"/>
                <w:lang w:eastAsia="en-GB"/>
              </w:rPr>
              <w:t>)</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0.0</w:t>
            </w:r>
          </w:p>
        </w:tc>
      </w:tr>
      <w:tr w:rsidR="005272A1" w:rsidTr="00A200D5">
        <w:trPr>
          <w:cantSplit/>
          <w:trHeight w:val="92"/>
          <w:jc w:val="center"/>
        </w:trPr>
        <w:tc>
          <w:tcPr>
            <w:tcW w:w="5812"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rPr>
                <w:sz w:val="4"/>
                <w:szCs w:val="4"/>
                <w:lang w:eastAsia="en-GB"/>
              </w:rPr>
            </w:pPr>
            <w:r>
              <w:rPr>
                <w:sz w:val="4"/>
                <w:szCs w:val="4"/>
                <w:lang w:eastAsia="en-GB"/>
              </w:rPr>
              <w:t> </w:t>
            </w:r>
          </w:p>
        </w:tc>
        <w:tc>
          <w:tcPr>
            <w:tcW w:w="1276"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r>
      <w:tr w:rsidR="005272A1" w:rsidTr="00A200D5">
        <w:trPr>
          <w:cantSplit/>
          <w:trHeight w:val="92"/>
          <w:jc w:val="center"/>
        </w:trPr>
        <w:tc>
          <w:tcPr>
            <w:tcW w:w="5812" w:type="dxa"/>
            <w:tcBorders>
              <w:top w:val="single" w:sz="4" w:space="0" w:color="auto"/>
              <w:left w:val="single" w:sz="4" w:space="0" w:color="auto"/>
              <w:bottom w:val="nil"/>
              <w:right w:val="single" w:sz="4" w:space="0" w:color="auto"/>
            </w:tcBorders>
            <w:shd w:val="clear" w:color="auto" w:fill="FFFFFF"/>
            <w:noWrap/>
            <w:vAlign w:val="bottom"/>
            <w:hideMark/>
          </w:tcPr>
          <w:p w:rsidR="005272A1" w:rsidRDefault="005272A1">
            <w:pPr>
              <w:spacing w:line="256" w:lineRule="auto"/>
              <w:rPr>
                <w:sz w:val="4"/>
                <w:szCs w:val="4"/>
                <w:lang w:eastAsia="en-GB"/>
              </w:rPr>
            </w:pPr>
            <w:r>
              <w:rPr>
                <w:sz w:val="4"/>
                <w:szCs w:val="4"/>
                <w:lang w:eastAsia="en-GB"/>
              </w:rPr>
              <w:t> </w:t>
            </w:r>
          </w:p>
        </w:tc>
        <w:tc>
          <w:tcPr>
            <w:tcW w:w="1276" w:type="dxa"/>
            <w:tcBorders>
              <w:top w:val="single" w:sz="4" w:space="0" w:color="auto"/>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single" w:sz="4" w:space="0" w:color="auto"/>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single" w:sz="4" w:space="0" w:color="auto"/>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r>
      <w:tr w:rsidR="005272A1" w:rsidTr="00A200D5">
        <w:trPr>
          <w:cantSplit/>
          <w:trHeight w:val="289"/>
          <w:jc w:val="center"/>
        </w:trPr>
        <w:tc>
          <w:tcPr>
            <w:tcW w:w="5812" w:type="dxa"/>
            <w:tcBorders>
              <w:top w:val="nil"/>
              <w:left w:val="single" w:sz="4" w:space="0" w:color="auto"/>
              <w:bottom w:val="nil"/>
              <w:right w:val="single" w:sz="4" w:space="0" w:color="auto"/>
            </w:tcBorders>
            <w:shd w:val="clear" w:color="auto" w:fill="FFFFFF"/>
            <w:noWrap/>
            <w:vAlign w:val="center"/>
            <w:hideMark/>
          </w:tcPr>
          <w:p w:rsidR="005272A1" w:rsidRDefault="005272A1">
            <w:pPr>
              <w:spacing w:line="256" w:lineRule="auto"/>
              <w:rPr>
                <w:b/>
                <w:sz w:val="20"/>
                <w:szCs w:val="20"/>
                <w:lang w:eastAsia="en-GB"/>
              </w:rPr>
            </w:pPr>
            <w:r>
              <w:rPr>
                <w:b/>
                <w:sz w:val="20"/>
                <w:szCs w:val="20"/>
                <w:lang w:eastAsia="en-GB"/>
              </w:rPr>
              <w:t>Deficit on the provision of services</w:t>
            </w:r>
          </w:p>
        </w:tc>
        <w:tc>
          <w:tcPr>
            <w:tcW w:w="1276" w:type="dxa"/>
            <w:tcBorders>
              <w:top w:val="nil"/>
              <w:left w:val="nil"/>
              <w:bottom w:val="nil"/>
              <w:right w:val="single" w:sz="4" w:space="0" w:color="auto"/>
            </w:tcBorders>
            <w:shd w:val="clear" w:color="auto" w:fill="FFFFFF"/>
            <w:noWrap/>
            <w:vAlign w:val="center"/>
            <w:hideMark/>
          </w:tcPr>
          <w:p w:rsidR="005272A1" w:rsidRDefault="00152DD8">
            <w:pPr>
              <w:spacing w:line="256" w:lineRule="auto"/>
              <w:jc w:val="right"/>
              <w:rPr>
                <w:b/>
                <w:sz w:val="20"/>
                <w:szCs w:val="20"/>
                <w:lang w:eastAsia="en-GB"/>
              </w:rPr>
            </w:pPr>
            <w:r>
              <w:rPr>
                <w:b/>
                <w:sz w:val="20"/>
                <w:szCs w:val="20"/>
                <w:lang w:eastAsia="en-GB"/>
              </w:rPr>
              <w:t>63.</w:t>
            </w:r>
            <w:r w:rsidR="005272A1">
              <w:rPr>
                <w:b/>
                <w:sz w:val="20"/>
                <w:szCs w:val="20"/>
                <w:lang w:eastAsia="en-GB"/>
              </w:rPr>
              <w:t>9</w:t>
            </w:r>
          </w:p>
        </w:tc>
        <w:tc>
          <w:tcPr>
            <w:tcW w:w="1134" w:type="dxa"/>
            <w:tcBorders>
              <w:top w:val="nil"/>
              <w:left w:val="nil"/>
              <w:bottom w:val="nil"/>
              <w:right w:val="single" w:sz="4" w:space="0" w:color="auto"/>
            </w:tcBorders>
            <w:shd w:val="clear" w:color="auto" w:fill="FFFFFF"/>
            <w:noWrap/>
            <w:vAlign w:val="center"/>
            <w:hideMark/>
          </w:tcPr>
          <w:p w:rsidR="005272A1" w:rsidRDefault="00105BE5">
            <w:pPr>
              <w:spacing w:line="256" w:lineRule="auto"/>
              <w:jc w:val="right"/>
              <w:rPr>
                <w:b/>
                <w:sz w:val="20"/>
                <w:szCs w:val="20"/>
                <w:lang w:eastAsia="en-GB"/>
              </w:rPr>
            </w:pPr>
            <w:r>
              <w:rPr>
                <w:b/>
                <w:sz w:val="20"/>
                <w:szCs w:val="20"/>
                <w:lang w:eastAsia="en-GB"/>
              </w:rPr>
              <w:t>0</w:t>
            </w:r>
            <w:r w:rsidR="005272A1">
              <w:rPr>
                <w:b/>
                <w:sz w:val="20"/>
                <w:szCs w:val="20"/>
                <w:lang w:eastAsia="en-GB"/>
              </w:rPr>
              <w:t>.</w:t>
            </w:r>
            <w:r>
              <w:rPr>
                <w:b/>
                <w:sz w:val="20"/>
                <w:szCs w:val="20"/>
                <w:lang w:eastAsia="en-GB"/>
              </w:rPr>
              <w:t>8</w:t>
            </w:r>
          </w:p>
        </w:tc>
        <w:tc>
          <w:tcPr>
            <w:tcW w:w="1134" w:type="dxa"/>
            <w:tcBorders>
              <w:top w:val="nil"/>
              <w:left w:val="nil"/>
              <w:bottom w:val="nil"/>
              <w:right w:val="single" w:sz="4" w:space="0" w:color="auto"/>
            </w:tcBorders>
            <w:shd w:val="clear" w:color="auto" w:fill="FFFFFF"/>
            <w:noWrap/>
            <w:vAlign w:val="center"/>
            <w:hideMark/>
          </w:tcPr>
          <w:p w:rsidR="005272A1" w:rsidRDefault="00152DD8">
            <w:pPr>
              <w:spacing w:line="256" w:lineRule="auto"/>
              <w:jc w:val="right"/>
              <w:rPr>
                <w:b/>
                <w:sz w:val="20"/>
                <w:szCs w:val="20"/>
                <w:lang w:eastAsia="en-GB"/>
              </w:rPr>
            </w:pPr>
            <w:r>
              <w:rPr>
                <w:b/>
                <w:sz w:val="20"/>
                <w:szCs w:val="20"/>
                <w:lang w:eastAsia="en-GB"/>
              </w:rPr>
              <w:t>63.</w:t>
            </w:r>
            <w:r w:rsidR="00350248">
              <w:rPr>
                <w:b/>
                <w:sz w:val="20"/>
                <w:szCs w:val="20"/>
                <w:lang w:eastAsia="en-GB"/>
              </w:rPr>
              <w:t>1</w:t>
            </w:r>
          </w:p>
        </w:tc>
      </w:tr>
      <w:tr w:rsidR="005272A1" w:rsidTr="00A200D5">
        <w:trPr>
          <w:cantSplit/>
          <w:trHeight w:val="92"/>
          <w:jc w:val="center"/>
        </w:trPr>
        <w:tc>
          <w:tcPr>
            <w:tcW w:w="5812" w:type="dxa"/>
            <w:tcBorders>
              <w:top w:val="nil"/>
              <w:left w:val="single" w:sz="4" w:space="0" w:color="auto"/>
              <w:bottom w:val="single" w:sz="4" w:space="0" w:color="auto"/>
              <w:right w:val="single" w:sz="4" w:space="0" w:color="auto"/>
            </w:tcBorders>
            <w:shd w:val="clear" w:color="auto" w:fill="FFFFFF"/>
            <w:noWrap/>
            <w:vAlign w:val="bottom"/>
            <w:hideMark/>
          </w:tcPr>
          <w:p w:rsidR="005272A1" w:rsidRDefault="005272A1">
            <w:pPr>
              <w:spacing w:line="256" w:lineRule="auto"/>
              <w:rPr>
                <w:sz w:val="4"/>
                <w:szCs w:val="4"/>
                <w:lang w:eastAsia="en-GB"/>
              </w:rPr>
            </w:pPr>
            <w:r>
              <w:rPr>
                <w:sz w:val="4"/>
                <w:szCs w:val="4"/>
                <w:lang w:eastAsia="en-GB"/>
              </w:rPr>
              <w:t> </w:t>
            </w:r>
          </w:p>
        </w:tc>
        <w:tc>
          <w:tcPr>
            <w:tcW w:w="1276" w:type="dxa"/>
            <w:tcBorders>
              <w:top w:val="nil"/>
              <w:left w:val="nil"/>
              <w:bottom w:val="single" w:sz="4" w:space="0" w:color="auto"/>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single" w:sz="4" w:space="0" w:color="auto"/>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single" w:sz="4" w:space="0" w:color="auto"/>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r>
      <w:tr w:rsidR="005272A1" w:rsidTr="00A200D5">
        <w:trPr>
          <w:cantSplit/>
          <w:trHeight w:val="92"/>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4"/>
                <w:szCs w:val="4"/>
                <w:lang w:eastAsia="en-GB"/>
              </w:rPr>
            </w:pPr>
            <w:r>
              <w:rPr>
                <w:sz w:val="4"/>
                <w:szCs w:val="4"/>
                <w:lang w:eastAsia="en-GB"/>
              </w:rPr>
              <w:t> </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r>
      <w:tr w:rsidR="005272A1" w:rsidTr="00A200D5">
        <w:trPr>
          <w:cantSplit/>
          <w:trHeight w:val="231"/>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(Surplus) on revaluation of Property, Plant and Equipment</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(9.5)</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(9.5)</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20"/>
                <w:szCs w:val="20"/>
                <w:lang w:eastAsia="en-GB"/>
              </w:rPr>
            </w:pPr>
            <w:r>
              <w:rPr>
                <w:sz w:val="20"/>
                <w:szCs w:val="20"/>
                <w:lang w:eastAsia="en-GB"/>
              </w:rPr>
              <w:t>0.0</w:t>
            </w:r>
          </w:p>
        </w:tc>
      </w:tr>
      <w:tr w:rsidR="005272A1" w:rsidTr="00A200D5">
        <w:trPr>
          <w:cantSplit/>
          <w:trHeight w:val="231"/>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20"/>
                <w:szCs w:val="20"/>
                <w:lang w:eastAsia="en-GB"/>
              </w:rPr>
            </w:pPr>
            <w:r>
              <w:rPr>
                <w:sz w:val="20"/>
                <w:szCs w:val="20"/>
                <w:lang w:eastAsia="en-GB"/>
              </w:rPr>
              <w:t>Re-measurement of the net defined benefit liability/asset</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152DD8">
            <w:pPr>
              <w:spacing w:line="256" w:lineRule="auto"/>
              <w:jc w:val="right"/>
              <w:rPr>
                <w:sz w:val="20"/>
                <w:szCs w:val="20"/>
                <w:lang w:eastAsia="en-GB"/>
              </w:rPr>
            </w:pPr>
            <w:r>
              <w:rPr>
                <w:sz w:val="20"/>
                <w:szCs w:val="20"/>
                <w:lang w:eastAsia="en-GB"/>
              </w:rPr>
              <w:t>(192.0</w:t>
            </w:r>
            <w:r w:rsidR="005272A1">
              <w:rPr>
                <w:sz w:val="20"/>
                <w:szCs w:val="20"/>
                <w:lang w:eastAsia="en-GB"/>
              </w:rPr>
              <w:t>)</w:t>
            </w:r>
          </w:p>
        </w:tc>
        <w:tc>
          <w:tcPr>
            <w:tcW w:w="1134" w:type="dxa"/>
            <w:tcBorders>
              <w:top w:val="nil"/>
              <w:left w:val="nil"/>
              <w:bottom w:val="nil"/>
              <w:right w:val="single" w:sz="4" w:space="0" w:color="auto"/>
            </w:tcBorders>
            <w:shd w:val="clear" w:color="auto" w:fill="FFFFFF"/>
            <w:noWrap/>
            <w:vAlign w:val="bottom"/>
            <w:hideMark/>
          </w:tcPr>
          <w:p w:rsidR="005272A1" w:rsidRDefault="00105BE5">
            <w:pPr>
              <w:spacing w:line="256" w:lineRule="auto"/>
              <w:jc w:val="right"/>
              <w:rPr>
                <w:sz w:val="20"/>
                <w:szCs w:val="20"/>
                <w:lang w:eastAsia="en-GB"/>
              </w:rPr>
            </w:pPr>
            <w:r>
              <w:rPr>
                <w:sz w:val="20"/>
                <w:szCs w:val="20"/>
                <w:lang w:eastAsia="en-GB"/>
              </w:rPr>
              <w:t>1</w:t>
            </w:r>
            <w:r w:rsidR="005272A1">
              <w:rPr>
                <w:sz w:val="20"/>
                <w:szCs w:val="20"/>
                <w:lang w:eastAsia="en-GB"/>
              </w:rPr>
              <w:t>.</w:t>
            </w:r>
            <w:r w:rsidR="00350248">
              <w:rPr>
                <w:sz w:val="20"/>
                <w:szCs w:val="20"/>
                <w:lang w:eastAsia="en-GB"/>
              </w:rPr>
              <w:t>3</w:t>
            </w:r>
          </w:p>
        </w:tc>
        <w:tc>
          <w:tcPr>
            <w:tcW w:w="1134" w:type="dxa"/>
            <w:tcBorders>
              <w:top w:val="nil"/>
              <w:left w:val="nil"/>
              <w:bottom w:val="nil"/>
              <w:right w:val="single" w:sz="4" w:space="0" w:color="auto"/>
            </w:tcBorders>
            <w:shd w:val="clear" w:color="auto" w:fill="FFFFFF"/>
            <w:noWrap/>
            <w:vAlign w:val="bottom"/>
            <w:hideMark/>
          </w:tcPr>
          <w:p w:rsidR="005272A1" w:rsidRDefault="00152DD8">
            <w:pPr>
              <w:spacing w:line="256" w:lineRule="auto"/>
              <w:jc w:val="right"/>
              <w:rPr>
                <w:sz w:val="20"/>
                <w:szCs w:val="20"/>
                <w:lang w:eastAsia="en-GB"/>
              </w:rPr>
            </w:pPr>
            <w:r>
              <w:rPr>
                <w:sz w:val="20"/>
                <w:szCs w:val="20"/>
                <w:lang w:eastAsia="en-GB"/>
              </w:rPr>
              <w:t>(193.</w:t>
            </w:r>
            <w:r w:rsidR="00350248">
              <w:rPr>
                <w:sz w:val="20"/>
                <w:szCs w:val="20"/>
                <w:lang w:eastAsia="en-GB"/>
              </w:rPr>
              <w:t>3</w:t>
            </w:r>
            <w:r w:rsidR="005272A1">
              <w:rPr>
                <w:sz w:val="20"/>
                <w:szCs w:val="20"/>
                <w:lang w:eastAsia="en-GB"/>
              </w:rPr>
              <w:t>)</w:t>
            </w:r>
          </w:p>
        </w:tc>
      </w:tr>
      <w:tr w:rsidR="005272A1" w:rsidTr="00A200D5">
        <w:trPr>
          <w:cantSplit/>
          <w:trHeight w:val="92"/>
          <w:jc w:val="center"/>
        </w:trPr>
        <w:tc>
          <w:tcPr>
            <w:tcW w:w="5812" w:type="dxa"/>
            <w:tcBorders>
              <w:top w:val="nil"/>
              <w:left w:val="single" w:sz="4" w:space="0" w:color="auto"/>
              <w:bottom w:val="nil"/>
              <w:right w:val="nil"/>
            </w:tcBorders>
            <w:shd w:val="clear" w:color="auto" w:fill="FFFFFF"/>
            <w:noWrap/>
            <w:vAlign w:val="bottom"/>
            <w:hideMark/>
          </w:tcPr>
          <w:p w:rsidR="005272A1" w:rsidRDefault="005272A1">
            <w:pPr>
              <w:spacing w:line="256" w:lineRule="auto"/>
              <w:rPr>
                <w:sz w:val="4"/>
                <w:szCs w:val="4"/>
                <w:lang w:eastAsia="en-GB"/>
              </w:rPr>
            </w:pPr>
            <w:r>
              <w:rPr>
                <w:sz w:val="4"/>
                <w:szCs w:val="4"/>
                <w:lang w:eastAsia="en-GB"/>
              </w:rPr>
              <w:t> </w:t>
            </w:r>
          </w:p>
        </w:tc>
        <w:tc>
          <w:tcPr>
            <w:tcW w:w="1276" w:type="dxa"/>
            <w:tcBorders>
              <w:top w:val="nil"/>
              <w:left w:val="single" w:sz="4" w:space="0" w:color="auto"/>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c>
          <w:tcPr>
            <w:tcW w:w="1134" w:type="dxa"/>
            <w:tcBorders>
              <w:top w:val="nil"/>
              <w:left w:val="nil"/>
              <w:bottom w:val="nil"/>
              <w:right w:val="single" w:sz="4" w:space="0" w:color="auto"/>
            </w:tcBorders>
            <w:shd w:val="clear" w:color="auto" w:fill="FFFFFF"/>
            <w:noWrap/>
            <w:vAlign w:val="bottom"/>
            <w:hideMark/>
          </w:tcPr>
          <w:p w:rsidR="005272A1" w:rsidRDefault="005272A1">
            <w:pPr>
              <w:spacing w:line="256" w:lineRule="auto"/>
              <w:jc w:val="right"/>
              <w:rPr>
                <w:sz w:val="4"/>
                <w:szCs w:val="4"/>
                <w:lang w:eastAsia="en-GB"/>
              </w:rPr>
            </w:pPr>
            <w:r>
              <w:rPr>
                <w:sz w:val="4"/>
                <w:szCs w:val="4"/>
                <w:lang w:eastAsia="en-GB"/>
              </w:rPr>
              <w:t> </w:t>
            </w:r>
          </w:p>
        </w:tc>
      </w:tr>
      <w:tr w:rsidR="005272A1" w:rsidTr="00A200D5">
        <w:trPr>
          <w:cantSplit/>
          <w:trHeight w:val="348"/>
          <w:jc w:val="center"/>
        </w:trPr>
        <w:tc>
          <w:tcPr>
            <w:tcW w:w="58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72A1" w:rsidRDefault="005272A1">
            <w:pPr>
              <w:spacing w:line="256" w:lineRule="auto"/>
              <w:rPr>
                <w:b/>
                <w:sz w:val="20"/>
                <w:szCs w:val="20"/>
                <w:lang w:eastAsia="en-GB"/>
              </w:rPr>
            </w:pPr>
            <w:r>
              <w:rPr>
                <w:b/>
                <w:sz w:val="20"/>
                <w:szCs w:val="20"/>
                <w:lang w:eastAsia="en-GB"/>
              </w:rPr>
              <w:t>Total Comprehensive Income and Expenditure</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(1</w:t>
            </w:r>
            <w:r w:rsidR="00152DD8">
              <w:rPr>
                <w:b/>
                <w:sz w:val="20"/>
                <w:szCs w:val="20"/>
                <w:lang w:eastAsia="en-GB"/>
              </w:rPr>
              <w:t>37</w:t>
            </w:r>
            <w:r>
              <w:rPr>
                <w:b/>
                <w:sz w:val="20"/>
                <w:szCs w:val="20"/>
                <w:lang w:eastAsia="en-GB"/>
              </w:rPr>
              <w:t>.</w:t>
            </w:r>
            <w:r w:rsidR="00152DD8">
              <w:rPr>
                <w:b/>
                <w:sz w:val="20"/>
                <w:szCs w:val="20"/>
                <w:lang w:eastAsia="en-GB"/>
              </w:rPr>
              <w:t>6</w:t>
            </w:r>
            <w:r>
              <w:rPr>
                <w:b/>
                <w:sz w:val="20"/>
                <w:szCs w:val="20"/>
                <w:lang w:eastAsia="en-GB"/>
              </w:rPr>
              <w:t>)</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(7.</w:t>
            </w:r>
            <w:r w:rsidR="00350248">
              <w:rPr>
                <w:b/>
                <w:sz w:val="20"/>
                <w:szCs w:val="20"/>
                <w:lang w:eastAsia="en-GB"/>
              </w:rPr>
              <w:t>4</w:t>
            </w:r>
            <w:r>
              <w:rPr>
                <w:b/>
                <w:sz w:val="20"/>
                <w:szCs w:val="20"/>
                <w:lang w:eastAsia="en-GB"/>
              </w:rPr>
              <w:t>)</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152DD8">
            <w:pPr>
              <w:spacing w:line="256" w:lineRule="auto"/>
              <w:jc w:val="right"/>
              <w:rPr>
                <w:b/>
                <w:sz w:val="20"/>
                <w:szCs w:val="20"/>
                <w:lang w:eastAsia="en-GB"/>
              </w:rPr>
            </w:pPr>
            <w:r>
              <w:rPr>
                <w:b/>
                <w:sz w:val="20"/>
                <w:szCs w:val="20"/>
                <w:lang w:eastAsia="en-GB"/>
              </w:rPr>
              <w:t>(13</w:t>
            </w:r>
            <w:r w:rsidR="005272A1">
              <w:rPr>
                <w:b/>
                <w:sz w:val="20"/>
                <w:szCs w:val="20"/>
                <w:lang w:eastAsia="en-GB"/>
              </w:rPr>
              <w:t>0.</w:t>
            </w:r>
            <w:r>
              <w:rPr>
                <w:b/>
                <w:sz w:val="20"/>
                <w:szCs w:val="20"/>
                <w:lang w:eastAsia="en-GB"/>
              </w:rPr>
              <w:t>2</w:t>
            </w:r>
            <w:r w:rsidR="005272A1">
              <w:rPr>
                <w:b/>
                <w:sz w:val="20"/>
                <w:szCs w:val="20"/>
                <w:lang w:eastAsia="en-GB"/>
              </w:rPr>
              <w:t>)</w:t>
            </w:r>
          </w:p>
        </w:tc>
      </w:tr>
    </w:tbl>
    <w:p w:rsidR="005272A1" w:rsidRDefault="005272A1" w:rsidP="005272A1">
      <w:pPr>
        <w:rPr>
          <w:highlight w:val="yellow"/>
        </w:rPr>
      </w:pPr>
    </w:p>
    <w:p w:rsidR="005272A1" w:rsidRDefault="005272A1" w:rsidP="005272A1">
      <w:pPr>
        <w:rPr>
          <w:highlight w:val="yellow"/>
        </w:rPr>
      </w:pPr>
    </w:p>
    <w:p w:rsidR="005272A1" w:rsidRPr="00A200D5" w:rsidRDefault="005272A1" w:rsidP="005272A1">
      <w:pPr>
        <w:autoSpaceDE w:val="0"/>
        <w:autoSpaceDN w:val="0"/>
        <w:adjustRightInd w:val="0"/>
        <w:rPr>
          <w:rFonts w:cs="Arial"/>
          <w:b/>
          <w:bCs/>
          <w:color w:val="000000"/>
        </w:rPr>
      </w:pPr>
      <w:r w:rsidRPr="00A200D5">
        <w:rPr>
          <w:rFonts w:cs="Arial"/>
          <w:b/>
          <w:bCs/>
          <w:color w:val="000000"/>
        </w:rPr>
        <w:t>Capital Expenditure</w:t>
      </w:r>
    </w:p>
    <w:p w:rsidR="005272A1" w:rsidRDefault="005272A1" w:rsidP="005272A1">
      <w:pPr>
        <w:spacing w:after="160" w:line="256" w:lineRule="auto"/>
      </w:pPr>
    </w:p>
    <w:p w:rsidR="005272A1" w:rsidRDefault="005272A1" w:rsidP="00A200D5">
      <w:pPr>
        <w:spacing w:after="160" w:line="256" w:lineRule="auto"/>
        <w:jc w:val="both"/>
      </w:pPr>
      <w:r>
        <w:t>Capital expenditure is incurred on the acquisition and enhancement of the Commissioner's assets which have a life of more than one year. The capital and investment programme is designed to support business enablement and change projects to promote new ways of working and efficient use of resources. Current investment plans include provision for investment towards the new Police Headquarters, fleet replacement programme and in-car technology development, ICT infrastructure and improvement plans further development of mobile policing and implementation of a new finance and HR system via the new Enterprise Resource Planning (ERP) system for Sussex, Surrey and Thames Valley Police.</w:t>
      </w:r>
    </w:p>
    <w:p w:rsidR="005272A1" w:rsidRDefault="005272A1" w:rsidP="00A200D5">
      <w:pPr>
        <w:spacing w:after="160" w:line="256" w:lineRule="auto"/>
        <w:jc w:val="both"/>
      </w:pPr>
      <w:r>
        <w:t>The Police and Crime Commissioner owns all of the assets of the force and hence they are included on the Balance Sheet of the PCC and Group but not the Chief Constable. Day to day management is delegated to the Chief Constable who receives a budget to fund these cost from the PCC.</w:t>
      </w:r>
    </w:p>
    <w:p w:rsidR="005272A1" w:rsidRDefault="005272A1" w:rsidP="00A200D5">
      <w:pPr>
        <w:spacing w:after="160" w:line="256" w:lineRule="auto"/>
        <w:jc w:val="both"/>
      </w:pPr>
      <w:r>
        <w:t xml:space="preserve">The PCC approved a Capital Program of £22.8m in February 2019 which included capital slippage from the previous year. </w:t>
      </w:r>
    </w:p>
    <w:p w:rsidR="005272A1" w:rsidRDefault="005272A1" w:rsidP="00A200D5">
      <w:pPr>
        <w:spacing w:after="160" w:line="256" w:lineRule="auto"/>
        <w:jc w:val="both"/>
      </w:pPr>
      <w:r>
        <w:t>The force runs a flexible programme managing schemes over a rolling 2 year period enabling work to be brought forward or deferred. During the year agreed budget changes resulted in a revised capital budget of £20.7m.</w:t>
      </w:r>
    </w:p>
    <w:p w:rsidR="005272A1" w:rsidRDefault="005272A1" w:rsidP="00A200D5">
      <w:pPr>
        <w:jc w:val="both"/>
      </w:pPr>
      <w:r>
        <w:t>Actual expenditure for the year against the final revised 2019/20 Capital and Investment budget of £20.7m was £9.4m as set out below.</w:t>
      </w:r>
    </w:p>
    <w:p w:rsidR="005272A1" w:rsidRDefault="005272A1" w:rsidP="005272A1">
      <w:pPr>
        <w:jc w:val="center"/>
        <w:rPr>
          <w:highlight w:val="yellow"/>
        </w:rPr>
      </w:pPr>
    </w:p>
    <w:tbl>
      <w:tblPr>
        <w:tblW w:w="7182" w:type="dxa"/>
        <w:jc w:val="center"/>
        <w:tblLook w:val="04A0" w:firstRow="1" w:lastRow="0" w:firstColumn="1" w:lastColumn="0" w:noHBand="0" w:noVBand="1"/>
      </w:tblPr>
      <w:tblGrid>
        <w:gridCol w:w="2391"/>
        <w:gridCol w:w="1138"/>
        <w:gridCol w:w="1429"/>
        <w:gridCol w:w="1060"/>
        <w:gridCol w:w="1164"/>
      </w:tblGrid>
      <w:tr w:rsidR="005272A1" w:rsidTr="005272A1">
        <w:trPr>
          <w:trHeight w:val="188"/>
          <w:jc w:val="center"/>
        </w:trPr>
        <w:tc>
          <w:tcPr>
            <w:tcW w:w="7182" w:type="dxa"/>
            <w:gridSpan w:val="5"/>
            <w:tcBorders>
              <w:top w:val="single" w:sz="4" w:space="0" w:color="auto"/>
              <w:left w:val="single" w:sz="4" w:space="0" w:color="auto"/>
              <w:bottom w:val="single" w:sz="4" w:space="0" w:color="auto"/>
              <w:right w:val="single" w:sz="4" w:space="0" w:color="000000"/>
            </w:tcBorders>
            <w:noWrap/>
            <w:vAlign w:val="bottom"/>
            <w:hideMark/>
          </w:tcPr>
          <w:p w:rsidR="005272A1" w:rsidRDefault="005272A1">
            <w:pPr>
              <w:spacing w:line="256" w:lineRule="auto"/>
              <w:jc w:val="center"/>
              <w:rPr>
                <w:b/>
              </w:rPr>
            </w:pPr>
            <w:r>
              <w:rPr>
                <w:b/>
              </w:rPr>
              <w:t>CAPITAL BUDGET OUTTURN 2019/20</w:t>
            </w:r>
          </w:p>
        </w:tc>
      </w:tr>
      <w:tr w:rsidR="005272A1" w:rsidTr="005272A1">
        <w:trPr>
          <w:trHeight w:val="406"/>
          <w:jc w:val="center"/>
        </w:trPr>
        <w:tc>
          <w:tcPr>
            <w:tcW w:w="2391" w:type="dxa"/>
            <w:tcBorders>
              <w:top w:val="nil"/>
              <w:left w:val="single" w:sz="4" w:space="0" w:color="auto"/>
              <w:bottom w:val="nil"/>
              <w:right w:val="nil"/>
            </w:tcBorders>
            <w:noWrap/>
            <w:vAlign w:val="bottom"/>
            <w:hideMark/>
          </w:tcPr>
          <w:p w:rsidR="005272A1" w:rsidRDefault="005272A1">
            <w:pPr>
              <w:spacing w:line="256" w:lineRule="auto"/>
              <w:rPr>
                <w:b/>
              </w:rPr>
            </w:pPr>
            <w:r>
              <w:rPr>
                <w:b/>
              </w:rPr>
              <w:t> </w:t>
            </w:r>
          </w:p>
        </w:tc>
        <w:tc>
          <w:tcPr>
            <w:tcW w:w="1138" w:type="dxa"/>
            <w:tcBorders>
              <w:top w:val="nil"/>
              <w:left w:val="single" w:sz="4" w:space="0" w:color="auto"/>
              <w:bottom w:val="nil"/>
              <w:right w:val="nil"/>
            </w:tcBorders>
            <w:noWrap/>
            <w:vAlign w:val="bottom"/>
            <w:hideMark/>
          </w:tcPr>
          <w:p w:rsidR="005272A1" w:rsidRDefault="005272A1">
            <w:pPr>
              <w:spacing w:line="256" w:lineRule="auto"/>
              <w:rPr>
                <w:b/>
              </w:rPr>
            </w:pPr>
            <w:r>
              <w:rPr>
                <w:b/>
              </w:rPr>
              <w:t>Actual</w:t>
            </w:r>
          </w:p>
        </w:tc>
        <w:tc>
          <w:tcPr>
            <w:tcW w:w="1429" w:type="dxa"/>
            <w:tcBorders>
              <w:top w:val="nil"/>
              <w:left w:val="single" w:sz="4" w:space="0" w:color="auto"/>
              <w:bottom w:val="nil"/>
              <w:right w:val="single" w:sz="4" w:space="0" w:color="auto"/>
            </w:tcBorders>
            <w:vAlign w:val="bottom"/>
            <w:hideMark/>
          </w:tcPr>
          <w:p w:rsidR="005272A1" w:rsidRDefault="005272A1">
            <w:pPr>
              <w:spacing w:line="256" w:lineRule="auto"/>
              <w:rPr>
                <w:b/>
              </w:rPr>
            </w:pPr>
            <w:r>
              <w:rPr>
                <w:b/>
              </w:rPr>
              <w:t>Revised Budget</w:t>
            </w:r>
          </w:p>
        </w:tc>
        <w:tc>
          <w:tcPr>
            <w:tcW w:w="2224" w:type="dxa"/>
            <w:gridSpan w:val="2"/>
            <w:tcBorders>
              <w:top w:val="single" w:sz="4" w:space="0" w:color="auto"/>
              <w:left w:val="nil"/>
              <w:bottom w:val="single" w:sz="4" w:space="0" w:color="auto"/>
              <w:right w:val="single" w:sz="4" w:space="0" w:color="000000"/>
            </w:tcBorders>
            <w:vAlign w:val="bottom"/>
            <w:hideMark/>
          </w:tcPr>
          <w:p w:rsidR="005272A1" w:rsidRDefault="005272A1">
            <w:pPr>
              <w:spacing w:line="256" w:lineRule="auto"/>
              <w:rPr>
                <w:b/>
              </w:rPr>
            </w:pPr>
            <w:r>
              <w:rPr>
                <w:b/>
              </w:rPr>
              <w:t>Variance over/ (under)spend</w:t>
            </w:r>
          </w:p>
        </w:tc>
      </w:tr>
      <w:tr w:rsidR="005272A1" w:rsidTr="005272A1">
        <w:trPr>
          <w:trHeight w:val="252"/>
          <w:jc w:val="center"/>
        </w:trPr>
        <w:tc>
          <w:tcPr>
            <w:tcW w:w="2391" w:type="dxa"/>
            <w:tcBorders>
              <w:top w:val="nil"/>
              <w:left w:val="single" w:sz="4" w:space="0" w:color="auto"/>
              <w:bottom w:val="single" w:sz="4" w:space="0" w:color="auto"/>
              <w:right w:val="nil"/>
            </w:tcBorders>
            <w:noWrap/>
            <w:vAlign w:val="center"/>
            <w:hideMark/>
          </w:tcPr>
          <w:p w:rsidR="005272A1" w:rsidRDefault="005272A1">
            <w:pPr>
              <w:spacing w:line="256" w:lineRule="auto"/>
              <w:rPr>
                <w:b/>
              </w:rPr>
            </w:pPr>
            <w:r>
              <w:rPr>
                <w:b/>
              </w:rPr>
              <w:t> </w:t>
            </w:r>
          </w:p>
        </w:tc>
        <w:tc>
          <w:tcPr>
            <w:tcW w:w="1138" w:type="dxa"/>
            <w:tcBorders>
              <w:top w:val="nil"/>
              <w:left w:val="single" w:sz="4" w:space="0" w:color="auto"/>
              <w:bottom w:val="single" w:sz="4" w:space="0" w:color="auto"/>
              <w:right w:val="nil"/>
            </w:tcBorders>
            <w:noWrap/>
            <w:vAlign w:val="center"/>
            <w:hideMark/>
          </w:tcPr>
          <w:p w:rsidR="005272A1" w:rsidRDefault="005272A1">
            <w:pPr>
              <w:spacing w:line="256" w:lineRule="auto"/>
              <w:rPr>
                <w:b/>
              </w:rPr>
            </w:pPr>
            <w:r>
              <w:rPr>
                <w:b/>
              </w:rPr>
              <w:t>£m</w:t>
            </w:r>
          </w:p>
        </w:tc>
        <w:tc>
          <w:tcPr>
            <w:tcW w:w="1429" w:type="dxa"/>
            <w:tcBorders>
              <w:top w:val="nil"/>
              <w:left w:val="single" w:sz="4" w:space="0" w:color="auto"/>
              <w:bottom w:val="single" w:sz="4" w:space="0" w:color="auto"/>
              <w:right w:val="single" w:sz="4" w:space="0" w:color="auto"/>
            </w:tcBorders>
            <w:noWrap/>
            <w:vAlign w:val="center"/>
            <w:hideMark/>
          </w:tcPr>
          <w:p w:rsidR="005272A1" w:rsidRDefault="005272A1">
            <w:pPr>
              <w:spacing w:line="256" w:lineRule="auto"/>
              <w:rPr>
                <w:b/>
              </w:rPr>
            </w:pPr>
            <w:r>
              <w:rPr>
                <w:b/>
              </w:rPr>
              <w:t>£m</w:t>
            </w:r>
          </w:p>
        </w:tc>
        <w:tc>
          <w:tcPr>
            <w:tcW w:w="1060" w:type="dxa"/>
            <w:vAlign w:val="center"/>
            <w:hideMark/>
          </w:tcPr>
          <w:p w:rsidR="005272A1" w:rsidRDefault="005272A1">
            <w:pPr>
              <w:spacing w:line="256" w:lineRule="auto"/>
              <w:rPr>
                <w:b/>
              </w:rPr>
            </w:pPr>
            <w:r>
              <w:rPr>
                <w:b/>
              </w:rPr>
              <w:t>£m</w:t>
            </w:r>
          </w:p>
        </w:tc>
        <w:tc>
          <w:tcPr>
            <w:tcW w:w="1164" w:type="dxa"/>
            <w:tcBorders>
              <w:top w:val="nil"/>
              <w:left w:val="single" w:sz="4" w:space="0" w:color="auto"/>
              <w:bottom w:val="single" w:sz="4" w:space="0" w:color="auto"/>
              <w:right w:val="single" w:sz="4" w:space="0" w:color="auto"/>
            </w:tcBorders>
            <w:vAlign w:val="center"/>
            <w:hideMark/>
          </w:tcPr>
          <w:p w:rsidR="005272A1" w:rsidRDefault="005272A1">
            <w:pPr>
              <w:spacing w:line="256" w:lineRule="auto"/>
              <w:rPr>
                <w:b/>
              </w:rPr>
            </w:pPr>
            <w:r>
              <w:rPr>
                <w:b/>
              </w:rPr>
              <w:t>%</w:t>
            </w:r>
          </w:p>
        </w:tc>
      </w:tr>
      <w:tr w:rsidR="005272A1" w:rsidTr="005272A1">
        <w:trPr>
          <w:trHeight w:val="252"/>
          <w:jc w:val="center"/>
        </w:trPr>
        <w:tc>
          <w:tcPr>
            <w:tcW w:w="2391" w:type="dxa"/>
            <w:tcBorders>
              <w:top w:val="nil"/>
              <w:left w:val="single" w:sz="4" w:space="0" w:color="auto"/>
              <w:bottom w:val="nil"/>
              <w:right w:val="nil"/>
            </w:tcBorders>
            <w:noWrap/>
            <w:vAlign w:val="center"/>
            <w:hideMark/>
          </w:tcPr>
          <w:p w:rsidR="005272A1" w:rsidRDefault="005272A1">
            <w:pPr>
              <w:spacing w:line="256" w:lineRule="auto"/>
            </w:pPr>
            <w:r>
              <w:t>IT</w:t>
            </w:r>
          </w:p>
        </w:tc>
        <w:tc>
          <w:tcPr>
            <w:tcW w:w="1138" w:type="dxa"/>
            <w:tcBorders>
              <w:top w:val="nil"/>
              <w:left w:val="single" w:sz="4" w:space="0" w:color="auto"/>
              <w:bottom w:val="nil"/>
              <w:right w:val="single" w:sz="4" w:space="0" w:color="auto"/>
            </w:tcBorders>
            <w:noWrap/>
            <w:vAlign w:val="center"/>
            <w:hideMark/>
          </w:tcPr>
          <w:p w:rsidR="005272A1" w:rsidRDefault="005272A1">
            <w:pPr>
              <w:spacing w:line="256" w:lineRule="auto"/>
              <w:jc w:val="right"/>
            </w:pPr>
            <w:r>
              <w:t xml:space="preserve">1.0 </w:t>
            </w:r>
          </w:p>
        </w:tc>
        <w:tc>
          <w:tcPr>
            <w:tcW w:w="1429" w:type="dxa"/>
            <w:noWrap/>
            <w:vAlign w:val="center"/>
            <w:hideMark/>
          </w:tcPr>
          <w:p w:rsidR="005272A1" w:rsidRDefault="005272A1">
            <w:pPr>
              <w:spacing w:line="256" w:lineRule="auto"/>
              <w:jc w:val="right"/>
            </w:pPr>
            <w:r>
              <w:t xml:space="preserve">5.1 </w:t>
            </w:r>
          </w:p>
        </w:tc>
        <w:tc>
          <w:tcPr>
            <w:tcW w:w="1060" w:type="dxa"/>
            <w:tcBorders>
              <w:top w:val="single" w:sz="4" w:space="0" w:color="auto"/>
              <w:left w:val="single" w:sz="4" w:space="0" w:color="auto"/>
              <w:bottom w:val="nil"/>
              <w:right w:val="single" w:sz="4" w:space="0" w:color="auto"/>
            </w:tcBorders>
            <w:noWrap/>
            <w:vAlign w:val="center"/>
            <w:hideMark/>
          </w:tcPr>
          <w:p w:rsidR="005272A1" w:rsidRDefault="005272A1">
            <w:pPr>
              <w:spacing w:line="256" w:lineRule="auto"/>
              <w:jc w:val="right"/>
            </w:pPr>
            <w:r>
              <w:t xml:space="preserve">(4.1) </w:t>
            </w:r>
          </w:p>
        </w:tc>
        <w:tc>
          <w:tcPr>
            <w:tcW w:w="1164" w:type="dxa"/>
            <w:tcBorders>
              <w:top w:val="nil"/>
              <w:left w:val="nil"/>
              <w:bottom w:val="nil"/>
              <w:right w:val="single" w:sz="4" w:space="0" w:color="auto"/>
            </w:tcBorders>
            <w:noWrap/>
            <w:vAlign w:val="center"/>
            <w:hideMark/>
          </w:tcPr>
          <w:p w:rsidR="005272A1" w:rsidRDefault="005272A1">
            <w:pPr>
              <w:spacing w:line="256" w:lineRule="auto"/>
              <w:jc w:val="right"/>
            </w:pPr>
            <w:r>
              <w:t>(80%)</w:t>
            </w:r>
          </w:p>
        </w:tc>
      </w:tr>
      <w:tr w:rsidR="005272A1" w:rsidTr="005272A1">
        <w:trPr>
          <w:trHeight w:val="252"/>
          <w:jc w:val="center"/>
        </w:trPr>
        <w:tc>
          <w:tcPr>
            <w:tcW w:w="2391" w:type="dxa"/>
            <w:tcBorders>
              <w:top w:val="nil"/>
              <w:left w:val="single" w:sz="4" w:space="0" w:color="auto"/>
              <w:bottom w:val="nil"/>
              <w:right w:val="nil"/>
            </w:tcBorders>
            <w:noWrap/>
            <w:vAlign w:val="center"/>
            <w:hideMark/>
          </w:tcPr>
          <w:p w:rsidR="005272A1" w:rsidRDefault="005272A1">
            <w:pPr>
              <w:spacing w:line="256" w:lineRule="auto"/>
            </w:pPr>
            <w:r>
              <w:t>Fleet</w:t>
            </w:r>
          </w:p>
        </w:tc>
        <w:tc>
          <w:tcPr>
            <w:tcW w:w="1138" w:type="dxa"/>
            <w:tcBorders>
              <w:top w:val="nil"/>
              <w:left w:val="single" w:sz="4" w:space="0" w:color="auto"/>
              <w:bottom w:val="nil"/>
              <w:right w:val="single" w:sz="4" w:space="0" w:color="auto"/>
            </w:tcBorders>
            <w:noWrap/>
            <w:vAlign w:val="center"/>
            <w:hideMark/>
          </w:tcPr>
          <w:p w:rsidR="005272A1" w:rsidRDefault="005272A1">
            <w:pPr>
              <w:spacing w:line="256" w:lineRule="auto"/>
              <w:jc w:val="right"/>
            </w:pPr>
            <w:r>
              <w:t xml:space="preserve">3.6 </w:t>
            </w:r>
          </w:p>
        </w:tc>
        <w:tc>
          <w:tcPr>
            <w:tcW w:w="1429" w:type="dxa"/>
            <w:noWrap/>
            <w:vAlign w:val="center"/>
            <w:hideMark/>
          </w:tcPr>
          <w:p w:rsidR="005272A1" w:rsidRDefault="005272A1">
            <w:pPr>
              <w:spacing w:line="256" w:lineRule="auto"/>
              <w:jc w:val="right"/>
            </w:pPr>
            <w:r>
              <w:t xml:space="preserve">3.8 </w:t>
            </w:r>
          </w:p>
        </w:tc>
        <w:tc>
          <w:tcPr>
            <w:tcW w:w="1060" w:type="dxa"/>
            <w:tcBorders>
              <w:top w:val="nil"/>
              <w:left w:val="single" w:sz="4" w:space="0" w:color="auto"/>
              <w:bottom w:val="nil"/>
              <w:right w:val="single" w:sz="4" w:space="0" w:color="auto"/>
            </w:tcBorders>
            <w:noWrap/>
            <w:vAlign w:val="center"/>
            <w:hideMark/>
          </w:tcPr>
          <w:p w:rsidR="005272A1" w:rsidRDefault="005272A1">
            <w:pPr>
              <w:spacing w:line="256" w:lineRule="auto"/>
              <w:jc w:val="right"/>
            </w:pPr>
            <w:r>
              <w:t xml:space="preserve">(0.2) </w:t>
            </w:r>
          </w:p>
        </w:tc>
        <w:tc>
          <w:tcPr>
            <w:tcW w:w="1164" w:type="dxa"/>
            <w:tcBorders>
              <w:top w:val="nil"/>
              <w:left w:val="nil"/>
              <w:bottom w:val="nil"/>
              <w:right w:val="single" w:sz="4" w:space="0" w:color="auto"/>
            </w:tcBorders>
            <w:noWrap/>
            <w:vAlign w:val="center"/>
            <w:hideMark/>
          </w:tcPr>
          <w:p w:rsidR="005272A1" w:rsidRDefault="005272A1">
            <w:pPr>
              <w:spacing w:line="256" w:lineRule="auto"/>
              <w:jc w:val="right"/>
            </w:pPr>
            <w:r>
              <w:t>(5%)</w:t>
            </w:r>
          </w:p>
        </w:tc>
      </w:tr>
      <w:tr w:rsidR="005272A1" w:rsidTr="005272A1">
        <w:trPr>
          <w:trHeight w:val="252"/>
          <w:jc w:val="center"/>
        </w:trPr>
        <w:tc>
          <w:tcPr>
            <w:tcW w:w="2391" w:type="dxa"/>
            <w:tcBorders>
              <w:top w:val="nil"/>
              <w:left w:val="single" w:sz="4" w:space="0" w:color="auto"/>
              <w:bottom w:val="nil"/>
              <w:right w:val="nil"/>
            </w:tcBorders>
            <w:noWrap/>
            <w:vAlign w:val="center"/>
            <w:hideMark/>
          </w:tcPr>
          <w:p w:rsidR="005272A1" w:rsidRDefault="005272A1">
            <w:pPr>
              <w:spacing w:line="256" w:lineRule="auto"/>
            </w:pPr>
            <w:r>
              <w:t>Estates</w:t>
            </w:r>
          </w:p>
        </w:tc>
        <w:tc>
          <w:tcPr>
            <w:tcW w:w="1138" w:type="dxa"/>
            <w:tcBorders>
              <w:top w:val="nil"/>
              <w:left w:val="single" w:sz="4" w:space="0" w:color="auto"/>
              <w:bottom w:val="nil"/>
              <w:right w:val="single" w:sz="4" w:space="0" w:color="auto"/>
            </w:tcBorders>
            <w:noWrap/>
            <w:vAlign w:val="center"/>
            <w:hideMark/>
          </w:tcPr>
          <w:p w:rsidR="005272A1" w:rsidRDefault="005272A1">
            <w:pPr>
              <w:spacing w:line="256" w:lineRule="auto"/>
              <w:jc w:val="right"/>
            </w:pPr>
            <w:r>
              <w:t xml:space="preserve">1.7 </w:t>
            </w:r>
          </w:p>
        </w:tc>
        <w:tc>
          <w:tcPr>
            <w:tcW w:w="1429" w:type="dxa"/>
            <w:noWrap/>
            <w:vAlign w:val="center"/>
            <w:hideMark/>
          </w:tcPr>
          <w:p w:rsidR="005272A1" w:rsidRDefault="005272A1">
            <w:pPr>
              <w:spacing w:line="256" w:lineRule="auto"/>
              <w:jc w:val="right"/>
            </w:pPr>
            <w:r>
              <w:t xml:space="preserve">5.8 </w:t>
            </w:r>
          </w:p>
        </w:tc>
        <w:tc>
          <w:tcPr>
            <w:tcW w:w="1060" w:type="dxa"/>
            <w:tcBorders>
              <w:top w:val="nil"/>
              <w:left w:val="single" w:sz="4" w:space="0" w:color="auto"/>
              <w:bottom w:val="nil"/>
              <w:right w:val="single" w:sz="4" w:space="0" w:color="auto"/>
            </w:tcBorders>
            <w:noWrap/>
            <w:vAlign w:val="center"/>
            <w:hideMark/>
          </w:tcPr>
          <w:p w:rsidR="005272A1" w:rsidRDefault="005272A1">
            <w:pPr>
              <w:spacing w:line="256" w:lineRule="auto"/>
              <w:jc w:val="right"/>
            </w:pPr>
            <w:r>
              <w:t xml:space="preserve">(4.1) </w:t>
            </w:r>
          </w:p>
        </w:tc>
        <w:tc>
          <w:tcPr>
            <w:tcW w:w="1164" w:type="dxa"/>
            <w:tcBorders>
              <w:top w:val="nil"/>
              <w:left w:val="nil"/>
              <w:bottom w:val="nil"/>
              <w:right w:val="single" w:sz="4" w:space="0" w:color="auto"/>
            </w:tcBorders>
            <w:noWrap/>
            <w:vAlign w:val="center"/>
            <w:hideMark/>
          </w:tcPr>
          <w:p w:rsidR="005272A1" w:rsidRDefault="005272A1">
            <w:pPr>
              <w:spacing w:line="256" w:lineRule="auto"/>
              <w:jc w:val="right"/>
            </w:pPr>
            <w:r>
              <w:t>(71%)</w:t>
            </w:r>
          </w:p>
        </w:tc>
      </w:tr>
      <w:tr w:rsidR="005272A1" w:rsidTr="005272A1">
        <w:trPr>
          <w:trHeight w:val="252"/>
          <w:jc w:val="center"/>
        </w:trPr>
        <w:tc>
          <w:tcPr>
            <w:tcW w:w="2391" w:type="dxa"/>
            <w:tcBorders>
              <w:top w:val="nil"/>
              <w:left w:val="single" w:sz="4" w:space="0" w:color="auto"/>
              <w:bottom w:val="nil"/>
              <w:right w:val="nil"/>
            </w:tcBorders>
            <w:noWrap/>
            <w:vAlign w:val="center"/>
            <w:hideMark/>
          </w:tcPr>
          <w:p w:rsidR="005272A1" w:rsidRDefault="005272A1">
            <w:pPr>
              <w:spacing w:line="256" w:lineRule="auto"/>
            </w:pPr>
            <w:r>
              <w:t>Local Policing</w:t>
            </w:r>
          </w:p>
        </w:tc>
        <w:tc>
          <w:tcPr>
            <w:tcW w:w="1138" w:type="dxa"/>
            <w:tcBorders>
              <w:top w:val="nil"/>
              <w:left w:val="single" w:sz="4" w:space="0" w:color="auto"/>
              <w:bottom w:val="nil"/>
              <w:right w:val="single" w:sz="4" w:space="0" w:color="auto"/>
            </w:tcBorders>
            <w:noWrap/>
            <w:vAlign w:val="center"/>
            <w:hideMark/>
          </w:tcPr>
          <w:p w:rsidR="005272A1" w:rsidRDefault="005272A1">
            <w:pPr>
              <w:spacing w:line="256" w:lineRule="auto"/>
              <w:jc w:val="right"/>
            </w:pPr>
            <w:r>
              <w:t xml:space="preserve">1.2 </w:t>
            </w:r>
          </w:p>
        </w:tc>
        <w:tc>
          <w:tcPr>
            <w:tcW w:w="1429" w:type="dxa"/>
            <w:noWrap/>
            <w:vAlign w:val="center"/>
            <w:hideMark/>
          </w:tcPr>
          <w:p w:rsidR="005272A1" w:rsidRDefault="005272A1">
            <w:pPr>
              <w:spacing w:line="256" w:lineRule="auto"/>
              <w:jc w:val="right"/>
            </w:pPr>
            <w:r>
              <w:t xml:space="preserve">3.2 </w:t>
            </w:r>
          </w:p>
        </w:tc>
        <w:tc>
          <w:tcPr>
            <w:tcW w:w="1060" w:type="dxa"/>
            <w:tcBorders>
              <w:top w:val="nil"/>
              <w:left w:val="single" w:sz="4" w:space="0" w:color="auto"/>
              <w:bottom w:val="nil"/>
              <w:right w:val="single" w:sz="4" w:space="0" w:color="auto"/>
            </w:tcBorders>
            <w:noWrap/>
            <w:vAlign w:val="center"/>
            <w:hideMark/>
          </w:tcPr>
          <w:p w:rsidR="005272A1" w:rsidRDefault="005272A1">
            <w:pPr>
              <w:spacing w:line="256" w:lineRule="auto"/>
              <w:jc w:val="right"/>
            </w:pPr>
            <w:r>
              <w:t xml:space="preserve">(2.0) </w:t>
            </w:r>
          </w:p>
        </w:tc>
        <w:tc>
          <w:tcPr>
            <w:tcW w:w="1164" w:type="dxa"/>
            <w:tcBorders>
              <w:top w:val="nil"/>
              <w:left w:val="nil"/>
              <w:bottom w:val="nil"/>
              <w:right w:val="single" w:sz="4" w:space="0" w:color="auto"/>
            </w:tcBorders>
            <w:noWrap/>
            <w:vAlign w:val="center"/>
            <w:hideMark/>
          </w:tcPr>
          <w:p w:rsidR="005272A1" w:rsidRDefault="005272A1">
            <w:pPr>
              <w:spacing w:line="256" w:lineRule="auto"/>
              <w:jc w:val="right"/>
            </w:pPr>
            <w:r>
              <w:t>(63%)</w:t>
            </w:r>
          </w:p>
        </w:tc>
      </w:tr>
      <w:tr w:rsidR="005272A1" w:rsidTr="005272A1">
        <w:trPr>
          <w:trHeight w:val="252"/>
          <w:jc w:val="center"/>
        </w:trPr>
        <w:tc>
          <w:tcPr>
            <w:tcW w:w="2391" w:type="dxa"/>
            <w:tcBorders>
              <w:top w:val="nil"/>
              <w:left w:val="single" w:sz="4" w:space="0" w:color="auto"/>
              <w:bottom w:val="nil"/>
              <w:right w:val="nil"/>
            </w:tcBorders>
            <w:noWrap/>
            <w:vAlign w:val="center"/>
            <w:hideMark/>
          </w:tcPr>
          <w:p w:rsidR="005272A1" w:rsidRDefault="005272A1">
            <w:pPr>
              <w:spacing w:line="256" w:lineRule="auto"/>
            </w:pPr>
            <w:r>
              <w:t>Specialist Crime</w:t>
            </w:r>
          </w:p>
        </w:tc>
        <w:tc>
          <w:tcPr>
            <w:tcW w:w="1138" w:type="dxa"/>
            <w:tcBorders>
              <w:top w:val="nil"/>
              <w:left w:val="single" w:sz="4" w:space="0" w:color="auto"/>
              <w:bottom w:val="nil"/>
              <w:right w:val="single" w:sz="4" w:space="0" w:color="auto"/>
            </w:tcBorders>
            <w:noWrap/>
            <w:vAlign w:val="center"/>
            <w:hideMark/>
          </w:tcPr>
          <w:p w:rsidR="005272A1" w:rsidRDefault="005272A1">
            <w:pPr>
              <w:spacing w:line="256" w:lineRule="auto"/>
              <w:jc w:val="right"/>
            </w:pPr>
            <w:r>
              <w:t xml:space="preserve">1.2 </w:t>
            </w:r>
          </w:p>
        </w:tc>
        <w:tc>
          <w:tcPr>
            <w:tcW w:w="1429" w:type="dxa"/>
            <w:noWrap/>
            <w:vAlign w:val="center"/>
            <w:hideMark/>
          </w:tcPr>
          <w:p w:rsidR="005272A1" w:rsidRDefault="005272A1">
            <w:pPr>
              <w:spacing w:line="256" w:lineRule="auto"/>
              <w:jc w:val="right"/>
            </w:pPr>
            <w:r>
              <w:t xml:space="preserve">1.7 </w:t>
            </w:r>
          </w:p>
        </w:tc>
        <w:tc>
          <w:tcPr>
            <w:tcW w:w="1060" w:type="dxa"/>
            <w:tcBorders>
              <w:top w:val="nil"/>
              <w:left w:val="single" w:sz="4" w:space="0" w:color="auto"/>
              <w:bottom w:val="nil"/>
              <w:right w:val="single" w:sz="4" w:space="0" w:color="auto"/>
            </w:tcBorders>
            <w:noWrap/>
            <w:vAlign w:val="center"/>
            <w:hideMark/>
          </w:tcPr>
          <w:p w:rsidR="005272A1" w:rsidRDefault="005272A1">
            <w:pPr>
              <w:spacing w:line="256" w:lineRule="auto"/>
              <w:jc w:val="right"/>
            </w:pPr>
            <w:r>
              <w:t xml:space="preserve">(0.5) </w:t>
            </w:r>
          </w:p>
        </w:tc>
        <w:tc>
          <w:tcPr>
            <w:tcW w:w="1164" w:type="dxa"/>
            <w:tcBorders>
              <w:top w:val="nil"/>
              <w:left w:val="nil"/>
              <w:bottom w:val="nil"/>
              <w:right w:val="single" w:sz="4" w:space="0" w:color="auto"/>
            </w:tcBorders>
            <w:noWrap/>
            <w:vAlign w:val="center"/>
            <w:hideMark/>
          </w:tcPr>
          <w:p w:rsidR="005272A1" w:rsidRDefault="005272A1">
            <w:pPr>
              <w:spacing w:line="256" w:lineRule="auto"/>
              <w:jc w:val="right"/>
            </w:pPr>
            <w:r>
              <w:t>(29%)</w:t>
            </w:r>
          </w:p>
        </w:tc>
      </w:tr>
      <w:tr w:rsidR="005272A1" w:rsidTr="005272A1">
        <w:trPr>
          <w:trHeight w:val="252"/>
          <w:jc w:val="center"/>
        </w:trPr>
        <w:tc>
          <w:tcPr>
            <w:tcW w:w="2391" w:type="dxa"/>
            <w:tcBorders>
              <w:top w:val="nil"/>
              <w:left w:val="single" w:sz="4" w:space="0" w:color="auto"/>
              <w:bottom w:val="single" w:sz="4" w:space="0" w:color="auto"/>
              <w:right w:val="nil"/>
            </w:tcBorders>
            <w:noWrap/>
            <w:vAlign w:val="center"/>
            <w:hideMark/>
          </w:tcPr>
          <w:p w:rsidR="005272A1" w:rsidRDefault="005272A1">
            <w:pPr>
              <w:spacing w:line="256" w:lineRule="auto"/>
            </w:pPr>
            <w:r>
              <w:t>Operations</w:t>
            </w:r>
          </w:p>
        </w:tc>
        <w:tc>
          <w:tcPr>
            <w:tcW w:w="1138" w:type="dxa"/>
            <w:tcBorders>
              <w:top w:val="nil"/>
              <w:left w:val="single" w:sz="4" w:space="0" w:color="auto"/>
              <w:bottom w:val="single" w:sz="4" w:space="0" w:color="auto"/>
              <w:right w:val="single" w:sz="4" w:space="0" w:color="auto"/>
            </w:tcBorders>
            <w:noWrap/>
            <w:vAlign w:val="center"/>
            <w:hideMark/>
          </w:tcPr>
          <w:p w:rsidR="005272A1" w:rsidRDefault="005272A1">
            <w:pPr>
              <w:spacing w:line="256" w:lineRule="auto"/>
              <w:jc w:val="right"/>
            </w:pPr>
            <w:r>
              <w:t xml:space="preserve">0.7 </w:t>
            </w:r>
          </w:p>
        </w:tc>
        <w:tc>
          <w:tcPr>
            <w:tcW w:w="1429" w:type="dxa"/>
            <w:tcBorders>
              <w:top w:val="nil"/>
              <w:left w:val="nil"/>
              <w:bottom w:val="single" w:sz="4" w:space="0" w:color="auto"/>
              <w:right w:val="nil"/>
            </w:tcBorders>
            <w:noWrap/>
            <w:vAlign w:val="center"/>
            <w:hideMark/>
          </w:tcPr>
          <w:p w:rsidR="005272A1" w:rsidRDefault="005272A1">
            <w:pPr>
              <w:spacing w:line="256" w:lineRule="auto"/>
              <w:jc w:val="right"/>
            </w:pPr>
            <w:r>
              <w:t xml:space="preserve">1.1 </w:t>
            </w:r>
          </w:p>
        </w:tc>
        <w:tc>
          <w:tcPr>
            <w:tcW w:w="1060" w:type="dxa"/>
            <w:tcBorders>
              <w:top w:val="nil"/>
              <w:left w:val="single" w:sz="4" w:space="0" w:color="auto"/>
              <w:bottom w:val="single" w:sz="4" w:space="0" w:color="auto"/>
              <w:right w:val="single" w:sz="4" w:space="0" w:color="auto"/>
            </w:tcBorders>
            <w:noWrap/>
            <w:vAlign w:val="center"/>
            <w:hideMark/>
          </w:tcPr>
          <w:p w:rsidR="005272A1" w:rsidRDefault="005272A1">
            <w:pPr>
              <w:spacing w:line="256" w:lineRule="auto"/>
              <w:jc w:val="right"/>
            </w:pPr>
            <w:r>
              <w:t xml:space="preserve">(0.4) </w:t>
            </w:r>
          </w:p>
        </w:tc>
        <w:tc>
          <w:tcPr>
            <w:tcW w:w="1164" w:type="dxa"/>
            <w:tcBorders>
              <w:top w:val="nil"/>
              <w:left w:val="nil"/>
              <w:bottom w:val="nil"/>
              <w:right w:val="single" w:sz="4" w:space="0" w:color="auto"/>
            </w:tcBorders>
            <w:noWrap/>
            <w:vAlign w:val="center"/>
            <w:hideMark/>
          </w:tcPr>
          <w:p w:rsidR="005272A1" w:rsidRDefault="005272A1">
            <w:pPr>
              <w:spacing w:line="256" w:lineRule="auto"/>
              <w:jc w:val="right"/>
            </w:pPr>
            <w:r>
              <w:t>(36%)</w:t>
            </w:r>
          </w:p>
        </w:tc>
      </w:tr>
      <w:tr w:rsidR="005272A1" w:rsidTr="005272A1">
        <w:trPr>
          <w:trHeight w:val="252"/>
          <w:jc w:val="center"/>
        </w:trPr>
        <w:tc>
          <w:tcPr>
            <w:tcW w:w="2391" w:type="dxa"/>
            <w:tcBorders>
              <w:top w:val="nil"/>
              <w:left w:val="single" w:sz="4" w:space="0" w:color="auto"/>
              <w:bottom w:val="single" w:sz="4" w:space="0" w:color="auto"/>
              <w:right w:val="nil"/>
            </w:tcBorders>
            <w:noWrap/>
            <w:vAlign w:val="center"/>
            <w:hideMark/>
          </w:tcPr>
          <w:p w:rsidR="005272A1" w:rsidRDefault="005272A1">
            <w:pPr>
              <w:spacing w:line="256" w:lineRule="auto"/>
              <w:rPr>
                <w:b/>
              </w:rPr>
            </w:pPr>
            <w:r>
              <w:rPr>
                <w:b/>
              </w:rPr>
              <w:t>Total</w:t>
            </w:r>
          </w:p>
        </w:tc>
        <w:tc>
          <w:tcPr>
            <w:tcW w:w="1138" w:type="dxa"/>
            <w:tcBorders>
              <w:top w:val="nil"/>
              <w:left w:val="single" w:sz="4" w:space="0" w:color="auto"/>
              <w:bottom w:val="single" w:sz="4" w:space="0" w:color="auto"/>
              <w:right w:val="single" w:sz="4" w:space="0" w:color="auto"/>
            </w:tcBorders>
            <w:noWrap/>
            <w:vAlign w:val="center"/>
            <w:hideMark/>
          </w:tcPr>
          <w:p w:rsidR="005272A1" w:rsidRDefault="005272A1">
            <w:pPr>
              <w:spacing w:line="256" w:lineRule="auto"/>
              <w:jc w:val="right"/>
              <w:rPr>
                <w:b/>
              </w:rPr>
            </w:pPr>
            <w:r>
              <w:rPr>
                <w:b/>
              </w:rPr>
              <w:t xml:space="preserve">9.4 </w:t>
            </w:r>
          </w:p>
        </w:tc>
        <w:tc>
          <w:tcPr>
            <w:tcW w:w="1429" w:type="dxa"/>
            <w:tcBorders>
              <w:top w:val="nil"/>
              <w:left w:val="nil"/>
              <w:bottom w:val="single" w:sz="4" w:space="0" w:color="auto"/>
              <w:right w:val="nil"/>
            </w:tcBorders>
            <w:noWrap/>
            <w:vAlign w:val="center"/>
            <w:hideMark/>
          </w:tcPr>
          <w:p w:rsidR="005272A1" w:rsidRDefault="005272A1">
            <w:pPr>
              <w:spacing w:line="256" w:lineRule="auto"/>
              <w:jc w:val="right"/>
              <w:rPr>
                <w:b/>
              </w:rPr>
            </w:pPr>
            <w:r>
              <w:rPr>
                <w:b/>
              </w:rPr>
              <w:t xml:space="preserve">20.7 </w:t>
            </w:r>
          </w:p>
        </w:tc>
        <w:tc>
          <w:tcPr>
            <w:tcW w:w="1060" w:type="dxa"/>
            <w:tcBorders>
              <w:top w:val="nil"/>
              <w:left w:val="single" w:sz="4" w:space="0" w:color="auto"/>
              <w:bottom w:val="single" w:sz="4" w:space="0" w:color="auto"/>
              <w:right w:val="single" w:sz="4" w:space="0" w:color="auto"/>
            </w:tcBorders>
            <w:noWrap/>
            <w:vAlign w:val="center"/>
            <w:hideMark/>
          </w:tcPr>
          <w:p w:rsidR="005272A1" w:rsidRDefault="005272A1">
            <w:pPr>
              <w:spacing w:line="256" w:lineRule="auto"/>
              <w:jc w:val="right"/>
              <w:rPr>
                <w:b/>
              </w:rPr>
            </w:pPr>
            <w:r>
              <w:rPr>
                <w:b/>
              </w:rPr>
              <w:t xml:space="preserve">(11.3) </w:t>
            </w:r>
          </w:p>
        </w:tc>
        <w:tc>
          <w:tcPr>
            <w:tcW w:w="1164" w:type="dxa"/>
            <w:tcBorders>
              <w:top w:val="single" w:sz="4" w:space="0" w:color="auto"/>
              <w:left w:val="nil"/>
              <w:bottom w:val="single" w:sz="4" w:space="0" w:color="auto"/>
              <w:right w:val="single" w:sz="4" w:space="0" w:color="auto"/>
            </w:tcBorders>
            <w:noWrap/>
            <w:vAlign w:val="center"/>
            <w:hideMark/>
          </w:tcPr>
          <w:p w:rsidR="005272A1" w:rsidRDefault="005272A1">
            <w:pPr>
              <w:spacing w:line="256" w:lineRule="auto"/>
              <w:jc w:val="right"/>
              <w:rPr>
                <w:b/>
              </w:rPr>
            </w:pPr>
            <w:r>
              <w:rPr>
                <w:b/>
              </w:rPr>
              <w:t>(55%)</w:t>
            </w:r>
          </w:p>
        </w:tc>
      </w:tr>
    </w:tbl>
    <w:p w:rsidR="005272A1" w:rsidRDefault="005272A1" w:rsidP="005272A1">
      <w:pPr>
        <w:rPr>
          <w:highlight w:val="yellow"/>
        </w:rPr>
      </w:pPr>
    </w:p>
    <w:p w:rsidR="005272A1" w:rsidRDefault="005272A1" w:rsidP="005272A1">
      <w:r>
        <w:t>This was funded by:</w:t>
      </w:r>
    </w:p>
    <w:p w:rsidR="005272A1" w:rsidRDefault="005272A1" w:rsidP="005272A1"/>
    <w:tbl>
      <w:tblPr>
        <w:tblW w:w="5179" w:type="dxa"/>
        <w:jc w:val="center"/>
        <w:tblLook w:val="04A0" w:firstRow="1" w:lastRow="0" w:firstColumn="1" w:lastColumn="0" w:noHBand="0" w:noVBand="1"/>
      </w:tblPr>
      <w:tblGrid>
        <w:gridCol w:w="3739"/>
        <w:gridCol w:w="1440"/>
      </w:tblGrid>
      <w:tr w:rsidR="005272A1" w:rsidTr="005272A1">
        <w:trPr>
          <w:trHeight w:val="768"/>
          <w:jc w:val="center"/>
        </w:trPr>
        <w:tc>
          <w:tcPr>
            <w:tcW w:w="3739" w:type="dxa"/>
            <w:tcBorders>
              <w:top w:val="single" w:sz="4" w:space="0" w:color="auto"/>
              <w:left w:val="single" w:sz="4" w:space="0" w:color="auto"/>
              <w:bottom w:val="single" w:sz="4" w:space="0" w:color="auto"/>
              <w:right w:val="single" w:sz="4" w:space="0" w:color="auto"/>
            </w:tcBorders>
            <w:noWrap/>
            <w:vAlign w:val="center"/>
            <w:hideMark/>
          </w:tcPr>
          <w:p w:rsidR="005272A1" w:rsidRDefault="005272A1">
            <w:pPr>
              <w:spacing w:line="256" w:lineRule="auto"/>
              <w:jc w:val="center"/>
              <w:rPr>
                <w:b/>
                <w:color w:val="000000"/>
              </w:rPr>
            </w:pPr>
            <w:r>
              <w:rPr>
                <w:b/>
                <w:color w:val="000000"/>
              </w:rPr>
              <w:t>Source of Funding</w:t>
            </w:r>
          </w:p>
        </w:tc>
        <w:tc>
          <w:tcPr>
            <w:tcW w:w="1440" w:type="dxa"/>
            <w:tcBorders>
              <w:top w:val="single" w:sz="4" w:space="0" w:color="auto"/>
              <w:left w:val="nil"/>
              <w:bottom w:val="single" w:sz="4" w:space="0" w:color="auto"/>
              <w:right w:val="single" w:sz="4" w:space="0" w:color="auto"/>
            </w:tcBorders>
            <w:vAlign w:val="center"/>
            <w:hideMark/>
          </w:tcPr>
          <w:p w:rsidR="005272A1" w:rsidRDefault="005272A1">
            <w:pPr>
              <w:spacing w:line="256" w:lineRule="auto"/>
              <w:jc w:val="center"/>
              <w:rPr>
                <w:b/>
                <w:color w:val="000000"/>
              </w:rPr>
            </w:pPr>
            <w:r>
              <w:rPr>
                <w:b/>
                <w:color w:val="000000"/>
              </w:rPr>
              <w:t>Capital Financing</w:t>
            </w:r>
            <w:r>
              <w:rPr>
                <w:b/>
                <w:color w:val="000000"/>
              </w:rPr>
              <w:br/>
              <w:t>£m</w:t>
            </w:r>
          </w:p>
        </w:tc>
      </w:tr>
      <w:tr w:rsidR="005272A1" w:rsidTr="005272A1">
        <w:trPr>
          <w:trHeight w:val="408"/>
          <w:jc w:val="center"/>
        </w:trPr>
        <w:tc>
          <w:tcPr>
            <w:tcW w:w="3739" w:type="dxa"/>
            <w:tcBorders>
              <w:top w:val="nil"/>
              <w:left w:val="single" w:sz="4" w:space="0" w:color="auto"/>
              <w:bottom w:val="nil"/>
              <w:right w:val="single" w:sz="4" w:space="0" w:color="auto"/>
            </w:tcBorders>
            <w:shd w:val="clear" w:color="auto" w:fill="FFFFFF"/>
            <w:noWrap/>
            <w:vAlign w:val="center"/>
            <w:hideMark/>
          </w:tcPr>
          <w:p w:rsidR="005272A1" w:rsidRDefault="005272A1">
            <w:pPr>
              <w:spacing w:line="256" w:lineRule="auto"/>
              <w:ind w:firstLineChars="100" w:firstLine="220"/>
              <w:rPr>
                <w:color w:val="000000"/>
              </w:rPr>
            </w:pPr>
            <w:r>
              <w:rPr>
                <w:color w:val="000000"/>
              </w:rPr>
              <w:t>Home Office Capital Grant</w:t>
            </w:r>
          </w:p>
        </w:tc>
        <w:tc>
          <w:tcPr>
            <w:tcW w:w="1440" w:type="dxa"/>
            <w:tcBorders>
              <w:top w:val="nil"/>
              <w:left w:val="nil"/>
              <w:bottom w:val="nil"/>
              <w:right w:val="single" w:sz="4" w:space="0" w:color="auto"/>
            </w:tcBorders>
            <w:shd w:val="clear" w:color="auto" w:fill="FFFFFF"/>
            <w:noWrap/>
            <w:vAlign w:val="center"/>
            <w:hideMark/>
          </w:tcPr>
          <w:p w:rsidR="005272A1" w:rsidRDefault="005272A1">
            <w:pPr>
              <w:spacing w:line="256" w:lineRule="auto"/>
              <w:ind w:firstLineChars="100" w:firstLine="220"/>
              <w:jc w:val="right"/>
              <w:rPr>
                <w:color w:val="000000"/>
              </w:rPr>
            </w:pPr>
            <w:r>
              <w:rPr>
                <w:color w:val="000000"/>
              </w:rPr>
              <w:t>0.6</w:t>
            </w:r>
          </w:p>
        </w:tc>
      </w:tr>
      <w:tr w:rsidR="005272A1" w:rsidTr="005272A1">
        <w:trPr>
          <w:trHeight w:val="408"/>
          <w:jc w:val="center"/>
        </w:trPr>
        <w:tc>
          <w:tcPr>
            <w:tcW w:w="3739" w:type="dxa"/>
            <w:tcBorders>
              <w:top w:val="nil"/>
              <w:left w:val="single" w:sz="4" w:space="0" w:color="auto"/>
              <w:bottom w:val="nil"/>
              <w:right w:val="single" w:sz="4" w:space="0" w:color="auto"/>
            </w:tcBorders>
            <w:shd w:val="clear" w:color="auto" w:fill="FFFFFF"/>
            <w:noWrap/>
            <w:vAlign w:val="center"/>
            <w:hideMark/>
          </w:tcPr>
          <w:p w:rsidR="005272A1" w:rsidRDefault="005272A1">
            <w:pPr>
              <w:spacing w:line="256" w:lineRule="auto"/>
              <w:ind w:firstLineChars="100" w:firstLine="220"/>
              <w:rPr>
                <w:color w:val="000000"/>
              </w:rPr>
            </w:pPr>
            <w:r>
              <w:rPr>
                <w:color w:val="000000"/>
              </w:rPr>
              <w:t>Capital Receipts</w:t>
            </w:r>
          </w:p>
        </w:tc>
        <w:tc>
          <w:tcPr>
            <w:tcW w:w="1440" w:type="dxa"/>
            <w:tcBorders>
              <w:top w:val="nil"/>
              <w:left w:val="nil"/>
              <w:bottom w:val="nil"/>
              <w:right w:val="single" w:sz="4" w:space="0" w:color="auto"/>
            </w:tcBorders>
            <w:shd w:val="clear" w:color="auto" w:fill="FFFFFF"/>
            <w:noWrap/>
            <w:vAlign w:val="center"/>
            <w:hideMark/>
          </w:tcPr>
          <w:p w:rsidR="005272A1" w:rsidRDefault="005272A1">
            <w:pPr>
              <w:spacing w:line="256" w:lineRule="auto"/>
              <w:ind w:firstLineChars="100" w:firstLine="220"/>
              <w:jc w:val="right"/>
              <w:rPr>
                <w:color w:val="000000"/>
              </w:rPr>
            </w:pPr>
            <w:r>
              <w:rPr>
                <w:color w:val="000000"/>
              </w:rPr>
              <w:t>4.5</w:t>
            </w:r>
          </w:p>
        </w:tc>
      </w:tr>
      <w:tr w:rsidR="005272A1" w:rsidTr="005272A1">
        <w:trPr>
          <w:trHeight w:val="408"/>
          <w:jc w:val="center"/>
        </w:trPr>
        <w:tc>
          <w:tcPr>
            <w:tcW w:w="3739" w:type="dxa"/>
            <w:tcBorders>
              <w:top w:val="nil"/>
              <w:left w:val="single" w:sz="4" w:space="0" w:color="auto"/>
              <w:bottom w:val="nil"/>
              <w:right w:val="single" w:sz="4" w:space="0" w:color="auto"/>
            </w:tcBorders>
            <w:shd w:val="clear" w:color="auto" w:fill="FFFFFF"/>
            <w:noWrap/>
            <w:vAlign w:val="center"/>
            <w:hideMark/>
          </w:tcPr>
          <w:p w:rsidR="005272A1" w:rsidRDefault="005272A1">
            <w:pPr>
              <w:spacing w:line="256" w:lineRule="auto"/>
              <w:ind w:firstLineChars="100" w:firstLine="220"/>
              <w:rPr>
                <w:color w:val="000000"/>
              </w:rPr>
            </w:pPr>
            <w:r>
              <w:rPr>
                <w:color w:val="000000"/>
              </w:rPr>
              <w:t>Revenue Funding</w:t>
            </w:r>
          </w:p>
        </w:tc>
        <w:tc>
          <w:tcPr>
            <w:tcW w:w="1440" w:type="dxa"/>
            <w:tcBorders>
              <w:top w:val="nil"/>
              <w:left w:val="nil"/>
              <w:bottom w:val="nil"/>
              <w:right w:val="single" w:sz="4" w:space="0" w:color="auto"/>
            </w:tcBorders>
            <w:shd w:val="clear" w:color="auto" w:fill="FFFFFF"/>
            <w:noWrap/>
            <w:vAlign w:val="center"/>
            <w:hideMark/>
          </w:tcPr>
          <w:p w:rsidR="005272A1" w:rsidRDefault="005272A1">
            <w:pPr>
              <w:spacing w:line="256" w:lineRule="auto"/>
              <w:ind w:firstLineChars="100" w:firstLine="220"/>
              <w:jc w:val="right"/>
              <w:rPr>
                <w:color w:val="000000"/>
              </w:rPr>
            </w:pPr>
            <w:r>
              <w:rPr>
                <w:color w:val="000000"/>
              </w:rPr>
              <w:t>3.7</w:t>
            </w:r>
          </w:p>
        </w:tc>
      </w:tr>
      <w:tr w:rsidR="005272A1" w:rsidTr="005272A1">
        <w:trPr>
          <w:trHeight w:val="408"/>
          <w:jc w:val="center"/>
        </w:trPr>
        <w:tc>
          <w:tcPr>
            <w:tcW w:w="3739" w:type="dxa"/>
            <w:tcBorders>
              <w:top w:val="nil"/>
              <w:left w:val="single" w:sz="4" w:space="0" w:color="auto"/>
              <w:bottom w:val="nil"/>
              <w:right w:val="single" w:sz="4" w:space="0" w:color="auto"/>
            </w:tcBorders>
            <w:shd w:val="clear" w:color="auto" w:fill="FFFFFF"/>
            <w:noWrap/>
            <w:vAlign w:val="center"/>
            <w:hideMark/>
          </w:tcPr>
          <w:p w:rsidR="005272A1" w:rsidRDefault="005272A1">
            <w:pPr>
              <w:spacing w:line="256" w:lineRule="auto"/>
              <w:ind w:firstLineChars="100" w:firstLine="220"/>
              <w:rPr>
                <w:color w:val="000000"/>
              </w:rPr>
            </w:pPr>
            <w:r>
              <w:rPr>
                <w:color w:val="000000"/>
              </w:rPr>
              <w:t>Internal Borrowing</w:t>
            </w:r>
          </w:p>
        </w:tc>
        <w:tc>
          <w:tcPr>
            <w:tcW w:w="1440" w:type="dxa"/>
            <w:tcBorders>
              <w:top w:val="nil"/>
              <w:left w:val="nil"/>
              <w:bottom w:val="nil"/>
              <w:right w:val="single" w:sz="4" w:space="0" w:color="auto"/>
            </w:tcBorders>
            <w:shd w:val="clear" w:color="auto" w:fill="FFFFFF"/>
            <w:noWrap/>
            <w:vAlign w:val="center"/>
            <w:hideMark/>
          </w:tcPr>
          <w:p w:rsidR="005272A1" w:rsidRDefault="005272A1">
            <w:pPr>
              <w:spacing w:line="256" w:lineRule="auto"/>
              <w:ind w:firstLineChars="100" w:firstLine="220"/>
              <w:jc w:val="right"/>
              <w:rPr>
                <w:color w:val="000000"/>
              </w:rPr>
            </w:pPr>
            <w:r>
              <w:rPr>
                <w:color w:val="000000"/>
              </w:rPr>
              <w:t>0.6</w:t>
            </w:r>
          </w:p>
        </w:tc>
      </w:tr>
      <w:tr w:rsidR="005272A1" w:rsidTr="005272A1">
        <w:trPr>
          <w:trHeight w:val="408"/>
          <w:jc w:val="center"/>
        </w:trPr>
        <w:tc>
          <w:tcPr>
            <w:tcW w:w="37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72A1" w:rsidRDefault="005272A1">
            <w:pPr>
              <w:spacing w:line="256" w:lineRule="auto"/>
              <w:ind w:firstLineChars="100" w:firstLine="220"/>
              <w:rPr>
                <w:color w:val="000000"/>
              </w:rPr>
            </w:pPr>
            <w:r>
              <w:rPr>
                <w:color w:val="000000"/>
              </w:rPr>
              <w:t>Total</w:t>
            </w:r>
          </w:p>
        </w:tc>
        <w:tc>
          <w:tcPr>
            <w:tcW w:w="1440"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5272A1">
            <w:pPr>
              <w:spacing w:line="256" w:lineRule="auto"/>
              <w:ind w:firstLineChars="100" w:firstLine="221"/>
              <w:jc w:val="right"/>
              <w:rPr>
                <w:b/>
                <w:color w:val="000000"/>
              </w:rPr>
            </w:pPr>
            <w:r>
              <w:rPr>
                <w:b/>
                <w:color w:val="000000"/>
              </w:rPr>
              <w:t>9.4</w:t>
            </w:r>
          </w:p>
        </w:tc>
      </w:tr>
    </w:tbl>
    <w:p w:rsidR="005272A1" w:rsidRDefault="005272A1" w:rsidP="005272A1"/>
    <w:p w:rsidR="005272A1" w:rsidRDefault="005272A1" w:rsidP="005272A1">
      <w:r>
        <w:t xml:space="preserve">Details of actual expenditure and financing for the year are shown in the Capital Account. </w:t>
      </w:r>
    </w:p>
    <w:p w:rsidR="005272A1" w:rsidRDefault="005272A1" w:rsidP="005272A1"/>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Outlook – Medium Term Financial Strategy</w:t>
      </w:r>
    </w:p>
    <w:p w:rsidR="005272A1" w:rsidRDefault="005272A1" w:rsidP="005272A1">
      <w:pPr>
        <w:jc w:val="both"/>
      </w:pPr>
    </w:p>
    <w:p w:rsidR="005272A1" w:rsidRPr="00A200D5" w:rsidRDefault="005272A1" w:rsidP="005272A1">
      <w:pPr>
        <w:jc w:val="both"/>
        <w:rPr>
          <w:b/>
        </w:rPr>
      </w:pPr>
      <w:r w:rsidRPr="00A200D5">
        <w:rPr>
          <w:b/>
        </w:rPr>
        <w:t>Budget 2020/21</w:t>
      </w:r>
    </w:p>
    <w:p w:rsidR="005272A1" w:rsidRPr="00DE3276" w:rsidRDefault="005272A1" w:rsidP="005272A1">
      <w:pPr>
        <w:jc w:val="both"/>
      </w:pPr>
    </w:p>
    <w:p w:rsidR="005272A1" w:rsidRPr="00A200D5" w:rsidRDefault="005272A1" w:rsidP="005272A1">
      <w:pPr>
        <w:jc w:val="both"/>
      </w:pPr>
      <w:r w:rsidRPr="00A200D5">
        <w:t>Revenue</w:t>
      </w:r>
    </w:p>
    <w:p w:rsidR="005272A1" w:rsidRDefault="005272A1" w:rsidP="005272A1">
      <w:pPr>
        <w:jc w:val="both"/>
      </w:pPr>
    </w:p>
    <w:p w:rsidR="005272A1" w:rsidRDefault="005272A1" w:rsidP="005272A1">
      <w:pPr>
        <w:jc w:val="both"/>
      </w:pPr>
      <w:r>
        <w:t>The revenue and capital budget for 2020/21 and Medium Term Financial Strategy were approved by the Police and Crime Commissioner in February 2020 and published on the PCC’s website.</w:t>
      </w:r>
    </w:p>
    <w:p w:rsidR="005272A1" w:rsidRDefault="005272A1" w:rsidP="005272A1">
      <w:pPr>
        <w:jc w:val="both"/>
      </w:pPr>
    </w:p>
    <w:p w:rsidR="00EB075B" w:rsidRDefault="00EB075B" w:rsidP="005272A1">
      <w:pPr>
        <w:jc w:val="both"/>
      </w:pPr>
    </w:p>
    <w:p w:rsidR="00EB075B" w:rsidRDefault="00EB075B" w:rsidP="005272A1">
      <w:pPr>
        <w:jc w:val="both"/>
      </w:pPr>
    </w:p>
    <w:p w:rsidR="00EB075B" w:rsidRDefault="00EB075B" w:rsidP="005272A1">
      <w:pPr>
        <w:jc w:val="both"/>
      </w:pPr>
    </w:p>
    <w:p w:rsidR="00EB075B" w:rsidRDefault="00EB075B" w:rsidP="005272A1">
      <w:pPr>
        <w:jc w:val="both"/>
      </w:pPr>
    </w:p>
    <w:p w:rsidR="005272A1" w:rsidRDefault="005272A1" w:rsidP="005272A1">
      <w:pPr>
        <w:jc w:val="both"/>
      </w:pPr>
      <w:r>
        <w:t>The revenue budget for 2020/21 at the Group level is £250m, as shown in the table below.</w:t>
      </w:r>
    </w:p>
    <w:p w:rsidR="005272A1" w:rsidRDefault="005272A1" w:rsidP="005272A1">
      <w:pPr>
        <w:jc w:val="both"/>
      </w:pPr>
    </w:p>
    <w:tbl>
      <w:tblPr>
        <w:tblStyle w:val="TableGrid"/>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1161"/>
      </w:tblGrid>
      <w:tr w:rsidR="005272A1" w:rsidTr="00A200D5">
        <w:tc>
          <w:tcPr>
            <w:tcW w:w="5244" w:type="dxa"/>
            <w:tcBorders>
              <w:top w:val="single" w:sz="4" w:space="0" w:color="auto"/>
              <w:left w:val="single" w:sz="4" w:space="0" w:color="auto"/>
              <w:right w:val="single" w:sz="4" w:space="0" w:color="auto"/>
            </w:tcBorders>
            <w:hideMark/>
          </w:tcPr>
          <w:p w:rsidR="005272A1" w:rsidRPr="00A200D5" w:rsidRDefault="005272A1">
            <w:pPr>
              <w:jc w:val="both"/>
              <w:rPr>
                <w:b/>
                <w:sz w:val="24"/>
                <w:szCs w:val="24"/>
              </w:rPr>
            </w:pPr>
            <w:r w:rsidRPr="00A200D5">
              <w:rPr>
                <w:b/>
                <w:sz w:val="24"/>
                <w:szCs w:val="24"/>
              </w:rPr>
              <w:t>Budget 2020/21</w:t>
            </w:r>
          </w:p>
        </w:tc>
        <w:tc>
          <w:tcPr>
            <w:tcW w:w="1134" w:type="dxa"/>
            <w:tcBorders>
              <w:top w:val="single" w:sz="4" w:space="0" w:color="auto"/>
              <w:left w:val="single" w:sz="4" w:space="0" w:color="auto"/>
              <w:right w:val="single" w:sz="4" w:space="0" w:color="auto"/>
            </w:tcBorders>
            <w:hideMark/>
          </w:tcPr>
          <w:p w:rsidR="005272A1" w:rsidRPr="00A200D5" w:rsidRDefault="005272A1">
            <w:pPr>
              <w:jc w:val="both"/>
              <w:rPr>
                <w:b/>
                <w:sz w:val="24"/>
                <w:szCs w:val="24"/>
              </w:rPr>
            </w:pPr>
            <w:r w:rsidRPr="00A200D5">
              <w:rPr>
                <w:b/>
                <w:sz w:val="24"/>
                <w:szCs w:val="24"/>
              </w:rPr>
              <w:t>£000</w:t>
            </w:r>
          </w:p>
        </w:tc>
      </w:tr>
      <w:tr w:rsidR="005272A1" w:rsidTr="00A200D5">
        <w:tc>
          <w:tcPr>
            <w:tcW w:w="5244" w:type="dxa"/>
            <w:tcBorders>
              <w:left w:val="single" w:sz="4" w:space="0" w:color="auto"/>
              <w:right w:val="single" w:sz="4" w:space="0" w:color="auto"/>
            </w:tcBorders>
          </w:tcPr>
          <w:p w:rsidR="005272A1" w:rsidRDefault="005272A1">
            <w:pPr>
              <w:jc w:val="both"/>
            </w:pPr>
          </w:p>
        </w:tc>
        <w:tc>
          <w:tcPr>
            <w:tcW w:w="1134" w:type="dxa"/>
            <w:tcBorders>
              <w:left w:val="single" w:sz="4" w:space="0" w:color="auto"/>
              <w:right w:val="single" w:sz="4" w:space="0" w:color="auto"/>
            </w:tcBorders>
          </w:tcPr>
          <w:p w:rsidR="005272A1" w:rsidRDefault="005272A1">
            <w:pPr>
              <w:jc w:val="both"/>
            </w:pPr>
          </w:p>
        </w:tc>
      </w:tr>
      <w:tr w:rsidR="005272A1" w:rsidTr="00A200D5">
        <w:tc>
          <w:tcPr>
            <w:tcW w:w="5244" w:type="dxa"/>
            <w:tcBorders>
              <w:left w:val="single" w:sz="4" w:space="0" w:color="auto"/>
              <w:right w:val="single" w:sz="4" w:space="0" w:color="auto"/>
            </w:tcBorders>
            <w:hideMark/>
          </w:tcPr>
          <w:p w:rsidR="005272A1" w:rsidRDefault="005272A1">
            <w:pPr>
              <w:jc w:val="both"/>
              <w:rPr>
                <w:b/>
              </w:rPr>
            </w:pPr>
            <w:r>
              <w:rPr>
                <w:b/>
              </w:rPr>
              <w:t>Funding</w:t>
            </w:r>
          </w:p>
        </w:tc>
        <w:tc>
          <w:tcPr>
            <w:tcW w:w="1134" w:type="dxa"/>
            <w:tcBorders>
              <w:left w:val="single" w:sz="4" w:space="0" w:color="auto"/>
              <w:right w:val="single" w:sz="4" w:space="0" w:color="auto"/>
            </w:tcBorders>
          </w:tcPr>
          <w:p w:rsidR="005272A1" w:rsidRDefault="005272A1">
            <w:pPr>
              <w:jc w:val="both"/>
            </w:pPr>
          </w:p>
        </w:tc>
      </w:tr>
      <w:tr w:rsidR="005272A1" w:rsidTr="00A200D5">
        <w:tc>
          <w:tcPr>
            <w:tcW w:w="5244" w:type="dxa"/>
            <w:tcBorders>
              <w:left w:val="single" w:sz="4" w:space="0" w:color="auto"/>
              <w:right w:val="single" w:sz="4" w:space="0" w:color="auto"/>
            </w:tcBorders>
            <w:hideMark/>
          </w:tcPr>
          <w:p w:rsidR="005272A1" w:rsidRDefault="005272A1">
            <w:pPr>
              <w:jc w:val="both"/>
            </w:pPr>
            <w:r>
              <w:t>Government Grant</w:t>
            </w:r>
          </w:p>
        </w:tc>
        <w:tc>
          <w:tcPr>
            <w:tcW w:w="1134" w:type="dxa"/>
            <w:tcBorders>
              <w:left w:val="single" w:sz="4" w:space="0" w:color="auto"/>
              <w:right w:val="single" w:sz="4" w:space="0" w:color="auto"/>
            </w:tcBorders>
            <w:hideMark/>
          </w:tcPr>
          <w:p w:rsidR="005272A1" w:rsidRDefault="005272A1">
            <w:pPr>
              <w:jc w:val="right"/>
            </w:pPr>
            <w:r>
              <w:t>(112.2)</w:t>
            </w:r>
          </w:p>
        </w:tc>
      </w:tr>
      <w:tr w:rsidR="005272A1" w:rsidTr="00A200D5">
        <w:tc>
          <w:tcPr>
            <w:tcW w:w="5244" w:type="dxa"/>
            <w:tcBorders>
              <w:left w:val="single" w:sz="4" w:space="0" w:color="auto"/>
              <w:right w:val="single" w:sz="4" w:space="0" w:color="auto"/>
            </w:tcBorders>
            <w:hideMark/>
          </w:tcPr>
          <w:p w:rsidR="005272A1" w:rsidRDefault="005272A1">
            <w:pPr>
              <w:jc w:val="both"/>
            </w:pPr>
            <w:r>
              <w:t>Council Tax Precept</w:t>
            </w:r>
          </w:p>
        </w:tc>
        <w:tc>
          <w:tcPr>
            <w:tcW w:w="1134" w:type="dxa"/>
            <w:tcBorders>
              <w:left w:val="single" w:sz="4" w:space="0" w:color="auto"/>
              <w:right w:val="single" w:sz="4" w:space="0" w:color="auto"/>
            </w:tcBorders>
            <w:hideMark/>
          </w:tcPr>
          <w:p w:rsidR="005272A1" w:rsidRDefault="005272A1">
            <w:pPr>
              <w:jc w:val="right"/>
            </w:pPr>
            <w:r>
              <w:t>(137.0)</w:t>
            </w:r>
          </w:p>
        </w:tc>
      </w:tr>
      <w:tr w:rsidR="005272A1" w:rsidTr="00A200D5">
        <w:tc>
          <w:tcPr>
            <w:tcW w:w="5244" w:type="dxa"/>
            <w:tcBorders>
              <w:left w:val="single" w:sz="4" w:space="0" w:color="auto"/>
              <w:right w:val="single" w:sz="4" w:space="0" w:color="auto"/>
            </w:tcBorders>
            <w:hideMark/>
          </w:tcPr>
          <w:p w:rsidR="005272A1" w:rsidRDefault="005272A1">
            <w:pPr>
              <w:jc w:val="both"/>
            </w:pPr>
            <w:r>
              <w:t>Collection Fund Surplus</w:t>
            </w:r>
          </w:p>
        </w:tc>
        <w:tc>
          <w:tcPr>
            <w:tcW w:w="1134" w:type="dxa"/>
            <w:tcBorders>
              <w:left w:val="single" w:sz="4" w:space="0" w:color="auto"/>
              <w:right w:val="single" w:sz="4" w:space="0" w:color="auto"/>
            </w:tcBorders>
            <w:hideMark/>
          </w:tcPr>
          <w:p w:rsidR="005272A1" w:rsidRDefault="005272A1">
            <w:pPr>
              <w:jc w:val="right"/>
            </w:pPr>
            <w:r>
              <w:t>(0.8)</w:t>
            </w:r>
          </w:p>
        </w:tc>
      </w:tr>
      <w:tr w:rsidR="005272A1" w:rsidTr="00A200D5">
        <w:tc>
          <w:tcPr>
            <w:tcW w:w="5244" w:type="dxa"/>
            <w:tcBorders>
              <w:left w:val="single" w:sz="4" w:space="0" w:color="auto"/>
              <w:bottom w:val="single" w:sz="4" w:space="0" w:color="auto"/>
              <w:right w:val="single" w:sz="4" w:space="0" w:color="auto"/>
            </w:tcBorders>
          </w:tcPr>
          <w:p w:rsidR="005272A1" w:rsidRDefault="005272A1">
            <w:pPr>
              <w:jc w:val="both"/>
            </w:pPr>
          </w:p>
        </w:tc>
        <w:tc>
          <w:tcPr>
            <w:tcW w:w="1134" w:type="dxa"/>
            <w:tcBorders>
              <w:top w:val="nil"/>
              <w:left w:val="single" w:sz="4" w:space="0" w:color="auto"/>
              <w:bottom w:val="single" w:sz="4" w:space="0" w:color="auto"/>
              <w:right w:val="single" w:sz="4" w:space="0" w:color="auto"/>
            </w:tcBorders>
          </w:tcPr>
          <w:p w:rsidR="005272A1" w:rsidRDefault="005272A1">
            <w:pPr>
              <w:jc w:val="right"/>
            </w:pPr>
          </w:p>
        </w:tc>
      </w:tr>
      <w:tr w:rsidR="005272A1" w:rsidTr="00A200D5">
        <w:tc>
          <w:tcPr>
            <w:tcW w:w="5244" w:type="dxa"/>
            <w:tcBorders>
              <w:top w:val="single" w:sz="4" w:space="0" w:color="auto"/>
              <w:left w:val="single" w:sz="4" w:space="0" w:color="auto"/>
              <w:bottom w:val="single" w:sz="4" w:space="0" w:color="auto"/>
              <w:right w:val="single" w:sz="4" w:space="0" w:color="auto"/>
            </w:tcBorders>
            <w:hideMark/>
          </w:tcPr>
          <w:p w:rsidR="005272A1" w:rsidRDefault="005272A1">
            <w:pPr>
              <w:jc w:val="both"/>
              <w:rPr>
                <w:b/>
              </w:rPr>
            </w:pPr>
            <w:r>
              <w:rPr>
                <w:b/>
              </w:rPr>
              <w:t>Total Funding</w:t>
            </w:r>
          </w:p>
        </w:tc>
        <w:tc>
          <w:tcPr>
            <w:tcW w:w="1134" w:type="dxa"/>
            <w:tcBorders>
              <w:top w:val="single" w:sz="4" w:space="0" w:color="auto"/>
              <w:left w:val="single" w:sz="4" w:space="0" w:color="auto"/>
              <w:bottom w:val="single" w:sz="4" w:space="0" w:color="auto"/>
              <w:right w:val="single" w:sz="4" w:space="0" w:color="auto"/>
            </w:tcBorders>
            <w:hideMark/>
          </w:tcPr>
          <w:p w:rsidR="005272A1" w:rsidRDefault="005272A1">
            <w:pPr>
              <w:jc w:val="right"/>
              <w:rPr>
                <w:b/>
              </w:rPr>
            </w:pPr>
            <w:r>
              <w:rPr>
                <w:b/>
              </w:rPr>
              <w:t>(250.0)</w:t>
            </w:r>
          </w:p>
        </w:tc>
      </w:tr>
      <w:tr w:rsidR="005272A1" w:rsidTr="00A200D5">
        <w:tc>
          <w:tcPr>
            <w:tcW w:w="5244" w:type="dxa"/>
            <w:tcBorders>
              <w:top w:val="single" w:sz="4" w:space="0" w:color="auto"/>
              <w:left w:val="single" w:sz="4" w:space="0" w:color="auto"/>
              <w:right w:val="single" w:sz="4" w:space="0" w:color="auto"/>
            </w:tcBorders>
          </w:tcPr>
          <w:p w:rsidR="005272A1" w:rsidRDefault="005272A1">
            <w:pPr>
              <w:jc w:val="both"/>
            </w:pPr>
          </w:p>
        </w:tc>
        <w:tc>
          <w:tcPr>
            <w:tcW w:w="1134" w:type="dxa"/>
            <w:tcBorders>
              <w:top w:val="single" w:sz="4" w:space="0" w:color="auto"/>
              <w:left w:val="single" w:sz="4" w:space="0" w:color="auto"/>
              <w:bottom w:val="nil"/>
              <w:right w:val="single" w:sz="4" w:space="0" w:color="auto"/>
            </w:tcBorders>
          </w:tcPr>
          <w:p w:rsidR="005272A1" w:rsidRDefault="005272A1">
            <w:pPr>
              <w:jc w:val="right"/>
            </w:pPr>
          </w:p>
        </w:tc>
      </w:tr>
      <w:tr w:rsidR="005272A1" w:rsidTr="00A200D5">
        <w:tc>
          <w:tcPr>
            <w:tcW w:w="5244" w:type="dxa"/>
            <w:tcBorders>
              <w:left w:val="single" w:sz="4" w:space="0" w:color="auto"/>
              <w:right w:val="single" w:sz="4" w:space="0" w:color="auto"/>
            </w:tcBorders>
            <w:hideMark/>
          </w:tcPr>
          <w:p w:rsidR="005272A1" w:rsidRDefault="005272A1">
            <w:pPr>
              <w:jc w:val="both"/>
            </w:pPr>
            <w:r>
              <w:t>Expenditure</w:t>
            </w:r>
          </w:p>
        </w:tc>
        <w:tc>
          <w:tcPr>
            <w:tcW w:w="1134" w:type="dxa"/>
            <w:tcBorders>
              <w:left w:val="single" w:sz="4" w:space="0" w:color="auto"/>
              <w:right w:val="single" w:sz="4" w:space="0" w:color="auto"/>
            </w:tcBorders>
          </w:tcPr>
          <w:p w:rsidR="005272A1" w:rsidRDefault="005272A1">
            <w:pPr>
              <w:jc w:val="right"/>
            </w:pPr>
          </w:p>
        </w:tc>
      </w:tr>
      <w:tr w:rsidR="005272A1" w:rsidTr="00A200D5">
        <w:tc>
          <w:tcPr>
            <w:tcW w:w="5244" w:type="dxa"/>
            <w:tcBorders>
              <w:left w:val="single" w:sz="4" w:space="0" w:color="auto"/>
              <w:right w:val="single" w:sz="4" w:space="0" w:color="auto"/>
            </w:tcBorders>
            <w:hideMark/>
          </w:tcPr>
          <w:p w:rsidR="005272A1" w:rsidRDefault="005272A1">
            <w:pPr>
              <w:jc w:val="both"/>
            </w:pPr>
            <w:r>
              <w:t>PCC Controlled Budget</w:t>
            </w:r>
          </w:p>
        </w:tc>
        <w:tc>
          <w:tcPr>
            <w:tcW w:w="1134" w:type="dxa"/>
            <w:tcBorders>
              <w:left w:val="single" w:sz="4" w:space="0" w:color="auto"/>
              <w:right w:val="single" w:sz="4" w:space="0" w:color="auto"/>
            </w:tcBorders>
            <w:hideMark/>
          </w:tcPr>
          <w:p w:rsidR="005272A1" w:rsidRDefault="005272A1">
            <w:pPr>
              <w:jc w:val="right"/>
            </w:pPr>
            <w:r>
              <w:t>2.1</w:t>
            </w:r>
          </w:p>
        </w:tc>
      </w:tr>
      <w:tr w:rsidR="005272A1" w:rsidTr="00A200D5">
        <w:tc>
          <w:tcPr>
            <w:tcW w:w="5244" w:type="dxa"/>
            <w:tcBorders>
              <w:left w:val="single" w:sz="4" w:space="0" w:color="auto"/>
              <w:right w:val="single" w:sz="4" w:space="0" w:color="auto"/>
            </w:tcBorders>
            <w:hideMark/>
          </w:tcPr>
          <w:p w:rsidR="005272A1" w:rsidRDefault="005272A1">
            <w:pPr>
              <w:jc w:val="both"/>
            </w:pPr>
            <w:r>
              <w:t>Surrey Constabulary Budget</w:t>
            </w:r>
          </w:p>
        </w:tc>
        <w:tc>
          <w:tcPr>
            <w:tcW w:w="1134" w:type="dxa"/>
            <w:tcBorders>
              <w:left w:val="single" w:sz="4" w:space="0" w:color="auto"/>
              <w:right w:val="single" w:sz="4" w:space="0" w:color="auto"/>
            </w:tcBorders>
            <w:hideMark/>
          </w:tcPr>
          <w:p w:rsidR="005272A1" w:rsidRDefault="005272A1">
            <w:pPr>
              <w:jc w:val="right"/>
            </w:pPr>
            <w:r>
              <w:t>247.9</w:t>
            </w:r>
          </w:p>
        </w:tc>
      </w:tr>
      <w:tr w:rsidR="005272A1" w:rsidTr="00A200D5">
        <w:tc>
          <w:tcPr>
            <w:tcW w:w="5244" w:type="dxa"/>
            <w:tcBorders>
              <w:left w:val="single" w:sz="4" w:space="0" w:color="auto"/>
              <w:bottom w:val="single" w:sz="4" w:space="0" w:color="auto"/>
              <w:right w:val="single" w:sz="4" w:space="0" w:color="auto"/>
            </w:tcBorders>
          </w:tcPr>
          <w:p w:rsidR="005272A1" w:rsidRDefault="005272A1">
            <w:pPr>
              <w:jc w:val="both"/>
            </w:pPr>
          </w:p>
        </w:tc>
        <w:tc>
          <w:tcPr>
            <w:tcW w:w="1134" w:type="dxa"/>
            <w:tcBorders>
              <w:top w:val="nil"/>
              <w:left w:val="single" w:sz="4" w:space="0" w:color="auto"/>
              <w:bottom w:val="single" w:sz="4" w:space="0" w:color="auto"/>
              <w:right w:val="single" w:sz="4" w:space="0" w:color="auto"/>
            </w:tcBorders>
          </w:tcPr>
          <w:p w:rsidR="005272A1" w:rsidRDefault="005272A1">
            <w:pPr>
              <w:jc w:val="right"/>
            </w:pPr>
          </w:p>
        </w:tc>
      </w:tr>
      <w:tr w:rsidR="005272A1" w:rsidTr="00A200D5">
        <w:tc>
          <w:tcPr>
            <w:tcW w:w="5244" w:type="dxa"/>
            <w:tcBorders>
              <w:top w:val="single" w:sz="4" w:space="0" w:color="auto"/>
              <w:left w:val="single" w:sz="4" w:space="0" w:color="auto"/>
              <w:bottom w:val="single" w:sz="4" w:space="0" w:color="auto"/>
              <w:right w:val="single" w:sz="4" w:space="0" w:color="auto"/>
            </w:tcBorders>
            <w:hideMark/>
          </w:tcPr>
          <w:p w:rsidR="005272A1" w:rsidRDefault="005272A1">
            <w:pPr>
              <w:jc w:val="both"/>
              <w:rPr>
                <w:b/>
              </w:rPr>
            </w:pPr>
            <w:r>
              <w:rPr>
                <w:b/>
              </w:rPr>
              <w:t>Total Expenditure</w:t>
            </w:r>
          </w:p>
        </w:tc>
        <w:tc>
          <w:tcPr>
            <w:tcW w:w="1134" w:type="dxa"/>
            <w:tcBorders>
              <w:top w:val="single" w:sz="4" w:space="0" w:color="auto"/>
              <w:left w:val="single" w:sz="4" w:space="0" w:color="auto"/>
              <w:bottom w:val="single" w:sz="4" w:space="0" w:color="auto"/>
              <w:right w:val="single" w:sz="4" w:space="0" w:color="auto"/>
            </w:tcBorders>
            <w:hideMark/>
          </w:tcPr>
          <w:p w:rsidR="005272A1" w:rsidRDefault="005272A1">
            <w:pPr>
              <w:jc w:val="right"/>
              <w:rPr>
                <w:b/>
              </w:rPr>
            </w:pPr>
            <w:r>
              <w:rPr>
                <w:b/>
              </w:rPr>
              <w:t>250.0</w:t>
            </w:r>
          </w:p>
        </w:tc>
      </w:tr>
      <w:tr w:rsidR="005272A1" w:rsidTr="00A200D5">
        <w:tc>
          <w:tcPr>
            <w:tcW w:w="5244" w:type="dxa"/>
            <w:tcBorders>
              <w:top w:val="single" w:sz="4" w:space="0" w:color="auto"/>
              <w:left w:val="single" w:sz="4" w:space="0" w:color="auto"/>
              <w:bottom w:val="single" w:sz="4" w:space="0" w:color="auto"/>
              <w:right w:val="single" w:sz="4" w:space="0" w:color="auto"/>
            </w:tcBorders>
          </w:tcPr>
          <w:p w:rsidR="005272A1" w:rsidRDefault="005272A1">
            <w:pPr>
              <w:jc w:val="both"/>
            </w:pPr>
          </w:p>
        </w:tc>
        <w:tc>
          <w:tcPr>
            <w:tcW w:w="1134" w:type="dxa"/>
            <w:tcBorders>
              <w:top w:val="single" w:sz="4" w:space="0" w:color="auto"/>
              <w:left w:val="single" w:sz="4" w:space="0" w:color="auto"/>
              <w:bottom w:val="single" w:sz="4" w:space="0" w:color="auto"/>
              <w:right w:val="single" w:sz="4" w:space="0" w:color="auto"/>
            </w:tcBorders>
          </w:tcPr>
          <w:p w:rsidR="005272A1" w:rsidRDefault="005272A1">
            <w:pPr>
              <w:jc w:val="right"/>
            </w:pPr>
          </w:p>
        </w:tc>
      </w:tr>
      <w:tr w:rsidR="005272A1" w:rsidTr="00A200D5">
        <w:tc>
          <w:tcPr>
            <w:tcW w:w="5244" w:type="dxa"/>
            <w:tcBorders>
              <w:top w:val="single" w:sz="4" w:space="0" w:color="auto"/>
              <w:left w:val="single" w:sz="4" w:space="0" w:color="auto"/>
              <w:bottom w:val="single" w:sz="4" w:space="0" w:color="auto"/>
              <w:right w:val="single" w:sz="4" w:space="0" w:color="auto"/>
            </w:tcBorders>
            <w:hideMark/>
          </w:tcPr>
          <w:p w:rsidR="005272A1" w:rsidRDefault="005272A1">
            <w:pPr>
              <w:jc w:val="both"/>
              <w:rPr>
                <w:b/>
              </w:rPr>
            </w:pPr>
            <w:r>
              <w:rPr>
                <w:b/>
              </w:rPr>
              <w:t>Net Revenue Position</w:t>
            </w:r>
          </w:p>
        </w:tc>
        <w:tc>
          <w:tcPr>
            <w:tcW w:w="1134" w:type="dxa"/>
            <w:tcBorders>
              <w:top w:val="single" w:sz="4" w:space="0" w:color="auto"/>
              <w:left w:val="single" w:sz="4" w:space="0" w:color="auto"/>
              <w:bottom w:val="single" w:sz="4" w:space="0" w:color="auto"/>
              <w:right w:val="single" w:sz="4" w:space="0" w:color="auto"/>
            </w:tcBorders>
            <w:hideMark/>
          </w:tcPr>
          <w:p w:rsidR="005272A1" w:rsidRDefault="005272A1">
            <w:pPr>
              <w:jc w:val="right"/>
              <w:rPr>
                <w:b/>
              </w:rPr>
            </w:pPr>
            <w:r>
              <w:rPr>
                <w:b/>
              </w:rPr>
              <w:t>0.0</w:t>
            </w:r>
          </w:p>
        </w:tc>
      </w:tr>
    </w:tbl>
    <w:p w:rsidR="005272A1" w:rsidRDefault="005272A1" w:rsidP="005272A1">
      <w:pPr>
        <w:jc w:val="both"/>
      </w:pPr>
    </w:p>
    <w:p w:rsidR="005272A1" w:rsidRDefault="005272A1" w:rsidP="005272A1">
      <w:pPr>
        <w:jc w:val="both"/>
      </w:pPr>
      <w:r>
        <w:t>The amount of funding raised through Council Tax is based on the precept increase agreed by the PCC, which for 2020/21 was for a precept increase of £10 on a Band D property in line with the referendum limit set by Government, and taking into account the supportive views of the public consultation and the views of the Police and Crime Panel</w:t>
      </w:r>
    </w:p>
    <w:p w:rsidR="005272A1" w:rsidRDefault="005272A1" w:rsidP="005272A1">
      <w:pPr>
        <w:jc w:val="both"/>
        <w:rPr>
          <w:highlight w:val="yellow"/>
        </w:rPr>
      </w:pPr>
    </w:p>
    <w:p w:rsidR="005272A1" w:rsidRPr="00A200D5" w:rsidRDefault="005272A1" w:rsidP="005272A1">
      <w:pPr>
        <w:jc w:val="both"/>
      </w:pPr>
      <w:r w:rsidRPr="00A200D5">
        <w:t>Police Officer Uplift</w:t>
      </w:r>
    </w:p>
    <w:p w:rsidR="005272A1" w:rsidRDefault="005272A1" w:rsidP="005272A1">
      <w:pPr>
        <w:jc w:val="both"/>
      </w:pPr>
    </w:p>
    <w:p w:rsidR="005272A1" w:rsidRPr="00DE3276" w:rsidRDefault="005272A1" w:rsidP="005272A1">
      <w:pPr>
        <w:jc w:val="both"/>
      </w:pPr>
      <w:r>
        <w:t xml:space="preserve">Nationally the Government made a commitment to fund an uplift in police officer numbers by 20,000 nationally over the 3 year period 2020/21 – 2022/23, with an initial uplift in numbers in year 1 of 6,000 officers; Surrey’s share of this year I uplift was 78 officers, and grant funding of £2.2m </w:t>
      </w:r>
      <w:r w:rsidRPr="00DE3276">
        <w:t>was made available (which equated to £28,000 per officer) as part of the grant settlement for 2020/21 to fund this uplift.</w:t>
      </w:r>
    </w:p>
    <w:p w:rsidR="005272A1" w:rsidRPr="00DE3276" w:rsidRDefault="005272A1" w:rsidP="005272A1">
      <w:pPr>
        <w:jc w:val="both"/>
      </w:pPr>
    </w:p>
    <w:p w:rsidR="005272A1" w:rsidRPr="00A200D5" w:rsidRDefault="005272A1" w:rsidP="005272A1">
      <w:pPr>
        <w:jc w:val="both"/>
      </w:pPr>
      <w:r w:rsidRPr="00A200D5">
        <w:t>Capital</w:t>
      </w:r>
    </w:p>
    <w:p w:rsidR="005272A1" w:rsidRPr="00DE3276" w:rsidRDefault="005272A1" w:rsidP="005272A1">
      <w:pPr>
        <w:jc w:val="both"/>
      </w:pPr>
    </w:p>
    <w:p w:rsidR="005272A1" w:rsidRPr="00DE3276" w:rsidRDefault="005272A1" w:rsidP="005272A1">
      <w:pPr>
        <w:jc w:val="both"/>
      </w:pPr>
      <w:r w:rsidRPr="00DE3276">
        <w:t>The capital programme for 2020/21 includes £10.5m of planned expenditure. Of this amount</w:t>
      </w:r>
    </w:p>
    <w:p w:rsidR="005272A1" w:rsidRPr="00DE3276" w:rsidRDefault="005272A1" w:rsidP="005272A1">
      <w:pPr>
        <w:jc w:val="both"/>
        <w:rPr>
          <w:highlight w:val="yellow"/>
        </w:rPr>
      </w:pPr>
      <w:r w:rsidRPr="00DE3276">
        <w:t>£2.5m relates to estates, £4,2m to ICT and £3.8m relates to replacement vehicles. This is funded by £4.6m of in-year capital receipts, £0.2m from capital grant, £1.5m from borrowing and £4.2m from revenue</w:t>
      </w:r>
      <w:r w:rsidRPr="00A200D5">
        <w:rPr>
          <w:rFonts w:cs="Arial"/>
        </w:rPr>
        <w:t xml:space="preserve"> contributions. </w:t>
      </w:r>
    </w:p>
    <w:p w:rsidR="005272A1" w:rsidRPr="00DE3276" w:rsidRDefault="005272A1" w:rsidP="005272A1">
      <w:pPr>
        <w:jc w:val="both"/>
        <w:rPr>
          <w:highlight w:val="yellow"/>
        </w:rPr>
      </w:pPr>
    </w:p>
    <w:p w:rsidR="005272A1" w:rsidRPr="00A200D5" w:rsidRDefault="005272A1" w:rsidP="005272A1">
      <w:pPr>
        <w:jc w:val="both"/>
      </w:pPr>
      <w:r w:rsidRPr="00A200D5">
        <w:t>Medium Term Financial Strategy</w:t>
      </w:r>
    </w:p>
    <w:p w:rsidR="005272A1" w:rsidRPr="00DE3276" w:rsidRDefault="005272A1" w:rsidP="005272A1">
      <w:pPr>
        <w:jc w:val="both"/>
      </w:pPr>
    </w:p>
    <w:p w:rsidR="005272A1" w:rsidRPr="00DE3276" w:rsidRDefault="005272A1" w:rsidP="005272A1">
      <w:pPr>
        <w:jc w:val="both"/>
      </w:pPr>
      <w:r w:rsidRPr="00DE3276">
        <w:t xml:space="preserve">The Medium Term Financial Strategy (MTFS) for the period 2021/22 – 2023/24 is based on an assumption that the PCC will be able to increase the Police element of the council tax precept (Band D) by 2% per annum from 2021/22 onwards, and  that Government Grants will increase by 2% per annum as well. </w:t>
      </w:r>
    </w:p>
    <w:p w:rsidR="005272A1" w:rsidRPr="00DE3276" w:rsidRDefault="005272A1" w:rsidP="005272A1">
      <w:pPr>
        <w:jc w:val="both"/>
      </w:pPr>
    </w:p>
    <w:p w:rsidR="005272A1" w:rsidRPr="00DE3276" w:rsidRDefault="005272A1" w:rsidP="005272A1">
      <w:pPr>
        <w:jc w:val="both"/>
      </w:pPr>
      <w:r w:rsidRPr="00DE3276">
        <w:t>Based on these assumptions the MTFS shows a balanced budget position for 2021/22, 2022/23 and 2023/24. However were the Government Grant to be frozen rather than increase by 2% additional savings of £5.8m over the 3 years would be required.</w:t>
      </w:r>
    </w:p>
    <w:p w:rsidR="005272A1" w:rsidRPr="00DE3276" w:rsidRDefault="005272A1" w:rsidP="005272A1">
      <w:pPr>
        <w:jc w:val="both"/>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Investment</w:t>
      </w:r>
    </w:p>
    <w:p w:rsidR="005272A1" w:rsidRDefault="005272A1" w:rsidP="005272A1">
      <w:pPr>
        <w:jc w:val="both"/>
      </w:pPr>
    </w:p>
    <w:p w:rsidR="005272A1" w:rsidRDefault="005272A1" w:rsidP="005272A1">
      <w:pPr>
        <w:jc w:val="both"/>
      </w:pPr>
      <w:r>
        <w:t xml:space="preserve">The Commissioner has an investment portfolio consisting of reserves and short-term cashflows (including on-call cash investments). This is managed by Surrey County Council on behalf of the Commissioner. At the end of the year there were investments of £17,431m and this generated an interest return of £206k for the year. </w:t>
      </w:r>
    </w:p>
    <w:p w:rsidR="005272A1" w:rsidRDefault="005272A1" w:rsidP="005272A1">
      <w:pPr>
        <w:jc w:val="both"/>
      </w:pPr>
    </w:p>
    <w:p w:rsidR="005272A1" w:rsidRDefault="005272A1" w:rsidP="005272A1">
      <w:pPr>
        <w:jc w:val="both"/>
      </w:pPr>
      <w:r>
        <w:t xml:space="preserve">In March 2020, in response to the Covid-19 pandemic, the Bank of England decreased the base rate of interest twice, first to 0.25% on the 13th March, and then further to 0.1% on the 23rd March, having previously held this at 0.75% since August 18. The rate is now at an historic low, although the impact in year of this rate reduction was immaterial given the rate changes were not implemented until mid-March. Low base rates would benefit the Commissioner in that he is able to borrow to finance the capital programme, in particular for the new Headquarters, at very low rates even if the returns on investments fall. </w:t>
      </w:r>
    </w:p>
    <w:p w:rsidR="005272A1" w:rsidRDefault="005272A1" w:rsidP="005272A1">
      <w:pPr>
        <w:jc w:val="both"/>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Borrowing</w:t>
      </w:r>
    </w:p>
    <w:p w:rsidR="005272A1" w:rsidRDefault="005272A1" w:rsidP="005272A1">
      <w:pPr>
        <w:jc w:val="both"/>
      </w:pPr>
    </w:p>
    <w:p w:rsidR="005272A1" w:rsidRDefault="005272A1" w:rsidP="005272A1">
      <w:pPr>
        <w:jc w:val="both"/>
      </w:pPr>
      <w:r>
        <w:t>The Prudential Code allows the Commissioner to borrow money as long as it is prudent, affordable and sustainable. The Commissioner did not take out any new loans and financed capital expenditure incurred during the year through a use of capital grant, capital receipts and revenue.</w:t>
      </w:r>
    </w:p>
    <w:p w:rsidR="005272A1" w:rsidRDefault="005272A1" w:rsidP="005272A1">
      <w:pPr>
        <w:jc w:val="both"/>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Employee Pension Schemes</w:t>
      </w:r>
    </w:p>
    <w:p w:rsidR="005272A1" w:rsidRDefault="005272A1" w:rsidP="005272A1">
      <w:pPr>
        <w:jc w:val="both"/>
      </w:pPr>
    </w:p>
    <w:p w:rsidR="005272A1" w:rsidRDefault="005272A1" w:rsidP="005272A1">
      <w:pPr>
        <w:jc w:val="both"/>
      </w:pPr>
      <w:r>
        <w:t xml:space="preserve">The PCC Group operates two separate pension schemes, one for Police Officers and another for Police Staff. </w:t>
      </w:r>
    </w:p>
    <w:p w:rsidR="005272A1" w:rsidRDefault="005272A1" w:rsidP="005272A1">
      <w:pPr>
        <w:jc w:val="both"/>
      </w:pPr>
    </w:p>
    <w:p w:rsidR="005272A1" w:rsidRDefault="005272A1" w:rsidP="005272A1">
      <w:pPr>
        <w:jc w:val="both"/>
      </w:pPr>
      <w:r>
        <w:t>The revaluation of the police pension scheme used a reduced discount rate, resulting in the employer contribution rate being increased from 24.2% to 31.0% of pensionable pay for 2019/20. There is no change to the pensions earned or paid to police officers, so the increase in employer contribution rates will mean that police forces are paying more towards the overall cost of the police pension schemes underwritten and owned by the Home Office. A new specific grant of £2m towards pension costs was received in 2019/20 and this along with the general grant increase assisted in funding additional employer contributions for police officers of circa £6.8m.</w:t>
      </w:r>
    </w:p>
    <w:p w:rsidR="005272A1" w:rsidRDefault="005272A1" w:rsidP="005272A1">
      <w:pPr>
        <w:jc w:val="both"/>
      </w:pPr>
    </w:p>
    <w:p w:rsidR="005272A1" w:rsidRDefault="005272A1" w:rsidP="005272A1">
      <w:pPr>
        <w:jc w:val="both"/>
      </w:pPr>
      <w:r>
        <w:t xml:space="preserve">Overall, the net pension liability on the Police </w:t>
      </w:r>
      <w:r w:rsidR="00DE3276">
        <w:t xml:space="preserve">Officer </w:t>
      </w:r>
      <w:r>
        <w:t>Pension Scheme has decreased by £6</w:t>
      </w:r>
      <w:r w:rsidR="00DE3276">
        <w:t>4</w:t>
      </w:r>
      <w:r>
        <w:t>m from £1,988m at 31 March 2019 to £1,924</w:t>
      </w:r>
      <w:r w:rsidR="00233980">
        <w:t>m</w:t>
      </w:r>
      <w:r>
        <w:t xml:space="preserve"> at 31 March 2020. </w:t>
      </w:r>
    </w:p>
    <w:p w:rsidR="005272A1" w:rsidRDefault="005272A1" w:rsidP="005272A1">
      <w:pPr>
        <w:jc w:val="both"/>
      </w:pPr>
    </w:p>
    <w:p w:rsidR="005272A1" w:rsidRDefault="005272A1" w:rsidP="005272A1">
      <w:pPr>
        <w:jc w:val="both"/>
      </w:pPr>
      <w:r>
        <w:t>The value of the Police Staff pension scheme is assessed triennially and the employer’s contribution is adjusted in line with the actuary’s recommendations. The latest triennial valuation completed in April 2019 resulted in employer’s contributions being increased from 14.5% with an additional payment of £2.587m in 2019/20 to 16.5% from April 2020 until March 2023 with additional payments of £1.842m, £1.902m and 1.964m for the years ended March 2021, 2022 and 2023 respectively. The additional payments to the pension fund are to repay the deficit, known as the additional monetary amount. Overall, the net pension liability on the Staff Local Government Pen</w:t>
      </w:r>
      <w:r w:rsidR="00233980">
        <w:t>sion Schemes for the Group has decreased by £36</w:t>
      </w:r>
      <w:r>
        <w:t>m from £169m at 31 March 2019 to £1</w:t>
      </w:r>
      <w:r w:rsidR="00233980">
        <w:t>33</w:t>
      </w:r>
      <w:r>
        <w:t xml:space="preserve">m at 31 March 2020. </w:t>
      </w:r>
    </w:p>
    <w:p w:rsidR="005272A1" w:rsidRDefault="005272A1" w:rsidP="005272A1">
      <w:pPr>
        <w:jc w:val="both"/>
      </w:pPr>
    </w:p>
    <w:p w:rsidR="005272A1" w:rsidRDefault="005272A1" w:rsidP="005272A1">
      <w:pPr>
        <w:jc w:val="both"/>
      </w:pPr>
      <w:r>
        <w:t>The Commissioner’s net pension liability is included in the balance sheet in accordance with accounting standards including an estimate of the impact of the McCloud judgement that concluded the transitional provisions introduced to the reformed judges and firefighter’s pension schemes in 2015 gave rise to unlawful age discrimination. The Government’s application to appeal the decision was denied by the Supreme Court on 27 June 2019. Consequently, the Government has stated its intention to engage fully with the Employment Tribunal to agree how the discrimination will be remedied for all the main public service pension schemes, including Police. The actuary has modelled the assumed remedy with reference to developments in the Employment Tribunals of other public service schemes.</w:t>
      </w:r>
    </w:p>
    <w:p w:rsidR="005272A1" w:rsidRDefault="005272A1" w:rsidP="005272A1">
      <w:pPr>
        <w:jc w:val="both"/>
      </w:pPr>
    </w:p>
    <w:p w:rsidR="005272A1" w:rsidRDefault="005272A1" w:rsidP="005272A1">
      <w:pPr>
        <w:jc w:val="both"/>
      </w:pPr>
      <w:r>
        <w:t>Although benefits from these schemes will not be payable until an officer or staff member retires, the PCC Group has a future commitment to make these payments and under International Accounting Standard 19 (IAS 19), the PCC Group is required to account for this future commitment based on the full cost at the time of retirement. The result of accounting for this commitment has a substantial impact on the net worth of the Balance Sheet, resulting in a negative pension reserve on the Balance Sheet totalling £2,057.2m. However, statutory arrangements for funding the deficit mean that the financial position of the PCC Group remains healthy.</w:t>
      </w:r>
    </w:p>
    <w:p w:rsidR="005272A1" w:rsidRDefault="005272A1" w:rsidP="005272A1">
      <w:pPr>
        <w:jc w:val="both"/>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Reserves</w:t>
      </w:r>
    </w:p>
    <w:p w:rsidR="005272A1" w:rsidRDefault="005272A1" w:rsidP="005272A1">
      <w:pPr>
        <w:jc w:val="both"/>
      </w:pPr>
    </w:p>
    <w:p w:rsidR="005272A1" w:rsidRDefault="005272A1" w:rsidP="005272A1">
      <w:pPr>
        <w:jc w:val="both"/>
      </w:pPr>
      <w:r>
        <w:t>The requirement for reserves is covered in sections 32 and 43 of the Local Government Finance Act 1992, which require billing and precepting authorities in England and Wales to have regard to the level of reserves needed for meeting estimated future expenditure when calculating the budget requirement. Earmarked reserves remain legally part of the general fund but are accounted for separately. All usable reserves are held by the Commissioner.</w:t>
      </w:r>
    </w:p>
    <w:p w:rsidR="005272A1" w:rsidRDefault="005272A1" w:rsidP="005272A1">
      <w:pPr>
        <w:jc w:val="both"/>
      </w:pPr>
    </w:p>
    <w:p w:rsidR="005272A1" w:rsidRDefault="005272A1" w:rsidP="005272A1">
      <w:pPr>
        <w:jc w:val="both"/>
      </w:pPr>
      <w:r>
        <w:t>The level of available revenue balances, earmarked reserves and general reserves held by the PCC has increased by £2.3m from £17.3 m to £19.5m. The balance of £19.5m represents 8% of the 2020/21 annual budget. General Reserves are £8.2m, 3.0% of the annual budget for 2020/21 with earmarked reserves at £11.4m.</w:t>
      </w:r>
    </w:p>
    <w:p w:rsidR="005272A1" w:rsidRDefault="005272A1" w:rsidP="005272A1">
      <w:pPr>
        <w:rPr>
          <w:highlight w:val="yellow"/>
        </w:rPr>
      </w:pPr>
    </w:p>
    <w:p w:rsidR="005272A1" w:rsidRDefault="005272A1" w:rsidP="005272A1">
      <w:r>
        <w:t>General reserves increased as follows:</w:t>
      </w:r>
    </w:p>
    <w:p w:rsidR="005272A1" w:rsidRDefault="005272A1" w:rsidP="005272A1"/>
    <w:tbl>
      <w:tblPr>
        <w:tblW w:w="8846" w:type="dxa"/>
        <w:jc w:val="center"/>
        <w:tblLook w:val="04A0" w:firstRow="1" w:lastRow="0" w:firstColumn="1" w:lastColumn="0" w:noHBand="0" w:noVBand="1"/>
      </w:tblPr>
      <w:tblGrid>
        <w:gridCol w:w="4780"/>
        <w:gridCol w:w="1660"/>
        <w:gridCol w:w="1438"/>
        <w:gridCol w:w="1075"/>
      </w:tblGrid>
      <w:tr w:rsidR="005272A1" w:rsidTr="005272A1">
        <w:trPr>
          <w:trHeight w:val="600"/>
          <w:jc w:val="center"/>
        </w:trPr>
        <w:tc>
          <w:tcPr>
            <w:tcW w:w="4780" w:type="dxa"/>
            <w:tcBorders>
              <w:top w:val="single" w:sz="4" w:space="0" w:color="auto"/>
              <w:left w:val="single" w:sz="4" w:space="0" w:color="auto"/>
              <w:bottom w:val="nil"/>
              <w:right w:val="single" w:sz="4" w:space="0" w:color="auto"/>
            </w:tcBorders>
            <w:shd w:val="clear" w:color="auto" w:fill="FFFFFF"/>
            <w:noWrap/>
            <w:vAlign w:val="bottom"/>
            <w:hideMark/>
          </w:tcPr>
          <w:p w:rsidR="005272A1" w:rsidRDefault="005272A1"/>
        </w:tc>
        <w:tc>
          <w:tcPr>
            <w:tcW w:w="1660" w:type="dxa"/>
            <w:tcBorders>
              <w:top w:val="single" w:sz="4" w:space="0" w:color="auto"/>
              <w:left w:val="nil"/>
              <w:bottom w:val="nil"/>
              <w:right w:val="single" w:sz="4" w:space="0" w:color="auto"/>
            </w:tcBorders>
            <w:shd w:val="clear" w:color="auto" w:fill="FFFFFF"/>
            <w:vAlign w:val="center"/>
            <w:hideMark/>
          </w:tcPr>
          <w:p w:rsidR="005272A1" w:rsidRDefault="005272A1">
            <w:pPr>
              <w:spacing w:line="256" w:lineRule="auto"/>
              <w:jc w:val="center"/>
              <w:rPr>
                <w:b/>
                <w:sz w:val="20"/>
                <w:szCs w:val="20"/>
                <w:lang w:eastAsia="en-GB"/>
              </w:rPr>
            </w:pPr>
            <w:r>
              <w:rPr>
                <w:b/>
                <w:sz w:val="20"/>
                <w:szCs w:val="20"/>
                <w:lang w:eastAsia="en-GB"/>
              </w:rPr>
              <w:t xml:space="preserve">General Fund </w:t>
            </w:r>
          </w:p>
        </w:tc>
        <w:tc>
          <w:tcPr>
            <w:tcW w:w="1438" w:type="dxa"/>
            <w:tcBorders>
              <w:top w:val="single" w:sz="4" w:space="0" w:color="auto"/>
              <w:left w:val="nil"/>
              <w:bottom w:val="nil"/>
              <w:right w:val="single" w:sz="4" w:space="0" w:color="auto"/>
            </w:tcBorders>
            <w:shd w:val="clear" w:color="auto" w:fill="FFFFFF"/>
            <w:vAlign w:val="center"/>
            <w:hideMark/>
          </w:tcPr>
          <w:p w:rsidR="005272A1" w:rsidRDefault="005272A1">
            <w:pPr>
              <w:spacing w:line="256" w:lineRule="auto"/>
              <w:jc w:val="center"/>
              <w:rPr>
                <w:b/>
                <w:sz w:val="20"/>
                <w:szCs w:val="20"/>
                <w:lang w:eastAsia="en-GB"/>
              </w:rPr>
            </w:pPr>
            <w:r>
              <w:rPr>
                <w:b/>
                <w:sz w:val="20"/>
                <w:szCs w:val="20"/>
                <w:lang w:eastAsia="en-GB"/>
              </w:rPr>
              <w:t>Earmarked Reserves</w:t>
            </w:r>
          </w:p>
        </w:tc>
        <w:tc>
          <w:tcPr>
            <w:tcW w:w="968" w:type="dxa"/>
            <w:tcBorders>
              <w:top w:val="single" w:sz="4" w:space="0" w:color="auto"/>
              <w:left w:val="nil"/>
              <w:bottom w:val="nil"/>
              <w:right w:val="single" w:sz="4" w:space="0" w:color="auto"/>
            </w:tcBorders>
            <w:vAlign w:val="center"/>
            <w:hideMark/>
          </w:tcPr>
          <w:p w:rsidR="005272A1" w:rsidRDefault="005272A1">
            <w:pPr>
              <w:spacing w:line="256" w:lineRule="auto"/>
              <w:jc w:val="center"/>
              <w:rPr>
                <w:b/>
                <w:sz w:val="20"/>
                <w:szCs w:val="20"/>
                <w:lang w:eastAsia="en-GB"/>
              </w:rPr>
            </w:pPr>
            <w:r>
              <w:rPr>
                <w:b/>
                <w:sz w:val="20"/>
                <w:szCs w:val="20"/>
                <w:lang w:eastAsia="en-GB"/>
              </w:rPr>
              <w:t>TOTAL</w:t>
            </w:r>
          </w:p>
        </w:tc>
      </w:tr>
      <w:tr w:rsidR="005272A1" w:rsidTr="005272A1">
        <w:trPr>
          <w:trHeight w:val="300"/>
          <w:jc w:val="center"/>
        </w:trPr>
        <w:tc>
          <w:tcPr>
            <w:tcW w:w="4780" w:type="dxa"/>
            <w:tcBorders>
              <w:top w:val="nil"/>
              <w:left w:val="single" w:sz="4" w:space="0" w:color="auto"/>
              <w:bottom w:val="nil"/>
              <w:right w:val="single" w:sz="4" w:space="0" w:color="auto"/>
            </w:tcBorders>
            <w:shd w:val="clear" w:color="auto" w:fill="FFFFFF"/>
            <w:noWrap/>
            <w:vAlign w:val="bottom"/>
            <w:hideMark/>
          </w:tcPr>
          <w:p w:rsidR="005272A1" w:rsidRDefault="005272A1">
            <w:pPr>
              <w:rPr>
                <w:b/>
                <w:sz w:val="20"/>
                <w:szCs w:val="20"/>
                <w:lang w:eastAsia="en-GB"/>
              </w:rPr>
            </w:pPr>
          </w:p>
        </w:tc>
        <w:tc>
          <w:tcPr>
            <w:tcW w:w="1660" w:type="dxa"/>
            <w:tcBorders>
              <w:top w:val="nil"/>
              <w:left w:val="nil"/>
              <w:bottom w:val="nil"/>
              <w:right w:val="single" w:sz="4" w:space="0" w:color="auto"/>
            </w:tcBorders>
            <w:shd w:val="clear" w:color="auto" w:fill="FFFFFF"/>
            <w:noWrap/>
            <w:vAlign w:val="center"/>
            <w:hideMark/>
          </w:tcPr>
          <w:p w:rsidR="005272A1" w:rsidRDefault="005272A1">
            <w:pPr>
              <w:spacing w:line="256" w:lineRule="auto"/>
              <w:jc w:val="center"/>
              <w:rPr>
                <w:b/>
                <w:sz w:val="20"/>
                <w:szCs w:val="20"/>
                <w:lang w:eastAsia="en-GB"/>
              </w:rPr>
            </w:pPr>
            <w:r>
              <w:rPr>
                <w:b/>
                <w:sz w:val="20"/>
                <w:szCs w:val="20"/>
                <w:lang w:eastAsia="en-GB"/>
              </w:rPr>
              <w:t>£m</w:t>
            </w:r>
          </w:p>
        </w:tc>
        <w:tc>
          <w:tcPr>
            <w:tcW w:w="1438" w:type="dxa"/>
            <w:tcBorders>
              <w:top w:val="nil"/>
              <w:left w:val="nil"/>
              <w:bottom w:val="nil"/>
              <w:right w:val="single" w:sz="4" w:space="0" w:color="auto"/>
            </w:tcBorders>
            <w:shd w:val="clear" w:color="auto" w:fill="FFFFFF"/>
            <w:noWrap/>
            <w:vAlign w:val="center"/>
            <w:hideMark/>
          </w:tcPr>
          <w:p w:rsidR="005272A1" w:rsidRDefault="005272A1">
            <w:pPr>
              <w:spacing w:line="256" w:lineRule="auto"/>
              <w:jc w:val="center"/>
              <w:rPr>
                <w:b/>
                <w:sz w:val="20"/>
                <w:szCs w:val="20"/>
                <w:lang w:eastAsia="en-GB"/>
              </w:rPr>
            </w:pPr>
            <w:r>
              <w:rPr>
                <w:b/>
                <w:sz w:val="20"/>
                <w:szCs w:val="20"/>
                <w:lang w:eastAsia="en-GB"/>
              </w:rPr>
              <w:t>£m</w:t>
            </w:r>
          </w:p>
        </w:tc>
        <w:tc>
          <w:tcPr>
            <w:tcW w:w="968" w:type="dxa"/>
            <w:tcBorders>
              <w:top w:val="nil"/>
              <w:left w:val="nil"/>
              <w:bottom w:val="nil"/>
              <w:right w:val="single" w:sz="4" w:space="0" w:color="auto"/>
            </w:tcBorders>
            <w:shd w:val="clear" w:color="auto" w:fill="FFFFFF"/>
            <w:noWrap/>
            <w:vAlign w:val="center"/>
            <w:hideMark/>
          </w:tcPr>
          <w:p w:rsidR="005272A1" w:rsidRDefault="005272A1">
            <w:pPr>
              <w:spacing w:line="256" w:lineRule="auto"/>
              <w:jc w:val="center"/>
              <w:rPr>
                <w:b/>
                <w:sz w:val="20"/>
                <w:szCs w:val="20"/>
                <w:lang w:eastAsia="en-GB"/>
              </w:rPr>
            </w:pPr>
            <w:r>
              <w:rPr>
                <w:b/>
                <w:sz w:val="20"/>
                <w:szCs w:val="20"/>
                <w:lang w:eastAsia="en-GB"/>
              </w:rPr>
              <w:t>£m</w:t>
            </w:r>
          </w:p>
        </w:tc>
      </w:tr>
      <w:tr w:rsidR="005272A1" w:rsidTr="005272A1">
        <w:trPr>
          <w:trHeight w:val="465"/>
          <w:jc w:val="center"/>
        </w:trPr>
        <w:tc>
          <w:tcPr>
            <w:tcW w:w="4780" w:type="dxa"/>
            <w:tcBorders>
              <w:top w:val="single" w:sz="4" w:space="0" w:color="auto"/>
              <w:left w:val="single" w:sz="4" w:space="0" w:color="auto"/>
              <w:bottom w:val="single" w:sz="4" w:space="0" w:color="auto"/>
              <w:right w:val="nil"/>
            </w:tcBorders>
            <w:shd w:val="clear" w:color="auto" w:fill="FFFFFF"/>
            <w:noWrap/>
            <w:vAlign w:val="center"/>
            <w:hideMark/>
          </w:tcPr>
          <w:p w:rsidR="005272A1" w:rsidRDefault="005272A1">
            <w:pPr>
              <w:spacing w:line="256" w:lineRule="auto"/>
              <w:rPr>
                <w:b/>
                <w:sz w:val="20"/>
                <w:szCs w:val="20"/>
                <w:lang w:eastAsia="en-GB"/>
              </w:rPr>
            </w:pPr>
            <w:r>
              <w:rPr>
                <w:b/>
                <w:sz w:val="20"/>
                <w:szCs w:val="20"/>
                <w:lang w:eastAsia="en-GB"/>
              </w:rPr>
              <w:t>Opening Earmarked Reserve Balance</w:t>
            </w:r>
          </w:p>
        </w:tc>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(6.8)</w:t>
            </w:r>
          </w:p>
        </w:tc>
        <w:tc>
          <w:tcPr>
            <w:tcW w:w="1438"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(10.4)</w:t>
            </w:r>
          </w:p>
        </w:tc>
        <w:tc>
          <w:tcPr>
            <w:tcW w:w="968"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(17.</w:t>
            </w:r>
            <w:r w:rsidR="00E03648">
              <w:rPr>
                <w:b/>
                <w:sz w:val="20"/>
                <w:szCs w:val="20"/>
                <w:lang w:eastAsia="en-GB"/>
              </w:rPr>
              <w:t>2</w:t>
            </w:r>
            <w:r>
              <w:rPr>
                <w:b/>
                <w:sz w:val="20"/>
                <w:szCs w:val="20"/>
                <w:lang w:eastAsia="en-GB"/>
              </w:rPr>
              <w:t>)</w:t>
            </w:r>
          </w:p>
        </w:tc>
      </w:tr>
      <w:tr w:rsidR="005272A1" w:rsidTr="005272A1">
        <w:trPr>
          <w:trHeight w:val="795"/>
          <w:jc w:val="center"/>
        </w:trPr>
        <w:tc>
          <w:tcPr>
            <w:tcW w:w="4780" w:type="dxa"/>
            <w:tcBorders>
              <w:top w:val="nil"/>
              <w:left w:val="single" w:sz="4" w:space="0" w:color="auto"/>
              <w:bottom w:val="nil"/>
              <w:right w:val="nil"/>
            </w:tcBorders>
            <w:shd w:val="clear" w:color="auto" w:fill="FFFFFF"/>
            <w:vAlign w:val="center"/>
            <w:hideMark/>
          </w:tcPr>
          <w:p w:rsidR="005272A1" w:rsidRDefault="005272A1">
            <w:pPr>
              <w:spacing w:line="256" w:lineRule="auto"/>
              <w:rPr>
                <w:sz w:val="20"/>
                <w:szCs w:val="20"/>
                <w:lang w:eastAsia="en-GB"/>
              </w:rPr>
            </w:pPr>
            <w:r>
              <w:rPr>
                <w:sz w:val="20"/>
                <w:szCs w:val="20"/>
                <w:lang w:eastAsia="en-GB"/>
              </w:rPr>
              <w:t>Reclassification of Chief Constable Reserve to within General Fund Balance</w:t>
            </w:r>
          </w:p>
        </w:tc>
        <w:tc>
          <w:tcPr>
            <w:tcW w:w="1660" w:type="dxa"/>
            <w:tcBorders>
              <w:top w:val="nil"/>
              <w:left w:val="single" w:sz="4" w:space="0" w:color="auto"/>
              <w:bottom w:val="nil"/>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(1.1)</w:t>
            </w:r>
          </w:p>
        </w:tc>
        <w:tc>
          <w:tcPr>
            <w:tcW w:w="1438" w:type="dxa"/>
            <w:tcBorders>
              <w:top w:val="nil"/>
              <w:left w:val="nil"/>
              <w:bottom w:val="nil"/>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1.1</w:t>
            </w:r>
          </w:p>
        </w:tc>
        <w:tc>
          <w:tcPr>
            <w:tcW w:w="968" w:type="dxa"/>
            <w:tcBorders>
              <w:top w:val="nil"/>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0.0</w:t>
            </w:r>
          </w:p>
        </w:tc>
      </w:tr>
      <w:tr w:rsidR="005272A1" w:rsidTr="005272A1">
        <w:trPr>
          <w:trHeight w:val="390"/>
          <w:jc w:val="center"/>
        </w:trPr>
        <w:tc>
          <w:tcPr>
            <w:tcW w:w="4780" w:type="dxa"/>
            <w:tcBorders>
              <w:top w:val="single" w:sz="4" w:space="0" w:color="auto"/>
              <w:left w:val="single" w:sz="4" w:space="0" w:color="auto"/>
              <w:bottom w:val="single" w:sz="4" w:space="0" w:color="auto"/>
              <w:right w:val="nil"/>
            </w:tcBorders>
            <w:shd w:val="clear" w:color="auto" w:fill="FFFFFF"/>
            <w:noWrap/>
            <w:vAlign w:val="center"/>
            <w:hideMark/>
          </w:tcPr>
          <w:p w:rsidR="005272A1" w:rsidRDefault="005272A1">
            <w:pPr>
              <w:spacing w:line="256" w:lineRule="auto"/>
              <w:rPr>
                <w:b/>
                <w:sz w:val="20"/>
                <w:szCs w:val="20"/>
                <w:lang w:eastAsia="en-GB"/>
              </w:rPr>
            </w:pPr>
            <w:r>
              <w:rPr>
                <w:b/>
                <w:sz w:val="20"/>
                <w:szCs w:val="20"/>
                <w:lang w:eastAsia="en-GB"/>
              </w:rPr>
              <w:t>Revised Balance</w:t>
            </w:r>
          </w:p>
        </w:tc>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(7.9)</w:t>
            </w:r>
          </w:p>
        </w:tc>
        <w:tc>
          <w:tcPr>
            <w:tcW w:w="1438"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(9.</w:t>
            </w:r>
            <w:r w:rsidR="00E03648">
              <w:rPr>
                <w:b/>
                <w:sz w:val="20"/>
                <w:szCs w:val="20"/>
                <w:lang w:eastAsia="en-GB"/>
              </w:rPr>
              <w:t>3</w:t>
            </w:r>
            <w:r>
              <w:rPr>
                <w:b/>
                <w:sz w:val="20"/>
                <w:szCs w:val="20"/>
                <w:lang w:eastAsia="en-GB"/>
              </w:rPr>
              <w:t>)</w:t>
            </w:r>
          </w:p>
        </w:tc>
        <w:tc>
          <w:tcPr>
            <w:tcW w:w="968" w:type="dxa"/>
            <w:tcBorders>
              <w:top w:val="nil"/>
              <w:left w:val="nil"/>
              <w:bottom w:val="nil"/>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(17.</w:t>
            </w:r>
            <w:r w:rsidR="00E03648">
              <w:rPr>
                <w:b/>
                <w:sz w:val="20"/>
                <w:szCs w:val="20"/>
                <w:lang w:eastAsia="en-GB"/>
              </w:rPr>
              <w:t>2</w:t>
            </w:r>
            <w:r>
              <w:rPr>
                <w:b/>
                <w:sz w:val="20"/>
                <w:szCs w:val="20"/>
                <w:lang w:eastAsia="en-GB"/>
              </w:rPr>
              <w:t>)</w:t>
            </w:r>
          </w:p>
        </w:tc>
      </w:tr>
      <w:tr w:rsidR="005272A1" w:rsidTr="005272A1">
        <w:trPr>
          <w:trHeight w:val="402"/>
          <w:jc w:val="center"/>
        </w:trPr>
        <w:tc>
          <w:tcPr>
            <w:tcW w:w="4780" w:type="dxa"/>
            <w:tcBorders>
              <w:top w:val="nil"/>
              <w:left w:val="single" w:sz="4" w:space="0" w:color="auto"/>
              <w:bottom w:val="nil"/>
              <w:right w:val="nil"/>
            </w:tcBorders>
            <w:shd w:val="clear" w:color="auto" w:fill="FFFFFF"/>
            <w:noWrap/>
            <w:vAlign w:val="center"/>
            <w:hideMark/>
          </w:tcPr>
          <w:p w:rsidR="005272A1" w:rsidRDefault="005272A1">
            <w:pPr>
              <w:spacing w:line="256" w:lineRule="auto"/>
              <w:rPr>
                <w:sz w:val="20"/>
                <w:szCs w:val="20"/>
                <w:lang w:eastAsia="en-GB"/>
              </w:rPr>
            </w:pPr>
            <w:r>
              <w:rPr>
                <w:sz w:val="20"/>
                <w:szCs w:val="20"/>
                <w:lang w:eastAsia="en-GB"/>
              </w:rPr>
              <w:t>Transfer (to) from Earmarked Reserves</w:t>
            </w:r>
          </w:p>
        </w:tc>
        <w:tc>
          <w:tcPr>
            <w:tcW w:w="1660" w:type="dxa"/>
            <w:tcBorders>
              <w:top w:val="nil"/>
              <w:left w:val="single" w:sz="4" w:space="0" w:color="auto"/>
              <w:bottom w:val="nil"/>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 </w:t>
            </w:r>
          </w:p>
        </w:tc>
        <w:tc>
          <w:tcPr>
            <w:tcW w:w="1438" w:type="dxa"/>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(2.0)</w:t>
            </w:r>
          </w:p>
        </w:tc>
        <w:tc>
          <w:tcPr>
            <w:tcW w:w="968" w:type="dxa"/>
            <w:tcBorders>
              <w:top w:val="single" w:sz="4" w:space="0" w:color="auto"/>
              <w:left w:val="single" w:sz="4" w:space="0" w:color="auto"/>
              <w:bottom w:val="nil"/>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(2.0)</w:t>
            </w:r>
          </w:p>
        </w:tc>
      </w:tr>
      <w:tr w:rsidR="005272A1" w:rsidTr="005272A1">
        <w:trPr>
          <w:trHeight w:val="402"/>
          <w:jc w:val="center"/>
        </w:trPr>
        <w:tc>
          <w:tcPr>
            <w:tcW w:w="4780" w:type="dxa"/>
            <w:tcBorders>
              <w:top w:val="nil"/>
              <w:left w:val="single" w:sz="4" w:space="0" w:color="auto"/>
              <w:bottom w:val="nil"/>
              <w:right w:val="nil"/>
            </w:tcBorders>
            <w:shd w:val="clear" w:color="auto" w:fill="FFFFFF"/>
            <w:noWrap/>
            <w:vAlign w:val="center"/>
            <w:hideMark/>
          </w:tcPr>
          <w:p w:rsidR="005272A1" w:rsidRDefault="005272A1">
            <w:pPr>
              <w:spacing w:line="256" w:lineRule="auto"/>
              <w:rPr>
                <w:sz w:val="20"/>
                <w:szCs w:val="20"/>
                <w:lang w:eastAsia="en-GB"/>
              </w:rPr>
            </w:pPr>
            <w:r>
              <w:rPr>
                <w:sz w:val="20"/>
                <w:szCs w:val="20"/>
                <w:lang w:eastAsia="en-GB"/>
              </w:rPr>
              <w:t>Operational underspend</w:t>
            </w:r>
          </w:p>
        </w:tc>
        <w:tc>
          <w:tcPr>
            <w:tcW w:w="1660" w:type="dxa"/>
            <w:tcBorders>
              <w:top w:val="nil"/>
              <w:left w:val="single" w:sz="4" w:space="0" w:color="auto"/>
              <w:bottom w:val="nil"/>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(0.3)</w:t>
            </w:r>
          </w:p>
        </w:tc>
        <w:tc>
          <w:tcPr>
            <w:tcW w:w="1438" w:type="dxa"/>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 </w:t>
            </w:r>
          </w:p>
        </w:tc>
        <w:tc>
          <w:tcPr>
            <w:tcW w:w="968" w:type="dxa"/>
            <w:tcBorders>
              <w:top w:val="nil"/>
              <w:left w:val="single" w:sz="4" w:space="0" w:color="auto"/>
              <w:bottom w:val="single" w:sz="4" w:space="0" w:color="auto"/>
              <w:right w:val="single" w:sz="4" w:space="0" w:color="auto"/>
            </w:tcBorders>
            <w:shd w:val="clear" w:color="auto" w:fill="FFFFFF"/>
            <w:noWrap/>
            <w:vAlign w:val="center"/>
            <w:hideMark/>
          </w:tcPr>
          <w:p w:rsidR="005272A1" w:rsidRDefault="005272A1">
            <w:pPr>
              <w:spacing w:line="256" w:lineRule="auto"/>
              <w:jc w:val="right"/>
              <w:rPr>
                <w:sz w:val="20"/>
                <w:szCs w:val="20"/>
                <w:lang w:eastAsia="en-GB"/>
              </w:rPr>
            </w:pPr>
            <w:r>
              <w:rPr>
                <w:sz w:val="20"/>
                <w:szCs w:val="20"/>
                <w:lang w:eastAsia="en-GB"/>
              </w:rPr>
              <w:t>(0.3)</w:t>
            </w:r>
          </w:p>
        </w:tc>
      </w:tr>
      <w:tr w:rsidR="005272A1" w:rsidTr="005272A1">
        <w:trPr>
          <w:trHeight w:val="402"/>
          <w:jc w:val="center"/>
        </w:trPr>
        <w:tc>
          <w:tcPr>
            <w:tcW w:w="4780" w:type="dxa"/>
            <w:tcBorders>
              <w:top w:val="single" w:sz="4" w:space="0" w:color="auto"/>
              <w:left w:val="single" w:sz="4" w:space="0" w:color="auto"/>
              <w:bottom w:val="single" w:sz="4" w:space="0" w:color="auto"/>
              <w:right w:val="nil"/>
            </w:tcBorders>
            <w:shd w:val="clear" w:color="auto" w:fill="FFFFFF"/>
            <w:noWrap/>
            <w:vAlign w:val="center"/>
            <w:hideMark/>
          </w:tcPr>
          <w:p w:rsidR="005272A1" w:rsidRDefault="005272A1">
            <w:pPr>
              <w:spacing w:line="256" w:lineRule="auto"/>
              <w:rPr>
                <w:b/>
                <w:sz w:val="20"/>
                <w:szCs w:val="20"/>
                <w:lang w:eastAsia="en-GB"/>
              </w:rPr>
            </w:pPr>
            <w:r>
              <w:rPr>
                <w:b/>
                <w:sz w:val="20"/>
                <w:szCs w:val="20"/>
                <w:lang w:eastAsia="en-GB"/>
              </w:rPr>
              <w:t>Closing Earmarked Reserve Balance</w:t>
            </w:r>
          </w:p>
        </w:tc>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(8.2)</w:t>
            </w:r>
          </w:p>
        </w:tc>
        <w:tc>
          <w:tcPr>
            <w:tcW w:w="1438" w:type="dxa"/>
            <w:tcBorders>
              <w:top w:val="single" w:sz="4" w:space="0" w:color="auto"/>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(11.</w:t>
            </w:r>
            <w:r w:rsidR="00E03648">
              <w:rPr>
                <w:b/>
                <w:sz w:val="20"/>
                <w:szCs w:val="20"/>
                <w:lang w:eastAsia="en-GB"/>
              </w:rPr>
              <w:t>3</w:t>
            </w:r>
            <w:r>
              <w:rPr>
                <w:b/>
                <w:sz w:val="20"/>
                <w:szCs w:val="20"/>
                <w:lang w:eastAsia="en-GB"/>
              </w:rPr>
              <w:t>)</w:t>
            </w:r>
          </w:p>
        </w:tc>
        <w:tc>
          <w:tcPr>
            <w:tcW w:w="968" w:type="dxa"/>
            <w:tcBorders>
              <w:top w:val="nil"/>
              <w:left w:val="nil"/>
              <w:bottom w:val="single" w:sz="4" w:space="0" w:color="auto"/>
              <w:right w:val="single" w:sz="4" w:space="0" w:color="auto"/>
            </w:tcBorders>
            <w:shd w:val="clear" w:color="auto" w:fill="FFFFFF"/>
            <w:noWrap/>
            <w:vAlign w:val="center"/>
            <w:hideMark/>
          </w:tcPr>
          <w:p w:rsidR="005272A1" w:rsidRDefault="005272A1">
            <w:pPr>
              <w:spacing w:line="256" w:lineRule="auto"/>
              <w:jc w:val="right"/>
              <w:rPr>
                <w:b/>
                <w:sz w:val="20"/>
                <w:szCs w:val="20"/>
                <w:lang w:eastAsia="en-GB"/>
              </w:rPr>
            </w:pPr>
            <w:r>
              <w:rPr>
                <w:b/>
                <w:sz w:val="20"/>
                <w:szCs w:val="20"/>
                <w:lang w:eastAsia="en-GB"/>
              </w:rPr>
              <w:t>(19.5)</w:t>
            </w:r>
          </w:p>
        </w:tc>
      </w:tr>
    </w:tbl>
    <w:p w:rsidR="005272A1" w:rsidRDefault="005272A1" w:rsidP="005272A1"/>
    <w:p w:rsidR="005272A1" w:rsidRDefault="005272A1" w:rsidP="005272A1">
      <w:pPr>
        <w:jc w:val="both"/>
      </w:pPr>
      <w:r>
        <w:t xml:space="preserve">The earmarked reserves are held as follows: At 31 March 2020 £3.4m was held against the PCC and PCC Group’s estimate of existing insurance liabilities under the current self-funded arrangements, £1.6m in Ill health reserves, £2.8m in an Estate Strategy reserve, £1.0m for an Operational reserve, £1.0 for Covid-19 and £1.6m for Cost of Change. The Covid-19 reserve was a new reserve created this year in order to address some of the anticipated additional expenditure as a result of the pandemic. </w:t>
      </w:r>
    </w:p>
    <w:p w:rsidR="005272A1" w:rsidRDefault="005272A1" w:rsidP="005272A1">
      <w:pPr>
        <w:jc w:val="both"/>
        <w:rPr>
          <w:highlight w:val="yellow"/>
        </w:rPr>
      </w:pPr>
    </w:p>
    <w:p w:rsidR="005272A1" w:rsidRDefault="005272A1" w:rsidP="005272A1">
      <w:pPr>
        <w:jc w:val="both"/>
      </w:pPr>
      <w:r>
        <w:t>In addition to the reserves detailed above the PCC held other Usable Reserves at 31 March 2020 of £0.2m in the Capital Receipts Reserve and £2.9m in the Capital Grants &amp; Contributions Unapplied Reserve for accounting and capital financing purposes. Full details can be seen in Balance Sheet and the associated notes.</w:t>
      </w:r>
    </w:p>
    <w:p w:rsidR="005272A1" w:rsidRDefault="005272A1" w:rsidP="005272A1"/>
    <w:p w:rsidR="00EB075B" w:rsidRDefault="00EB075B" w:rsidP="005272A1"/>
    <w:p w:rsidR="00EB075B" w:rsidRDefault="00EB075B" w:rsidP="005272A1"/>
    <w:p w:rsidR="00EB075B" w:rsidRDefault="00EB075B" w:rsidP="005272A1"/>
    <w:p w:rsidR="00EB075B" w:rsidRDefault="00EB075B" w:rsidP="005272A1"/>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Uncertain Future Events</w:t>
      </w:r>
    </w:p>
    <w:p w:rsidR="005272A1" w:rsidRDefault="005272A1" w:rsidP="005272A1">
      <w:pPr>
        <w:jc w:val="both"/>
      </w:pPr>
    </w:p>
    <w:p w:rsidR="005272A1" w:rsidRPr="00A200D5" w:rsidRDefault="005272A1" w:rsidP="005272A1">
      <w:pPr>
        <w:jc w:val="both"/>
      </w:pPr>
      <w:r w:rsidRPr="00A200D5">
        <w:t>Brexit</w:t>
      </w:r>
    </w:p>
    <w:p w:rsidR="005272A1" w:rsidRDefault="005272A1" w:rsidP="005272A1">
      <w:pPr>
        <w:jc w:val="both"/>
      </w:pPr>
    </w:p>
    <w:p w:rsidR="005272A1" w:rsidRDefault="005272A1" w:rsidP="005272A1">
      <w:pPr>
        <w:jc w:val="both"/>
      </w:pPr>
      <w:r>
        <w:t>The United Kingdom exited the European Union on 31 January 2020. Transitional arrangements remain in place but the event has led to continued short term increased political and economic uncertainty, further impacted by the Covid-19 crisis which has been the main focus of government. The eventual position on Brexit (including whether the UK exits the EU with or without a trade deal) post 31 December 2020 does have the potential to impact the PCC’s and Group’s finances going forward and the estimates and assumptions which impact on the accounts and the MTFS. However, it is too early to predict the impact on the financial statements, as the long term effects are still uncertain, and there is likely to be significant ongoing uncertainty for some time. The PCC and Chief Constable will continue to review the impact in the coming months.</w:t>
      </w:r>
    </w:p>
    <w:p w:rsidR="009524C2" w:rsidRDefault="009524C2" w:rsidP="005272A1">
      <w:pPr>
        <w:spacing w:after="160" w:line="256" w:lineRule="auto"/>
        <w:rPr>
          <w:u w:val="single"/>
        </w:rPr>
      </w:pPr>
    </w:p>
    <w:p w:rsidR="005272A1" w:rsidRPr="00A200D5" w:rsidRDefault="005272A1" w:rsidP="005272A1">
      <w:pPr>
        <w:spacing w:after="160" w:line="256" w:lineRule="auto"/>
      </w:pPr>
      <w:r w:rsidRPr="00A200D5">
        <w:t>Covid-19</w:t>
      </w:r>
    </w:p>
    <w:p w:rsidR="005272A1" w:rsidRDefault="005272A1" w:rsidP="005272A1">
      <w:pPr>
        <w:jc w:val="both"/>
      </w:pPr>
      <w:r>
        <w:t>It is an underestimation to say that we are experiencing huge change with the current health crisis and commitment to the force, colleagues and invaluable work from all employees has been exceptional. We have all had to adapt, very quickly, to new ways of working, to new methods of communicating with each other, and to the new social conditions placed on us and our families. Staff and officers embraced the change taking on tasks beyond the norm with acceptance and willingness, and to continue to support our frontline colleagues as they also face change and uncharted challenges. Some working environments are more difficult than others and wellbeing was especially important during this time, from both physical health and mental health perspectives for both employees and the people we serve.</w:t>
      </w:r>
    </w:p>
    <w:p w:rsidR="005272A1" w:rsidRDefault="005272A1" w:rsidP="005272A1">
      <w:pPr>
        <w:jc w:val="both"/>
      </w:pPr>
    </w:p>
    <w:p w:rsidR="005272A1" w:rsidRDefault="005272A1" w:rsidP="005272A1">
      <w:pPr>
        <w:jc w:val="both"/>
      </w:pPr>
      <w:r>
        <w:t>Procurement, insurance and financial services across Surrey Police and Sussex Police were able to secure procurement of £5m of PPE, facilities teams coordinated and distributed PPE for both forces, buildings continued to stay open and functioning whilst cleaning regimes were changed to incorporate additional cleaning of touch points around police premises, to ensure people remain as safe as possible within the workplace where necessary functions had to remain in HQ and other buildings. The fleet was kept on the roads and maintained throughout.</w:t>
      </w:r>
    </w:p>
    <w:p w:rsidR="009524C2" w:rsidRDefault="009524C2" w:rsidP="00A200D5">
      <w:pPr>
        <w:jc w:val="both"/>
      </w:pPr>
    </w:p>
    <w:p w:rsidR="005272A1" w:rsidRDefault="005272A1" w:rsidP="00A200D5">
      <w:pPr>
        <w:jc w:val="both"/>
      </w:pPr>
      <w:r>
        <w:t>As the PCC elections have been postponed and the PCC’s term in office extended until May 2021, the PCC has provided an interim plan through to 2022. In addition the PCC has provided up to £500k of additional financial support to a number of organisations from whom he commissions services, primarily focused on enabling additional support for specific issues impacted as a result of the Covid-19 lockdown provisions, for example domestic violence.</w:t>
      </w:r>
    </w:p>
    <w:p w:rsidR="009524C2" w:rsidRDefault="009524C2" w:rsidP="005272A1">
      <w:pPr>
        <w:jc w:val="both"/>
      </w:pPr>
    </w:p>
    <w:p w:rsidR="005272A1" w:rsidRDefault="005272A1" w:rsidP="005272A1">
      <w:pPr>
        <w:jc w:val="both"/>
      </w:pPr>
      <w:r>
        <w:t>The impact of Covid-19 is kept under constant review by the Chief Constable through established risk and monitoring processes. Operation Apollo, a ‘gold command’ governance group was set up to respond to changes as they were publicly announced, maintain a robust control environment to capture issues, assess capacity and capability, manage stakeholder engagement, make decisions and coordinate the Surrey Police response to Covid-19.</w:t>
      </w:r>
    </w:p>
    <w:p w:rsidR="005272A1" w:rsidRDefault="005272A1" w:rsidP="005272A1">
      <w:pPr>
        <w:jc w:val="both"/>
      </w:pPr>
    </w:p>
    <w:p w:rsidR="005272A1" w:rsidRDefault="005272A1" w:rsidP="005272A1">
      <w:pPr>
        <w:jc w:val="both"/>
        <w:rPr>
          <w:highlight w:val="yellow"/>
        </w:rPr>
      </w:pPr>
      <w:r>
        <w:t xml:space="preserve">Extensive internal and external communications, managed via Operation Apollo issued the latest information, guidance and wellbeing support to staff and officers daily. Activation of ‘social distancing’ policies and business continuity plans were invoked early on,  with non-operational staff mostly working from home and most meetings moved to teleconference or alternative virtual meeting space e.g. Skype or Teams. Redeployment of staff and officers supported the front-line workforce for Operation Apollo and changes in priorities and crime demands arising from Covid-19. Frequent dialogue was maintained with government officials and key stakeholders.  </w:t>
      </w:r>
    </w:p>
    <w:p w:rsidR="005272A1" w:rsidRDefault="005272A1">
      <w:pPr>
        <w:jc w:val="both"/>
        <w:rPr>
          <w:highlight w:val="yellow"/>
        </w:rPr>
      </w:pPr>
    </w:p>
    <w:p w:rsidR="005272A1" w:rsidRDefault="005272A1" w:rsidP="00A200D5">
      <w:pPr>
        <w:spacing w:after="160" w:line="256" w:lineRule="auto"/>
        <w:jc w:val="both"/>
      </w:pPr>
      <w:r>
        <w:t>It is not clear what the medium term implications will be for the Constabulary but at the point of publishing the accounts, policing activity and performance remains strong.</w:t>
      </w:r>
    </w:p>
    <w:p w:rsidR="005272A1" w:rsidRDefault="005272A1" w:rsidP="00A200D5">
      <w:pPr>
        <w:spacing w:after="160" w:line="256" w:lineRule="auto"/>
        <w:jc w:val="both"/>
      </w:pPr>
      <w:r>
        <w:t>Detailed monitoring and collation of additional costs of policing resulting from Covid-19 included pay related costs, personal protective equipment (PPE) for frontline staff, IT investment to allow people to work from home and income losses, whilst more flexible use of Government Procurement Cards and local floats facilitated urgent purchases. Immediate payment of invoices helped mitigate risk of failure by essential suppliers in the supply chain. Strategic review of all budget areas for 2020/21 is underway to mitigate costs arising from Covid-19 and support financial sustainability. The position will be kept under review, and in particular the CFO’s will be mindful of the potential impact on council tax collection, and on collection fund position as it impacts the 2021/22 budget.</w:t>
      </w:r>
    </w:p>
    <w:p w:rsidR="005272A1" w:rsidRDefault="005272A1" w:rsidP="00A200D5">
      <w:pPr>
        <w:spacing w:after="160" w:line="256" w:lineRule="auto"/>
        <w:jc w:val="both"/>
      </w:pPr>
      <w:r>
        <w:t xml:space="preserve">There may be a currently unquantifiable impact going forward on sales values for properties earmarked for disposal should general market conditions deteriorate as a result of Covid-19, and there could be slippage generally in the delivery of the in-year capital programme due to delays arising as a consequence of the Covid-19 lockdown. The capital programme will be reviewed as the year progresses to assess impact and affordability in the light of Covid costs. </w:t>
      </w:r>
    </w:p>
    <w:p w:rsidR="005272A1" w:rsidRDefault="005272A1" w:rsidP="00A200D5">
      <w:pPr>
        <w:spacing w:after="160" w:line="256" w:lineRule="auto"/>
        <w:jc w:val="both"/>
      </w:pPr>
      <w:r>
        <w:t xml:space="preserve">The PCC CFO assessment is that the Covid-19 crisis </w:t>
      </w:r>
      <w:r w:rsidR="00EB075B">
        <w:t>did not have</w:t>
      </w:r>
      <w:r>
        <w:t xml:space="preserve"> a significant financial impact on the Group financial position </w:t>
      </w:r>
      <w:r w:rsidR="00EB075B">
        <w:t>for the 2019/20 year</w:t>
      </w:r>
      <w:r>
        <w:t>, and that the PCC and Constabulary will continue to operate as a Going Concern</w:t>
      </w:r>
      <w:r w:rsidR="00EB075B">
        <w:t xml:space="preserve">. </w:t>
      </w:r>
    </w:p>
    <w:p w:rsidR="005272A1" w:rsidRDefault="005272A1" w:rsidP="005272A1">
      <w:pPr>
        <w:jc w:val="both"/>
      </w:pPr>
    </w:p>
    <w:p w:rsidR="005272A1" w:rsidRPr="00A200D5" w:rsidRDefault="005272A1" w:rsidP="005272A1">
      <w:pPr>
        <w:jc w:val="both"/>
      </w:pPr>
      <w:r w:rsidRPr="00A200D5">
        <w:t>Going Concern</w:t>
      </w:r>
    </w:p>
    <w:p w:rsidR="005272A1" w:rsidRDefault="005272A1" w:rsidP="005272A1">
      <w:pPr>
        <w:jc w:val="both"/>
      </w:pPr>
    </w:p>
    <w:p w:rsidR="005272A1" w:rsidRDefault="005272A1" w:rsidP="005272A1">
      <w:pPr>
        <w:jc w:val="both"/>
      </w:pPr>
      <w:r>
        <w:t>The negative impact of Covid-19 on the finances of organisations, both public and private,</w:t>
      </w:r>
      <w:r w:rsidR="009524C2">
        <w:t xml:space="preserve"> </w:t>
      </w:r>
      <w:r>
        <w:t>has been well documented.</w:t>
      </w:r>
    </w:p>
    <w:p w:rsidR="005272A1" w:rsidRDefault="005272A1" w:rsidP="005272A1">
      <w:pPr>
        <w:jc w:val="both"/>
      </w:pPr>
    </w:p>
    <w:p w:rsidR="005272A1" w:rsidRDefault="005272A1" w:rsidP="005272A1">
      <w:pPr>
        <w:jc w:val="both"/>
      </w:pPr>
      <w:r>
        <w:t>In the public sector the significant pressures experienced have led to many organisations raising concerns as to their financial stability and sustainability, and it has been muted that in some of these organisations it may be necessary for Chief Financial Officers to issue Section 114 notices.</w:t>
      </w:r>
    </w:p>
    <w:p w:rsidR="005272A1" w:rsidRDefault="005272A1" w:rsidP="005272A1">
      <w:pPr>
        <w:jc w:val="both"/>
      </w:pPr>
    </w:p>
    <w:p w:rsidR="005272A1" w:rsidRDefault="005272A1" w:rsidP="005272A1">
      <w:pPr>
        <w:jc w:val="both"/>
      </w:pPr>
      <w:r>
        <w:t>As neither a Police and Crime Commissioner nor a Constabulary can be created or dissolved without statutory prescription, the going concern assumption in the Accounting Code of Practice therefore assumes that both the Surrey Police and Crime Commissioner and Surrey Constabulary continue to operate for the foreseeable future, and that the accounts are therefore presented on a going concern basis. Whilst there is no statutory change to this position, the impact of Covid-19 on the going concern of the both the PCC and the Constabulary has been reviewed and is set out below</w:t>
      </w:r>
    </w:p>
    <w:p w:rsidR="005272A1" w:rsidRDefault="005272A1" w:rsidP="005272A1">
      <w:pPr>
        <w:jc w:val="both"/>
      </w:pPr>
    </w:p>
    <w:p w:rsidR="005272A1" w:rsidRDefault="005272A1" w:rsidP="005272A1">
      <w:pPr>
        <w:jc w:val="both"/>
        <w:rPr>
          <w:highlight w:val="yellow"/>
        </w:rPr>
      </w:pPr>
      <w:r>
        <w:t>In comparative terms, whilst policing has been impacted by Covid-19, the financial impact thus far has been limited compared with many other public sector bodies.</w:t>
      </w:r>
    </w:p>
    <w:p w:rsidR="005272A1" w:rsidRDefault="005272A1" w:rsidP="005272A1">
      <w:pPr>
        <w:jc w:val="both"/>
        <w:rPr>
          <w:highlight w:val="yellow"/>
        </w:rPr>
      </w:pPr>
    </w:p>
    <w:p w:rsidR="005272A1" w:rsidRDefault="005272A1" w:rsidP="005272A1">
      <w:pPr>
        <w:jc w:val="both"/>
      </w:pPr>
      <w:r>
        <w:t>In Surrey, the CFOs of both the PCC and the Constabulary have reviewed the impact of Covid-19 to date, and also the potential impact in the medium term, and have drawn the conclusion that whilst additional costs have been incurred, the overall financial risks presented by Covid-19 are not proving to so significant, that they cannot be managed within the overall resources available including if necessary from reserves. The CFOs are content that the PCC and Constabulary will continue to operate on a going concern basis for the foreseeable future.</w:t>
      </w:r>
    </w:p>
    <w:p w:rsidR="005272A1" w:rsidRDefault="005272A1" w:rsidP="005272A1">
      <w:pPr>
        <w:jc w:val="both"/>
      </w:pPr>
    </w:p>
    <w:p w:rsidR="005272A1" w:rsidRDefault="005272A1" w:rsidP="005272A1">
      <w:pPr>
        <w:jc w:val="both"/>
      </w:pPr>
      <w:r>
        <w:t>This review of going concern in light of Covid-19 is in addition to but supported by the conclusions the PCC CFO set out in his recent Section 25 statement, which was completed alongside the PCC setting the precept and budget for 2020/21, and the medium term financial strategy for the period 2021/22 - 2023/24. That budget report and Section 25 statement included the following conclusions:</w:t>
      </w:r>
    </w:p>
    <w:p w:rsidR="005272A1" w:rsidRDefault="005272A1" w:rsidP="005272A1">
      <w:pPr>
        <w:jc w:val="both"/>
      </w:pPr>
    </w:p>
    <w:p w:rsidR="005272A1" w:rsidRDefault="005272A1" w:rsidP="005272A1">
      <w:pPr>
        <w:jc w:val="both"/>
        <w:rPr>
          <w:i/>
        </w:rPr>
      </w:pPr>
      <w:r>
        <w:t>“</w:t>
      </w:r>
      <w:r>
        <w:rPr>
          <w:i/>
        </w:rPr>
        <w:t xml:space="preserve">In addition, under section 25 of the Local Government Act 2003, the Chief Finance Officer has to report on the adequacy of the financial reserves, taking account of such factors as the track record in budget and financial management and the adequate arrangement of insurance provisions to meet unplanned expenditure. I can report that my Chief Finance Officer has assured me that the balance held in reserves can be considered to be adequate given the longer term financial uncertainties that Surrey Police faces” </w:t>
      </w:r>
    </w:p>
    <w:p w:rsidR="005272A1" w:rsidRDefault="005272A1" w:rsidP="005272A1">
      <w:pPr>
        <w:jc w:val="both"/>
      </w:pPr>
    </w:p>
    <w:p w:rsidR="005272A1" w:rsidRDefault="005272A1" w:rsidP="005272A1">
      <w:pPr>
        <w:jc w:val="both"/>
      </w:pPr>
      <w:r>
        <w:t xml:space="preserve">It is the view of the both the PCC CFO and the </w:t>
      </w:r>
      <w:r w:rsidR="00EB075B">
        <w:t>Chief Constables</w:t>
      </w:r>
      <w:r>
        <w:t xml:space="preserve"> CFO that the above conclusions remain valid, particularly as the cost impact of Covid-19 on </w:t>
      </w:r>
      <w:r w:rsidR="00EB075B">
        <w:t>policing is being supported by government initiatives such as reimbursement for medical grade PPE, an income loss recovery scheme and surge funding to boost coronavirus enforcement.</w:t>
      </w:r>
      <w:r>
        <w:t xml:space="preserve"> </w:t>
      </w:r>
    </w:p>
    <w:p w:rsidR="009524C2" w:rsidRDefault="009524C2" w:rsidP="005272A1">
      <w:pPr>
        <w:jc w:val="both"/>
      </w:pPr>
    </w:p>
    <w:p w:rsidR="005272A1" w:rsidRPr="00A200D5" w:rsidRDefault="005272A1" w:rsidP="00A200D5">
      <w:pPr>
        <w:spacing w:after="160" w:line="256" w:lineRule="auto"/>
        <w:jc w:val="both"/>
      </w:pPr>
      <w:r>
        <w:t>Surrey is manageable within the overall resources available. Whilst the current and forecast medium term financial position remains stable, the PCC and Constabulary CFOs will continue to evaluate any evolving financial impact from Covid-19 on the sector in general and Surrey in particular, and will review any impact for financial sustainability going forward.</w:t>
      </w:r>
      <w:r w:rsidR="00EB075B">
        <w:t xml:space="preserve"> Further information is set out in the Going Concern Note 2.</w:t>
      </w:r>
    </w:p>
    <w:p w:rsidR="005272A1" w:rsidRDefault="005272A1" w:rsidP="005272A1">
      <w:pPr>
        <w:jc w:val="both"/>
        <w:rPr>
          <w:highlight w:val="yellow"/>
        </w:rPr>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Non-Financial Performance</w:t>
      </w:r>
    </w:p>
    <w:p w:rsidR="005272A1" w:rsidRDefault="005272A1" w:rsidP="005272A1">
      <w:pPr>
        <w:jc w:val="both"/>
        <w:rPr>
          <w:highlight w:val="yellow"/>
        </w:rPr>
      </w:pPr>
    </w:p>
    <w:p w:rsidR="005272A1" w:rsidRDefault="005272A1" w:rsidP="005272A1">
      <w:pPr>
        <w:jc w:val="both"/>
      </w:pPr>
      <w:r>
        <w:t>Unprecedented times required people to think on their feet and react to emerging needs to reduce the spread of Covid-19. The Covid-19 pandemic has radically change the demands upon, and the working practice of, the Force. Surrey Police has taken the necessary steps to adapt its ways of working to meet this crisis, and is constantly reviewing its performance in light of the changing circumstances. Surrey Police is working closely with local and national partners in supporting health agencies to combat the virus and maintain public services. Surrey Police will continue to work with partners to adapt to a new normality and to embed the best of partnership work to enhance performance going forwards.</w:t>
      </w:r>
    </w:p>
    <w:p w:rsidR="005272A1" w:rsidRDefault="005272A1" w:rsidP="005272A1">
      <w:pPr>
        <w:spacing w:before="100" w:beforeAutospacing="1" w:after="100" w:afterAutospacing="1"/>
        <w:jc w:val="both"/>
      </w:pPr>
      <w:r>
        <w:t xml:space="preserve">The vision for Surrey Police is to make Surrey the safest it can be in which to live and work, and a welcoming place to visit. Surrey Police has a track record of successful crime reduction and problem solving activity. Building on this experience and know-how, there is an aspiration to make Surrey even safer. </w:t>
      </w:r>
    </w:p>
    <w:p w:rsidR="005272A1" w:rsidRDefault="005272A1" w:rsidP="005272A1">
      <w:pPr>
        <w:spacing w:before="100" w:beforeAutospacing="1" w:after="100" w:afterAutospacing="1"/>
        <w:jc w:val="both"/>
      </w:pPr>
      <w:r>
        <w:t xml:space="preserve">Policing has become more complex; crime is changing and new demands are made of Surrey Police, this requires new ways of working along with new ways of leading. Surrey Police continues to work more closely with other forces, other agencies and with its communities to find new ways of managing demand and improving efficiency. </w:t>
      </w:r>
    </w:p>
    <w:p w:rsidR="005272A1" w:rsidRDefault="005272A1" w:rsidP="005272A1">
      <w:pPr>
        <w:spacing w:before="100" w:beforeAutospacing="1" w:after="100" w:afterAutospacing="1"/>
        <w:jc w:val="both"/>
      </w:pPr>
      <w:r>
        <w:t>Surrey Police introduced a new policing model aimed at making the best use of its policing resource. This model has provided each of the three divisions with dedicated Area Policing Teams, responsible for responding to calls and investigating crime. In addition, specialist teams continue to investigate more serious criminality and a dedicated safeguarding unit focuses on offences against vulnerable people. Each of the 11 boroughs in Surrey has a dedicated Safer Neighbourhood Team to work with partners to address the root causes of crime and tackle those issues which can blight local communities.</w:t>
      </w:r>
    </w:p>
    <w:p w:rsidR="005272A1" w:rsidRDefault="005272A1" w:rsidP="005272A1">
      <w:pPr>
        <w:jc w:val="both"/>
      </w:pPr>
      <w:r>
        <w:t>Surrey Police continues to undertake significant change activity through the Policing Together programme with Sussex Police, and also with other forces in the South-East region, in order to meet the financial challenges, increase resilience and improve service delivery. The actual savings programme and budget reductions for 2019/20 totalled £2.8m shown by portfolio in the chart below.</w:t>
      </w:r>
    </w:p>
    <w:p w:rsidR="005272A1" w:rsidRDefault="005272A1" w:rsidP="005272A1"/>
    <w:p w:rsidR="005272A1" w:rsidRDefault="005272A1" w:rsidP="005272A1">
      <w:pPr>
        <w:jc w:val="center"/>
        <w:rPr>
          <w:highlight w:val="yellow"/>
        </w:rPr>
      </w:pPr>
      <w:r>
        <w:rPr>
          <w:noProof/>
          <w:lang w:val="en-GB" w:eastAsia="en-GB"/>
        </w:rPr>
        <w:drawing>
          <wp:inline distT="0" distB="0" distL="0" distR="0">
            <wp:extent cx="4313555" cy="21469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3555" cy="2146935"/>
                    </a:xfrm>
                    <a:prstGeom prst="rect">
                      <a:avLst/>
                    </a:prstGeom>
                    <a:noFill/>
                    <a:ln>
                      <a:noFill/>
                    </a:ln>
                  </pic:spPr>
                </pic:pic>
              </a:graphicData>
            </a:graphic>
          </wp:inline>
        </w:drawing>
      </w:r>
    </w:p>
    <w:p w:rsidR="005272A1" w:rsidRDefault="005272A1" w:rsidP="005272A1">
      <w:pPr>
        <w:rPr>
          <w:highlight w:val="yellow"/>
        </w:rPr>
      </w:pPr>
    </w:p>
    <w:p w:rsidR="005272A1" w:rsidRDefault="005272A1" w:rsidP="005272A1">
      <w:pPr>
        <w:jc w:val="both"/>
      </w:pPr>
      <w:r>
        <w:t xml:space="preserve">Within the organisation we continue to develop innovative working practices to maximise our efficiency. This includes investing in better Body Worn Video technology, managing digital evidence and sharing information more effectively. </w:t>
      </w:r>
    </w:p>
    <w:p w:rsidR="005272A1" w:rsidRDefault="005272A1" w:rsidP="005272A1">
      <w:pPr>
        <w:jc w:val="both"/>
      </w:pPr>
    </w:p>
    <w:p w:rsidR="005272A1" w:rsidRDefault="005272A1" w:rsidP="005272A1">
      <w:pPr>
        <w:jc w:val="both"/>
      </w:pPr>
      <w:r>
        <w:t>We are monitoring the effectiveness of our digital investments and have, for example, seen huge benefits to officers using Mobile Data Terminals (MDTs) while out in the community.  We are equipping all employees with the right skills and tools to work in a modern way, whilst they face increasingly complex policing challenges, and provide increased visibility and reassurance to the community.  </w:t>
      </w:r>
    </w:p>
    <w:p w:rsidR="005272A1" w:rsidRDefault="005272A1" w:rsidP="005272A1">
      <w:pPr>
        <w:jc w:val="both"/>
      </w:pPr>
    </w:p>
    <w:p w:rsidR="005272A1" w:rsidRDefault="005272A1" w:rsidP="005272A1">
      <w:pPr>
        <w:jc w:val="both"/>
      </w:pPr>
      <w:r>
        <w:t>With further investment we can further strengthen our position – prevent more crimes, catch more criminals, protect more victims, solve more crimes and keep Surrey even safer.</w:t>
      </w:r>
    </w:p>
    <w:p w:rsidR="005272A1" w:rsidRDefault="005272A1" w:rsidP="005272A1">
      <w:pPr>
        <w:jc w:val="both"/>
      </w:pPr>
    </w:p>
    <w:p w:rsidR="005272A1" w:rsidRDefault="005272A1" w:rsidP="005272A1">
      <w:pPr>
        <w:jc w:val="both"/>
        <w:rPr>
          <w:iCs/>
        </w:rPr>
      </w:pPr>
      <w:r>
        <w:t>Recently, new operating models were implemented for the Specialist Crime Capabilities Programme and Operations command to provide further savings and interoperability, whilst maintaining resilience and providing an effective service to the public of both police Forces in Surrey and Sussex.</w:t>
      </w:r>
      <w:r>
        <w:rPr>
          <w:iCs/>
        </w:rPr>
        <w:t xml:space="preserve"> </w:t>
      </w:r>
    </w:p>
    <w:p w:rsidR="005272A1" w:rsidRDefault="005272A1" w:rsidP="005272A1">
      <w:pPr>
        <w:jc w:val="both"/>
      </w:pPr>
    </w:p>
    <w:p w:rsidR="005272A1" w:rsidRDefault="005272A1" w:rsidP="005272A1">
      <w:pPr>
        <w:jc w:val="both"/>
      </w:pPr>
      <w:r>
        <w:t>A single Change Delivery function for Surrey and Sussex ensure that both Forces are well positioned to deliver their change strategies on an individual, bilateral and regional basis. A Digital Division will work on five key priorities: Mobile Data, Niche, Public Facing Digital Services (Community Messaging, Online Crime Reporting and Track My Crime), Body Worn Video and the Joint Intranet. Whilst the Force has used Mobile Data devices for a number of years, a rolling programme focusses on updating these devices and enhancing their capabilities through additional interfaces. The Digital Division will also work towards supporting investigations which have increasing requirements for digital capabilities.</w:t>
      </w:r>
    </w:p>
    <w:p w:rsidR="005272A1" w:rsidRDefault="005272A1" w:rsidP="005272A1">
      <w:pPr>
        <w:jc w:val="both"/>
      </w:pPr>
    </w:p>
    <w:p w:rsidR="005272A1" w:rsidRDefault="005272A1" w:rsidP="005272A1">
      <w:pPr>
        <w:jc w:val="both"/>
      </w:pPr>
      <w:r>
        <w:t>The majority of services within the Support Services functions are collaborated including; Procurement, Insurance, Transport, People Services, Information &amp; Communication Technology, and Finance. Further work is ongoing to develop a Shared Business Service Centre along with the implementation of the new Enterprise Resource Planning (ERP).</w:t>
      </w:r>
    </w:p>
    <w:p w:rsidR="005272A1" w:rsidRDefault="005272A1" w:rsidP="005272A1">
      <w:pPr>
        <w:jc w:val="both"/>
      </w:pPr>
    </w:p>
    <w:p w:rsidR="005272A1" w:rsidRDefault="005272A1" w:rsidP="005272A1">
      <w:pPr>
        <w:jc w:val="both"/>
      </w:pPr>
      <w:r>
        <w:t>Surrey Police and Sussex Police are leading on a new project to address the risk posed by the seizure and retention of crypto currency, involving cyber-crime and insurance teams. Facilities teams are trialling the use of tablet devices for recording compliance checks across the police estate. Insurance and transport teams have implemented a new electronic Driver Management System for recording driver records.</w:t>
      </w:r>
    </w:p>
    <w:p w:rsidR="005272A1" w:rsidRDefault="005272A1" w:rsidP="005272A1">
      <w:pPr>
        <w:jc w:val="both"/>
      </w:pPr>
    </w:p>
    <w:p w:rsidR="005272A1" w:rsidRDefault="005272A1" w:rsidP="005272A1">
      <w:pPr>
        <w:jc w:val="both"/>
      </w:pPr>
      <w:r>
        <w:t>Surrey Police are committed to continuous improvement in their arrangements for programme, project and financial management as demonstrated through a number of key initiatives and programmes, including:</w:t>
      </w:r>
    </w:p>
    <w:p w:rsidR="005272A1" w:rsidRDefault="005272A1" w:rsidP="005272A1">
      <w:pPr>
        <w:jc w:val="both"/>
        <w:rPr>
          <w:b/>
        </w:rPr>
      </w:pPr>
    </w:p>
    <w:p w:rsidR="005272A1" w:rsidRDefault="005272A1" w:rsidP="005272A1">
      <w:pPr>
        <w:jc w:val="both"/>
      </w:pPr>
      <w:r>
        <w:rPr>
          <w:b/>
        </w:rPr>
        <w:t>Financial Excellence:</w:t>
      </w:r>
      <w:r>
        <w:t xml:space="preserve"> Surrey Police is one of only 3 forces nationally to have piloted the national Chartered Institute of Public Finance and Accountancy’s “Achieving Finance Excellence in Policing” programme. So far, this has included implementation of accounts closure software to enable code compliant production of statutory financial statements more promptly, development of Finance Business Partners, and an independent review of financial management arrangements.</w:t>
      </w:r>
    </w:p>
    <w:p w:rsidR="005272A1" w:rsidRDefault="005272A1" w:rsidP="005272A1">
      <w:pPr>
        <w:jc w:val="both"/>
        <w:rPr>
          <w:b/>
        </w:rPr>
      </w:pPr>
    </w:p>
    <w:p w:rsidR="005272A1" w:rsidRDefault="005272A1" w:rsidP="005272A1">
      <w:pPr>
        <w:jc w:val="both"/>
      </w:pPr>
      <w:r>
        <w:rPr>
          <w:b/>
        </w:rPr>
        <w:t>New Enterprise Resource Planning Solution (Equip):</w:t>
      </w:r>
      <w:r>
        <w:t xml:space="preserve"> Surrey Police is also currently implementing a new Enterprise Resource Planning (ERP) solution with Sussex Police and Thames Valley Police. This system is planned to bring improvements to all three forces and enable consistency, better information for managing and decision making – for teams and individuals. The planned programme implementation has encountered a two year delay and a subsequent increase in the costs of implementation. A number of corrective management interventions were carried out and the Chief Constables are undertook a bespoke and detailed contractual, commercial and technical review to provide assurance of implementation dates and project costs. In line with our governance arrangements the three Chief Constables present their plans and recommendations to the PCCs for scrutiny and approval and the final decisions will be published. The internal costs incurred by Surrey during 2019/20 were £1.9m and the total cost incurred by Surrey is £5.7m to the end of 2019/20.</w:t>
      </w:r>
    </w:p>
    <w:p w:rsidR="005272A1" w:rsidRDefault="005272A1" w:rsidP="005272A1">
      <w:pPr>
        <w:jc w:val="both"/>
      </w:pPr>
    </w:p>
    <w:p w:rsidR="005272A1" w:rsidRDefault="005272A1" w:rsidP="005272A1">
      <w:pPr>
        <w:jc w:val="both"/>
        <w:rPr>
          <w:iCs/>
        </w:rPr>
      </w:pPr>
      <w:r>
        <w:t>Regional collaboration continues with five police forces (Thames Valley, Hampshire, Sussex, Surrey and Kent) working together on counter terrorism and tackling serious and organised crime. This is governed by a joint regional oversight board which the five PCCs chair in rotation. During the year development also started on a Western Hub for the South East Regional Organised Crime Unit.</w:t>
      </w:r>
    </w:p>
    <w:p w:rsidR="005272A1" w:rsidRDefault="005272A1" w:rsidP="005272A1">
      <w:pPr>
        <w:jc w:val="both"/>
      </w:pPr>
    </w:p>
    <w:p w:rsidR="005272A1" w:rsidRDefault="005272A1" w:rsidP="005272A1">
      <w:pPr>
        <w:jc w:val="both"/>
      </w:pPr>
      <w:r>
        <w:t xml:space="preserve">The site for a new Force headquarters was purchased last year and will see a new operational HQ based out of Leatherhead. The project is expected to take at least four to five years to complete, including plans to dispose of current outdated and costly buildings and creating a modern and cost-effective estate that will allow the Force to meet the challenges of modern policing.  </w:t>
      </w:r>
    </w:p>
    <w:p w:rsidR="005272A1" w:rsidRDefault="005272A1" w:rsidP="005272A1">
      <w:pPr>
        <w:jc w:val="both"/>
      </w:pPr>
    </w:p>
    <w:p w:rsidR="009524C2" w:rsidRDefault="005272A1" w:rsidP="005272A1">
      <w:pPr>
        <w:jc w:val="both"/>
      </w:pPr>
      <w:r>
        <w:t>All police forces are inspected by Her Majesty’s Inspectorate of Constabulary and Fire &amp; Rescue Services (HMICFRS) and Surrey Police was rated overall as good for effectiveness, efficiency and legitimacy. HMICFS noted the extent to which the force is effective at reducing crime and keeping people safe is good. The force was found to be outstanding at preventing crime and anti-social behaviour, engaging well with its communities and partner organisations to understand and solve neighbourhood problems and working effectively with partners to identify and protect vulnerable people. HMICFRS noted the extent to which the force treats the public and its workforce is also good and that room for improvement was noted in the extent to which the force operates efficiently and sustainably.</w:t>
      </w:r>
    </w:p>
    <w:p w:rsidR="009524C2" w:rsidRDefault="009524C2" w:rsidP="005272A1">
      <w:pPr>
        <w:jc w:val="both"/>
      </w:pPr>
    </w:p>
    <w:p w:rsidR="005272A1" w:rsidRDefault="005272A1" w:rsidP="005272A1">
      <w:pPr>
        <w:jc w:val="both"/>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The Statement of Accounts</w:t>
      </w:r>
    </w:p>
    <w:p w:rsidR="005272A1" w:rsidRDefault="005272A1" w:rsidP="005272A1">
      <w:pPr>
        <w:rPr>
          <w:highlight w:val="yellow"/>
        </w:rPr>
      </w:pPr>
    </w:p>
    <w:p w:rsidR="005272A1" w:rsidRDefault="005272A1" w:rsidP="005272A1">
      <w:pPr>
        <w:jc w:val="both"/>
      </w:pPr>
      <w:r>
        <w:t>The Police Reform and Social Responsibility Act 2011 established the Police and Crime Commissioner and the Chief Constable as separate entities (known as ‘corporations sole’). As separate bodies, both the Commissioner and the Chief Constable are required to appoint their own Chief Finance Officers, each with statutory responsibilities, as being the person responsible for proper financial administration under the provisions of the Act. A consequence is also that each body is required to be subject to audit under the Local Audit and Accountability Act 2014 and are thus required to prepare a set of accounts. Additionally, the Commissioner, with his ultimate control over the Chief Constable’s resources, has to prepare group accounts.</w:t>
      </w:r>
    </w:p>
    <w:p w:rsidR="005272A1" w:rsidRDefault="005272A1" w:rsidP="005272A1">
      <w:pPr>
        <w:jc w:val="both"/>
      </w:pPr>
    </w:p>
    <w:p w:rsidR="005272A1" w:rsidRDefault="005272A1" w:rsidP="005272A1">
      <w:pPr>
        <w:jc w:val="both"/>
      </w:pPr>
      <w:r>
        <w:t>The Home Office has produced a Financial Management Code of Practice (FMCP) which sets out the responsibilities of the respective Chief Finance Officers. This was updated by the Home Office in 2018. The FMCP outlines how the two bodies should work together in managing the finances and covers such things as the Scheme of Corporate Governance which includes the Scheme of Consent, Financial Regulations and Contract Standing Orders and delegation which identifies the powers and responsibilities of each CFO.</w:t>
      </w:r>
    </w:p>
    <w:p w:rsidR="005272A1" w:rsidRDefault="005272A1" w:rsidP="005272A1">
      <w:pPr>
        <w:jc w:val="both"/>
      </w:pPr>
    </w:p>
    <w:p w:rsidR="005272A1" w:rsidRDefault="005272A1" w:rsidP="005272A1">
      <w:pPr>
        <w:jc w:val="both"/>
      </w:pPr>
      <w:r>
        <w:t>All the financial transactions incurred during 2019/20 for policing Surrey have been recognised and recorded within this Statement of Accounts, which sets out the overall position of the PCC and the PCC Group for the year ending 31 March 2020. Where the Group position differs from the PCC position this is made clear in the statements and notes. Separate statutory accounts are prepared for the Chief Constable.</w:t>
      </w:r>
    </w:p>
    <w:p w:rsidR="005272A1" w:rsidRDefault="005272A1" w:rsidP="005272A1">
      <w:pPr>
        <w:jc w:val="both"/>
      </w:pPr>
    </w:p>
    <w:p w:rsidR="005272A1" w:rsidRDefault="005272A1" w:rsidP="005272A1">
      <w:pPr>
        <w:jc w:val="both"/>
      </w:pPr>
      <w:r>
        <w:t>The 2019/20 Financial Statements which follow this narrative report, have been prepared in accordance with the Code of Practice on Local Authority Accounting in the United Kingdom 2019/20 based on International Financial Reporting Standards issued by Chartered Institute of Public Finance &amp; Accountancy (CIPFA) and comprise of:</w:t>
      </w:r>
    </w:p>
    <w:p w:rsidR="005272A1" w:rsidRDefault="005272A1" w:rsidP="005272A1">
      <w:pPr>
        <w:jc w:val="both"/>
        <w:rPr>
          <w:highlight w:val="yellow"/>
        </w:rPr>
      </w:pPr>
    </w:p>
    <w:p w:rsidR="005272A1" w:rsidRDefault="005272A1" w:rsidP="005272A1">
      <w:pPr>
        <w:jc w:val="both"/>
        <w:rPr>
          <w:b/>
        </w:rPr>
      </w:pPr>
      <w:r>
        <w:rPr>
          <w:b/>
        </w:rPr>
        <w:t>Movement in Reserves Statement (MIRS)</w:t>
      </w:r>
    </w:p>
    <w:p w:rsidR="005272A1" w:rsidRDefault="005272A1" w:rsidP="005272A1">
      <w:pPr>
        <w:jc w:val="both"/>
      </w:pPr>
      <w:r>
        <w:t xml:space="preserve">The Movement in Reserves Statement (MIRS) is a summary of the changes that have taken place in the bottom half of the Balance Sheet over the financial year. It shows the movement in the year on the different reserves, analysed into ‘usable reserves’ (i.e. those that can be applied to fund expenditure or reduce local taxation) and other reserves. </w:t>
      </w:r>
    </w:p>
    <w:p w:rsidR="005272A1" w:rsidRDefault="005272A1" w:rsidP="005272A1">
      <w:pPr>
        <w:jc w:val="both"/>
      </w:pPr>
    </w:p>
    <w:p w:rsidR="005272A1" w:rsidRDefault="005272A1" w:rsidP="005272A1">
      <w:pPr>
        <w:jc w:val="both"/>
        <w:rPr>
          <w:b/>
        </w:rPr>
      </w:pPr>
      <w:r>
        <w:rPr>
          <w:b/>
        </w:rPr>
        <w:t>Comprehensive Income and Expenditure Statement (CIES)</w:t>
      </w:r>
    </w:p>
    <w:p w:rsidR="005272A1" w:rsidRDefault="005272A1" w:rsidP="005272A1">
      <w:pPr>
        <w:jc w:val="both"/>
      </w:pPr>
      <w:r>
        <w:t>The CIES consolidates all income, expenditure, gains and losses experienced during the financial year. This includes all day-to-day expenses and related income prepared on an accruals basis, as well as transactions measuring the value of fixed assets consumed and the real projected value of retirement benefits earned by employees in the year. The PCC raises taxation to cover expenditure in accordance with specific rules as to how tax rates are set in relation to the income and expenses of the Group. This means the expenditure covered by local taxation (funding basis) may be different to the full accounting cost recorded in the CIES (accounting basis). The adjustments between the funding basis and accounting basis are shown in the Movement in Reserves Statement (MIRS).</w:t>
      </w:r>
    </w:p>
    <w:p w:rsidR="005272A1" w:rsidRDefault="005272A1" w:rsidP="005272A1">
      <w:pPr>
        <w:jc w:val="both"/>
      </w:pPr>
    </w:p>
    <w:p w:rsidR="005272A1" w:rsidRDefault="005272A1" w:rsidP="005272A1">
      <w:pPr>
        <w:jc w:val="both"/>
        <w:rPr>
          <w:b/>
        </w:rPr>
      </w:pPr>
      <w:r>
        <w:rPr>
          <w:b/>
        </w:rPr>
        <w:t>Balance Sheet</w:t>
      </w:r>
    </w:p>
    <w:p w:rsidR="005272A1" w:rsidRDefault="005272A1" w:rsidP="005272A1">
      <w:pPr>
        <w:jc w:val="both"/>
      </w:pPr>
      <w:r>
        <w:t>This shows the value of the assets and liabilities held as at 31 March for the current and prior years. The net liabilities (assets less liabilities) are matched by the total reserves.</w:t>
      </w:r>
    </w:p>
    <w:p w:rsidR="005272A1" w:rsidRDefault="005272A1" w:rsidP="005272A1">
      <w:pPr>
        <w:jc w:val="both"/>
      </w:pPr>
      <w:r>
        <w:t xml:space="preserve"> </w:t>
      </w:r>
    </w:p>
    <w:p w:rsidR="005272A1" w:rsidRDefault="005272A1" w:rsidP="005272A1">
      <w:pPr>
        <w:jc w:val="both"/>
        <w:rPr>
          <w:b/>
        </w:rPr>
      </w:pPr>
      <w:r>
        <w:rPr>
          <w:b/>
        </w:rPr>
        <w:t>Cash Flow Statement</w:t>
      </w:r>
    </w:p>
    <w:p w:rsidR="005272A1" w:rsidRDefault="005272A1" w:rsidP="005272A1">
      <w:pPr>
        <w:jc w:val="both"/>
      </w:pPr>
      <w:r>
        <w:t xml:space="preserve">This statement shows the changes in cash and cash equivalents of the PCC and PCC Group during the reporting period. The statement shows how the PCC and PCC Group generates and uses cash and cash equivalents by classifying cash flows as operating, investing and financing activities. </w:t>
      </w:r>
    </w:p>
    <w:p w:rsidR="005272A1" w:rsidRDefault="005272A1" w:rsidP="005272A1">
      <w:pPr>
        <w:jc w:val="both"/>
      </w:pPr>
    </w:p>
    <w:p w:rsidR="005272A1" w:rsidRDefault="005272A1" w:rsidP="005272A1">
      <w:pPr>
        <w:jc w:val="both"/>
        <w:rPr>
          <w:b/>
        </w:rPr>
      </w:pPr>
      <w:r>
        <w:rPr>
          <w:b/>
        </w:rPr>
        <w:t>Notes to the Accounts</w:t>
      </w:r>
    </w:p>
    <w:p w:rsidR="005272A1" w:rsidRDefault="005272A1" w:rsidP="005272A1">
      <w:pPr>
        <w:jc w:val="both"/>
      </w:pPr>
      <w:r>
        <w:t>These provide additional information to support the figures included in the financial statements and are designed to aid the reader. They comprise significant accounting policies and other explanatory information.</w:t>
      </w:r>
    </w:p>
    <w:p w:rsidR="005272A1" w:rsidRDefault="005272A1" w:rsidP="005272A1">
      <w:pPr>
        <w:jc w:val="both"/>
        <w:rPr>
          <w:highlight w:val="yellow"/>
        </w:rPr>
      </w:pPr>
    </w:p>
    <w:p w:rsidR="00A7403F" w:rsidRDefault="00A7403F" w:rsidP="005272A1">
      <w:pPr>
        <w:jc w:val="both"/>
        <w:rPr>
          <w:highlight w:val="yellow"/>
        </w:rPr>
      </w:pPr>
    </w:p>
    <w:p w:rsidR="00A7403F" w:rsidRDefault="00A7403F" w:rsidP="005272A1">
      <w:pPr>
        <w:jc w:val="both"/>
        <w:rPr>
          <w:highlight w:val="yellow"/>
        </w:rPr>
      </w:pPr>
    </w:p>
    <w:p w:rsidR="005272A1" w:rsidRDefault="005272A1" w:rsidP="005272A1">
      <w:pPr>
        <w:jc w:val="both"/>
        <w:rPr>
          <w:b/>
        </w:rPr>
      </w:pPr>
      <w:r>
        <w:rPr>
          <w:b/>
        </w:rPr>
        <w:t>Governance</w:t>
      </w:r>
    </w:p>
    <w:p w:rsidR="005272A1" w:rsidRPr="00A200D5" w:rsidRDefault="005272A1" w:rsidP="00A200D5">
      <w:pPr>
        <w:jc w:val="both"/>
      </w:pPr>
      <w:r w:rsidRPr="00A200D5">
        <w:t xml:space="preserve">The accounts are subject to detailed review by an independent external auditor. The auditor provides assurance that the accounts provide a true and fair view of financial position, are prepared correctly, that proper accounting practices have been followed and that arrangements have been made for securing economy, efficiency and effectiveness in the use of resources. </w:t>
      </w:r>
    </w:p>
    <w:p w:rsidR="005272A1" w:rsidRDefault="005272A1" w:rsidP="005272A1">
      <w:pPr>
        <w:jc w:val="both"/>
      </w:pPr>
    </w:p>
    <w:p w:rsidR="005272A1" w:rsidRDefault="005272A1" w:rsidP="005272A1">
      <w:pPr>
        <w:jc w:val="both"/>
      </w:pPr>
      <w:r>
        <w:t xml:space="preserve">In addition to the Financial Statements, the annual accounts include a Statement of Responsibilities for the Accounts and information on the Police Officer Pension Fund (providing statements for pension fund income and expenditure, assets and liabilities). </w:t>
      </w:r>
    </w:p>
    <w:p w:rsidR="005272A1" w:rsidRDefault="005272A1" w:rsidP="005272A1">
      <w:pPr>
        <w:jc w:val="both"/>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Changes to the Accounts</w:t>
      </w:r>
    </w:p>
    <w:p w:rsidR="005272A1" w:rsidRDefault="005272A1" w:rsidP="005272A1">
      <w:pPr>
        <w:jc w:val="both"/>
      </w:pPr>
    </w:p>
    <w:p w:rsidR="005272A1" w:rsidRDefault="005272A1" w:rsidP="005272A1">
      <w:pPr>
        <w:jc w:val="both"/>
      </w:pPr>
      <w:r>
        <w:t>Due to the disruption caused by Covid-19, the statutory dates for publishing the accounts were changed this year. The deadline for publishing the draft accounts was moved to 31 August, although our draft accounts were published in June. The deadline for publishing the audited accounts has been moved to 30 November. It was not until near the end of 2019/20 that Covid-19 began to cause severe disruption, so most of the financial impact will be shown in accounts for 2020/21 rather than 2019/20.</w:t>
      </w:r>
    </w:p>
    <w:p w:rsidR="005272A1" w:rsidRDefault="005272A1" w:rsidP="005272A1">
      <w:pPr>
        <w:rPr>
          <w:highlight w:val="yellow"/>
        </w:rPr>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Significant changes in accounting policies</w:t>
      </w:r>
    </w:p>
    <w:p w:rsidR="005272A1" w:rsidRDefault="005272A1" w:rsidP="005272A1"/>
    <w:p w:rsidR="005272A1" w:rsidRDefault="005272A1" w:rsidP="005272A1">
      <w:r>
        <w:t>There have been no significant changes in accounting policies in the year.</w:t>
      </w:r>
    </w:p>
    <w:p w:rsidR="005272A1" w:rsidRDefault="005272A1" w:rsidP="005272A1">
      <w:pPr>
        <w:rPr>
          <w:b/>
          <w:highlight w:val="yellow"/>
        </w:rPr>
      </w:pPr>
    </w:p>
    <w:p w:rsidR="005272A1" w:rsidRDefault="005272A1" w:rsidP="005272A1">
      <w:pPr>
        <w:pStyle w:val="Style1"/>
        <w:numPr>
          <w:ilvl w:val="0"/>
          <w:numId w:val="32"/>
        </w:numPr>
        <w:ind w:left="360"/>
        <w:rPr>
          <w:rFonts w:ascii="Verdana" w:hAnsi="Verdana"/>
          <w:sz w:val="22"/>
          <w:szCs w:val="22"/>
        </w:rPr>
      </w:pPr>
      <w:r>
        <w:rPr>
          <w:rFonts w:ascii="Verdana" w:hAnsi="Verdana"/>
          <w:sz w:val="22"/>
          <w:szCs w:val="22"/>
        </w:rPr>
        <w:t>Further Sources of Information</w:t>
      </w:r>
    </w:p>
    <w:p w:rsidR="005272A1" w:rsidRDefault="005272A1" w:rsidP="005272A1">
      <w:pPr>
        <w:rPr>
          <w:highlight w:val="yellow"/>
        </w:rPr>
      </w:pPr>
    </w:p>
    <w:p w:rsidR="005272A1" w:rsidRDefault="005272A1" w:rsidP="005272A1">
      <w:pPr>
        <w:jc w:val="both"/>
      </w:pPr>
      <w:r>
        <w:t xml:space="preserve">Details of the PCC’s plans for revenue and capital expenditure in 2020/21 budget can be found in the Surrey Police and Crime Commissioner’s Precept Setting proposal. Whilst the annual budget is agreed by the PCC it is scrutinised by the Police and Crime Panel before a final decision is made. Copies of the documents can be obtained from the Office of the Police and Crime Commissioner for Surrey by telephoning: 01483 630200, or from the website at www.surrey-pcc.gov.uk. </w:t>
      </w:r>
    </w:p>
    <w:p w:rsidR="005272A1" w:rsidRDefault="005272A1" w:rsidP="005272A1">
      <w:pPr>
        <w:jc w:val="both"/>
      </w:pPr>
    </w:p>
    <w:p w:rsidR="005272A1" w:rsidRDefault="005272A1" w:rsidP="005272A1">
      <w:pPr>
        <w:jc w:val="both"/>
      </w:pPr>
      <w:r>
        <w:t xml:space="preserve">If you have any questions, comments or suggestions about these financial statements please contact us using the following email address: </w:t>
      </w:r>
      <w:hyperlink r:id="rId12" w:history="1">
        <w:r>
          <w:rPr>
            <w:rStyle w:val="Hyperlink"/>
          </w:rPr>
          <w:t>CorporateFinance@Surrey.pnn.police.uk</w:t>
        </w:r>
      </w:hyperlink>
      <w:r>
        <w:t>.</w:t>
      </w:r>
    </w:p>
    <w:p w:rsidR="005272A1" w:rsidRDefault="005272A1" w:rsidP="005272A1">
      <w:pPr>
        <w:jc w:val="both"/>
      </w:pPr>
    </w:p>
    <w:p w:rsidR="005272A1" w:rsidRDefault="005272A1" w:rsidP="005272A1"/>
    <w:p w:rsidR="005272A1" w:rsidRDefault="005272A1" w:rsidP="005272A1"/>
    <w:p w:rsidR="005272A1" w:rsidRDefault="005272A1" w:rsidP="005272A1"/>
    <w:p w:rsidR="005272A1" w:rsidRDefault="005272A1" w:rsidP="005272A1">
      <w:pPr>
        <w:rPr>
          <w:noProof/>
        </w:rPr>
      </w:pPr>
    </w:p>
    <w:p w:rsidR="005272A1" w:rsidRDefault="005272A1" w:rsidP="005272A1"/>
    <w:p w:rsidR="005272A1" w:rsidRDefault="005272A1" w:rsidP="005272A1">
      <w:r>
        <w:rPr>
          <w:b/>
        </w:rPr>
        <w:t>Kelvin Menon</w:t>
      </w:r>
      <w:r>
        <w:t xml:space="preserve">, Chief Finance Officer, Office of the Police and Crime Commissioner for Surrey                   </w:t>
      </w:r>
      <w:r>
        <w:tab/>
        <w:t xml:space="preserve">             </w:t>
      </w:r>
    </w:p>
    <w:p w:rsidR="005272A1" w:rsidRDefault="005272A1" w:rsidP="005272A1"/>
    <w:p w:rsidR="005272A1" w:rsidRDefault="005272A1" w:rsidP="005272A1">
      <w:r>
        <w:t xml:space="preserve">Date: </w:t>
      </w:r>
    </w:p>
    <w:p w:rsidR="00781162" w:rsidRDefault="005272A1" w:rsidP="000D6EF8">
      <w:pPr>
        <w:rPr>
          <w:rFonts w:asciiTheme="majorHAnsi" w:eastAsiaTheme="majorEastAsia" w:hAnsiTheme="majorHAnsi" w:cstheme="majorBidi"/>
          <w:color w:val="2E74B5" w:themeColor="accent1" w:themeShade="BF"/>
          <w:sz w:val="32"/>
          <w:szCs w:val="32"/>
          <w:highlight w:val="yellow"/>
        </w:rPr>
      </w:pPr>
      <w:r w:rsidRPr="00270F67" w:rsidDel="005272A1">
        <w:t xml:space="preserve"> </w:t>
      </w:r>
      <w:r w:rsidR="00781162">
        <w:rPr>
          <w:highlight w:val="yellow"/>
        </w:rPr>
        <w:br w:type="page"/>
      </w:r>
    </w:p>
    <w:p w:rsidR="00CA6653" w:rsidRPr="00CA6653" w:rsidRDefault="00CA6653" w:rsidP="00A31A9E">
      <w:pPr>
        <w:pStyle w:val="Heading1"/>
        <w:rPr>
          <w:highlight w:val="yellow"/>
        </w:rPr>
      </w:pPr>
      <w:bookmarkStart w:id="4" w:name="_Toc55900396"/>
      <w:r w:rsidRPr="00CA6653">
        <w:rPr>
          <w:highlight w:val="yellow"/>
        </w:rPr>
        <w:t>External Auditor’s Report</w:t>
      </w:r>
      <w:bookmarkEnd w:id="4"/>
    </w:p>
    <w:p w:rsidR="00CA6653" w:rsidRDefault="00CA6653">
      <w:pPr>
        <w:pStyle w:val="Normal0"/>
        <w:rPr>
          <w:rFonts w:ascii="Verdana" w:eastAsia="Calibri" w:hAnsi="Verdana" w:cs="Times New Roman"/>
        </w:rPr>
      </w:pPr>
      <w:r w:rsidRPr="00CA6653">
        <w:rPr>
          <w:rFonts w:ascii="Verdana" w:eastAsia="Calibri" w:hAnsi="Verdana" w:cs="Times New Roman"/>
          <w:highlight w:val="yellow"/>
        </w:rPr>
        <w:t>Page left intentionally blank for the External Audit Report</w:t>
      </w:r>
    </w:p>
    <w:p w:rsidR="00781162" w:rsidRDefault="00781162">
      <w:pPr>
        <w:pStyle w:val="Normal0"/>
        <w:rPr>
          <w:rFonts w:ascii="Verdana" w:eastAsia="Calibri" w:hAnsi="Verdana" w:cs="Times New Roman"/>
        </w:rPr>
      </w:pPr>
    </w:p>
    <w:p w:rsidR="00781162" w:rsidRDefault="00781162">
      <w:pPr>
        <w:pStyle w:val="Normal0"/>
        <w:rPr>
          <w:rFonts w:ascii="Verdana" w:eastAsia="Calibri" w:hAnsi="Verdana" w:cs="Times New Roman"/>
        </w:rPr>
      </w:pPr>
    </w:p>
    <w:p w:rsidR="00781162" w:rsidRPr="00C22B7B" w:rsidRDefault="00781162">
      <w:pPr>
        <w:pStyle w:val="Normal0"/>
        <w:rPr>
          <w:rFonts w:ascii="Verdana" w:hAnsi="Verdana" w:cs="Times New Roman"/>
        </w:rPr>
        <w:sectPr w:rsidR="00781162" w:rsidRPr="00C22B7B" w:rsidSect="00CA6653">
          <w:pgSz w:w="11900" w:h="16840"/>
          <w:pgMar w:top="720" w:right="720" w:bottom="720" w:left="720" w:header="708" w:footer="708" w:gutter="0"/>
          <w:cols w:space="708"/>
          <w:docGrid w:linePitch="360"/>
        </w:sectPr>
      </w:pPr>
    </w:p>
    <w:p w:rsidR="00CA6653" w:rsidRPr="00D87FDF" w:rsidRDefault="00CA6653" w:rsidP="00A31A9E">
      <w:pPr>
        <w:pStyle w:val="Heading1"/>
        <w:rPr>
          <w:lang w:eastAsia="en-GB"/>
        </w:rPr>
      </w:pPr>
      <w:bookmarkStart w:id="5" w:name="_Toc55900397"/>
      <w:r w:rsidRPr="00D87FDF">
        <w:rPr>
          <w:lang w:eastAsia="en-GB"/>
        </w:rPr>
        <w:t>Statement of Responsibilities</w:t>
      </w:r>
      <w:bookmarkEnd w:id="5"/>
    </w:p>
    <w:p w:rsidR="00CA6653" w:rsidRPr="00ED763C" w:rsidRDefault="00CA6653" w:rsidP="00CA6653">
      <w:pPr>
        <w:pStyle w:val="Normal0"/>
        <w:jc w:val="both"/>
        <w:rPr>
          <w:rFonts w:ascii="Verdana" w:eastAsia="Times New Roman" w:hAnsi="Verdana" w:cs="Arial"/>
          <w:b/>
          <w:sz w:val="22"/>
          <w:szCs w:val="22"/>
          <w:lang w:val="en-GB" w:eastAsia="en-GB"/>
        </w:rPr>
      </w:pPr>
      <w:r w:rsidRPr="00ED763C">
        <w:rPr>
          <w:rFonts w:ascii="Verdana" w:eastAsia="Times New Roman" w:hAnsi="Verdana" w:cs="Arial"/>
          <w:b/>
          <w:sz w:val="22"/>
          <w:szCs w:val="22"/>
          <w:lang w:val="en-GB" w:eastAsia="en-GB"/>
        </w:rPr>
        <w:t>The Responsibilities of the Police and Crime Commissioner for Surrey</w:t>
      </w: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r w:rsidRPr="00ED763C">
        <w:rPr>
          <w:rFonts w:ascii="Verdana" w:eastAsia="Times New Roman" w:hAnsi="Verdana" w:cs="Arial"/>
          <w:sz w:val="22"/>
          <w:szCs w:val="22"/>
          <w:lang w:val="en-GB" w:eastAsia="en-GB"/>
        </w:rPr>
        <w:t>The Police and Crime Commissioner is required:</w:t>
      </w: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ListParagraph"/>
        <w:numPr>
          <w:ilvl w:val="0"/>
          <w:numId w:val="15"/>
        </w:numPr>
        <w:jc w:val="both"/>
        <w:rPr>
          <w:sz w:val="22"/>
        </w:rPr>
      </w:pPr>
      <w:r w:rsidRPr="00ED763C">
        <w:rPr>
          <w:sz w:val="22"/>
        </w:rPr>
        <w:t>To make arrangements for the proper administration of the Office of the Police and Crime Commissioner’s financial affairs and to ensure that one of its officers (the Treasurer) has the responsibility for the administration of those affairs.</w:t>
      </w: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ListParagraph"/>
        <w:numPr>
          <w:ilvl w:val="0"/>
          <w:numId w:val="15"/>
        </w:numPr>
        <w:jc w:val="both"/>
        <w:rPr>
          <w:sz w:val="22"/>
        </w:rPr>
      </w:pPr>
      <w:r w:rsidRPr="00ED763C">
        <w:rPr>
          <w:sz w:val="22"/>
        </w:rPr>
        <w:t>To manage its affairs to secure economic, efficient and effective use of resources and safeguard its assets.</w:t>
      </w:r>
    </w:p>
    <w:p w:rsidR="00CA6653" w:rsidRPr="00ED763C" w:rsidRDefault="00CA6653" w:rsidP="00340785">
      <w:pPr>
        <w:pStyle w:val="ListParagraph"/>
        <w:numPr>
          <w:ilvl w:val="0"/>
          <w:numId w:val="0"/>
        </w:numPr>
        <w:ind w:left="357"/>
        <w:rPr>
          <w:sz w:val="22"/>
        </w:rPr>
      </w:pPr>
    </w:p>
    <w:p w:rsidR="00CA6653" w:rsidRPr="00ED763C" w:rsidRDefault="00CA6653" w:rsidP="00CA6653">
      <w:pPr>
        <w:pStyle w:val="ListParagraph"/>
        <w:numPr>
          <w:ilvl w:val="0"/>
          <w:numId w:val="15"/>
        </w:numPr>
        <w:jc w:val="both"/>
        <w:rPr>
          <w:sz w:val="22"/>
        </w:rPr>
      </w:pPr>
      <w:r w:rsidRPr="00ED763C">
        <w:rPr>
          <w:sz w:val="22"/>
        </w:rPr>
        <w:t>To approve the Statement of Accounts.</w:t>
      </w:r>
    </w:p>
    <w:p w:rsidR="00CA6653" w:rsidRPr="00ED763C" w:rsidRDefault="00CA6653" w:rsidP="00340785">
      <w:pPr>
        <w:pStyle w:val="ListParagraph"/>
        <w:numPr>
          <w:ilvl w:val="0"/>
          <w:numId w:val="0"/>
        </w:numPr>
        <w:ind w:left="357"/>
        <w:rPr>
          <w:sz w:val="22"/>
        </w:rPr>
      </w:pP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p>
    <w:p w:rsidR="002A3942" w:rsidRDefault="002A3942"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r w:rsidRPr="00ED763C">
        <w:rPr>
          <w:rFonts w:ascii="Verdana" w:eastAsia="Times New Roman" w:hAnsi="Verdana" w:cs="Arial"/>
          <w:sz w:val="22"/>
          <w:szCs w:val="22"/>
          <w:lang w:val="en-GB" w:eastAsia="en-GB"/>
        </w:rPr>
        <w:t>I approve these Statement of Accounts for the year ended 31 March 20</w:t>
      </w:r>
      <w:r>
        <w:rPr>
          <w:rFonts w:ascii="Verdana" w:eastAsia="Times New Roman" w:hAnsi="Verdana" w:cs="Arial"/>
          <w:sz w:val="22"/>
          <w:szCs w:val="22"/>
          <w:lang w:val="en-GB" w:eastAsia="en-GB"/>
        </w:rPr>
        <w:t>20</w:t>
      </w:r>
      <w:r w:rsidRPr="00ED763C">
        <w:rPr>
          <w:rFonts w:ascii="Verdana" w:eastAsia="Times New Roman" w:hAnsi="Verdana" w:cs="Arial"/>
          <w:sz w:val="22"/>
          <w:szCs w:val="22"/>
          <w:lang w:val="en-GB" w:eastAsia="en-GB"/>
        </w:rPr>
        <w:t>.</w:t>
      </w:r>
    </w:p>
    <w:p w:rsidR="00CA6653" w:rsidRDefault="00CA6653" w:rsidP="00CA6653">
      <w:pPr>
        <w:pStyle w:val="Normal0"/>
        <w:jc w:val="both"/>
        <w:rPr>
          <w:rFonts w:ascii="Verdana" w:eastAsia="Times New Roman" w:hAnsi="Verdana" w:cs="Arial"/>
          <w:sz w:val="22"/>
          <w:szCs w:val="22"/>
          <w:lang w:val="en-GB" w:eastAsia="en-GB"/>
        </w:rPr>
      </w:pPr>
    </w:p>
    <w:p w:rsidR="00442446" w:rsidRPr="00ED763C" w:rsidRDefault="00442446"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p>
    <w:p w:rsidR="00442446" w:rsidRDefault="00442446" w:rsidP="00CA6653">
      <w:pPr>
        <w:pStyle w:val="Normal0"/>
        <w:jc w:val="both"/>
        <w:rPr>
          <w:rFonts w:ascii="Verdana" w:eastAsia="Times New Roman" w:hAnsi="Verdana" w:cs="Arial"/>
          <w:sz w:val="22"/>
          <w:szCs w:val="22"/>
          <w:lang w:val="en-GB" w:eastAsia="en-GB"/>
        </w:rPr>
      </w:pPr>
    </w:p>
    <w:p w:rsidR="00442446" w:rsidRDefault="00442446" w:rsidP="00CA6653">
      <w:pPr>
        <w:pStyle w:val="Normal0"/>
        <w:jc w:val="both"/>
        <w:rPr>
          <w:rFonts w:ascii="Verdana" w:eastAsia="Times New Roman" w:hAnsi="Verdana" w:cs="Arial"/>
          <w:sz w:val="22"/>
          <w:szCs w:val="22"/>
          <w:lang w:val="en-GB" w:eastAsia="en-GB"/>
        </w:rPr>
      </w:pPr>
    </w:p>
    <w:p w:rsidR="002A3942" w:rsidRDefault="002A3942" w:rsidP="00CA6653">
      <w:pPr>
        <w:pStyle w:val="Normal0"/>
        <w:jc w:val="both"/>
        <w:rPr>
          <w:rFonts w:ascii="Verdana" w:eastAsia="Times New Roman" w:hAnsi="Verdana" w:cs="Arial"/>
          <w:sz w:val="22"/>
          <w:szCs w:val="22"/>
          <w:lang w:val="en-GB" w:eastAsia="en-GB"/>
        </w:rPr>
      </w:pPr>
    </w:p>
    <w:p w:rsidR="00442446" w:rsidRDefault="00442446" w:rsidP="00CA6653">
      <w:pPr>
        <w:pStyle w:val="Normal0"/>
        <w:jc w:val="both"/>
        <w:rPr>
          <w:rFonts w:ascii="Verdana" w:eastAsia="Times New Roman" w:hAnsi="Verdana" w:cs="Arial"/>
          <w:sz w:val="22"/>
          <w:szCs w:val="22"/>
          <w:lang w:val="en-GB" w:eastAsia="en-GB"/>
        </w:rPr>
      </w:pPr>
    </w:p>
    <w:p w:rsidR="00442446" w:rsidRPr="00ED763C" w:rsidRDefault="00442446"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b/>
          <w:sz w:val="22"/>
          <w:szCs w:val="22"/>
          <w:lang w:val="en-GB" w:eastAsia="en-GB"/>
        </w:rPr>
      </w:pPr>
    </w:p>
    <w:p w:rsidR="00CA6653" w:rsidRPr="00ED763C" w:rsidRDefault="00CA6653" w:rsidP="00CA6653">
      <w:pPr>
        <w:pStyle w:val="Normal0"/>
        <w:jc w:val="both"/>
        <w:rPr>
          <w:rFonts w:ascii="Verdana" w:eastAsia="Times New Roman" w:hAnsi="Verdana" w:cs="Arial"/>
          <w:b/>
          <w:sz w:val="22"/>
          <w:szCs w:val="22"/>
          <w:lang w:val="en-GB" w:eastAsia="en-GB"/>
        </w:rPr>
      </w:pPr>
      <w:r w:rsidRPr="00ED763C">
        <w:rPr>
          <w:rFonts w:ascii="Verdana" w:eastAsia="Times New Roman" w:hAnsi="Verdana" w:cs="Arial"/>
          <w:b/>
          <w:sz w:val="22"/>
          <w:szCs w:val="22"/>
          <w:lang w:val="en-GB" w:eastAsia="en-GB"/>
        </w:rPr>
        <w:t>David Munro</w:t>
      </w:r>
    </w:p>
    <w:p w:rsidR="00CA6653" w:rsidRPr="00ED763C" w:rsidRDefault="00CA6653" w:rsidP="00CA6653">
      <w:pPr>
        <w:pStyle w:val="Normal0"/>
        <w:jc w:val="both"/>
        <w:rPr>
          <w:rFonts w:ascii="Verdana" w:eastAsia="Times New Roman" w:hAnsi="Verdana" w:cs="Arial"/>
          <w:sz w:val="22"/>
          <w:szCs w:val="22"/>
          <w:lang w:val="en-GB" w:eastAsia="en-GB"/>
        </w:rPr>
      </w:pPr>
      <w:r w:rsidRPr="00ED763C">
        <w:rPr>
          <w:rFonts w:ascii="Verdana" w:eastAsia="Times New Roman" w:hAnsi="Verdana" w:cs="Arial"/>
          <w:b/>
          <w:sz w:val="22"/>
          <w:szCs w:val="22"/>
          <w:lang w:val="en-GB" w:eastAsia="en-GB"/>
        </w:rPr>
        <w:t>Police and Crime Commissioner for Surrey</w:t>
      </w: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sz w:val="22"/>
          <w:szCs w:val="22"/>
          <w:lang w:val="en-GB" w:eastAsia="en-GB"/>
        </w:rPr>
      </w:pPr>
      <w:r w:rsidRPr="00ED763C">
        <w:rPr>
          <w:rFonts w:ascii="Verdana" w:eastAsia="Times New Roman" w:hAnsi="Verdana" w:cs="Arial"/>
          <w:sz w:val="22"/>
          <w:szCs w:val="22"/>
          <w:lang w:val="en-GB" w:eastAsia="en-GB"/>
        </w:rPr>
        <w:t xml:space="preserve">Date: </w:t>
      </w:r>
    </w:p>
    <w:p w:rsidR="00CA6653" w:rsidRPr="00ED763C" w:rsidRDefault="00CA6653" w:rsidP="00CA6653">
      <w:pPr>
        <w:pStyle w:val="Normal0"/>
        <w:jc w:val="both"/>
        <w:rPr>
          <w:rFonts w:ascii="Verdana" w:eastAsia="Times New Roman" w:hAnsi="Verdana" w:cs="Arial"/>
          <w:sz w:val="22"/>
          <w:szCs w:val="22"/>
          <w:lang w:val="en-GB" w:eastAsia="en-GB"/>
        </w:rPr>
      </w:pPr>
    </w:p>
    <w:p w:rsidR="002A3942" w:rsidRDefault="002A3942" w:rsidP="00CA6653">
      <w:pPr>
        <w:pStyle w:val="Normal0"/>
        <w:jc w:val="both"/>
        <w:rPr>
          <w:rFonts w:ascii="Verdana" w:eastAsia="Times New Roman" w:hAnsi="Verdana" w:cs="Arial"/>
          <w:sz w:val="22"/>
          <w:szCs w:val="22"/>
          <w:lang w:val="en-GB" w:eastAsia="en-GB"/>
        </w:rPr>
      </w:pPr>
    </w:p>
    <w:p w:rsidR="002A3942" w:rsidRPr="00ED763C" w:rsidRDefault="002A3942"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ind w:right="95"/>
        <w:jc w:val="both"/>
        <w:rPr>
          <w:rFonts w:ascii="Verdana" w:eastAsia="Times New Roman" w:hAnsi="Verdana" w:cs="Arial"/>
          <w:b/>
          <w:sz w:val="22"/>
          <w:szCs w:val="22"/>
          <w:lang w:val="en-GB" w:eastAsia="en-GB"/>
        </w:rPr>
      </w:pPr>
      <w:r w:rsidRPr="00ED763C">
        <w:rPr>
          <w:rFonts w:ascii="Verdana" w:eastAsia="Times New Roman" w:hAnsi="Verdana" w:cs="Arial"/>
          <w:b/>
          <w:sz w:val="22"/>
          <w:szCs w:val="22"/>
          <w:lang w:val="en-GB" w:eastAsia="en-GB"/>
        </w:rPr>
        <w:t xml:space="preserve">The Responsibilities of the </w:t>
      </w:r>
      <w:r w:rsidR="00D04B12">
        <w:rPr>
          <w:rFonts w:ascii="Verdana" w:eastAsia="Times New Roman" w:hAnsi="Verdana" w:cs="Arial"/>
          <w:b/>
          <w:sz w:val="22"/>
          <w:szCs w:val="22"/>
          <w:lang w:val="en-GB" w:eastAsia="en-GB"/>
        </w:rPr>
        <w:t>Chief Finance Officer</w:t>
      </w: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ind w:right="95"/>
        <w:jc w:val="both"/>
        <w:rPr>
          <w:rFonts w:ascii="Verdana" w:eastAsia="Times New Roman" w:hAnsi="Verdana" w:cs="Arial"/>
          <w:sz w:val="22"/>
          <w:szCs w:val="22"/>
          <w:lang w:val="en-GB" w:eastAsia="en-GB"/>
        </w:rPr>
      </w:pPr>
      <w:r w:rsidRPr="00ED763C">
        <w:rPr>
          <w:rFonts w:ascii="Verdana" w:eastAsia="Times New Roman" w:hAnsi="Verdana" w:cs="Arial"/>
          <w:sz w:val="22"/>
          <w:szCs w:val="22"/>
          <w:lang w:val="en-GB" w:eastAsia="en-GB"/>
        </w:rPr>
        <w:t xml:space="preserve">The </w:t>
      </w:r>
      <w:r w:rsidR="00D04B12">
        <w:rPr>
          <w:rFonts w:ascii="Verdana" w:eastAsia="Times New Roman" w:hAnsi="Verdana" w:cs="Arial"/>
          <w:sz w:val="22"/>
          <w:szCs w:val="22"/>
          <w:lang w:val="en-GB" w:eastAsia="en-GB"/>
        </w:rPr>
        <w:t>Chief Finance Officer</w:t>
      </w:r>
      <w:r w:rsidR="00D04B12" w:rsidRPr="00ED763C">
        <w:rPr>
          <w:rFonts w:ascii="Verdana" w:eastAsia="Times New Roman" w:hAnsi="Verdana" w:cs="Arial"/>
          <w:sz w:val="22"/>
          <w:szCs w:val="22"/>
          <w:lang w:val="en-GB" w:eastAsia="en-GB"/>
        </w:rPr>
        <w:t xml:space="preserve"> </w:t>
      </w:r>
      <w:r w:rsidRPr="00ED763C">
        <w:rPr>
          <w:rFonts w:ascii="Verdana" w:eastAsia="Times New Roman" w:hAnsi="Verdana" w:cs="Arial"/>
          <w:sz w:val="22"/>
          <w:szCs w:val="22"/>
          <w:lang w:val="en-GB" w:eastAsia="en-GB"/>
        </w:rPr>
        <w:t>is responsible for the preparation of the Statement of Accounts for the Office of the Police and Crime Commissioner in accordance with proper practices as set out in the CIPFA/LASAAC Code of Practice on Local Authority Accounting in the United Kingdom (‘the Code’).</w:t>
      </w:r>
    </w:p>
    <w:p w:rsidR="00CA6653" w:rsidRPr="00ED763C" w:rsidRDefault="00CA6653" w:rsidP="00CA6653">
      <w:pPr>
        <w:pStyle w:val="Normal0"/>
        <w:ind w:right="95"/>
        <w:jc w:val="both"/>
        <w:rPr>
          <w:rFonts w:ascii="Verdana" w:eastAsia="Times New Roman" w:hAnsi="Verdana" w:cs="Arial"/>
          <w:sz w:val="22"/>
          <w:szCs w:val="22"/>
          <w:lang w:val="en-GB" w:eastAsia="en-GB"/>
        </w:rPr>
      </w:pPr>
    </w:p>
    <w:p w:rsidR="00CA6653" w:rsidRPr="00ED763C" w:rsidRDefault="00CA6653" w:rsidP="00CA6653">
      <w:pPr>
        <w:pStyle w:val="Normal0"/>
        <w:ind w:right="95"/>
        <w:jc w:val="both"/>
        <w:rPr>
          <w:rFonts w:ascii="Verdana" w:eastAsia="Times New Roman" w:hAnsi="Verdana" w:cs="Arial"/>
          <w:sz w:val="22"/>
          <w:szCs w:val="22"/>
          <w:lang w:val="en-GB" w:eastAsia="en-GB"/>
        </w:rPr>
      </w:pPr>
      <w:r w:rsidRPr="00ED763C">
        <w:rPr>
          <w:rFonts w:ascii="Verdana" w:eastAsia="Times New Roman" w:hAnsi="Verdana" w:cs="Arial"/>
          <w:sz w:val="22"/>
          <w:szCs w:val="22"/>
          <w:lang w:val="en-GB" w:eastAsia="en-GB"/>
        </w:rPr>
        <w:t>In preparing this Statement of Accounts, the Treasurer has:</w:t>
      </w:r>
    </w:p>
    <w:p w:rsidR="00CA6653" w:rsidRPr="00ED763C" w:rsidRDefault="00CA6653" w:rsidP="00CA6653">
      <w:pPr>
        <w:pStyle w:val="Normal0"/>
        <w:ind w:right="95"/>
        <w:jc w:val="both"/>
        <w:rPr>
          <w:rFonts w:ascii="Verdana" w:eastAsia="Times New Roman" w:hAnsi="Verdana" w:cs="Arial"/>
          <w:sz w:val="22"/>
          <w:szCs w:val="22"/>
          <w:lang w:val="en-GB" w:eastAsia="en-GB"/>
        </w:rPr>
      </w:pPr>
    </w:p>
    <w:p w:rsidR="00CA6653" w:rsidRPr="00ED763C" w:rsidRDefault="00CA6653" w:rsidP="00CA6653">
      <w:pPr>
        <w:pStyle w:val="ListParagraph"/>
        <w:numPr>
          <w:ilvl w:val="0"/>
          <w:numId w:val="16"/>
        </w:numPr>
        <w:ind w:right="95"/>
        <w:jc w:val="both"/>
        <w:rPr>
          <w:sz w:val="22"/>
        </w:rPr>
      </w:pPr>
      <w:r w:rsidRPr="00ED763C">
        <w:rPr>
          <w:sz w:val="22"/>
        </w:rPr>
        <w:t>Selected suitable accounting policies and then applied them consistently.</w:t>
      </w:r>
    </w:p>
    <w:p w:rsidR="00CA6653" w:rsidRPr="00ED763C" w:rsidRDefault="00CA6653" w:rsidP="00CA6653">
      <w:pPr>
        <w:pStyle w:val="Normal0"/>
        <w:ind w:right="95"/>
        <w:jc w:val="both"/>
        <w:rPr>
          <w:rFonts w:ascii="Verdana" w:eastAsia="Times New Roman" w:hAnsi="Verdana" w:cs="Arial"/>
          <w:sz w:val="22"/>
          <w:szCs w:val="22"/>
          <w:lang w:val="en-GB" w:eastAsia="en-GB"/>
        </w:rPr>
      </w:pPr>
    </w:p>
    <w:p w:rsidR="00CA6653" w:rsidRPr="00ED763C" w:rsidRDefault="00CA6653" w:rsidP="00CA6653">
      <w:pPr>
        <w:pStyle w:val="ListParagraph"/>
        <w:numPr>
          <w:ilvl w:val="0"/>
          <w:numId w:val="16"/>
        </w:numPr>
        <w:ind w:right="95"/>
        <w:jc w:val="both"/>
        <w:rPr>
          <w:sz w:val="22"/>
        </w:rPr>
      </w:pPr>
      <w:r w:rsidRPr="00ED763C">
        <w:rPr>
          <w:sz w:val="22"/>
        </w:rPr>
        <w:t>Made judgements and estimates that were reasonable and prudent.</w:t>
      </w:r>
    </w:p>
    <w:p w:rsidR="00CA6653" w:rsidRPr="00ED763C" w:rsidRDefault="00CA6653" w:rsidP="00340785">
      <w:pPr>
        <w:pStyle w:val="ListParagraph"/>
        <w:numPr>
          <w:ilvl w:val="0"/>
          <w:numId w:val="0"/>
        </w:numPr>
        <w:ind w:left="357" w:right="95"/>
        <w:rPr>
          <w:sz w:val="22"/>
        </w:rPr>
      </w:pPr>
    </w:p>
    <w:p w:rsidR="00CA6653" w:rsidRPr="00ED763C" w:rsidRDefault="00CA6653" w:rsidP="00CA6653">
      <w:pPr>
        <w:pStyle w:val="ListParagraph"/>
        <w:numPr>
          <w:ilvl w:val="0"/>
          <w:numId w:val="16"/>
        </w:numPr>
        <w:ind w:right="95"/>
        <w:jc w:val="both"/>
        <w:rPr>
          <w:sz w:val="22"/>
        </w:rPr>
      </w:pPr>
      <w:r w:rsidRPr="00ED763C">
        <w:rPr>
          <w:sz w:val="22"/>
        </w:rPr>
        <w:t>Complied with the Code.</w:t>
      </w:r>
    </w:p>
    <w:p w:rsidR="00CA6653" w:rsidRPr="00ED763C" w:rsidRDefault="00CA6653" w:rsidP="00340785">
      <w:pPr>
        <w:pStyle w:val="ListParagraph"/>
        <w:numPr>
          <w:ilvl w:val="0"/>
          <w:numId w:val="0"/>
        </w:numPr>
        <w:ind w:left="357" w:right="95"/>
        <w:rPr>
          <w:sz w:val="22"/>
        </w:rPr>
      </w:pPr>
    </w:p>
    <w:p w:rsidR="00CA6653" w:rsidRPr="00ED763C" w:rsidRDefault="00CA6653" w:rsidP="00CA6653">
      <w:pPr>
        <w:pStyle w:val="ListParagraph"/>
        <w:numPr>
          <w:ilvl w:val="0"/>
          <w:numId w:val="16"/>
        </w:numPr>
        <w:ind w:right="95"/>
        <w:jc w:val="both"/>
        <w:rPr>
          <w:sz w:val="22"/>
        </w:rPr>
      </w:pPr>
      <w:r w:rsidRPr="00ED763C">
        <w:rPr>
          <w:sz w:val="22"/>
        </w:rPr>
        <w:t>Kept proper accounting records which were up to date.</w:t>
      </w:r>
    </w:p>
    <w:p w:rsidR="00CA6653" w:rsidRPr="00ED763C" w:rsidRDefault="00CA6653" w:rsidP="00340785">
      <w:pPr>
        <w:pStyle w:val="ListParagraph"/>
        <w:numPr>
          <w:ilvl w:val="0"/>
          <w:numId w:val="0"/>
        </w:numPr>
        <w:ind w:left="357" w:right="95"/>
        <w:rPr>
          <w:sz w:val="22"/>
        </w:rPr>
      </w:pPr>
    </w:p>
    <w:p w:rsidR="00CA6653" w:rsidRPr="00ED763C" w:rsidRDefault="00CA6653" w:rsidP="00CA6653">
      <w:pPr>
        <w:pStyle w:val="ListParagraph"/>
        <w:numPr>
          <w:ilvl w:val="0"/>
          <w:numId w:val="16"/>
        </w:numPr>
        <w:ind w:right="95"/>
        <w:jc w:val="both"/>
        <w:rPr>
          <w:sz w:val="22"/>
        </w:rPr>
      </w:pPr>
      <w:r w:rsidRPr="00ED763C">
        <w:rPr>
          <w:sz w:val="22"/>
        </w:rPr>
        <w:t>Taken reasonable steps for the prevention and detection of fraud and other irregularities.</w:t>
      </w:r>
    </w:p>
    <w:p w:rsidR="00CA6653" w:rsidRPr="00340785" w:rsidRDefault="00CA6653" w:rsidP="000D6EF8"/>
    <w:p w:rsidR="00CA6653" w:rsidRPr="00ED763C" w:rsidRDefault="00CA6653" w:rsidP="00CA6653">
      <w:pPr>
        <w:pStyle w:val="Normal0"/>
        <w:ind w:right="95"/>
        <w:jc w:val="both"/>
        <w:rPr>
          <w:rFonts w:ascii="Verdana" w:eastAsia="Times New Roman" w:hAnsi="Verdana" w:cs="Arial"/>
          <w:sz w:val="22"/>
          <w:szCs w:val="22"/>
          <w:lang w:val="en-GB" w:eastAsia="en-GB"/>
        </w:rPr>
      </w:pPr>
      <w:r w:rsidRPr="00ED763C">
        <w:rPr>
          <w:rFonts w:ascii="Verdana" w:eastAsia="Times New Roman" w:hAnsi="Verdana" w:cs="Arial"/>
          <w:sz w:val="22"/>
          <w:szCs w:val="22"/>
          <w:lang w:val="en-GB" w:eastAsia="en-GB"/>
        </w:rPr>
        <w:t>I certify that the Statement of Accounts gives a true and fair view of the financial position of the Office of the Police and Crime Commissioner for Surrey and the Surrey Police Group at the accounting date and the income and expenditure for the year ended 31 March 20</w:t>
      </w:r>
      <w:r>
        <w:rPr>
          <w:rFonts w:ascii="Verdana" w:eastAsia="Times New Roman" w:hAnsi="Verdana" w:cs="Arial"/>
          <w:sz w:val="22"/>
          <w:szCs w:val="22"/>
          <w:lang w:val="en-GB" w:eastAsia="en-GB"/>
        </w:rPr>
        <w:t>20</w:t>
      </w:r>
      <w:r w:rsidRPr="00ED763C">
        <w:rPr>
          <w:rFonts w:ascii="Verdana" w:eastAsia="Times New Roman" w:hAnsi="Verdana" w:cs="Arial"/>
          <w:sz w:val="22"/>
          <w:szCs w:val="22"/>
          <w:lang w:val="en-GB" w:eastAsia="en-GB"/>
        </w:rPr>
        <w:t>.</w:t>
      </w:r>
      <w:r w:rsidR="00A02D19">
        <w:rPr>
          <w:rFonts w:ascii="Verdana" w:eastAsia="Times New Roman" w:hAnsi="Verdana" w:cs="Arial"/>
          <w:sz w:val="22"/>
          <w:szCs w:val="22"/>
          <w:lang w:val="en-GB" w:eastAsia="en-GB"/>
        </w:rPr>
        <w:t xml:space="preserve"> </w:t>
      </w:r>
    </w:p>
    <w:p w:rsidR="00CA6653" w:rsidRDefault="00CA6653" w:rsidP="00CA6653">
      <w:pPr>
        <w:pStyle w:val="Normal0"/>
        <w:jc w:val="both"/>
        <w:rPr>
          <w:rFonts w:ascii="Verdana" w:eastAsia="Times New Roman" w:hAnsi="Verdana" w:cs="Arial"/>
          <w:sz w:val="22"/>
          <w:szCs w:val="22"/>
          <w:lang w:val="en-GB" w:eastAsia="en-GB"/>
        </w:rPr>
      </w:pPr>
    </w:p>
    <w:p w:rsidR="00CA6653" w:rsidRDefault="00CA6653" w:rsidP="00CA6653">
      <w:pPr>
        <w:pStyle w:val="Normal0"/>
        <w:jc w:val="both"/>
        <w:rPr>
          <w:rFonts w:ascii="Verdana" w:eastAsia="Times New Roman" w:hAnsi="Verdana" w:cs="Arial"/>
          <w:sz w:val="22"/>
          <w:szCs w:val="22"/>
          <w:lang w:val="en-GB" w:eastAsia="en-GB"/>
        </w:rPr>
      </w:pPr>
    </w:p>
    <w:p w:rsidR="00340785" w:rsidRDefault="00340785" w:rsidP="00CA6653">
      <w:pPr>
        <w:pStyle w:val="Normal0"/>
        <w:jc w:val="both"/>
        <w:rPr>
          <w:rFonts w:ascii="Verdana" w:eastAsia="Times New Roman" w:hAnsi="Verdana" w:cs="Arial"/>
          <w:b/>
          <w:sz w:val="22"/>
          <w:szCs w:val="22"/>
          <w:lang w:val="en-GB" w:eastAsia="en-GB"/>
        </w:rPr>
      </w:pPr>
    </w:p>
    <w:p w:rsidR="00442446" w:rsidRDefault="00442446" w:rsidP="00CA6653">
      <w:pPr>
        <w:pStyle w:val="Normal0"/>
        <w:jc w:val="both"/>
        <w:rPr>
          <w:rFonts w:ascii="Verdana" w:eastAsia="Times New Roman" w:hAnsi="Verdana" w:cs="Arial"/>
          <w:b/>
          <w:sz w:val="22"/>
          <w:szCs w:val="22"/>
          <w:lang w:val="en-GB" w:eastAsia="en-GB"/>
        </w:rPr>
      </w:pPr>
    </w:p>
    <w:p w:rsidR="00CA6653" w:rsidRPr="00ED763C" w:rsidRDefault="00CA6653" w:rsidP="00CA6653">
      <w:pPr>
        <w:pStyle w:val="Normal0"/>
        <w:jc w:val="both"/>
        <w:rPr>
          <w:rFonts w:ascii="Verdana" w:eastAsia="Times New Roman" w:hAnsi="Verdana" w:cs="Arial"/>
          <w:b/>
          <w:sz w:val="22"/>
          <w:szCs w:val="22"/>
          <w:lang w:val="en-GB" w:eastAsia="en-GB"/>
        </w:rPr>
      </w:pPr>
      <w:r>
        <w:rPr>
          <w:rFonts w:ascii="Verdana" w:eastAsia="Times New Roman" w:hAnsi="Verdana" w:cs="Arial"/>
          <w:b/>
          <w:sz w:val="22"/>
          <w:szCs w:val="22"/>
          <w:lang w:val="en-GB" w:eastAsia="en-GB"/>
        </w:rPr>
        <w:t>Kelvin Menon</w:t>
      </w:r>
    </w:p>
    <w:p w:rsidR="00CA6653" w:rsidRPr="00ED763C" w:rsidRDefault="004A404D" w:rsidP="00CA6653">
      <w:pPr>
        <w:pStyle w:val="Normal0"/>
        <w:jc w:val="both"/>
        <w:rPr>
          <w:rFonts w:ascii="Verdana" w:eastAsia="Times New Roman" w:hAnsi="Verdana" w:cs="Arial"/>
          <w:b/>
          <w:sz w:val="22"/>
          <w:szCs w:val="22"/>
          <w:lang w:val="en-GB" w:eastAsia="en-GB"/>
        </w:rPr>
      </w:pPr>
      <w:r>
        <w:rPr>
          <w:rFonts w:ascii="Verdana" w:eastAsia="Times New Roman" w:hAnsi="Verdana" w:cs="Arial"/>
          <w:b/>
          <w:sz w:val="22"/>
          <w:szCs w:val="22"/>
          <w:lang w:val="en-GB" w:eastAsia="en-GB"/>
        </w:rPr>
        <w:t>Chief Finance Officer</w:t>
      </w:r>
      <w:r w:rsidR="00CA6653" w:rsidRPr="00ED763C">
        <w:rPr>
          <w:rFonts w:ascii="Verdana" w:eastAsia="Times New Roman" w:hAnsi="Verdana" w:cs="Arial"/>
          <w:b/>
          <w:sz w:val="22"/>
          <w:szCs w:val="22"/>
          <w:lang w:val="en-GB" w:eastAsia="en-GB"/>
        </w:rPr>
        <w:t xml:space="preserve"> </w:t>
      </w:r>
      <w:r>
        <w:rPr>
          <w:rFonts w:ascii="Verdana" w:eastAsia="Times New Roman" w:hAnsi="Verdana" w:cs="Arial"/>
          <w:b/>
          <w:sz w:val="22"/>
          <w:szCs w:val="22"/>
          <w:lang w:val="en-GB" w:eastAsia="en-GB"/>
        </w:rPr>
        <w:t>for</w:t>
      </w:r>
      <w:r w:rsidR="00CA6653" w:rsidRPr="00ED763C">
        <w:rPr>
          <w:rFonts w:ascii="Verdana" w:eastAsia="Times New Roman" w:hAnsi="Verdana" w:cs="Arial"/>
          <w:b/>
          <w:sz w:val="22"/>
          <w:szCs w:val="22"/>
          <w:lang w:val="en-GB" w:eastAsia="en-GB"/>
        </w:rPr>
        <w:t xml:space="preserve"> the Police and Crime Commissioner</w:t>
      </w:r>
    </w:p>
    <w:p w:rsidR="00CA6653" w:rsidRPr="00ED763C" w:rsidRDefault="00CA6653" w:rsidP="00CA6653">
      <w:pPr>
        <w:pStyle w:val="Normal0"/>
        <w:jc w:val="both"/>
        <w:rPr>
          <w:rFonts w:ascii="Verdana" w:eastAsia="Times New Roman" w:hAnsi="Verdana" w:cs="Arial"/>
          <w:sz w:val="22"/>
          <w:szCs w:val="22"/>
          <w:lang w:val="en-GB" w:eastAsia="en-GB"/>
        </w:rPr>
      </w:pPr>
    </w:p>
    <w:p w:rsidR="00CA6653" w:rsidRPr="00ED763C" w:rsidRDefault="00CA6653" w:rsidP="00CA6653">
      <w:pPr>
        <w:pStyle w:val="Normal0"/>
        <w:jc w:val="both"/>
        <w:rPr>
          <w:rFonts w:ascii="Verdana" w:eastAsia="Times New Roman" w:hAnsi="Verdana" w:cs="Arial"/>
          <w:b/>
          <w:sz w:val="22"/>
          <w:szCs w:val="22"/>
          <w:lang w:val="en-GB" w:eastAsia="en-GB"/>
        </w:rPr>
        <w:sectPr w:rsidR="00CA6653" w:rsidRPr="00ED763C" w:rsidSect="00CA6653">
          <w:pgSz w:w="11900" w:h="16840"/>
          <w:pgMar w:top="720" w:right="720" w:bottom="720" w:left="720" w:header="708" w:footer="708" w:gutter="0"/>
          <w:cols w:num="2" w:space="708"/>
          <w:docGrid w:linePitch="360"/>
        </w:sectPr>
      </w:pPr>
      <w:r w:rsidRPr="00ED763C">
        <w:rPr>
          <w:rFonts w:ascii="Verdana" w:eastAsia="Times New Roman" w:hAnsi="Verdana" w:cs="Arial"/>
          <w:sz w:val="22"/>
          <w:szCs w:val="22"/>
          <w:lang w:val="en-GB" w:eastAsia="en-GB"/>
        </w:rPr>
        <w:t>Date:</w:t>
      </w:r>
    </w:p>
    <w:p w:rsidR="0009073C" w:rsidRPr="00C22B7B" w:rsidRDefault="0009073C" w:rsidP="0009073C">
      <w:pPr>
        <w:pStyle w:val="Heading1"/>
      </w:pPr>
      <w:bookmarkStart w:id="6" w:name="_Toc43735710"/>
      <w:bookmarkStart w:id="7" w:name="_Toc55900398"/>
      <w:r>
        <w:t>Annual Governance Statement</w:t>
      </w:r>
      <w:bookmarkEnd w:id="6"/>
      <w:bookmarkEnd w:id="7"/>
    </w:p>
    <w:p w:rsidR="00763097" w:rsidRDefault="00763097" w:rsidP="00763097"/>
    <w:p w:rsidR="00763097" w:rsidRDefault="00763097" w:rsidP="00763097"/>
    <w:p w:rsidR="00763097" w:rsidRDefault="00763097" w:rsidP="00763097">
      <w:pPr>
        <w:jc w:val="right"/>
      </w:pPr>
      <w:r w:rsidRPr="00BB4A4C">
        <w:rPr>
          <w:noProof/>
          <w:lang w:val="en-GB" w:eastAsia="en-GB"/>
        </w:rPr>
        <w:drawing>
          <wp:inline distT="0" distB="0" distL="0" distR="0" wp14:anchorId="17D5AED7" wp14:editId="7BA11BA9">
            <wp:extent cx="1783080" cy="1935480"/>
            <wp:effectExtent l="0" t="0" r="7620" b="7620"/>
            <wp:docPr id="1" name="Picture 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reyCrest_Colour (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3080" cy="1935480"/>
                    </a:xfrm>
                    <a:prstGeom prst="rect">
                      <a:avLst/>
                    </a:prstGeom>
                    <a:noFill/>
                    <a:ln>
                      <a:noFill/>
                    </a:ln>
                  </pic:spPr>
                </pic:pic>
              </a:graphicData>
            </a:graphic>
          </wp:inline>
        </w:drawing>
      </w:r>
    </w:p>
    <w:p w:rsidR="00763097" w:rsidRDefault="00763097" w:rsidP="00763097"/>
    <w:p w:rsidR="00763097" w:rsidRDefault="00763097" w:rsidP="00763097"/>
    <w:p w:rsidR="00763097" w:rsidRDefault="00763097" w:rsidP="00763097"/>
    <w:p w:rsidR="00763097" w:rsidRDefault="00763097" w:rsidP="00763097">
      <w:pPr>
        <w:rPr>
          <w:rFonts w:ascii="Calibri" w:hAnsi="Calibri"/>
        </w:rPr>
      </w:pPr>
    </w:p>
    <w:p w:rsidR="00763097" w:rsidRDefault="00763097" w:rsidP="00763097">
      <w:pPr>
        <w:rPr>
          <w:rFonts w:ascii="Calibri" w:hAnsi="Calibri"/>
        </w:rPr>
      </w:pPr>
    </w:p>
    <w:p w:rsidR="00763097" w:rsidRPr="00A35184" w:rsidRDefault="00763097" w:rsidP="00763097">
      <w:pPr>
        <w:pBdr>
          <w:top w:val="single" w:sz="4" w:space="1" w:color="auto"/>
        </w:pBdr>
        <w:rPr>
          <w:rFonts w:ascii="Calibri" w:hAnsi="Calibri"/>
          <w:color w:val="4472C4"/>
          <w:sz w:val="48"/>
          <w:szCs w:val="48"/>
        </w:rPr>
      </w:pPr>
      <w:r w:rsidRPr="00A35184">
        <w:rPr>
          <w:rFonts w:ascii="Calibri" w:hAnsi="Calibri"/>
          <w:color w:val="4472C4"/>
          <w:sz w:val="48"/>
          <w:szCs w:val="48"/>
        </w:rPr>
        <w:t>Su</w:t>
      </w:r>
      <w:r>
        <w:rPr>
          <w:rFonts w:ascii="Calibri" w:hAnsi="Calibri"/>
          <w:color w:val="4472C4"/>
          <w:sz w:val="48"/>
          <w:szCs w:val="48"/>
        </w:rPr>
        <w:t>rrey</w:t>
      </w:r>
      <w:r w:rsidRPr="00A35184">
        <w:rPr>
          <w:rFonts w:ascii="Calibri" w:hAnsi="Calibri"/>
          <w:color w:val="4472C4"/>
          <w:sz w:val="48"/>
          <w:szCs w:val="48"/>
        </w:rPr>
        <w:t xml:space="preserve"> Police </w:t>
      </w:r>
    </w:p>
    <w:p w:rsidR="00763097" w:rsidRPr="00A35184" w:rsidRDefault="00763097" w:rsidP="00763097">
      <w:pPr>
        <w:pBdr>
          <w:top w:val="single" w:sz="4" w:space="1" w:color="auto"/>
        </w:pBdr>
        <w:rPr>
          <w:rFonts w:ascii="Calibri" w:hAnsi="Calibri"/>
          <w:b/>
          <w:sz w:val="44"/>
          <w:szCs w:val="44"/>
        </w:rPr>
      </w:pPr>
      <w:r>
        <w:rPr>
          <w:rFonts w:ascii="Calibri" w:hAnsi="Calibri"/>
          <w:b/>
          <w:color w:val="4472C4"/>
          <w:sz w:val="44"/>
          <w:szCs w:val="44"/>
        </w:rPr>
        <w:t>Police and Crime Commissioner</w:t>
      </w:r>
      <w:r w:rsidRPr="00A35184">
        <w:rPr>
          <w:rFonts w:ascii="Calibri" w:hAnsi="Calibri"/>
          <w:b/>
          <w:color w:val="4472C4"/>
          <w:sz w:val="44"/>
          <w:szCs w:val="44"/>
        </w:rPr>
        <w:t>’s Annual Governance Statement</w:t>
      </w:r>
      <w:r>
        <w:rPr>
          <w:rFonts w:ascii="Calibri" w:hAnsi="Calibri"/>
          <w:color w:val="4472C4"/>
          <w:sz w:val="44"/>
          <w:szCs w:val="44"/>
        </w:rPr>
        <w:t xml:space="preserve"> 2019-20</w:t>
      </w:r>
    </w:p>
    <w:p w:rsidR="00763097" w:rsidRPr="00F42623" w:rsidRDefault="00763097" w:rsidP="00763097">
      <w:pPr>
        <w:pBdr>
          <w:bottom w:val="single" w:sz="4" w:space="1" w:color="auto"/>
        </w:pBdr>
        <w:jc w:val="both"/>
        <w:outlineLvl w:val="0"/>
        <w:rPr>
          <w:rFonts w:ascii="Calibri" w:hAnsi="Calibri"/>
          <w:b/>
          <w:u w:val="single"/>
        </w:rPr>
      </w:pPr>
    </w:p>
    <w:p w:rsidR="00763097" w:rsidRPr="006708B2" w:rsidRDefault="00763097" w:rsidP="00763097">
      <w:pPr>
        <w:jc w:val="both"/>
        <w:rPr>
          <w:b/>
        </w:rPr>
      </w:pPr>
      <w:r>
        <w:rPr>
          <w:b/>
        </w:rPr>
        <w:br w:type="page"/>
      </w:r>
    </w:p>
    <w:p w:rsidR="003F4361" w:rsidRPr="000803AE" w:rsidRDefault="003F4361" w:rsidP="003F4361">
      <w:pPr>
        <w:autoSpaceDE w:val="0"/>
        <w:ind w:left="720"/>
        <w:jc w:val="both"/>
        <w:rPr>
          <w:rFonts w:ascii="Calibri" w:hAnsi="Calibri"/>
        </w:rPr>
      </w:pPr>
    </w:p>
    <w:p w:rsidR="003F4361" w:rsidRPr="00481D6C" w:rsidRDefault="003F4361" w:rsidP="003F4361">
      <w:pPr>
        <w:shd w:val="clear" w:color="auto" w:fill="4472C4"/>
        <w:autoSpaceDE w:val="0"/>
        <w:jc w:val="both"/>
        <w:rPr>
          <w:rFonts w:ascii="Calibri" w:hAnsi="Calibri"/>
          <w:b/>
          <w:color w:val="FFFFFF"/>
        </w:rPr>
      </w:pPr>
      <w:r>
        <w:rPr>
          <w:rFonts w:ascii="Calibri" w:hAnsi="Calibri"/>
          <w:b/>
          <w:color w:val="FFFFFF"/>
        </w:rPr>
        <w:t>1</w:t>
      </w:r>
      <w:r w:rsidRPr="00481D6C">
        <w:rPr>
          <w:rFonts w:ascii="Calibri" w:hAnsi="Calibri"/>
          <w:b/>
          <w:color w:val="FFFFFF"/>
        </w:rPr>
        <w:tab/>
      </w:r>
      <w:r>
        <w:rPr>
          <w:rFonts w:ascii="Calibri" w:hAnsi="Calibri"/>
          <w:b/>
          <w:color w:val="FFFFFF"/>
        </w:rPr>
        <w:t>Introduction</w:t>
      </w:r>
    </w:p>
    <w:p w:rsidR="00763097" w:rsidRPr="003F4361" w:rsidRDefault="00763097" w:rsidP="003F4361">
      <w:pPr>
        <w:autoSpaceDE w:val="0"/>
        <w:ind w:left="720"/>
        <w:jc w:val="both"/>
        <w:rPr>
          <w:rFonts w:ascii="Calibri" w:hAnsi="Calibri"/>
        </w:rPr>
      </w:pPr>
    </w:p>
    <w:p w:rsidR="00763097" w:rsidRPr="00FC6878" w:rsidRDefault="00442446" w:rsidP="00442446">
      <w:pPr>
        <w:suppressAutoHyphens/>
        <w:autoSpaceDE w:val="0"/>
        <w:ind w:left="720" w:hanging="720"/>
        <w:jc w:val="both"/>
        <w:rPr>
          <w:rFonts w:ascii="Calibri" w:hAnsi="Calibri"/>
        </w:rPr>
      </w:pPr>
      <w:r>
        <w:rPr>
          <w:rFonts w:ascii="Calibri" w:hAnsi="Calibri"/>
        </w:rPr>
        <w:t>1.1</w:t>
      </w:r>
      <w:r>
        <w:rPr>
          <w:rFonts w:ascii="Calibri" w:hAnsi="Calibri"/>
        </w:rPr>
        <w:tab/>
      </w:r>
      <w:r w:rsidR="00763097" w:rsidRPr="00FC6878">
        <w:rPr>
          <w:rFonts w:ascii="Calibri" w:hAnsi="Calibri"/>
        </w:rPr>
        <w:t>This Annual Governance Statement sets out how the Surrey Police &amp; Crime Commissioner (PCC) and Office of the Police &amp; Crime Commissioner (OPCC) have complied with the corporate governance framework set out in the Scheme of Governance for Surrey in place for the year ended 31 March 2020.</w:t>
      </w:r>
    </w:p>
    <w:p w:rsidR="00763097" w:rsidRPr="00E33AA6" w:rsidRDefault="00763097" w:rsidP="00763097">
      <w:pPr>
        <w:autoSpaceDE w:val="0"/>
        <w:ind w:left="720"/>
        <w:jc w:val="both"/>
        <w:rPr>
          <w:rFonts w:ascii="Calibri" w:hAnsi="Calibri"/>
        </w:rPr>
      </w:pPr>
      <w:r w:rsidRPr="00E33AA6">
        <w:rPr>
          <w:rFonts w:ascii="Calibri" w:hAnsi="Calibri"/>
        </w:rPr>
        <w:t xml:space="preserve"> </w:t>
      </w:r>
    </w:p>
    <w:p w:rsidR="00763097" w:rsidRPr="00E33AA6" w:rsidRDefault="00442446" w:rsidP="00442446">
      <w:pPr>
        <w:suppressAutoHyphens/>
        <w:autoSpaceDE w:val="0"/>
        <w:ind w:left="720" w:hanging="720"/>
        <w:jc w:val="both"/>
        <w:rPr>
          <w:rFonts w:ascii="Calibri" w:hAnsi="Calibri"/>
        </w:rPr>
      </w:pPr>
      <w:r>
        <w:rPr>
          <w:rFonts w:ascii="Calibri" w:hAnsi="Calibri"/>
        </w:rPr>
        <w:t>1.2</w:t>
      </w:r>
      <w:r>
        <w:rPr>
          <w:rFonts w:ascii="Calibri" w:hAnsi="Calibri"/>
        </w:rPr>
        <w:tab/>
      </w:r>
      <w:r w:rsidR="00763097" w:rsidRPr="00E33AA6">
        <w:rPr>
          <w:rFonts w:ascii="Calibri" w:hAnsi="Calibri"/>
        </w:rPr>
        <w:t xml:space="preserve">It is designed to complement the annual governance statement of the Surrey </w:t>
      </w:r>
      <w:r w:rsidR="00763097">
        <w:rPr>
          <w:rFonts w:ascii="Calibri" w:hAnsi="Calibri"/>
        </w:rPr>
        <w:t>Police</w:t>
      </w:r>
      <w:r w:rsidR="00763097" w:rsidRPr="00E33AA6">
        <w:rPr>
          <w:rFonts w:ascii="Calibri" w:hAnsi="Calibri"/>
        </w:rPr>
        <w:t>, to give the full picture of governance within Surrey Police and the Office of the PCC.</w:t>
      </w:r>
    </w:p>
    <w:p w:rsidR="00763097" w:rsidRPr="000803AE" w:rsidRDefault="00763097" w:rsidP="00763097">
      <w:pPr>
        <w:autoSpaceDE w:val="0"/>
        <w:jc w:val="both"/>
        <w:rPr>
          <w:rFonts w:ascii="Calibri" w:hAnsi="Calibri"/>
        </w:rPr>
      </w:pPr>
    </w:p>
    <w:p w:rsidR="00763097" w:rsidRDefault="00442446" w:rsidP="00442446">
      <w:pPr>
        <w:suppressAutoHyphens/>
        <w:autoSpaceDE w:val="0"/>
        <w:ind w:left="720" w:hanging="720"/>
        <w:jc w:val="both"/>
        <w:rPr>
          <w:rFonts w:ascii="Calibri" w:hAnsi="Calibri"/>
        </w:rPr>
      </w:pPr>
      <w:r>
        <w:rPr>
          <w:rFonts w:ascii="Calibri" w:hAnsi="Calibri"/>
        </w:rPr>
        <w:t>1.3</w:t>
      </w:r>
      <w:r>
        <w:rPr>
          <w:rFonts w:ascii="Calibri" w:hAnsi="Calibri"/>
        </w:rPr>
        <w:tab/>
      </w:r>
      <w:r w:rsidR="00763097" w:rsidRPr="000803AE">
        <w:rPr>
          <w:rFonts w:ascii="Calibri" w:hAnsi="Calibri"/>
        </w:rPr>
        <w:t xml:space="preserve">This statement is informed by </w:t>
      </w:r>
      <w:r w:rsidR="00763097">
        <w:rPr>
          <w:rFonts w:ascii="Calibri" w:hAnsi="Calibri"/>
        </w:rPr>
        <w:t xml:space="preserve">an annual review of governance arrangements with </w:t>
      </w:r>
      <w:r w:rsidR="00763097" w:rsidRPr="000803AE">
        <w:rPr>
          <w:rFonts w:ascii="Calibri" w:hAnsi="Calibri"/>
        </w:rPr>
        <w:t xml:space="preserve">assurance on </w:t>
      </w:r>
      <w:r w:rsidR="00763097">
        <w:rPr>
          <w:rFonts w:ascii="Calibri" w:hAnsi="Calibri"/>
        </w:rPr>
        <w:t xml:space="preserve">compliance with </w:t>
      </w:r>
      <w:r w:rsidR="00763097" w:rsidRPr="000803AE">
        <w:rPr>
          <w:rFonts w:ascii="Calibri" w:hAnsi="Calibri"/>
        </w:rPr>
        <w:t>the seven</w:t>
      </w:r>
      <w:r w:rsidR="00763097">
        <w:rPr>
          <w:rFonts w:ascii="Calibri" w:hAnsi="Calibri"/>
        </w:rPr>
        <w:t xml:space="preserve"> </w:t>
      </w:r>
      <w:r w:rsidR="00763097" w:rsidRPr="000803AE">
        <w:rPr>
          <w:rFonts w:ascii="Calibri" w:hAnsi="Calibri"/>
        </w:rPr>
        <w:t>principles of the Code</w:t>
      </w:r>
      <w:r w:rsidR="00763097">
        <w:rPr>
          <w:rFonts w:ascii="Calibri" w:hAnsi="Calibri"/>
        </w:rPr>
        <w:t xml:space="preserve"> of Corporate Governance, </w:t>
      </w:r>
      <w:r w:rsidR="00763097" w:rsidRPr="000803AE">
        <w:rPr>
          <w:rFonts w:ascii="Calibri" w:hAnsi="Calibri"/>
        </w:rPr>
        <w:t>by on-going audit inspection</w:t>
      </w:r>
      <w:r w:rsidR="00763097">
        <w:rPr>
          <w:rFonts w:ascii="Calibri" w:hAnsi="Calibri"/>
        </w:rPr>
        <w:t xml:space="preserve"> and external review</w:t>
      </w:r>
      <w:r w:rsidR="00763097" w:rsidRPr="000803AE">
        <w:rPr>
          <w:rFonts w:ascii="Calibri" w:hAnsi="Calibri"/>
        </w:rPr>
        <w:t>.</w:t>
      </w:r>
    </w:p>
    <w:p w:rsidR="00763097" w:rsidRDefault="00763097" w:rsidP="00763097">
      <w:pPr>
        <w:autoSpaceDE w:val="0"/>
        <w:ind w:left="720"/>
        <w:jc w:val="both"/>
        <w:rPr>
          <w:rFonts w:ascii="Calibri" w:hAnsi="Calibri"/>
        </w:rPr>
      </w:pPr>
    </w:p>
    <w:p w:rsidR="00763097" w:rsidRPr="00442446" w:rsidRDefault="00442446" w:rsidP="00442446">
      <w:pPr>
        <w:suppressAutoHyphens/>
        <w:autoSpaceDE w:val="0"/>
        <w:ind w:left="720" w:hanging="720"/>
        <w:jc w:val="both"/>
        <w:rPr>
          <w:rFonts w:ascii="Calibri" w:hAnsi="Calibri"/>
        </w:rPr>
      </w:pPr>
      <w:r>
        <w:rPr>
          <w:rFonts w:ascii="Calibri" w:hAnsi="Calibri"/>
        </w:rPr>
        <w:t>1.4</w:t>
      </w:r>
      <w:r>
        <w:rPr>
          <w:rFonts w:ascii="Calibri" w:hAnsi="Calibri"/>
        </w:rPr>
        <w:tab/>
      </w:r>
      <w:r w:rsidR="00763097" w:rsidRPr="002F4708">
        <w:rPr>
          <w:rFonts w:ascii="Calibri" w:hAnsi="Calibri"/>
        </w:rPr>
        <w:t>Regulation 6(1)(a) of the Accounts and Audit Regulations 2015 require</w:t>
      </w:r>
      <w:r w:rsidR="00763097">
        <w:rPr>
          <w:rFonts w:ascii="Calibri" w:hAnsi="Calibri"/>
        </w:rPr>
        <w:t>s</w:t>
      </w:r>
      <w:r w:rsidR="00763097" w:rsidRPr="002F4708">
        <w:rPr>
          <w:rFonts w:ascii="Calibri" w:hAnsi="Calibri"/>
        </w:rPr>
        <w:t xml:space="preserve"> an authority to conduct a review at least once in a year of the effectiveness of its system of internal control and include a statement reporting on the review with any published Statement of Accounts (England).  This term ‘authority’ includes the Chief Constable and the Police and Crime Commissioner legal entities.  This requirement is reflected in the Code of Practice on Local Authority Accounting</w:t>
      </w:r>
      <w:r w:rsidR="00763097">
        <w:rPr>
          <w:rFonts w:ascii="Calibri" w:hAnsi="Calibri"/>
        </w:rPr>
        <w:t xml:space="preserve"> in the United Kingdom 2019/20 published by the </w:t>
      </w:r>
      <w:r w:rsidR="00763097" w:rsidRPr="002F4708">
        <w:rPr>
          <w:rFonts w:ascii="Calibri" w:hAnsi="Calibri"/>
        </w:rPr>
        <w:t xml:space="preserve">Chartered Institute of Public Finance &amp; Accountancy </w:t>
      </w:r>
      <w:r w:rsidR="00763097">
        <w:rPr>
          <w:rFonts w:ascii="Calibri" w:hAnsi="Calibri"/>
        </w:rPr>
        <w:t>(</w:t>
      </w:r>
      <w:r w:rsidR="00763097" w:rsidRPr="002F4708">
        <w:rPr>
          <w:rFonts w:ascii="Calibri" w:hAnsi="Calibri"/>
        </w:rPr>
        <w:t>CIPFA</w:t>
      </w:r>
      <w:r w:rsidR="00763097">
        <w:rPr>
          <w:rFonts w:ascii="Calibri" w:hAnsi="Calibri"/>
        </w:rPr>
        <w:t>)</w:t>
      </w:r>
      <w:r w:rsidR="00763097" w:rsidRPr="002F4708">
        <w:rPr>
          <w:rFonts w:ascii="Calibri" w:hAnsi="Calibri"/>
        </w:rPr>
        <w:t>.</w:t>
      </w:r>
    </w:p>
    <w:p w:rsidR="00763097" w:rsidRPr="000803AE" w:rsidRDefault="00763097" w:rsidP="00763097">
      <w:pPr>
        <w:autoSpaceDE w:val="0"/>
        <w:ind w:left="720"/>
        <w:jc w:val="both"/>
        <w:rPr>
          <w:rFonts w:ascii="Calibri" w:hAnsi="Calibri"/>
        </w:rPr>
      </w:pPr>
    </w:p>
    <w:p w:rsidR="00763097" w:rsidRPr="00481D6C" w:rsidRDefault="00763097" w:rsidP="00763097">
      <w:pPr>
        <w:shd w:val="clear" w:color="auto" w:fill="4472C4"/>
        <w:autoSpaceDE w:val="0"/>
        <w:jc w:val="both"/>
        <w:rPr>
          <w:rFonts w:ascii="Calibri" w:hAnsi="Calibri"/>
          <w:b/>
          <w:color w:val="FFFFFF"/>
        </w:rPr>
      </w:pPr>
      <w:r>
        <w:rPr>
          <w:rFonts w:ascii="Calibri" w:hAnsi="Calibri"/>
          <w:b/>
          <w:color w:val="FFFFFF"/>
        </w:rPr>
        <w:t>2</w:t>
      </w:r>
      <w:r w:rsidRPr="00481D6C">
        <w:rPr>
          <w:rFonts w:ascii="Calibri" w:hAnsi="Calibri"/>
          <w:b/>
          <w:color w:val="FFFFFF"/>
        </w:rPr>
        <w:tab/>
        <w:t>Scope of Responsibilities</w:t>
      </w:r>
    </w:p>
    <w:p w:rsidR="00763097" w:rsidRPr="006708B2" w:rsidRDefault="00763097" w:rsidP="00763097">
      <w:pPr>
        <w:jc w:val="both"/>
        <w:rPr>
          <w:b/>
        </w:rPr>
      </w:pPr>
    </w:p>
    <w:p w:rsidR="00763097" w:rsidRPr="004E61BC" w:rsidRDefault="00763097" w:rsidP="00763097">
      <w:pPr>
        <w:ind w:left="709" w:hanging="709"/>
        <w:jc w:val="both"/>
        <w:rPr>
          <w:rFonts w:ascii="Calibri" w:hAnsi="Calibri"/>
        </w:rPr>
      </w:pPr>
      <w:r w:rsidRPr="004E61BC">
        <w:rPr>
          <w:rFonts w:ascii="Calibri" w:hAnsi="Calibri"/>
        </w:rPr>
        <w:t>2.1</w:t>
      </w:r>
      <w:r w:rsidRPr="004E61BC">
        <w:rPr>
          <w:rFonts w:ascii="Calibri" w:hAnsi="Calibri"/>
        </w:rPr>
        <w:tab/>
        <w:t>The respective roles of PCCs, Chief Constables and Police &amp; Crime Panels are detailed in the statutory instrument, Policing Protocol Order 2011. This cites that the PCC is responsible for the ‘totality of policing’ within Surrey. The over-arching key responsibilities of the PCC are:</w:t>
      </w:r>
    </w:p>
    <w:p w:rsidR="00763097" w:rsidRPr="004E61BC" w:rsidRDefault="00763097" w:rsidP="00763097">
      <w:pPr>
        <w:ind w:left="709" w:hanging="709"/>
        <w:jc w:val="both"/>
        <w:rPr>
          <w:rFonts w:ascii="Calibri" w:hAnsi="Calibri"/>
        </w:rPr>
      </w:pPr>
    </w:p>
    <w:p w:rsidR="00763097" w:rsidRPr="004E61BC" w:rsidRDefault="00763097" w:rsidP="00763097">
      <w:pPr>
        <w:ind w:left="1418" w:hanging="709"/>
        <w:jc w:val="both"/>
        <w:rPr>
          <w:rFonts w:ascii="Calibri" w:hAnsi="Calibri"/>
        </w:rPr>
      </w:pPr>
      <w:r w:rsidRPr="004E61BC">
        <w:rPr>
          <w:rFonts w:ascii="Calibri" w:hAnsi="Calibri"/>
        </w:rPr>
        <w:t>•</w:t>
      </w:r>
      <w:r w:rsidRPr="004E61BC">
        <w:rPr>
          <w:rFonts w:ascii="Calibri" w:hAnsi="Calibri"/>
        </w:rPr>
        <w:tab/>
        <w:t>To secure the maintenance of an efficient and effective police force for the area</w:t>
      </w:r>
    </w:p>
    <w:p w:rsidR="00763097" w:rsidRPr="004E61BC" w:rsidRDefault="00763097" w:rsidP="00763097">
      <w:pPr>
        <w:ind w:left="1418" w:hanging="709"/>
        <w:jc w:val="both"/>
        <w:rPr>
          <w:rFonts w:ascii="Calibri" w:hAnsi="Calibri"/>
        </w:rPr>
      </w:pPr>
      <w:r w:rsidRPr="004E61BC">
        <w:rPr>
          <w:rFonts w:ascii="Calibri" w:hAnsi="Calibri"/>
        </w:rPr>
        <w:t>•</w:t>
      </w:r>
      <w:r w:rsidRPr="004E61BC">
        <w:rPr>
          <w:rFonts w:ascii="Calibri" w:hAnsi="Calibri"/>
        </w:rPr>
        <w:tab/>
        <w:t xml:space="preserve">To hold the Chief Constable to account for the exercise of his or her functions </w:t>
      </w:r>
    </w:p>
    <w:p w:rsidR="00763097" w:rsidRPr="004E61BC" w:rsidRDefault="00763097" w:rsidP="00763097">
      <w:pPr>
        <w:ind w:left="1418" w:hanging="709"/>
        <w:jc w:val="both"/>
        <w:rPr>
          <w:rFonts w:ascii="Calibri" w:hAnsi="Calibri"/>
        </w:rPr>
      </w:pPr>
      <w:r w:rsidRPr="004E61BC">
        <w:rPr>
          <w:rFonts w:ascii="Calibri" w:hAnsi="Calibri"/>
        </w:rPr>
        <w:t>•</w:t>
      </w:r>
      <w:r w:rsidRPr="004E61BC">
        <w:rPr>
          <w:rFonts w:ascii="Calibri" w:hAnsi="Calibri"/>
        </w:rPr>
        <w:tab/>
        <w:t>Wider powers in relation to working with and bringing together community safety and criminal justice partners</w:t>
      </w:r>
    </w:p>
    <w:p w:rsidR="00763097" w:rsidRPr="004E61BC" w:rsidRDefault="00763097" w:rsidP="00763097">
      <w:pPr>
        <w:ind w:left="709" w:hanging="709"/>
        <w:jc w:val="both"/>
        <w:rPr>
          <w:rFonts w:ascii="Calibri" w:hAnsi="Calibri"/>
        </w:rPr>
      </w:pPr>
    </w:p>
    <w:p w:rsidR="00763097" w:rsidRPr="004E61BC" w:rsidRDefault="00763097" w:rsidP="00763097">
      <w:pPr>
        <w:ind w:left="709" w:hanging="709"/>
        <w:jc w:val="both"/>
        <w:rPr>
          <w:rFonts w:ascii="Calibri" w:hAnsi="Calibri"/>
        </w:rPr>
      </w:pPr>
      <w:r w:rsidRPr="004E61BC">
        <w:rPr>
          <w:rFonts w:ascii="Calibri" w:hAnsi="Calibri"/>
        </w:rPr>
        <w:t>2.2</w:t>
      </w:r>
      <w:r w:rsidRPr="004E61BC">
        <w:rPr>
          <w:rFonts w:ascii="Calibri" w:hAnsi="Calibri"/>
        </w:rPr>
        <w:tab/>
        <w:t xml:space="preserve">The Chief Constable retains operational control of the Force in governance arrangements, which must not be fettered by the PCC.  </w:t>
      </w:r>
    </w:p>
    <w:p w:rsidR="00763097" w:rsidRPr="004E61BC" w:rsidRDefault="00763097" w:rsidP="00763097">
      <w:pPr>
        <w:ind w:left="709" w:hanging="709"/>
        <w:jc w:val="both"/>
        <w:rPr>
          <w:rFonts w:ascii="Calibri" w:hAnsi="Calibri"/>
        </w:rPr>
      </w:pPr>
    </w:p>
    <w:p w:rsidR="00763097" w:rsidRPr="004E61BC" w:rsidRDefault="00763097" w:rsidP="00763097">
      <w:pPr>
        <w:ind w:left="709" w:hanging="709"/>
        <w:jc w:val="both"/>
        <w:rPr>
          <w:rFonts w:ascii="Calibri" w:hAnsi="Calibri"/>
        </w:rPr>
      </w:pPr>
      <w:r w:rsidRPr="004E61BC">
        <w:rPr>
          <w:rFonts w:ascii="Calibri" w:hAnsi="Calibri"/>
        </w:rPr>
        <w:t>2.3</w:t>
      </w:r>
      <w:r w:rsidRPr="004E61BC">
        <w:rPr>
          <w:rFonts w:ascii="Calibri" w:hAnsi="Calibri"/>
        </w:rPr>
        <w:tab/>
        <w:t xml:space="preserve">David Munro was elected as PCC for Surrey in May 2016 for a four-year term. Although elections were scheduled for May 2020, these were deferred by the Government until May 2021 and Mr Munro’s term extended by a further year. Mr Munro is supported by a small team of staff who form the Office of the Surrey Police &amp; Crime Commissioner.  The team structure is set out on the PCC’s website. The OPCC is responsible for ensuring that the PCC’s business is conducted in accordance with the law and proper standards, and that public money is safeguarded and properly accounted for, and used economically, efficiently and effectively. </w:t>
      </w:r>
    </w:p>
    <w:p w:rsidR="00763097" w:rsidRPr="004E61BC" w:rsidRDefault="00763097" w:rsidP="00763097">
      <w:pPr>
        <w:ind w:left="709" w:hanging="709"/>
        <w:jc w:val="both"/>
        <w:rPr>
          <w:rFonts w:ascii="Calibri" w:hAnsi="Calibri"/>
        </w:rPr>
      </w:pPr>
    </w:p>
    <w:p w:rsidR="00763097" w:rsidRDefault="00763097" w:rsidP="00763097">
      <w:pPr>
        <w:ind w:left="709" w:hanging="709"/>
        <w:jc w:val="both"/>
        <w:rPr>
          <w:rFonts w:ascii="Calibri" w:hAnsi="Calibri"/>
        </w:rPr>
      </w:pPr>
      <w:r w:rsidRPr="004E61BC">
        <w:rPr>
          <w:rFonts w:ascii="Calibri" w:hAnsi="Calibri"/>
        </w:rPr>
        <w:t>2.4</w:t>
      </w:r>
      <w:r w:rsidRPr="004E61BC">
        <w:rPr>
          <w:rFonts w:ascii="Calibri" w:hAnsi="Calibri"/>
        </w:rPr>
        <w:tab/>
        <w:t>In discharging this overall responsibility, the Surrey OPCC is responsible for putting in place proper arrangements for the governance of its affairs, facilitating the effective exercise of its functions and for the management of risk.</w:t>
      </w:r>
    </w:p>
    <w:p w:rsidR="00763097" w:rsidRPr="000803AE" w:rsidRDefault="00763097" w:rsidP="00763097">
      <w:pPr>
        <w:ind w:left="720"/>
        <w:jc w:val="both"/>
        <w:rPr>
          <w:rFonts w:ascii="Calibri" w:hAnsi="Calibri"/>
        </w:rPr>
      </w:pPr>
    </w:p>
    <w:p w:rsidR="00763097" w:rsidRPr="00481D6C" w:rsidRDefault="00763097" w:rsidP="00763097">
      <w:pPr>
        <w:shd w:val="clear" w:color="auto" w:fill="4472C4"/>
        <w:jc w:val="both"/>
        <w:rPr>
          <w:rFonts w:ascii="Calibri" w:hAnsi="Calibri"/>
          <w:b/>
          <w:color w:val="FFFFFF"/>
        </w:rPr>
      </w:pPr>
      <w:r>
        <w:rPr>
          <w:rFonts w:ascii="Calibri" w:hAnsi="Calibri"/>
          <w:b/>
          <w:color w:val="FFFFFF"/>
        </w:rPr>
        <w:t>3</w:t>
      </w:r>
      <w:r w:rsidRPr="00481D6C">
        <w:rPr>
          <w:rFonts w:ascii="Calibri" w:hAnsi="Calibri"/>
          <w:b/>
          <w:color w:val="FFFFFF"/>
        </w:rPr>
        <w:tab/>
        <w:t>The Governance Framework</w:t>
      </w:r>
    </w:p>
    <w:p w:rsidR="00763097" w:rsidRDefault="00763097" w:rsidP="00763097">
      <w:pPr>
        <w:autoSpaceDE w:val="0"/>
        <w:ind w:left="720" w:hanging="720"/>
        <w:jc w:val="both"/>
        <w:rPr>
          <w:rFonts w:ascii="Calibri" w:hAnsi="Calibri"/>
        </w:rPr>
      </w:pPr>
      <w:r>
        <w:rPr>
          <w:rFonts w:ascii="Calibri" w:hAnsi="Calibri"/>
        </w:rPr>
        <w:tab/>
      </w:r>
    </w:p>
    <w:p w:rsidR="00763097" w:rsidRPr="004E61BC" w:rsidRDefault="00763097" w:rsidP="00763097">
      <w:pPr>
        <w:autoSpaceDE w:val="0"/>
        <w:ind w:left="720" w:hanging="720"/>
        <w:jc w:val="both"/>
        <w:rPr>
          <w:rFonts w:ascii="Calibri" w:hAnsi="Calibri"/>
        </w:rPr>
      </w:pPr>
      <w:r w:rsidRPr="004E61BC">
        <w:rPr>
          <w:rFonts w:ascii="Calibri" w:hAnsi="Calibri"/>
        </w:rPr>
        <w:t>3.1</w:t>
      </w:r>
      <w:r w:rsidRPr="004E61BC">
        <w:rPr>
          <w:rFonts w:ascii="Calibri" w:hAnsi="Calibri"/>
        </w:rPr>
        <w:tab/>
        <w:t>Surrey OPCC has approved and adopted a Scheme of Governance which is consistent with the principles of the CIPFA Framework, ‘Delivering Good Governance’. The Scheme shows how the OPCC complies with the principles of ‘good governance’ as defined by CIPFA and sets out the arrangements in place for effective governance and financial management.  It comprises a number of elements, including:</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1440" w:hanging="720"/>
        <w:jc w:val="both"/>
        <w:rPr>
          <w:rFonts w:ascii="Calibri" w:hAnsi="Calibri"/>
        </w:rPr>
      </w:pPr>
      <w:r w:rsidRPr="004E61BC">
        <w:rPr>
          <w:rFonts w:ascii="Calibri" w:hAnsi="Calibri"/>
        </w:rPr>
        <w:t>•</w:t>
      </w:r>
      <w:r w:rsidRPr="004E61BC">
        <w:rPr>
          <w:rFonts w:ascii="Calibri" w:hAnsi="Calibri"/>
        </w:rPr>
        <w:tab/>
        <w:t>Code of Corporate Governance: how the PCC and Chief Constable achieve the core principles of ‘good governance’</w:t>
      </w:r>
    </w:p>
    <w:p w:rsidR="00763097" w:rsidRPr="004E61BC" w:rsidRDefault="00763097" w:rsidP="00763097">
      <w:pPr>
        <w:autoSpaceDE w:val="0"/>
        <w:ind w:left="1440" w:hanging="720"/>
        <w:jc w:val="both"/>
        <w:rPr>
          <w:rFonts w:ascii="Calibri" w:hAnsi="Calibri"/>
        </w:rPr>
      </w:pPr>
      <w:r w:rsidRPr="004E61BC">
        <w:rPr>
          <w:rFonts w:ascii="Calibri" w:hAnsi="Calibri"/>
        </w:rPr>
        <w:t>•</w:t>
      </w:r>
      <w:r w:rsidRPr="004E61BC">
        <w:rPr>
          <w:rFonts w:ascii="Calibri" w:hAnsi="Calibri"/>
        </w:rPr>
        <w:tab/>
        <w:t>Framework of Decision-Making and Accountability: how the PCC makes/publishes key decisions and holds the Chief Constable to account</w:t>
      </w:r>
    </w:p>
    <w:p w:rsidR="00763097" w:rsidRPr="004E61BC" w:rsidRDefault="00763097" w:rsidP="00763097">
      <w:pPr>
        <w:autoSpaceDE w:val="0"/>
        <w:ind w:left="1440" w:hanging="720"/>
        <w:jc w:val="both"/>
        <w:rPr>
          <w:rFonts w:ascii="Calibri" w:hAnsi="Calibri"/>
        </w:rPr>
      </w:pPr>
      <w:r w:rsidRPr="004E61BC">
        <w:rPr>
          <w:rFonts w:ascii="Calibri" w:hAnsi="Calibri"/>
        </w:rPr>
        <w:t>•</w:t>
      </w:r>
      <w:r w:rsidRPr="004E61BC">
        <w:rPr>
          <w:rFonts w:ascii="Calibri" w:hAnsi="Calibri"/>
        </w:rPr>
        <w:tab/>
        <w:t>Scheme of Delegation: key roles of the PCC and those functions delegated to others</w:t>
      </w:r>
    </w:p>
    <w:p w:rsidR="00763097" w:rsidRPr="004E61BC" w:rsidRDefault="00763097" w:rsidP="00763097">
      <w:pPr>
        <w:autoSpaceDE w:val="0"/>
        <w:ind w:left="1440" w:hanging="720"/>
        <w:jc w:val="both"/>
        <w:rPr>
          <w:rFonts w:ascii="Calibri" w:hAnsi="Calibri"/>
        </w:rPr>
      </w:pPr>
      <w:r w:rsidRPr="004E61BC">
        <w:rPr>
          <w:rFonts w:ascii="Calibri" w:hAnsi="Calibri"/>
        </w:rPr>
        <w:t>•</w:t>
      </w:r>
      <w:r w:rsidRPr="004E61BC">
        <w:rPr>
          <w:rFonts w:ascii="Calibri" w:hAnsi="Calibri"/>
        </w:rPr>
        <w:tab/>
        <w:t xml:space="preserve">Memorandum of Understanding: setting out the cooperative arrangements between the PCC and Chief Constable for the provision of business support and administration. </w:t>
      </w:r>
    </w:p>
    <w:p w:rsidR="00763097" w:rsidRPr="004E61BC" w:rsidRDefault="00763097" w:rsidP="00763097">
      <w:pPr>
        <w:autoSpaceDE w:val="0"/>
        <w:ind w:left="1440" w:hanging="720"/>
        <w:jc w:val="both"/>
        <w:rPr>
          <w:rFonts w:ascii="Calibri" w:hAnsi="Calibri"/>
        </w:rPr>
      </w:pPr>
      <w:r w:rsidRPr="004E61BC">
        <w:rPr>
          <w:rFonts w:ascii="Calibri" w:hAnsi="Calibri"/>
        </w:rPr>
        <w:t>•</w:t>
      </w:r>
      <w:r w:rsidRPr="004E61BC">
        <w:rPr>
          <w:rFonts w:ascii="Calibri" w:hAnsi="Calibri"/>
        </w:rPr>
        <w:tab/>
        <w:t>Financial Regulations: the framework for managing the PCC’s financial affairs</w:t>
      </w:r>
    </w:p>
    <w:p w:rsidR="00763097" w:rsidRPr="004E61BC" w:rsidRDefault="00763097" w:rsidP="00763097">
      <w:pPr>
        <w:autoSpaceDE w:val="0"/>
        <w:ind w:left="1440" w:hanging="720"/>
        <w:jc w:val="both"/>
        <w:rPr>
          <w:rFonts w:ascii="Calibri" w:hAnsi="Calibri"/>
        </w:rPr>
      </w:pPr>
      <w:r w:rsidRPr="004E61BC">
        <w:rPr>
          <w:rFonts w:ascii="Calibri" w:hAnsi="Calibri"/>
        </w:rPr>
        <w:t>•</w:t>
      </w:r>
      <w:r w:rsidRPr="004E61BC">
        <w:rPr>
          <w:rFonts w:ascii="Calibri" w:hAnsi="Calibri"/>
        </w:rPr>
        <w:tab/>
        <w:t>Contract Standing Orders: rules for the procurement of goods, works and services</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The scheme is reviewed annually in tandem with Surrey Police, Sussex Police and Sussex OPCC.</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3.2</w:t>
      </w:r>
      <w:r w:rsidRPr="004E61BC">
        <w:rPr>
          <w:rFonts w:ascii="Calibri" w:hAnsi="Calibri"/>
        </w:rPr>
        <w:tab/>
        <w:t>A copy of the Scheme and its component parts is available on the PCC’s website or can be obtained from the Office of the Police &amp; Crime Commissioner, Mount Browne HQ, Guildford GU3 1HR. This Annual Governance Statement explains how Surrey OPCC has complied with the Scheme during the year 2019-20.</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3.3</w:t>
      </w:r>
      <w:r w:rsidRPr="004E61BC">
        <w:rPr>
          <w:rFonts w:ascii="Calibri" w:hAnsi="Calibri"/>
        </w:rPr>
        <w:tab/>
        <w:t>The various elements of the Scheme of Corporate Governance set out the systems and processes, culture and values by which Surrey OPCC is directed and controlled and the activities it undertakes to engage with and be accountable to local communities. It enables the OPCC to monitor the achievement of the PCC’s strategic objectives and to consider whether those objectives have led to the delivery of appropriate services and value for money.</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3.4</w:t>
      </w:r>
      <w:r w:rsidRPr="004E61BC">
        <w:rPr>
          <w:rFonts w:ascii="Calibri" w:hAnsi="Calibri"/>
        </w:rPr>
        <w:tab/>
        <w:t>The systems of internal control are a significant part of the Scheme and are designed to manage risk to a reasonable level. They cannot eliminate all risk of failure to achieve policies, aims and objectives and can therefore only provide reasonable and not absolute assurance of effectiveness. The PCC has on-going processes designed to identify and prioritise risks to the achievement of the OPCC’s policies, aims and objectives, to evaluate the likelihood and potential impact of those risks being realised, and to manage them efficiently, effectively and economically.</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3.5</w:t>
      </w:r>
      <w:r w:rsidRPr="004E61BC">
        <w:rPr>
          <w:rFonts w:ascii="Calibri" w:hAnsi="Calibri"/>
        </w:rPr>
        <w:tab/>
        <w:t xml:space="preserve">Below, we set out how the OPCC demonstrates the seven principles of good governance in policing, as defined by the CIPFA Guidance Notes for Policing Bodies in England and Wales (2016 Edition).  </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b/>
        </w:rPr>
      </w:pPr>
      <w:r w:rsidRPr="00BE56C9">
        <w:rPr>
          <w:rFonts w:ascii="Calibri" w:hAnsi="Calibri"/>
        </w:rPr>
        <w:t>3.6</w:t>
      </w:r>
      <w:r>
        <w:rPr>
          <w:rFonts w:ascii="Calibri" w:hAnsi="Calibri"/>
          <w:b/>
        </w:rPr>
        <w:t xml:space="preserve"> </w:t>
      </w:r>
      <w:r>
        <w:rPr>
          <w:rFonts w:ascii="Calibri" w:hAnsi="Calibri"/>
          <w:b/>
        </w:rPr>
        <w:tab/>
      </w:r>
      <w:r w:rsidRPr="004E61BC">
        <w:rPr>
          <w:rFonts w:ascii="Calibri" w:hAnsi="Calibri"/>
          <w:b/>
        </w:rPr>
        <w:t>Principle A: Behaving with integrity, demonstrating strong commitment to ethical values, and respecting the rule of law:</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To achieve this principle, the PCC has:</w:t>
      </w:r>
    </w:p>
    <w:p w:rsidR="00763097" w:rsidRPr="004E61BC" w:rsidRDefault="00763097" w:rsidP="00763097">
      <w:pPr>
        <w:autoSpaceDE w:val="0"/>
        <w:ind w:left="1440" w:hanging="720"/>
        <w:jc w:val="both"/>
        <w:rPr>
          <w:rFonts w:ascii="Calibri" w:hAnsi="Calibri"/>
          <w:i/>
        </w:rPr>
      </w:pPr>
      <w:r w:rsidRPr="004E61BC">
        <w:rPr>
          <w:rFonts w:ascii="Calibri" w:hAnsi="Calibri"/>
        </w:rPr>
        <w:t>•</w:t>
      </w:r>
      <w:r w:rsidRPr="004E61BC">
        <w:rPr>
          <w:rFonts w:ascii="Calibri" w:hAnsi="Calibri"/>
        </w:rPr>
        <w:tab/>
      </w:r>
      <w:r w:rsidRPr="004E61BC">
        <w:rPr>
          <w:rFonts w:ascii="Calibri" w:hAnsi="Calibri"/>
          <w:i/>
        </w:rPr>
        <w:t xml:space="preserve">Ensured that the </w:t>
      </w:r>
      <w:r w:rsidRPr="004E61BC">
        <w:rPr>
          <w:rFonts w:ascii="Calibri" w:hAnsi="Calibri"/>
          <w:b/>
          <w:i/>
        </w:rPr>
        <w:t>Code of Ethics</w:t>
      </w:r>
      <w:r w:rsidRPr="004E61BC">
        <w:rPr>
          <w:rFonts w:ascii="Calibri" w:hAnsi="Calibri"/>
          <w:i/>
        </w:rPr>
        <w:t xml:space="preserve"> is embedded in the organisation</w:t>
      </w:r>
    </w:p>
    <w:p w:rsidR="00763097" w:rsidRPr="004E61BC" w:rsidRDefault="00763097" w:rsidP="00763097">
      <w:pPr>
        <w:autoSpaceDE w:val="0"/>
        <w:ind w:left="1440" w:hanging="720"/>
        <w:jc w:val="both"/>
        <w:rPr>
          <w:rFonts w:ascii="Calibri" w:hAnsi="Calibri"/>
          <w:i/>
        </w:rPr>
      </w:pPr>
      <w:r w:rsidRPr="004E61BC">
        <w:rPr>
          <w:rFonts w:ascii="Calibri" w:hAnsi="Calibri"/>
          <w:i/>
        </w:rPr>
        <w:t>•</w:t>
      </w:r>
      <w:r w:rsidRPr="004E61BC">
        <w:rPr>
          <w:rFonts w:ascii="Calibri" w:hAnsi="Calibri"/>
          <w:i/>
        </w:rPr>
        <w:tab/>
        <w:t>Been briefed on the Code of Ethics and s</w:t>
      </w:r>
      <w:r>
        <w:rPr>
          <w:rFonts w:ascii="Calibri" w:hAnsi="Calibri"/>
          <w:i/>
        </w:rPr>
        <w:t>igned up to an</w:t>
      </w:r>
      <w:r w:rsidRPr="005D4C2D">
        <w:rPr>
          <w:i/>
        </w:rPr>
        <w:t xml:space="preserve"> </w:t>
      </w:r>
      <w:hyperlink r:id="rId14" w:history="1">
        <w:r w:rsidRPr="004E61BC">
          <w:rPr>
            <w:rStyle w:val="Hyperlink"/>
            <w:i/>
            <w:sz w:val="18"/>
            <w:szCs w:val="18"/>
          </w:rPr>
          <w:t>Ethical Checklist</w:t>
        </w:r>
      </w:hyperlink>
    </w:p>
    <w:p w:rsidR="00763097" w:rsidRPr="004E61BC" w:rsidRDefault="00763097" w:rsidP="00763097">
      <w:pPr>
        <w:autoSpaceDE w:val="0"/>
        <w:ind w:left="1440" w:hanging="720"/>
        <w:jc w:val="both"/>
        <w:rPr>
          <w:rFonts w:ascii="Calibri" w:hAnsi="Calibri"/>
          <w:i/>
        </w:rPr>
      </w:pPr>
      <w:r w:rsidRPr="004E61BC">
        <w:rPr>
          <w:rFonts w:ascii="Calibri" w:hAnsi="Calibri"/>
          <w:i/>
        </w:rPr>
        <w:t>•</w:t>
      </w:r>
      <w:r w:rsidRPr="004E61BC">
        <w:rPr>
          <w:rFonts w:ascii="Calibri" w:hAnsi="Calibri"/>
          <w:i/>
        </w:rPr>
        <w:tab/>
        <w:t>Linked the</w:t>
      </w:r>
      <w:r>
        <w:rPr>
          <w:rFonts w:ascii="Calibri" w:hAnsi="Calibri"/>
          <w:i/>
        </w:rPr>
        <w:t xml:space="preserve"> </w:t>
      </w:r>
      <w:hyperlink r:id="rId15" w:history="1">
        <w:r w:rsidRPr="004E61BC">
          <w:rPr>
            <w:rStyle w:val="Hyperlink"/>
            <w:i/>
            <w:sz w:val="18"/>
            <w:szCs w:val="18"/>
          </w:rPr>
          <w:t>Police &amp; Crime Plan</w:t>
        </w:r>
      </w:hyperlink>
      <w:r w:rsidRPr="004E61BC">
        <w:rPr>
          <w:rFonts w:ascii="Calibri" w:hAnsi="Calibri"/>
          <w:i/>
        </w:rPr>
        <w:t xml:space="preserve"> to the Force’s ‘Plan on a Page’ to ensure shared values are communicated clearly across the organisation </w:t>
      </w:r>
    </w:p>
    <w:p w:rsidR="00763097" w:rsidRPr="004E61BC" w:rsidRDefault="00763097" w:rsidP="00763097">
      <w:pPr>
        <w:autoSpaceDE w:val="0"/>
        <w:ind w:left="1440" w:hanging="720"/>
        <w:jc w:val="both"/>
        <w:rPr>
          <w:rFonts w:ascii="Calibri" w:hAnsi="Calibri"/>
          <w:i/>
        </w:rPr>
      </w:pPr>
      <w:r w:rsidRPr="004E61BC">
        <w:rPr>
          <w:rFonts w:ascii="Calibri" w:hAnsi="Calibri"/>
          <w:i/>
        </w:rPr>
        <w:t>•</w:t>
      </w:r>
      <w:r w:rsidRPr="004E61BC">
        <w:rPr>
          <w:rFonts w:ascii="Calibri" w:hAnsi="Calibri"/>
          <w:i/>
        </w:rPr>
        <w:tab/>
        <w:t>Signed up to a</w:t>
      </w:r>
      <w:r>
        <w:rPr>
          <w:rFonts w:ascii="Calibri" w:hAnsi="Calibri"/>
          <w:i/>
        </w:rPr>
        <w:t xml:space="preserve"> </w:t>
      </w:r>
      <w:hyperlink r:id="rId16" w:history="1">
        <w:r w:rsidRPr="004E61BC">
          <w:rPr>
            <w:rStyle w:val="Hyperlink"/>
            <w:i/>
            <w:sz w:val="18"/>
            <w:szCs w:val="18"/>
          </w:rPr>
          <w:t>Concordat</w:t>
        </w:r>
      </w:hyperlink>
      <w:r w:rsidRPr="004E61BC">
        <w:rPr>
          <w:rFonts w:ascii="Calibri" w:hAnsi="Calibri"/>
          <w:i/>
        </w:rPr>
        <w:t xml:space="preserve"> with the Chief Constable, aligned to the Policing Protocol Order 2011, requiring abidance to the Seven Principles of Public Life (the Nolan Principles). The concordat highlights the expectation that the relationship between PCC and Chief Constable will be based on the principles of goodwill, professionalism, openness and trust </w:t>
      </w:r>
    </w:p>
    <w:p w:rsidR="00763097" w:rsidRPr="004E61BC" w:rsidRDefault="00763097" w:rsidP="00763097">
      <w:pPr>
        <w:autoSpaceDE w:val="0"/>
        <w:ind w:left="1440" w:hanging="720"/>
        <w:jc w:val="both"/>
        <w:rPr>
          <w:rFonts w:ascii="Calibri" w:hAnsi="Calibri"/>
          <w:i/>
        </w:rPr>
      </w:pPr>
      <w:r w:rsidRPr="004E61BC">
        <w:rPr>
          <w:rFonts w:ascii="Calibri" w:hAnsi="Calibri"/>
          <w:i/>
        </w:rPr>
        <w:t>•</w:t>
      </w:r>
      <w:r w:rsidRPr="004E61BC">
        <w:rPr>
          <w:rFonts w:ascii="Calibri" w:hAnsi="Calibri"/>
          <w:i/>
        </w:rPr>
        <w:tab/>
        <w:t xml:space="preserve">Taken the </w:t>
      </w:r>
      <w:r w:rsidRPr="004E61BC">
        <w:rPr>
          <w:rFonts w:ascii="Calibri" w:hAnsi="Calibri"/>
          <w:b/>
          <w:i/>
        </w:rPr>
        <w:t>Oath of Office</w:t>
      </w:r>
      <w:r w:rsidRPr="004E61BC">
        <w:rPr>
          <w:rFonts w:ascii="Calibri" w:hAnsi="Calibri"/>
          <w:i/>
        </w:rPr>
        <w:t xml:space="preserve"> on the day of election</w:t>
      </w:r>
    </w:p>
    <w:p w:rsidR="00763097" w:rsidRPr="004E61BC" w:rsidRDefault="00763097" w:rsidP="00763097">
      <w:pPr>
        <w:autoSpaceDE w:val="0"/>
        <w:ind w:left="1440" w:hanging="720"/>
        <w:jc w:val="both"/>
        <w:rPr>
          <w:rFonts w:ascii="Calibri" w:hAnsi="Calibri"/>
          <w:i/>
        </w:rPr>
      </w:pPr>
      <w:r w:rsidRPr="004E61BC">
        <w:rPr>
          <w:rFonts w:ascii="Calibri" w:hAnsi="Calibri"/>
          <w:i/>
        </w:rPr>
        <w:t>•</w:t>
      </w:r>
      <w:r w:rsidRPr="004E61BC">
        <w:rPr>
          <w:rFonts w:ascii="Calibri" w:hAnsi="Calibri"/>
          <w:i/>
        </w:rPr>
        <w:tab/>
        <w:t>Signed up to a voluntary</w:t>
      </w:r>
      <w:r>
        <w:rPr>
          <w:rFonts w:ascii="Calibri" w:hAnsi="Calibri"/>
          <w:i/>
        </w:rPr>
        <w:t xml:space="preserve"> </w:t>
      </w:r>
      <w:hyperlink r:id="rId17" w:history="1">
        <w:r w:rsidRPr="004E61BC">
          <w:rPr>
            <w:rStyle w:val="Hyperlink"/>
            <w:i/>
            <w:sz w:val="18"/>
            <w:szCs w:val="18"/>
          </w:rPr>
          <w:t>Code of Conduct</w:t>
        </w:r>
      </w:hyperlink>
      <w:r w:rsidRPr="004E61BC">
        <w:rPr>
          <w:rFonts w:ascii="Calibri" w:hAnsi="Calibri"/>
          <w:i/>
        </w:rPr>
        <w:t xml:space="preserve"> </w:t>
      </w:r>
    </w:p>
    <w:p w:rsidR="00763097" w:rsidRPr="00BE56C9" w:rsidRDefault="00763097" w:rsidP="00763097">
      <w:pPr>
        <w:autoSpaceDE w:val="0"/>
        <w:ind w:left="1440" w:hanging="720"/>
        <w:jc w:val="both"/>
        <w:rPr>
          <w:rFonts w:ascii="Calibri" w:hAnsi="Calibri"/>
          <w:i/>
        </w:rPr>
      </w:pPr>
      <w:r w:rsidRPr="004E61BC">
        <w:rPr>
          <w:rFonts w:ascii="Calibri" w:hAnsi="Calibri"/>
          <w:i/>
        </w:rPr>
        <w:t>•</w:t>
      </w:r>
      <w:r w:rsidRPr="004E61BC">
        <w:rPr>
          <w:rFonts w:ascii="Calibri" w:hAnsi="Calibri"/>
          <w:i/>
        </w:rPr>
        <w:tab/>
        <w:t xml:space="preserve">Published </w:t>
      </w:r>
      <w:hyperlink r:id="rId18" w:history="1">
        <w:r w:rsidRPr="00BE56C9">
          <w:rPr>
            <w:rStyle w:val="Hyperlink"/>
            <w:i/>
            <w:sz w:val="18"/>
            <w:szCs w:val="18"/>
          </w:rPr>
          <w:t>Registers of interests</w:t>
        </w:r>
      </w:hyperlink>
      <w:r>
        <w:rPr>
          <w:rFonts w:ascii="Calibri" w:hAnsi="Calibri"/>
          <w:i/>
        </w:rPr>
        <w:t xml:space="preserve"> </w:t>
      </w:r>
      <w:r w:rsidRPr="004E61BC">
        <w:rPr>
          <w:rFonts w:ascii="Calibri" w:hAnsi="Calibri"/>
          <w:i/>
        </w:rPr>
        <w:t xml:space="preserve">and records of gifts, hospitalities and expenses for the PCC, </w:t>
      </w:r>
      <w:r w:rsidRPr="00BE56C9">
        <w:rPr>
          <w:rFonts w:ascii="Calibri" w:hAnsi="Calibri"/>
          <w:i/>
        </w:rPr>
        <w:t>Chief Officers and relevant staff and shared these with the Audit Committee</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Ensured that all staff have clear objectives and up-to-date Performance Development Reviews (PDRs) and job descriptions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As part of his </w:t>
      </w:r>
      <w:r w:rsidRPr="00BE56C9">
        <w:rPr>
          <w:rFonts w:ascii="Calibri" w:hAnsi="Calibri"/>
          <w:b/>
          <w:i/>
        </w:rPr>
        <w:t>governance arrangements</w:t>
      </w:r>
      <w:r w:rsidRPr="00BE56C9">
        <w:rPr>
          <w:rFonts w:ascii="Calibri" w:hAnsi="Calibri"/>
          <w:i/>
        </w:rPr>
        <w:t xml:space="preserve">, put in place a regular performance meeting which allows the PCC to hold the Chief Constable to account against the priorities of the Police &amp; Crime Plan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Provided responses to all HMICFRS reports which make a recommendation for Surrey or the police service nationally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Kept </w:t>
      </w:r>
      <w:r w:rsidRPr="00BE56C9">
        <w:rPr>
          <w:rFonts w:ascii="Calibri" w:hAnsi="Calibri"/>
          <w:b/>
          <w:i/>
        </w:rPr>
        <w:t>Anti-fraud and corruption policies</w:t>
      </w:r>
      <w:r w:rsidRPr="00BE56C9">
        <w:rPr>
          <w:rFonts w:ascii="Calibri" w:hAnsi="Calibri"/>
          <w:i/>
        </w:rPr>
        <w:t xml:space="preserve"> up-to-date and under review by the Audit Committee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Ensured that the OPCC has an up-to-date</w:t>
      </w:r>
      <w:r>
        <w:rPr>
          <w:rFonts w:ascii="Calibri" w:hAnsi="Calibri"/>
          <w:i/>
        </w:rPr>
        <w:t xml:space="preserve"> </w:t>
      </w:r>
      <w:hyperlink r:id="rId19" w:history="1">
        <w:r w:rsidRPr="00BE56C9">
          <w:rPr>
            <w:rStyle w:val="Hyperlink"/>
            <w:i/>
            <w:sz w:val="18"/>
            <w:szCs w:val="18"/>
          </w:rPr>
          <w:t>Freedom of Information</w:t>
        </w:r>
      </w:hyperlink>
      <w:r w:rsidRPr="00BE56C9">
        <w:rPr>
          <w:rFonts w:ascii="Calibri" w:hAnsi="Calibri"/>
          <w:i/>
        </w:rPr>
        <w:t xml:space="preserve"> Act </w:t>
      </w:r>
      <w:r w:rsidRPr="00BE56C9">
        <w:rPr>
          <w:rFonts w:ascii="Calibri" w:hAnsi="Calibri"/>
          <w:b/>
          <w:i/>
        </w:rPr>
        <w:t>Publication Scheme</w:t>
      </w:r>
      <w:r w:rsidRPr="00BE56C9">
        <w:rPr>
          <w:rFonts w:ascii="Calibri" w:hAnsi="Calibri"/>
          <w:i/>
        </w:rPr>
        <w:t xml:space="preserve"> and is compliant with new requirements for the General Data Protection Regulations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Put </w:t>
      </w:r>
      <w:r w:rsidRPr="00BE56C9">
        <w:rPr>
          <w:rFonts w:ascii="Calibri" w:hAnsi="Calibri"/>
          <w:b/>
          <w:i/>
        </w:rPr>
        <w:t>Whistle-blowing</w:t>
      </w:r>
      <w:r w:rsidRPr="00BE56C9">
        <w:rPr>
          <w:rFonts w:ascii="Calibri" w:hAnsi="Calibri"/>
          <w:i/>
        </w:rPr>
        <w:t xml:space="preserve"> policies in place that are published and subject to review by the Audit Committee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Published policies and procedures on</w:t>
      </w:r>
      <w:r>
        <w:rPr>
          <w:rFonts w:ascii="Calibri" w:hAnsi="Calibri"/>
          <w:i/>
        </w:rPr>
        <w:t xml:space="preserve"> </w:t>
      </w:r>
      <w:hyperlink r:id="rId20" w:history="1">
        <w:r w:rsidRPr="00BE56C9">
          <w:rPr>
            <w:rStyle w:val="Hyperlink"/>
            <w:i/>
            <w:sz w:val="18"/>
            <w:szCs w:val="18"/>
          </w:rPr>
          <w:t>complaints</w:t>
        </w:r>
      </w:hyperlink>
      <w:r w:rsidRPr="00BE56C9">
        <w:rPr>
          <w:rFonts w:ascii="Calibri" w:hAnsi="Calibri"/>
          <w:i/>
        </w:rPr>
        <w:t xml:space="preserve"> on our website and reviewed wider arrangements for the handling of complaints given the new provisions of the Policing and Crime Act 2017 (came into effect in February 2020)</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Put in place arrangements for the </w:t>
      </w:r>
      <w:r w:rsidRPr="00BE56C9">
        <w:rPr>
          <w:rFonts w:ascii="Calibri" w:hAnsi="Calibri"/>
          <w:b/>
          <w:i/>
        </w:rPr>
        <w:t>oversight of professional standards</w:t>
      </w:r>
      <w:r w:rsidRPr="00BE56C9">
        <w:rPr>
          <w:rFonts w:ascii="Calibri" w:hAnsi="Calibri"/>
          <w:i/>
        </w:rPr>
        <w:t xml:space="preserve"> and dip checking of complaints files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Run an effective</w:t>
      </w:r>
      <w:r>
        <w:rPr>
          <w:rFonts w:ascii="Calibri" w:hAnsi="Calibri"/>
          <w:i/>
        </w:rPr>
        <w:t xml:space="preserve"> </w:t>
      </w:r>
      <w:hyperlink r:id="rId21" w:history="1">
        <w:r w:rsidRPr="00BE56C9">
          <w:rPr>
            <w:rStyle w:val="Hyperlink"/>
            <w:i/>
            <w:sz w:val="18"/>
            <w:szCs w:val="18"/>
          </w:rPr>
          <w:t>Independent Custody Visitors Scheme</w:t>
        </w:r>
      </w:hyperlink>
      <w:r w:rsidRPr="00BE56C9">
        <w:rPr>
          <w:rFonts w:ascii="Calibri" w:hAnsi="Calibri"/>
          <w:i/>
        </w:rPr>
        <w:t xml:space="preserve"> which ensures the welfare of those detained in police custody and subjected the scheme to peer assessment</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Taken on a </w:t>
      </w:r>
      <w:r w:rsidRPr="00BE56C9">
        <w:rPr>
          <w:rFonts w:ascii="Calibri" w:hAnsi="Calibri"/>
          <w:b/>
          <w:i/>
        </w:rPr>
        <w:t>national portfolio lead</w:t>
      </w:r>
      <w:r w:rsidRPr="00BE56C9">
        <w:rPr>
          <w:rFonts w:ascii="Calibri" w:hAnsi="Calibri"/>
          <w:i/>
        </w:rPr>
        <w:t xml:space="preserve"> for issues of equality, diversity and human rights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Employed a Chief Executive who undertakes the responsibilities of </w:t>
      </w:r>
      <w:r w:rsidRPr="00BE56C9">
        <w:rPr>
          <w:rFonts w:ascii="Calibri" w:hAnsi="Calibri"/>
          <w:b/>
          <w:i/>
        </w:rPr>
        <w:t>Monitoring Officer</w:t>
      </w:r>
    </w:p>
    <w:p w:rsidR="00763097" w:rsidRPr="004E61BC" w:rsidRDefault="00763097" w:rsidP="00763097">
      <w:pPr>
        <w:autoSpaceDE w:val="0"/>
        <w:ind w:left="720" w:hanging="720"/>
        <w:jc w:val="both"/>
        <w:rPr>
          <w:rFonts w:ascii="Calibri" w:hAnsi="Calibri"/>
        </w:rPr>
      </w:pPr>
    </w:p>
    <w:p w:rsidR="00763097" w:rsidRPr="00BE56C9" w:rsidRDefault="00763097" w:rsidP="00763097">
      <w:pPr>
        <w:autoSpaceDE w:val="0"/>
        <w:ind w:left="720" w:hanging="720"/>
        <w:jc w:val="both"/>
        <w:rPr>
          <w:rFonts w:ascii="Calibri" w:hAnsi="Calibri"/>
          <w:b/>
        </w:rPr>
      </w:pPr>
      <w:r w:rsidRPr="00737289">
        <w:rPr>
          <w:rFonts w:ascii="Calibri" w:hAnsi="Calibri"/>
        </w:rPr>
        <w:t>3.7</w:t>
      </w:r>
      <w:r w:rsidRPr="00737289">
        <w:rPr>
          <w:rFonts w:ascii="Calibri" w:hAnsi="Calibri"/>
        </w:rPr>
        <w:tab/>
      </w:r>
      <w:r w:rsidRPr="00BE56C9">
        <w:rPr>
          <w:rFonts w:ascii="Calibri" w:hAnsi="Calibri"/>
          <w:b/>
        </w:rPr>
        <w:t>Principle B: Ensuring openness and comprehensive stakeholder engagement:</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 xml:space="preserve">To achieve this principle, the PCC has: </w:t>
      </w:r>
    </w:p>
    <w:p w:rsidR="00763097" w:rsidRPr="00BE56C9" w:rsidRDefault="00763097" w:rsidP="00763097">
      <w:pPr>
        <w:autoSpaceDE w:val="0"/>
        <w:ind w:left="1440" w:hanging="720"/>
        <w:jc w:val="both"/>
        <w:rPr>
          <w:rFonts w:ascii="Calibri" w:hAnsi="Calibri"/>
          <w:i/>
        </w:rPr>
      </w:pPr>
      <w:r w:rsidRPr="004E61BC">
        <w:rPr>
          <w:rFonts w:ascii="Calibri" w:hAnsi="Calibri"/>
        </w:rPr>
        <w:t>•</w:t>
      </w:r>
      <w:r w:rsidRPr="004E61BC">
        <w:rPr>
          <w:rFonts w:ascii="Calibri" w:hAnsi="Calibri"/>
        </w:rPr>
        <w:tab/>
      </w:r>
      <w:r w:rsidRPr="00BE56C9">
        <w:rPr>
          <w:rFonts w:ascii="Calibri" w:hAnsi="Calibri"/>
          <w:i/>
        </w:rPr>
        <w:t xml:space="preserve">Published his </w:t>
      </w:r>
      <w:r w:rsidRPr="00BE56C9">
        <w:rPr>
          <w:rFonts w:ascii="Calibri" w:hAnsi="Calibri"/>
          <w:b/>
          <w:i/>
        </w:rPr>
        <w:t>Police &amp; Crime Plan</w:t>
      </w:r>
      <w:r w:rsidRPr="00BE56C9">
        <w:rPr>
          <w:rFonts w:ascii="Calibri" w:hAnsi="Calibri"/>
          <w:i/>
        </w:rPr>
        <w:t xml:space="preserve"> which clearly sets out the strategic direction and objectives for Surrey and how they will be delivered</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Published an </w:t>
      </w:r>
      <w:r w:rsidRPr="00BE56C9">
        <w:rPr>
          <w:rFonts w:ascii="Calibri" w:hAnsi="Calibri"/>
          <w:b/>
          <w:i/>
        </w:rPr>
        <w:t>Annual Report</w:t>
      </w:r>
      <w:r w:rsidRPr="00BE56C9">
        <w:rPr>
          <w:rFonts w:ascii="Calibri" w:hAnsi="Calibri"/>
          <w:i/>
        </w:rPr>
        <w:t xml:space="preserve"> against his plan which was approved by the Police &amp; Crime Panel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Undertaken a </w:t>
      </w:r>
      <w:r w:rsidRPr="00BE56C9">
        <w:rPr>
          <w:rFonts w:ascii="Calibri" w:hAnsi="Calibri"/>
          <w:b/>
          <w:i/>
        </w:rPr>
        <w:t>survey</w:t>
      </w:r>
      <w:r w:rsidRPr="00BE56C9">
        <w:rPr>
          <w:rFonts w:ascii="Calibri" w:hAnsi="Calibri"/>
          <w:i/>
        </w:rPr>
        <w:t xml:space="preserve"> prior to setting the council tax precept and published results on his website</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Held a </w:t>
      </w:r>
      <w:r w:rsidRPr="00BE56C9">
        <w:rPr>
          <w:rFonts w:ascii="Calibri" w:hAnsi="Calibri"/>
          <w:b/>
          <w:i/>
        </w:rPr>
        <w:t>series of public engagement events</w:t>
      </w:r>
      <w:r w:rsidRPr="00BE56C9">
        <w:rPr>
          <w:rFonts w:ascii="Calibri" w:hAnsi="Calibri"/>
          <w:i/>
        </w:rPr>
        <w:t xml:space="preserve"> to determine public views on the allocation of additional resource which will be funded via the increase in council tax precept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Fostered good working relationships with the </w:t>
      </w:r>
      <w:r w:rsidRPr="00BE56C9">
        <w:rPr>
          <w:rFonts w:ascii="Calibri" w:hAnsi="Calibri"/>
          <w:b/>
          <w:i/>
        </w:rPr>
        <w:t>Police &amp; Crime Panel</w:t>
      </w:r>
      <w:r w:rsidRPr="00BE56C9">
        <w:rPr>
          <w:rFonts w:ascii="Calibri" w:hAnsi="Calibri"/>
          <w:i/>
        </w:rPr>
        <w:t xml:space="preserve">, constituent local authorities and other partners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Made a series of visits to a wide range of partner organisations, community groups and residents associations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Developed an accessible and engaging </w:t>
      </w:r>
      <w:r w:rsidRPr="00BE56C9">
        <w:rPr>
          <w:rFonts w:ascii="Calibri" w:hAnsi="Calibri"/>
          <w:b/>
          <w:i/>
        </w:rPr>
        <w:t>public website</w:t>
      </w:r>
      <w:r w:rsidRPr="00BE56C9">
        <w:rPr>
          <w:rFonts w:ascii="Calibri" w:hAnsi="Calibri"/>
          <w:i/>
        </w:rPr>
        <w:t xml:space="preserve"> and social/digital media channels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Held regular</w:t>
      </w:r>
      <w:r>
        <w:rPr>
          <w:rFonts w:ascii="Calibri" w:hAnsi="Calibri"/>
          <w:i/>
        </w:rPr>
        <w:t xml:space="preserve"> </w:t>
      </w:r>
      <w:hyperlink r:id="rId22" w:history="1">
        <w:r w:rsidRPr="00BE56C9">
          <w:rPr>
            <w:rStyle w:val="Hyperlink"/>
            <w:i/>
            <w:sz w:val="18"/>
            <w:szCs w:val="18"/>
          </w:rPr>
          <w:t>webcast performance meetings</w:t>
        </w:r>
      </w:hyperlink>
      <w:r w:rsidRPr="00BE56C9">
        <w:rPr>
          <w:rFonts w:ascii="Calibri" w:hAnsi="Calibri"/>
          <w:i/>
        </w:rPr>
        <w:t xml:space="preserve"> which can be viewed by the public with papers published on the OPCC’s website</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Discharged his statutory, reciprocal duty with responsible authorities to co-operate to reduce crime, disorder and re-offending through good governance arrangements with partner agencies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Provided chairmanship of the Local Criminal Justice Partnership and Community Safety Board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Engaged with </w:t>
      </w:r>
      <w:r w:rsidRPr="00BE56C9">
        <w:rPr>
          <w:rFonts w:ascii="Calibri" w:hAnsi="Calibri"/>
          <w:b/>
          <w:i/>
        </w:rPr>
        <w:t>partnerships</w:t>
      </w:r>
      <w:r w:rsidRPr="00BE56C9">
        <w:rPr>
          <w:rFonts w:ascii="Calibri" w:hAnsi="Calibri"/>
          <w:i/>
        </w:rPr>
        <w:t xml:space="preserve"> at a national level (e.g. taken a national lead on equality and diversity issues), at a regional level (e.g. South East collaboration board) as well as at a local level</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Signed up to a number of </w:t>
      </w:r>
      <w:r w:rsidRPr="00BE56C9">
        <w:rPr>
          <w:rFonts w:ascii="Calibri" w:hAnsi="Calibri"/>
          <w:b/>
          <w:i/>
        </w:rPr>
        <w:t>Collaboration agreements</w:t>
      </w:r>
      <w:r w:rsidRPr="00BE56C9">
        <w:rPr>
          <w:rFonts w:ascii="Calibri" w:hAnsi="Calibri"/>
          <w:i/>
        </w:rPr>
        <w:t xml:space="preserve"> to set out those areas of business to be undertaken jointly with other Forces and Local Policing Bodies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Responded to </w:t>
      </w:r>
      <w:r w:rsidRPr="00BE56C9">
        <w:rPr>
          <w:rFonts w:ascii="Calibri" w:hAnsi="Calibri"/>
          <w:b/>
          <w:i/>
        </w:rPr>
        <w:t>national consultations</w:t>
      </w:r>
      <w:r w:rsidRPr="00BE56C9">
        <w:rPr>
          <w:rFonts w:ascii="Calibri" w:hAnsi="Calibri"/>
          <w:i/>
        </w:rPr>
        <w:t xml:space="preserve"> where appropriate, for example through the Association of PCCs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Published a </w:t>
      </w:r>
      <w:r w:rsidRPr="00BE56C9">
        <w:rPr>
          <w:rFonts w:ascii="Calibri" w:hAnsi="Calibri"/>
          <w:b/>
          <w:i/>
        </w:rPr>
        <w:t>commissioning and grants strategy</w:t>
      </w:r>
      <w:r w:rsidRPr="00BE56C9">
        <w:rPr>
          <w:rFonts w:ascii="Calibri" w:hAnsi="Calibri"/>
          <w:i/>
        </w:rPr>
        <w:t xml:space="preserve"> to set the framework for how he will focus resources and work with partners and a</w:t>
      </w:r>
      <w:r>
        <w:rPr>
          <w:rFonts w:ascii="Calibri" w:hAnsi="Calibri"/>
          <w:i/>
        </w:rPr>
        <w:t xml:space="preserve"> </w:t>
      </w:r>
      <w:hyperlink r:id="rId23" w:history="1">
        <w:r w:rsidRPr="00BE56C9">
          <w:rPr>
            <w:rStyle w:val="Hyperlink"/>
            <w:i/>
            <w:sz w:val="18"/>
            <w:szCs w:val="18"/>
          </w:rPr>
          <w:t>funding hub</w:t>
        </w:r>
      </w:hyperlink>
      <w:r w:rsidRPr="00BE56C9">
        <w:rPr>
          <w:rFonts w:ascii="Calibri" w:hAnsi="Calibri"/>
          <w:i/>
        </w:rPr>
        <w:t xml:space="preserve"> to provide information on how monies have been spent</w:t>
      </w:r>
    </w:p>
    <w:p w:rsidR="00763097" w:rsidRPr="004E61BC" w:rsidRDefault="00763097" w:rsidP="00763097">
      <w:pPr>
        <w:autoSpaceDE w:val="0"/>
        <w:ind w:left="1440" w:hanging="720"/>
        <w:jc w:val="both"/>
        <w:rPr>
          <w:rFonts w:ascii="Calibri" w:hAnsi="Calibri"/>
        </w:rPr>
      </w:pPr>
      <w:r w:rsidRPr="00BE56C9">
        <w:rPr>
          <w:rFonts w:ascii="Calibri" w:hAnsi="Calibri"/>
          <w:i/>
        </w:rPr>
        <w:t>•</w:t>
      </w:r>
      <w:r w:rsidRPr="00BE56C9">
        <w:rPr>
          <w:rFonts w:ascii="Calibri" w:hAnsi="Calibri"/>
          <w:i/>
        </w:rPr>
        <w:tab/>
        <w:t xml:space="preserve">Played an active role in the </w:t>
      </w:r>
      <w:r w:rsidRPr="00BE56C9">
        <w:rPr>
          <w:rFonts w:ascii="Calibri" w:hAnsi="Calibri"/>
          <w:b/>
          <w:i/>
        </w:rPr>
        <w:t>Independent Advisory Group</w:t>
      </w:r>
      <w:r w:rsidRPr="00BE56C9">
        <w:rPr>
          <w:rFonts w:ascii="Calibri" w:hAnsi="Calibri"/>
          <w:i/>
        </w:rPr>
        <w:t xml:space="preserve"> and taken a national lead on issues around equality and diversity</w:t>
      </w:r>
    </w:p>
    <w:p w:rsidR="00763097" w:rsidRPr="004E61BC" w:rsidRDefault="00763097" w:rsidP="00763097">
      <w:pPr>
        <w:autoSpaceDE w:val="0"/>
        <w:ind w:left="720" w:hanging="720"/>
        <w:jc w:val="both"/>
        <w:rPr>
          <w:rFonts w:ascii="Calibri" w:hAnsi="Calibri"/>
        </w:rPr>
      </w:pPr>
    </w:p>
    <w:p w:rsidR="00763097" w:rsidRPr="00BE56C9" w:rsidRDefault="00763097" w:rsidP="00763097">
      <w:pPr>
        <w:autoSpaceDE w:val="0"/>
        <w:ind w:left="720" w:hanging="720"/>
        <w:jc w:val="both"/>
        <w:rPr>
          <w:rFonts w:ascii="Calibri" w:hAnsi="Calibri"/>
          <w:b/>
        </w:rPr>
      </w:pPr>
      <w:r w:rsidRPr="00737289">
        <w:rPr>
          <w:rFonts w:ascii="Calibri" w:hAnsi="Calibri"/>
        </w:rPr>
        <w:t>3.8</w:t>
      </w:r>
      <w:r>
        <w:rPr>
          <w:rFonts w:ascii="Calibri" w:hAnsi="Calibri"/>
          <w:b/>
        </w:rPr>
        <w:t xml:space="preserve"> </w:t>
      </w:r>
      <w:r>
        <w:rPr>
          <w:rFonts w:ascii="Calibri" w:hAnsi="Calibri"/>
          <w:b/>
        </w:rPr>
        <w:tab/>
      </w:r>
      <w:r w:rsidRPr="00BE56C9">
        <w:rPr>
          <w:rFonts w:ascii="Calibri" w:hAnsi="Calibri"/>
          <w:b/>
        </w:rPr>
        <w:t>Principle C: Defining outcomes in terms of sustainable economic, social and environmental benefits</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To achieve this principle, the PCC has:</w:t>
      </w:r>
    </w:p>
    <w:p w:rsidR="00763097" w:rsidRPr="00BE56C9" w:rsidRDefault="00763097" w:rsidP="00763097">
      <w:pPr>
        <w:autoSpaceDE w:val="0"/>
        <w:ind w:left="1440" w:hanging="720"/>
        <w:jc w:val="both"/>
        <w:rPr>
          <w:rFonts w:ascii="Calibri" w:hAnsi="Calibri"/>
          <w:i/>
        </w:rPr>
      </w:pPr>
      <w:r w:rsidRPr="004E61BC">
        <w:rPr>
          <w:rFonts w:ascii="Calibri" w:hAnsi="Calibri"/>
        </w:rPr>
        <w:t>•</w:t>
      </w:r>
      <w:r w:rsidRPr="004E61BC">
        <w:rPr>
          <w:rFonts w:ascii="Calibri" w:hAnsi="Calibri"/>
        </w:rPr>
        <w:tab/>
      </w:r>
      <w:r w:rsidRPr="00BE56C9">
        <w:rPr>
          <w:rFonts w:ascii="Calibri" w:hAnsi="Calibri"/>
          <w:i/>
        </w:rPr>
        <w:t xml:space="preserve">Ensured that the Force’s </w:t>
      </w:r>
      <w:r w:rsidRPr="00BE56C9">
        <w:rPr>
          <w:rFonts w:ascii="Calibri" w:hAnsi="Calibri"/>
          <w:b/>
          <w:i/>
        </w:rPr>
        <w:t>Vision and Mission</w:t>
      </w:r>
      <w:r w:rsidRPr="00BE56C9">
        <w:rPr>
          <w:rFonts w:ascii="Calibri" w:hAnsi="Calibri"/>
          <w:i/>
        </w:rPr>
        <w:t xml:space="preserve"> document is used as a basis for corporate and service planning and is linked to the Police &amp; Crime Plan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Established </w:t>
      </w:r>
      <w:r w:rsidRPr="00BE56C9">
        <w:rPr>
          <w:rFonts w:ascii="Calibri" w:hAnsi="Calibri"/>
          <w:b/>
          <w:i/>
        </w:rPr>
        <w:t>performance measures</w:t>
      </w:r>
      <w:r w:rsidRPr="00BE56C9">
        <w:rPr>
          <w:rFonts w:ascii="Calibri" w:hAnsi="Calibri"/>
          <w:i/>
        </w:rPr>
        <w:t xml:space="preserve"> and governance structures that allow the PCC and Surrey Police to assess progress against their objectives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Kept the </w:t>
      </w:r>
      <w:r w:rsidRPr="00BE56C9">
        <w:rPr>
          <w:rFonts w:ascii="Calibri" w:hAnsi="Calibri"/>
          <w:b/>
          <w:i/>
        </w:rPr>
        <w:t>Medium Term Financial Plan</w:t>
      </w:r>
      <w:r w:rsidRPr="00BE56C9">
        <w:rPr>
          <w:rFonts w:ascii="Calibri" w:hAnsi="Calibri"/>
          <w:i/>
        </w:rPr>
        <w:t xml:space="preserve"> under regular review</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Ensured that reviews of </w:t>
      </w:r>
      <w:r w:rsidRPr="00BE56C9">
        <w:rPr>
          <w:rFonts w:ascii="Calibri" w:hAnsi="Calibri"/>
          <w:b/>
          <w:i/>
        </w:rPr>
        <w:t>capital investment</w:t>
      </w:r>
      <w:r w:rsidRPr="00BE56C9">
        <w:rPr>
          <w:rFonts w:ascii="Calibri" w:hAnsi="Calibri"/>
          <w:i/>
        </w:rPr>
        <w:t xml:space="preserve"> plans are undertaken to achieve appropriate lifespans and adaptability for future use</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Sought assurance that projects are subject to sound </w:t>
      </w:r>
      <w:r w:rsidRPr="00BE56C9">
        <w:rPr>
          <w:rFonts w:ascii="Calibri" w:hAnsi="Calibri"/>
          <w:b/>
          <w:i/>
        </w:rPr>
        <w:t>business cases</w:t>
      </w:r>
      <w:r w:rsidRPr="00BE56C9">
        <w:rPr>
          <w:rFonts w:ascii="Calibri" w:hAnsi="Calibri"/>
          <w:i/>
        </w:rPr>
        <w:t xml:space="preserve"> with appropriate ‘gateway’ sign-off points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Subjected key strategic projects, e.g. the ERP system and estates strategy, to specific and expert oversight arrangements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Commissioned and developed </w:t>
      </w:r>
      <w:r w:rsidRPr="00BE56C9">
        <w:rPr>
          <w:rFonts w:ascii="Calibri" w:hAnsi="Calibri"/>
          <w:b/>
          <w:i/>
        </w:rPr>
        <w:t>services for adults, children and young people</w:t>
      </w:r>
      <w:r w:rsidRPr="00BE56C9">
        <w:rPr>
          <w:rFonts w:ascii="Calibri" w:hAnsi="Calibri"/>
          <w:i/>
        </w:rPr>
        <w:t xml:space="preserve"> in Surrey that are informed by needs analysis and aligned to Police and Crime Plan and commissioning strategy</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Developed partnerships between Surrey Police and private and public sector partners to jointly tackle problems, for example promoting partnership working in tackling Modern Slavery</w:t>
      </w:r>
    </w:p>
    <w:p w:rsidR="00763097" w:rsidRPr="004E61BC" w:rsidRDefault="00763097" w:rsidP="00763097">
      <w:pPr>
        <w:autoSpaceDE w:val="0"/>
        <w:ind w:left="1440" w:hanging="720"/>
        <w:jc w:val="both"/>
        <w:rPr>
          <w:rFonts w:ascii="Calibri" w:hAnsi="Calibri"/>
        </w:rPr>
      </w:pPr>
      <w:r w:rsidRPr="00BE56C9">
        <w:rPr>
          <w:rFonts w:ascii="Calibri" w:hAnsi="Calibri"/>
          <w:i/>
        </w:rPr>
        <w:t>•</w:t>
      </w:r>
      <w:r w:rsidRPr="00BE56C9">
        <w:rPr>
          <w:rFonts w:ascii="Calibri" w:hAnsi="Calibri"/>
          <w:i/>
        </w:rPr>
        <w:tab/>
        <w:t xml:space="preserve">Held an </w:t>
      </w:r>
      <w:r w:rsidRPr="00BE56C9">
        <w:rPr>
          <w:rFonts w:ascii="Calibri" w:hAnsi="Calibri"/>
          <w:b/>
          <w:i/>
        </w:rPr>
        <w:t>efficiency review</w:t>
      </w:r>
      <w:r w:rsidRPr="00BE56C9">
        <w:rPr>
          <w:rFonts w:ascii="Calibri" w:hAnsi="Calibri"/>
          <w:i/>
        </w:rPr>
        <w:t xml:space="preserve"> of Surrey Police and the OPCC </w:t>
      </w:r>
    </w:p>
    <w:p w:rsidR="00763097" w:rsidRPr="004E61BC" w:rsidRDefault="00763097" w:rsidP="00763097">
      <w:pPr>
        <w:autoSpaceDE w:val="0"/>
        <w:ind w:left="720" w:hanging="720"/>
        <w:jc w:val="both"/>
        <w:rPr>
          <w:rFonts w:ascii="Calibri" w:hAnsi="Calibri"/>
        </w:rPr>
      </w:pPr>
    </w:p>
    <w:p w:rsidR="00763097" w:rsidRPr="00BE56C9" w:rsidRDefault="00763097" w:rsidP="00763097">
      <w:pPr>
        <w:autoSpaceDE w:val="0"/>
        <w:ind w:left="720" w:hanging="720"/>
        <w:jc w:val="both"/>
        <w:rPr>
          <w:rFonts w:ascii="Calibri" w:hAnsi="Calibri"/>
          <w:b/>
        </w:rPr>
      </w:pPr>
      <w:r>
        <w:rPr>
          <w:rFonts w:ascii="Calibri" w:hAnsi="Calibri"/>
        </w:rPr>
        <w:t>3.9</w:t>
      </w:r>
      <w:r>
        <w:rPr>
          <w:rFonts w:ascii="Calibri" w:hAnsi="Calibri"/>
        </w:rPr>
        <w:tab/>
      </w:r>
      <w:r w:rsidRPr="00BE56C9">
        <w:rPr>
          <w:rFonts w:ascii="Calibri" w:hAnsi="Calibri"/>
          <w:b/>
        </w:rPr>
        <w:t>Principle D:  Determining the interventions necessary to optimise the achievement of the intended outcomes:</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To achieve this principle, the PCC has:</w:t>
      </w:r>
    </w:p>
    <w:p w:rsidR="00763097" w:rsidRPr="00BE56C9" w:rsidRDefault="00763097" w:rsidP="00763097">
      <w:pPr>
        <w:autoSpaceDE w:val="0"/>
        <w:ind w:left="1440" w:hanging="720"/>
        <w:jc w:val="both"/>
        <w:rPr>
          <w:rFonts w:ascii="Calibri" w:hAnsi="Calibri"/>
          <w:i/>
        </w:rPr>
      </w:pPr>
      <w:r w:rsidRPr="004E61BC">
        <w:rPr>
          <w:rFonts w:ascii="Calibri" w:hAnsi="Calibri"/>
        </w:rPr>
        <w:t>•</w:t>
      </w:r>
      <w:r w:rsidRPr="004E61BC">
        <w:rPr>
          <w:rFonts w:ascii="Calibri" w:hAnsi="Calibri"/>
        </w:rPr>
        <w:tab/>
      </w:r>
      <w:r w:rsidRPr="00BE56C9">
        <w:rPr>
          <w:rFonts w:ascii="Calibri" w:hAnsi="Calibri"/>
          <w:i/>
        </w:rPr>
        <w:t xml:space="preserve">Undertaken an annual review of the </w:t>
      </w:r>
      <w:r w:rsidRPr="00BE56C9">
        <w:rPr>
          <w:rFonts w:ascii="Calibri" w:hAnsi="Calibri"/>
          <w:b/>
          <w:i/>
        </w:rPr>
        <w:t>corporate governance framework</w:t>
      </w:r>
      <w:r w:rsidRPr="00BE56C9">
        <w:rPr>
          <w:rFonts w:ascii="Calibri" w:hAnsi="Calibri"/>
          <w:i/>
        </w:rPr>
        <w:t xml:space="preserve"> and key high level governance documents and subjected compliance with these documents to audit</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Agreed a </w:t>
      </w:r>
      <w:r w:rsidRPr="00BE56C9">
        <w:rPr>
          <w:rFonts w:ascii="Calibri" w:hAnsi="Calibri"/>
          <w:b/>
          <w:i/>
        </w:rPr>
        <w:t>Memorandum of Understanding</w:t>
      </w:r>
      <w:r w:rsidRPr="00BE56C9">
        <w:rPr>
          <w:rFonts w:ascii="Calibri" w:hAnsi="Calibri"/>
          <w:i/>
        </w:rPr>
        <w:t xml:space="preserve"> to set out the information and service requirements needed by the PCC and provided by the Force</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Maintained a </w:t>
      </w:r>
      <w:r w:rsidRPr="00BE56C9">
        <w:rPr>
          <w:rFonts w:ascii="Calibri" w:hAnsi="Calibri"/>
          <w:b/>
          <w:i/>
        </w:rPr>
        <w:t>Medium Term Financial Strategy</w:t>
      </w:r>
      <w:r w:rsidRPr="00BE56C9">
        <w:rPr>
          <w:rFonts w:ascii="Calibri" w:hAnsi="Calibri"/>
          <w:i/>
        </w:rPr>
        <w:t xml:space="preserve">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Ensured that processes are in place to allow proper </w:t>
      </w:r>
      <w:r w:rsidRPr="00BE56C9">
        <w:rPr>
          <w:rFonts w:ascii="Calibri" w:hAnsi="Calibri"/>
          <w:b/>
          <w:i/>
        </w:rPr>
        <w:t>analysis and evaluation of plans</w:t>
      </w:r>
      <w:r w:rsidRPr="00BE56C9">
        <w:rPr>
          <w:rFonts w:ascii="Calibri" w:hAnsi="Calibri"/>
          <w:i/>
        </w:rPr>
        <w:t xml:space="preserve"> including option appraisal, assessing the impact of alternative approaches and benefits realisation</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Overseen workforce </w:t>
      </w:r>
      <w:r w:rsidRPr="00BE56C9">
        <w:rPr>
          <w:rFonts w:ascii="Calibri" w:hAnsi="Calibri"/>
          <w:b/>
          <w:i/>
        </w:rPr>
        <w:t>development and asset management plans</w:t>
      </w:r>
      <w:r w:rsidRPr="00BE56C9">
        <w:rPr>
          <w:rFonts w:ascii="Calibri" w:hAnsi="Calibri"/>
          <w:i/>
        </w:rPr>
        <w:t xml:space="preserve"> (e.g. estates and ICT)</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Published a </w:t>
      </w:r>
      <w:r w:rsidRPr="00BE56C9">
        <w:rPr>
          <w:rFonts w:ascii="Calibri" w:hAnsi="Calibri"/>
          <w:b/>
          <w:i/>
        </w:rPr>
        <w:t>forward plan</w:t>
      </w:r>
      <w:r w:rsidRPr="00BE56C9">
        <w:rPr>
          <w:rFonts w:ascii="Calibri" w:hAnsi="Calibri"/>
          <w:i/>
        </w:rPr>
        <w:t xml:space="preserve"> of decisions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Kept </w:t>
      </w:r>
      <w:r w:rsidRPr="00BE56C9">
        <w:rPr>
          <w:rFonts w:ascii="Calibri" w:hAnsi="Calibri"/>
          <w:b/>
          <w:i/>
        </w:rPr>
        <w:t>Risk Management</w:t>
      </w:r>
      <w:r w:rsidRPr="00BE56C9">
        <w:rPr>
          <w:rFonts w:ascii="Calibri" w:hAnsi="Calibri"/>
          <w:i/>
        </w:rPr>
        <w:t xml:space="preserve"> policies under review, with assurances from the Audit Committee</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Included a set of </w:t>
      </w:r>
      <w:r w:rsidRPr="00BE56C9">
        <w:rPr>
          <w:rFonts w:ascii="Calibri" w:hAnsi="Calibri"/>
          <w:b/>
          <w:i/>
        </w:rPr>
        <w:t>performance aspirations</w:t>
      </w:r>
      <w:r w:rsidRPr="00BE56C9">
        <w:rPr>
          <w:rFonts w:ascii="Calibri" w:hAnsi="Calibri"/>
          <w:i/>
        </w:rPr>
        <w:t xml:space="preserve"> to be monitored at performance meetings </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Placed particular </w:t>
      </w:r>
      <w:r w:rsidRPr="00BE56C9">
        <w:rPr>
          <w:rFonts w:ascii="Calibri" w:hAnsi="Calibri"/>
          <w:b/>
          <w:i/>
        </w:rPr>
        <w:t>focus on areas of underperformance</w:t>
      </w:r>
      <w:r w:rsidRPr="00BE56C9">
        <w:rPr>
          <w:rFonts w:ascii="Calibri" w:hAnsi="Calibri"/>
          <w:i/>
        </w:rPr>
        <w:t>, e.g. positive outcomes for high harm offences</w:t>
      </w:r>
    </w:p>
    <w:p w:rsidR="00763097" w:rsidRPr="004E61BC" w:rsidRDefault="00763097" w:rsidP="00763097">
      <w:pPr>
        <w:autoSpaceDE w:val="0"/>
        <w:ind w:left="720" w:hanging="720"/>
        <w:jc w:val="both"/>
        <w:rPr>
          <w:rFonts w:ascii="Calibri" w:hAnsi="Calibri"/>
        </w:rPr>
      </w:pPr>
    </w:p>
    <w:p w:rsidR="00763097" w:rsidRPr="00BE56C9" w:rsidRDefault="00763097" w:rsidP="00763097">
      <w:pPr>
        <w:autoSpaceDE w:val="0"/>
        <w:ind w:left="720" w:hanging="720"/>
        <w:jc w:val="both"/>
        <w:rPr>
          <w:rFonts w:ascii="Calibri" w:hAnsi="Calibri"/>
          <w:b/>
        </w:rPr>
      </w:pPr>
      <w:r w:rsidRPr="00737289">
        <w:rPr>
          <w:rFonts w:ascii="Calibri" w:hAnsi="Calibri"/>
        </w:rPr>
        <w:t>3.10</w:t>
      </w:r>
      <w:r>
        <w:rPr>
          <w:rFonts w:ascii="Calibri" w:hAnsi="Calibri"/>
          <w:b/>
        </w:rPr>
        <w:tab/>
      </w:r>
      <w:r w:rsidRPr="00BE56C9">
        <w:rPr>
          <w:rFonts w:ascii="Calibri" w:hAnsi="Calibri"/>
          <w:b/>
        </w:rPr>
        <w:t>Principle E: Developing the entity’s capacity, including the capability of its leadership and the individuals within it</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To achieve this principle, the PCC has:</w:t>
      </w:r>
    </w:p>
    <w:p w:rsidR="00763097" w:rsidRPr="00BE56C9" w:rsidRDefault="00763097" w:rsidP="00763097">
      <w:pPr>
        <w:autoSpaceDE w:val="0"/>
        <w:ind w:left="1440" w:hanging="720"/>
        <w:jc w:val="both"/>
        <w:rPr>
          <w:rFonts w:ascii="Calibri" w:hAnsi="Calibri"/>
          <w:i/>
        </w:rPr>
      </w:pPr>
      <w:r w:rsidRPr="004E61BC">
        <w:rPr>
          <w:rFonts w:ascii="Calibri" w:hAnsi="Calibri"/>
        </w:rPr>
        <w:t>•</w:t>
      </w:r>
      <w:r w:rsidRPr="004E61BC">
        <w:rPr>
          <w:rFonts w:ascii="Calibri" w:hAnsi="Calibri"/>
        </w:rPr>
        <w:tab/>
      </w:r>
      <w:r w:rsidRPr="00BE56C9">
        <w:rPr>
          <w:rFonts w:ascii="Calibri" w:hAnsi="Calibri"/>
          <w:i/>
        </w:rPr>
        <w:t xml:space="preserve">Appointed a </w:t>
      </w:r>
      <w:r w:rsidRPr="00737289">
        <w:rPr>
          <w:rFonts w:ascii="Calibri" w:hAnsi="Calibri"/>
          <w:b/>
          <w:i/>
        </w:rPr>
        <w:t>Chief Constable</w:t>
      </w:r>
      <w:r w:rsidRPr="00BE56C9">
        <w:rPr>
          <w:rFonts w:ascii="Calibri" w:hAnsi="Calibri"/>
          <w:i/>
        </w:rPr>
        <w:t>, in accordance with guidance from the College of Policing, set clear objectives for this role and assessed performance against these</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Ensured that </w:t>
      </w:r>
      <w:r w:rsidRPr="00737289">
        <w:rPr>
          <w:rFonts w:ascii="Calibri" w:hAnsi="Calibri"/>
          <w:b/>
          <w:i/>
        </w:rPr>
        <w:t>talent and succession plans</w:t>
      </w:r>
      <w:r w:rsidRPr="00BE56C9">
        <w:rPr>
          <w:rFonts w:ascii="Calibri" w:hAnsi="Calibri"/>
          <w:i/>
        </w:rPr>
        <w:t xml:space="preserve"> are in place</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Reviewed the Force’s preparations for new initiatives such as Apprenticeships and the Police Constable Degree (PCDA) programme</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Given staff of the Force and OPCC access to </w:t>
      </w:r>
      <w:r w:rsidRPr="00737289">
        <w:rPr>
          <w:rFonts w:ascii="Calibri" w:hAnsi="Calibri"/>
          <w:b/>
          <w:i/>
        </w:rPr>
        <w:t>learning and development resources</w:t>
      </w:r>
      <w:r w:rsidRPr="00BE56C9">
        <w:rPr>
          <w:rFonts w:ascii="Calibri" w:hAnsi="Calibri"/>
          <w:i/>
        </w:rPr>
        <w:t xml:space="preserve"> and encouraged a focus on Continuous Professional Development</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Analysed feedback from </w:t>
      </w:r>
      <w:r w:rsidRPr="00737289">
        <w:rPr>
          <w:rFonts w:ascii="Calibri" w:hAnsi="Calibri"/>
          <w:b/>
          <w:i/>
        </w:rPr>
        <w:t>staff well-being surveys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Kept a check on the Force’s approach to </w:t>
      </w:r>
      <w:r w:rsidRPr="00737289">
        <w:rPr>
          <w:rFonts w:ascii="Calibri" w:hAnsi="Calibri"/>
          <w:b/>
          <w:i/>
        </w:rPr>
        <w:t>reward</w:t>
      </w:r>
      <w:r w:rsidRPr="00BE56C9">
        <w:rPr>
          <w:rFonts w:ascii="Calibri" w:hAnsi="Calibri"/>
          <w:i/>
        </w:rPr>
        <w:t xml:space="preserve"> that aims to attract and retain the best people with the most appropriate skills</w:t>
      </w:r>
    </w:p>
    <w:p w:rsidR="00763097" w:rsidRPr="00BE56C9" w:rsidRDefault="00763097" w:rsidP="00763097">
      <w:pPr>
        <w:autoSpaceDE w:val="0"/>
        <w:ind w:left="1440" w:hanging="720"/>
        <w:jc w:val="both"/>
        <w:rPr>
          <w:rFonts w:ascii="Calibri" w:hAnsi="Calibri"/>
          <w:i/>
        </w:rPr>
      </w:pPr>
      <w:r w:rsidRPr="00BE56C9">
        <w:rPr>
          <w:rFonts w:ascii="Calibri" w:hAnsi="Calibri"/>
          <w:i/>
        </w:rPr>
        <w:t>•</w:t>
      </w:r>
      <w:r w:rsidRPr="00BE56C9">
        <w:rPr>
          <w:rFonts w:ascii="Calibri" w:hAnsi="Calibri"/>
          <w:i/>
        </w:rPr>
        <w:tab/>
        <w:t xml:space="preserve">Ensured that policies for </w:t>
      </w:r>
      <w:r w:rsidRPr="00737289">
        <w:rPr>
          <w:rFonts w:ascii="Calibri" w:hAnsi="Calibri"/>
          <w:b/>
          <w:i/>
        </w:rPr>
        <w:t>Equality and Diversity</w:t>
      </w:r>
      <w:r w:rsidRPr="00BE56C9">
        <w:rPr>
          <w:rFonts w:ascii="Calibri" w:hAnsi="Calibri"/>
          <w:i/>
        </w:rPr>
        <w:t xml:space="preserve"> set out how the OPCC/Force will promote diversity by recognising, valuing and respecting the different contributions and needs of both communities and staff</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Pr>
          <w:rFonts w:ascii="Calibri" w:hAnsi="Calibri"/>
        </w:rPr>
        <w:t>3.11</w:t>
      </w:r>
      <w:r>
        <w:rPr>
          <w:rFonts w:ascii="Calibri" w:hAnsi="Calibri"/>
        </w:rPr>
        <w:tab/>
      </w:r>
      <w:r w:rsidRPr="00737289">
        <w:rPr>
          <w:rFonts w:ascii="Calibri" w:hAnsi="Calibri"/>
          <w:b/>
        </w:rPr>
        <w:t>Principle F: Managing risks and performance through robust internal control and strong public financial management</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sidRPr="004E61BC">
        <w:rPr>
          <w:rFonts w:ascii="Calibri" w:hAnsi="Calibri"/>
        </w:rPr>
        <w:t>To achieve this principle, the PCC has:</w:t>
      </w:r>
    </w:p>
    <w:p w:rsidR="00763097" w:rsidRPr="00737289" w:rsidRDefault="00763097" w:rsidP="00763097">
      <w:pPr>
        <w:autoSpaceDE w:val="0"/>
        <w:ind w:left="1440" w:hanging="720"/>
        <w:jc w:val="both"/>
        <w:rPr>
          <w:rFonts w:ascii="Calibri" w:hAnsi="Calibri"/>
          <w:i/>
        </w:rPr>
      </w:pPr>
      <w:r w:rsidRPr="004E61BC">
        <w:rPr>
          <w:rFonts w:ascii="Calibri" w:hAnsi="Calibri"/>
        </w:rPr>
        <w:t>•</w:t>
      </w:r>
      <w:r w:rsidRPr="004E61BC">
        <w:rPr>
          <w:rFonts w:ascii="Calibri" w:hAnsi="Calibri"/>
        </w:rPr>
        <w:tab/>
      </w:r>
      <w:r w:rsidRPr="00737289">
        <w:rPr>
          <w:rFonts w:ascii="Calibri" w:hAnsi="Calibri"/>
          <w:i/>
        </w:rPr>
        <w:t xml:space="preserve">Put in place a </w:t>
      </w:r>
      <w:r w:rsidRPr="00737289">
        <w:rPr>
          <w:rFonts w:ascii="Calibri" w:hAnsi="Calibri"/>
          <w:b/>
          <w:i/>
        </w:rPr>
        <w:t>Risk Management Strategy</w:t>
      </w:r>
      <w:r w:rsidRPr="00737289">
        <w:rPr>
          <w:rFonts w:ascii="Calibri" w:hAnsi="Calibri"/>
          <w:i/>
        </w:rPr>
        <w:t xml:space="preserve"> that allows the Force and OPCC to identify and manage operational, strategy and project risks</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Maintained a </w:t>
      </w:r>
      <w:r w:rsidRPr="00737289">
        <w:rPr>
          <w:rFonts w:ascii="Calibri" w:hAnsi="Calibri"/>
          <w:b/>
          <w:i/>
        </w:rPr>
        <w:t>Risk Register and Assurance Framework</w:t>
      </w:r>
      <w:r w:rsidRPr="00737289">
        <w:rPr>
          <w:rFonts w:ascii="Calibri" w:hAnsi="Calibri"/>
          <w:i/>
        </w:rPr>
        <w:t xml:space="preserve"> for the OPCC</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Received advice from the</w:t>
      </w:r>
      <w:r>
        <w:rPr>
          <w:rFonts w:ascii="Calibri" w:hAnsi="Calibri"/>
          <w:i/>
        </w:rPr>
        <w:t xml:space="preserve"> </w:t>
      </w:r>
      <w:hyperlink r:id="rId24" w:history="1">
        <w:r w:rsidRPr="00737289">
          <w:rPr>
            <w:rStyle w:val="Hyperlink"/>
            <w:i/>
            <w:sz w:val="18"/>
            <w:szCs w:val="18"/>
          </w:rPr>
          <w:t>Joint Audit Committee</w:t>
        </w:r>
      </w:hyperlink>
      <w:r w:rsidRPr="00737289">
        <w:rPr>
          <w:rFonts w:ascii="Calibri" w:hAnsi="Calibri"/>
          <w:i/>
        </w:rPr>
        <w:t xml:space="preserve"> which continues to provide </w:t>
      </w:r>
      <w:r w:rsidRPr="00737289">
        <w:rPr>
          <w:rFonts w:ascii="Calibri" w:hAnsi="Calibri"/>
          <w:b/>
          <w:i/>
        </w:rPr>
        <w:t>external scrutiny</w:t>
      </w:r>
      <w:r w:rsidRPr="00737289">
        <w:rPr>
          <w:rFonts w:ascii="Calibri" w:hAnsi="Calibri"/>
          <w:i/>
        </w:rPr>
        <w:t xml:space="preserve"> of strategic risks and which operates in line with Chartered Institute of Public Finance and Accountancy (CIPFA) guidance and within the guidance of the Financial Management Code of Practice</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Subjected decisions to scrutiny by the </w:t>
      </w:r>
      <w:r w:rsidRPr="00737289">
        <w:rPr>
          <w:rFonts w:ascii="Calibri" w:hAnsi="Calibri"/>
          <w:b/>
          <w:i/>
        </w:rPr>
        <w:t>Police &amp; Crime Panel</w:t>
      </w:r>
      <w:r w:rsidRPr="00737289">
        <w:rPr>
          <w:rFonts w:ascii="Calibri" w:hAnsi="Calibri"/>
          <w:i/>
        </w:rPr>
        <w:t xml:space="preserve"> </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Reviewed the overarching </w:t>
      </w:r>
      <w:r w:rsidRPr="00737289">
        <w:rPr>
          <w:rFonts w:ascii="Calibri" w:hAnsi="Calibri"/>
          <w:b/>
          <w:i/>
        </w:rPr>
        <w:t>Scheme of Governance</w:t>
      </w:r>
      <w:r w:rsidRPr="00737289">
        <w:rPr>
          <w:rFonts w:ascii="Calibri" w:hAnsi="Calibri"/>
          <w:i/>
        </w:rPr>
        <w:t xml:space="preserve"> which highlights the parameters for decision making, including the arrangements for governance, delegations, consents, financial limits for specific matters and standing orders for contracts</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Ensured that </w:t>
      </w:r>
      <w:r w:rsidRPr="00737289">
        <w:rPr>
          <w:rFonts w:ascii="Calibri" w:hAnsi="Calibri"/>
          <w:b/>
          <w:i/>
        </w:rPr>
        <w:t>Annual Governance Statements</w:t>
      </w:r>
      <w:r w:rsidRPr="00737289">
        <w:rPr>
          <w:rFonts w:ascii="Calibri" w:hAnsi="Calibri"/>
          <w:i/>
        </w:rPr>
        <w:t xml:space="preserve"> are produced for the Force and OPCC</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Ensured that an effective </w:t>
      </w:r>
      <w:r w:rsidRPr="00737289">
        <w:rPr>
          <w:rFonts w:ascii="Calibri" w:hAnsi="Calibri"/>
          <w:b/>
          <w:i/>
        </w:rPr>
        <w:t>internal audit</w:t>
      </w:r>
      <w:r w:rsidRPr="00737289">
        <w:rPr>
          <w:rFonts w:ascii="Calibri" w:hAnsi="Calibri"/>
          <w:i/>
        </w:rPr>
        <w:t xml:space="preserve"> service has been resourced and that internal audit plans and reports are informed by and scrutinised by the Audit Committee</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Engaged with the </w:t>
      </w:r>
      <w:r w:rsidRPr="00737289">
        <w:rPr>
          <w:rFonts w:ascii="Calibri" w:hAnsi="Calibri"/>
          <w:b/>
          <w:i/>
        </w:rPr>
        <w:t>External audit</w:t>
      </w:r>
      <w:r w:rsidRPr="00737289">
        <w:rPr>
          <w:rFonts w:ascii="Calibri" w:hAnsi="Calibri"/>
          <w:i/>
        </w:rPr>
        <w:t xml:space="preserve"> service, whose reports are scrutinised by the Audit Committee</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Put in place and published </w:t>
      </w:r>
      <w:r w:rsidRPr="00737289">
        <w:rPr>
          <w:rFonts w:ascii="Calibri" w:hAnsi="Calibri"/>
          <w:b/>
          <w:i/>
        </w:rPr>
        <w:t>Data protection</w:t>
      </w:r>
      <w:r w:rsidRPr="00737289">
        <w:rPr>
          <w:rFonts w:ascii="Calibri" w:hAnsi="Calibri"/>
          <w:i/>
        </w:rPr>
        <w:t xml:space="preserve"> policies and implemented arrangements for the new </w:t>
      </w:r>
      <w:r w:rsidRPr="00737289">
        <w:rPr>
          <w:rFonts w:ascii="Calibri" w:hAnsi="Calibri"/>
          <w:b/>
          <w:i/>
        </w:rPr>
        <w:t>General Data Protection Requirements</w:t>
      </w:r>
      <w:r w:rsidRPr="00737289">
        <w:rPr>
          <w:rFonts w:ascii="Calibri" w:hAnsi="Calibri"/>
          <w:i/>
        </w:rPr>
        <w:t xml:space="preserve"> </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Received assurances from HMICFRS around Force </w:t>
      </w:r>
      <w:r w:rsidRPr="00737289">
        <w:rPr>
          <w:rFonts w:ascii="Calibri" w:hAnsi="Calibri"/>
          <w:b/>
          <w:i/>
        </w:rPr>
        <w:t>efficiency and effectiveness</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Received regular </w:t>
      </w:r>
      <w:r w:rsidRPr="00737289">
        <w:rPr>
          <w:rFonts w:ascii="Calibri" w:hAnsi="Calibri"/>
          <w:b/>
          <w:i/>
        </w:rPr>
        <w:t>budget monitoring</w:t>
      </w:r>
      <w:r w:rsidRPr="00737289">
        <w:rPr>
          <w:rFonts w:ascii="Calibri" w:hAnsi="Calibri"/>
          <w:i/>
        </w:rPr>
        <w:t xml:space="preserve"> reports</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Approved a </w:t>
      </w:r>
      <w:r w:rsidRPr="00737289">
        <w:rPr>
          <w:rFonts w:ascii="Calibri" w:hAnsi="Calibri"/>
          <w:b/>
          <w:i/>
        </w:rPr>
        <w:t>treasury management</w:t>
      </w:r>
      <w:r w:rsidRPr="00737289">
        <w:rPr>
          <w:rFonts w:ascii="Calibri" w:hAnsi="Calibri"/>
          <w:i/>
        </w:rPr>
        <w:t xml:space="preserve"> strategy </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Been represented at force meetings where data quality issues are discussed</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Put in place </w:t>
      </w:r>
      <w:r w:rsidRPr="00737289">
        <w:rPr>
          <w:rFonts w:ascii="Calibri" w:hAnsi="Calibri"/>
          <w:b/>
          <w:i/>
        </w:rPr>
        <w:t>business continuity plans</w:t>
      </w:r>
    </w:p>
    <w:p w:rsidR="00763097" w:rsidRPr="00737289" w:rsidRDefault="00763097" w:rsidP="00763097">
      <w:pPr>
        <w:autoSpaceDE w:val="0"/>
        <w:ind w:left="1440" w:hanging="720"/>
        <w:jc w:val="both"/>
        <w:rPr>
          <w:rFonts w:ascii="Calibri" w:hAnsi="Calibri"/>
          <w:i/>
        </w:rPr>
      </w:pPr>
      <w:r w:rsidRPr="00737289">
        <w:rPr>
          <w:rFonts w:ascii="Calibri" w:hAnsi="Calibri"/>
          <w:i/>
        </w:rPr>
        <w:t>•</w:t>
      </w:r>
      <w:r w:rsidRPr="00737289">
        <w:rPr>
          <w:rFonts w:ascii="Calibri" w:hAnsi="Calibri"/>
          <w:i/>
        </w:rPr>
        <w:tab/>
        <w:t xml:space="preserve">Ensured that The PCC and Chief Constable abide by the </w:t>
      </w:r>
      <w:r w:rsidRPr="00737289">
        <w:rPr>
          <w:rFonts w:ascii="Calibri" w:hAnsi="Calibri"/>
          <w:b/>
          <w:i/>
        </w:rPr>
        <w:t>CIPFA Financial Management Code of Practice</w:t>
      </w:r>
      <w:r w:rsidRPr="00737289">
        <w:rPr>
          <w:rFonts w:ascii="Calibri" w:hAnsi="Calibri"/>
          <w:i/>
        </w:rPr>
        <w:t xml:space="preserve"> </w:t>
      </w:r>
    </w:p>
    <w:p w:rsidR="00763097" w:rsidRPr="004E61BC" w:rsidRDefault="00763097" w:rsidP="00763097">
      <w:pPr>
        <w:autoSpaceDE w:val="0"/>
        <w:ind w:left="720" w:hanging="720"/>
        <w:jc w:val="both"/>
        <w:rPr>
          <w:rFonts w:ascii="Calibri" w:hAnsi="Calibri"/>
        </w:rPr>
      </w:pPr>
    </w:p>
    <w:p w:rsidR="00763097" w:rsidRPr="004E61BC" w:rsidRDefault="00763097" w:rsidP="00763097">
      <w:pPr>
        <w:autoSpaceDE w:val="0"/>
        <w:ind w:left="720" w:hanging="720"/>
        <w:jc w:val="both"/>
        <w:rPr>
          <w:rFonts w:ascii="Calibri" w:hAnsi="Calibri"/>
        </w:rPr>
      </w:pPr>
      <w:r>
        <w:rPr>
          <w:rFonts w:ascii="Calibri" w:hAnsi="Calibri"/>
        </w:rPr>
        <w:t>3.12</w:t>
      </w:r>
      <w:r>
        <w:rPr>
          <w:rFonts w:ascii="Calibri" w:hAnsi="Calibri"/>
        </w:rPr>
        <w:tab/>
      </w:r>
      <w:r w:rsidRPr="00737289">
        <w:rPr>
          <w:rFonts w:ascii="Calibri" w:hAnsi="Calibri"/>
          <w:b/>
        </w:rPr>
        <w:t>Principle G: Implementing good practices in transparency, reporting and audit to deliver effective accountability</w:t>
      </w:r>
    </w:p>
    <w:p w:rsidR="00763097" w:rsidRPr="004E61BC" w:rsidRDefault="00763097" w:rsidP="00763097">
      <w:pPr>
        <w:autoSpaceDE w:val="0"/>
        <w:ind w:left="720" w:hanging="720"/>
        <w:jc w:val="both"/>
        <w:rPr>
          <w:rFonts w:ascii="Calibri" w:hAnsi="Calibri"/>
        </w:rPr>
      </w:pPr>
    </w:p>
    <w:p w:rsidR="00763097" w:rsidRPr="00737289" w:rsidRDefault="00763097" w:rsidP="00763097">
      <w:pPr>
        <w:autoSpaceDE w:val="0"/>
        <w:ind w:left="720" w:hanging="720"/>
        <w:jc w:val="both"/>
        <w:rPr>
          <w:rFonts w:ascii="Calibri" w:hAnsi="Calibri"/>
          <w:i/>
        </w:rPr>
      </w:pPr>
      <w:r w:rsidRPr="004E61BC">
        <w:rPr>
          <w:rFonts w:ascii="Calibri" w:hAnsi="Calibri"/>
        </w:rPr>
        <w:t>To achieve this principle, the PCC has:</w:t>
      </w:r>
    </w:p>
    <w:p w:rsidR="00763097" w:rsidRPr="00737289" w:rsidRDefault="00763097" w:rsidP="00763097">
      <w:pPr>
        <w:autoSpaceDE w:val="0"/>
        <w:ind w:left="720" w:hanging="720"/>
        <w:jc w:val="both"/>
        <w:rPr>
          <w:rFonts w:ascii="Calibri" w:hAnsi="Calibri"/>
          <w:i/>
        </w:rPr>
      </w:pPr>
      <w:r w:rsidRPr="00737289">
        <w:rPr>
          <w:rFonts w:ascii="Calibri" w:hAnsi="Calibri"/>
          <w:i/>
        </w:rPr>
        <w:t>•</w:t>
      </w:r>
      <w:r w:rsidRPr="00737289">
        <w:rPr>
          <w:rFonts w:ascii="Calibri" w:hAnsi="Calibri"/>
          <w:i/>
        </w:rPr>
        <w:tab/>
        <w:t xml:space="preserve">Held the </w:t>
      </w:r>
      <w:r w:rsidRPr="00737289">
        <w:rPr>
          <w:rFonts w:ascii="Calibri" w:hAnsi="Calibri"/>
          <w:b/>
          <w:i/>
        </w:rPr>
        <w:t>Chief Constable to account</w:t>
      </w:r>
      <w:r w:rsidRPr="00737289">
        <w:rPr>
          <w:rFonts w:ascii="Calibri" w:hAnsi="Calibri"/>
          <w:i/>
        </w:rPr>
        <w:t xml:space="preserve"> on a regular basis at performance meetings, with some of these being webcast so they are publicly available, with papers and minutes published</w:t>
      </w:r>
    </w:p>
    <w:p w:rsidR="00763097" w:rsidRPr="00737289" w:rsidRDefault="00763097" w:rsidP="00763097">
      <w:pPr>
        <w:autoSpaceDE w:val="0"/>
        <w:ind w:left="720" w:hanging="720"/>
        <w:jc w:val="both"/>
        <w:rPr>
          <w:rFonts w:ascii="Calibri" w:hAnsi="Calibri"/>
          <w:i/>
        </w:rPr>
      </w:pPr>
      <w:r w:rsidRPr="00737289">
        <w:rPr>
          <w:rFonts w:ascii="Calibri" w:hAnsi="Calibri"/>
          <w:i/>
        </w:rPr>
        <w:t>•</w:t>
      </w:r>
      <w:r w:rsidRPr="00737289">
        <w:rPr>
          <w:rFonts w:ascii="Calibri" w:hAnsi="Calibri"/>
          <w:i/>
        </w:rPr>
        <w:tab/>
        <w:t xml:space="preserve">Been commended for compliance with the Local Policing Bodies Specified Information Order 2011 which determines which information should be </w:t>
      </w:r>
      <w:r w:rsidRPr="00737289">
        <w:rPr>
          <w:rFonts w:ascii="Calibri" w:hAnsi="Calibri"/>
          <w:b/>
          <w:i/>
        </w:rPr>
        <w:t>published on the OPCC website</w:t>
      </w:r>
    </w:p>
    <w:p w:rsidR="00763097" w:rsidRPr="00737289" w:rsidRDefault="00763097" w:rsidP="00763097">
      <w:pPr>
        <w:autoSpaceDE w:val="0"/>
        <w:ind w:left="720" w:hanging="720"/>
        <w:jc w:val="both"/>
        <w:rPr>
          <w:rFonts w:ascii="Calibri" w:hAnsi="Calibri"/>
          <w:i/>
        </w:rPr>
      </w:pPr>
      <w:r w:rsidRPr="00737289">
        <w:rPr>
          <w:rFonts w:ascii="Calibri" w:hAnsi="Calibri"/>
          <w:i/>
        </w:rPr>
        <w:t>•</w:t>
      </w:r>
      <w:r w:rsidRPr="00737289">
        <w:rPr>
          <w:rFonts w:ascii="Calibri" w:hAnsi="Calibri"/>
          <w:i/>
        </w:rPr>
        <w:tab/>
        <w:t xml:space="preserve">Ensured that the Force and OPCC publish their respective </w:t>
      </w:r>
      <w:r w:rsidRPr="00737289">
        <w:rPr>
          <w:rFonts w:ascii="Calibri" w:hAnsi="Calibri"/>
          <w:b/>
          <w:i/>
        </w:rPr>
        <w:t>Statement of Accounts</w:t>
      </w:r>
      <w:r w:rsidRPr="00737289">
        <w:rPr>
          <w:rFonts w:ascii="Calibri" w:hAnsi="Calibri"/>
          <w:i/>
        </w:rPr>
        <w:t xml:space="preserve"> and Annual Governance Statements</w:t>
      </w:r>
    </w:p>
    <w:p w:rsidR="00763097" w:rsidRPr="00737289" w:rsidRDefault="00763097" w:rsidP="00763097">
      <w:pPr>
        <w:autoSpaceDE w:val="0"/>
        <w:ind w:left="720" w:hanging="720"/>
        <w:jc w:val="both"/>
        <w:rPr>
          <w:rFonts w:ascii="Calibri" w:hAnsi="Calibri"/>
          <w:i/>
        </w:rPr>
      </w:pPr>
      <w:r w:rsidRPr="00737289">
        <w:rPr>
          <w:rFonts w:ascii="Calibri" w:hAnsi="Calibri"/>
          <w:i/>
        </w:rPr>
        <w:t>•</w:t>
      </w:r>
      <w:r w:rsidRPr="00737289">
        <w:rPr>
          <w:rFonts w:ascii="Calibri" w:hAnsi="Calibri"/>
          <w:i/>
        </w:rPr>
        <w:tab/>
        <w:t>Ensured compliance with the CIPFA Statement on the Role of the Head of Internal Audit (2010)</w:t>
      </w:r>
    </w:p>
    <w:p w:rsidR="00763097" w:rsidRPr="00737289" w:rsidRDefault="00763097" w:rsidP="00763097">
      <w:pPr>
        <w:autoSpaceDE w:val="0"/>
        <w:ind w:left="720" w:hanging="720"/>
        <w:jc w:val="both"/>
        <w:rPr>
          <w:rFonts w:ascii="Calibri" w:hAnsi="Calibri"/>
          <w:i/>
        </w:rPr>
      </w:pPr>
      <w:r w:rsidRPr="00737289">
        <w:rPr>
          <w:rFonts w:ascii="Calibri" w:hAnsi="Calibri"/>
          <w:i/>
        </w:rPr>
        <w:t>•</w:t>
      </w:r>
      <w:r w:rsidRPr="00737289">
        <w:rPr>
          <w:rFonts w:ascii="Calibri" w:hAnsi="Calibri"/>
          <w:i/>
        </w:rPr>
        <w:tab/>
        <w:t xml:space="preserve">Published all </w:t>
      </w:r>
      <w:hyperlink r:id="rId25" w:history="1">
        <w:r w:rsidRPr="00737289">
          <w:rPr>
            <w:rStyle w:val="Hyperlink"/>
            <w:i/>
            <w:sz w:val="18"/>
            <w:szCs w:val="18"/>
          </w:rPr>
          <w:t>all key decisions</w:t>
        </w:r>
      </w:hyperlink>
      <w:r w:rsidRPr="00737289">
        <w:rPr>
          <w:rFonts w:ascii="Calibri" w:hAnsi="Calibri"/>
          <w:i/>
        </w:rPr>
        <w:t xml:space="preserve"> on his website</w:t>
      </w:r>
    </w:p>
    <w:p w:rsidR="00763097" w:rsidRPr="00737289" w:rsidRDefault="00763097" w:rsidP="00763097">
      <w:pPr>
        <w:autoSpaceDE w:val="0"/>
        <w:ind w:left="720" w:hanging="720"/>
        <w:jc w:val="both"/>
        <w:rPr>
          <w:rFonts w:ascii="Calibri" w:hAnsi="Calibri"/>
          <w:i/>
        </w:rPr>
      </w:pPr>
      <w:r w:rsidRPr="00737289">
        <w:rPr>
          <w:rFonts w:ascii="Calibri" w:hAnsi="Calibri"/>
          <w:i/>
        </w:rPr>
        <w:t>•</w:t>
      </w:r>
      <w:r w:rsidRPr="00737289">
        <w:rPr>
          <w:rFonts w:ascii="Calibri" w:hAnsi="Calibri"/>
          <w:i/>
        </w:rPr>
        <w:tab/>
        <w:t xml:space="preserve">Reviewed his </w:t>
      </w:r>
      <w:r w:rsidRPr="00737289">
        <w:rPr>
          <w:rFonts w:ascii="Calibri" w:hAnsi="Calibri"/>
          <w:b/>
          <w:i/>
        </w:rPr>
        <w:t>decision-making practices</w:t>
      </w:r>
      <w:r w:rsidRPr="00737289">
        <w:rPr>
          <w:rFonts w:ascii="Calibri" w:hAnsi="Calibri"/>
          <w:i/>
        </w:rPr>
        <w:t xml:space="preserve"> which are clearly set out in the Framework of Decision-Making and Accountability</w:t>
      </w:r>
    </w:p>
    <w:p w:rsidR="00763097" w:rsidRPr="000803AE" w:rsidRDefault="00763097" w:rsidP="00763097">
      <w:pPr>
        <w:autoSpaceDE w:val="0"/>
        <w:jc w:val="both"/>
        <w:rPr>
          <w:rFonts w:ascii="Calibri" w:hAnsi="Calibri"/>
        </w:rPr>
      </w:pPr>
    </w:p>
    <w:p w:rsidR="00763097" w:rsidRPr="002F4708" w:rsidRDefault="00763097" w:rsidP="00763097">
      <w:pPr>
        <w:shd w:val="clear" w:color="auto" w:fill="0070C0"/>
        <w:jc w:val="both"/>
        <w:rPr>
          <w:rFonts w:ascii="Calibri" w:hAnsi="Calibri"/>
          <w:b/>
          <w:color w:val="FFFFFF"/>
        </w:rPr>
      </w:pPr>
      <w:r>
        <w:rPr>
          <w:rFonts w:ascii="Calibri" w:hAnsi="Calibri"/>
          <w:b/>
          <w:color w:val="FFFFFF"/>
        </w:rPr>
        <w:t>4</w:t>
      </w:r>
      <w:r w:rsidRPr="00481D6C">
        <w:rPr>
          <w:rFonts w:ascii="Calibri" w:hAnsi="Calibri"/>
          <w:b/>
          <w:color w:val="FFFFFF"/>
        </w:rPr>
        <w:tab/>
      </w:r>
      <w:r>
        <w:rPr>
          <w:rFonts w:ascii="Calibri" w:hAnsi="Calibri"/>
          <w:b/>
          <w:color w:val="FFFFFF"/>
        </w:rPr>
        <w:t>Review of Effectiveness</w:t>
      </w:r>
    </w:p>
    <w:p w:rsidR="00763097" w:rsidRPr="002E3D0B" w:rsidRDefault="00763097" w:rsidP="00763097">
      <w:pPr>
        <w:jc w:val="both"/>
      </w:pPr>
    </w:p>
    <w:p w:rsidR="00763097" w:rsidRPr="00911AEA" w:rsidRDefault="00763097" w:rsidP="00763097">
      <w:pPr>
        <w:ind w:left="720" w:hanging="720"/>
        <w:jc w:val="both"/>
        <w:rPr>
          <w:rFonts w:ascii="Calibri" w:hAnsi="Calibri"/>
          <w:color w:val="000000"/>
        </w:rPr>
      </w:pPr>
      <w:r w:rsidRPr="00911AEA">
        <w:rPr>
          <w:rFonts w:ascii="Calibri" w:hAnsi="Calibri"/>
          <w:color w:val="000000"/>
        </w:rPr>
        <w:t>4.1</w:t>
      </w:r>
      <w:r w:rsidRPr="00911AEA">
        <w:rPr>
          <w:rFonts w:ascii="Calibri" w:hAnsi="Calibri"/>
          <w:color w:val="000000"/>
        </w:rPr>
        <w:tab/>
        <w:t xml:space="preserve">The PCC must ensure the effectiveness of the governance framework, including the system of internal audit and control. </w:t>
      </w:r>
    </w:p>
    <w:p w:rsidR="00763097" w:rsidRPr="00911AEA" w:rsidRDefault="00763097" w:rsidP="00763097">
      <w:pPr>
        <w:jc w:val="both"/>
        <w:rPr>
          <w:rFonts w:ascii="Calibri" w:hAnsi="Calibri"/>
          <w:color w:val="000000"/>
        </w:rPr>
      </w:pPr>
    </w:p>
    <w:p w:rsidR="00763097" w:rsidRPr="00911AEA" w:rsidRDefault="00763097" w:rsidP="00763097">
      <w:pPr>
        <w:ind w:left="720" w:hanging="720"/>
        <w:jc w:val="both"/>
        <w:rPr>
          <w:rFonts w:ascii="Calibri" w:hAnsi="Calibri"/>
          <w:color w:val="000000"/>
        </w:rPr>
      </w:pPr>
      <w:r w:rsidRPr="00911AEA">
        <w:rPr>
          <w:rFonts w:ascii="Calibri" w:hAnsi="Calibri"/>
          <w:color w:val="000000"/>
        </w:rPr>
        <w:t>4.2</w:t>
      </w:r>
      <w:r w:rsidRPr="00911AEA">
        <w:rPr>
          <w:rFonts w:ascii="Calibri" w:hAnsi="Calibri"/>
          <w:color w:val="000000"/>
        </w:rPr>
        <w:tab/>
        <w:t>Assessments and recommendations made by the internal and external auditors and other review agencies are kept under review by the OPCC and at meetings of the Joint Audit Committee.</w:t>
      </w:r>
    </w:p>
    <w:p w:rsidR="00763097" w:rsidRPr="00911AEA" w:rsidRDefault="00763097" w:rsidP="00763097">
      <w:pPr>
        <w:jc w:val="both"/>
        <w:rPr>
          <w:rFonts w:ascii="Calibri" w:hAnsi="Calibri"/>
          <w:color w:val="000000"/>
        </w:rPr>
      </w:pPr>
    </w:p>
    <w:p w:rsidR="00763097" w:rsidRPr="00911AEA" w:rsidRDefault="00763097" w:rsidP="00763097">
      <w:pPr>
        <w:ind w:left="720" w:hanging="720"/>
        <w:jc w:val="both"/>
        <w:rPr>
          <w:rFonts w:ascii="Calibri" w:hAnsi="Calibri"/>
          <w:color w:val="000000"/>
        </w:rPr>
      </w:pPr>
      <w:r w:rsidRPr="00911AEA">
        <w:rPr>
          <w:rFonts w:ascii="Calibri" w:hAnsi="Calibri"/>
          <w:color w:val="000000"/>
        </w:rPr>
        <w:t>4.3</w:t>
      </w:r>
      <w:r w:rsidRPr="00911AEA">
        <w:rPr>
          <w:rFonts w:ascii="Calibri" w:hAnsi="Calibri"/>
          <w:color w:val="000000"/>
        </w:rPr>
        <w:tab/>
        <w:t xml:space="preserve">The Joint Audit Committee has been consulted on the development of the annual governance statement.  </w:t>
      </w:r>
    </w:p>
    <w:p w:rsidR="00763097" w:rsidRPr="00911AEA" w:rsidRDefault="00763097" w:rsidP="00763097">
      <w:pPr>
        <w:jc w:val="both"/>
        <w:rPr>
          <w:rFonts w:ascii="Calibri" w:hAnsi="Calibri"/>
          <w:color w:val="000000"/>
        </w:rPr>
      </w:pPr>
    </w:p>
    <w:p w:rsidR="00763097" w:rsidRDefault="00763097" w:rsidP="00763097">
      <w:pPr>
        <w:ind w:left="720" w:hanging="720"/>
        <w:jc w:val="both"/>
        <w:rPr>
          <w:rFonts w:ascii="Calibri" w:hAnsi="Calibri"/>
          <w:color w:val="000000"/>
        </w:rPr>
      </w:pPr>
      <w:r w:rsidRPr="00911AEA">
        <w:rPr>
          <w:rFonts w:ascii="Calibri" w:hAnsi="Calibri"/>
          <w:color w:val="000000"/>
        </w:rPr>
        <w:t>4.4</w:t>
      </w:r>
      <w:r w:rsidRPr="00911AEA">
        <w:rPr>
          <w:rFonts w:ascii="Calibri" w:hAnsi="Calibri"/>
          <w:color w:val="000000"/>
        </w:rPr>
        <w:tab/>
        <w:t>A process is established to ensure the Chief Constable and Surrey PCC, approve and sign off their respective annual governance statements, in accordance with the CIPFA guidance.</w:t>
      </w:r>
    </w:p>
    <w:p w:rsidR="00763097" w:rsidRPr="000803AE" w:rsidRDefault="00763097" w:rsidP="00763097">
      <w:pPr>
        <w:autoSpaceDE w:val="0"/>
        <w:jc w:val="both"/>
        <w:rPr>
          <w:rFonts w:ascii="Calibri" w:hAnsi="Calibri"/>
        </w:rPr>
      </w:pPr>
    </w:p>
    <w:p w:rsidR="00763097" w:rsidRPr="002F4708" w:rsidRDefault="00763097" w:rsidP="00763097">
      <w:pPr>
        <w:shd w:val="clear" w:color="auto" w:fill="0070C0"/>
        <w:jc w:val="both"/>
        <w:rPr>
          <w:rFonts w:ascii="Calibri" w:hAnsi="Calibri"/>
          <w:b/>
          <w:color w:val="FFFFFF"/>
        </w:rPr>
      </w:pPr>
      <w:r>
        <w:rPr>
          <w:rFonts w:ascii="Calibri" w:hAnsi="Calibri"/>
          <w:b/>
          <w:color w:val="FFFFFF"/>
        </w:rPr>
        <w:t>5</w:t>
      </w:r>
      <w:r w:rsidRPr="00481D6C">
        <w:rPr>
          <w:rFonts w:ascii="Calibri" w:hAnsi="Calibri"/>
          <w:b/>
          <w:color w:val="FFFFFF"/>
        </w:rPr>
        <w:tab/>
      </w:r>
      <w:r>
        <w:rPr>
          <w:rFonts w:ascii="Calibri" w:hAnsi="Calibri"/>
          <w:b/>
          <w:color w:val="FFFFFF"/>
        </w:rPr>
        <w:t>Internal Audit Opinion</w:t>
      </w:r>
    </w:p>
    <w:p w:rsidR="00763097" w:rsidRPr="002E3D0B" w:rsidRDefault="00763097" w:rsidP="00763097">
      <w:pPr>
        <w:jc w:val="both"/>
      </w:pPr>
    </w:p>
    <w:p w:rsidR="00360A13" w:rsidRDefault="00763097" w:rsidP="00A200D5">
      <w:pPr>
        <w:autoSpaceDE w:val="0"/>
        <w:ind w:left="720" w:hanging="720"/>
        <w:jc w:val="both"/>
        <w:rPr>
          <w:rFonts w:ascii="Calibri" w:hAnsi="Calibri"/>
          <w:bCs/>
        </w:rPr>
      </w:pPr>
      <w:r>
        <w:rPr>
          <w:rFonts w:ascii="Calibri" w:hAnsi="Calibri"/>
        </w:rPr>
        <w:t>5.1</w:t>
      </w:r>
      <w:r>
        <w:rPr>
          <w:rFonts w:ascii="Calibri" w:hAnsi="Calibri"/>
        </w:rPr>
        <w:tab/>
      </w:r>
      <w:r w:rsidR="00360A13" w:rsidRPr="00D51E3B">
        <w:rPr>
          <w:rFonts w:ascii="Calibri" w:hAnsi="Calibri"/>
          <w:lang w:eastAsia="en-GB"/>
        </w:rPr>
        <w:t>The CIPFA code requires Internal Audit to provide an opinion on the overall adequacy and effectiveness of the governance framework.  That opinion is provided below:</w:t>
      </w:r>
    </w:p>
    <w:p w:rsidR="00360A13" w:rsidRDefault="00360A13" w:rsidP="00360A13">
      <w:pPr>
        <w:ind w:left="709" w:hanging="709"/>
        <w:jc w:val="both"/>
        <w:rPr>
          <w:rFonts w:ascii="Calibri" w:hAnsi="Calibri"/>
          <w:bCs/>
        </w:rPr>
      </w:pPr>
    </w:p>
    <w:p w:rsidR="00360A13" w:rsidRPr="009D78BB" w:rsidRDefault="00360A13" w:rsidP="00360A13">
      <w:pPr>
        <w:ind w:left="709"/>
        <w:jc w:val="both"/>
        <w:rPr>
          <w:rFonts w:ascii="Calibri" w:hAnsi="Calibri"/>
          <w:b/>
          <w:lang w:eastAsia="en-GB"/>
        </w:rPr>
      </w:pPr>
      <w:r>
        <w:rPr>
          <w:rFonts w:ascii="Calibri" w:hAnsi="Calibri"/>
          <w:b/>
          <w:lang w:eastAsia="en-GB"/>
        </w:rPr>
        <w:t>Annual Internal Audit O</w:t>
      </w:r>
      <w:r w:rsidRPr="00D51E3B">
        <w:rPr>
          <w:rFonts w:ascii="Calibri" w:hAnsi="Calibri"/>
          <w:b/>
          <w:lang w:eastAsia="en-GB"/>
        </w:rPr>
        <w:t>pinion</w:t>
      </w:r>
      <w:r>
        <w:rPr>
          <w:rFonts w:ascii="Calibri" w:hAnsi="Calibri"/>
          <w:b/>
          <w:lang w:eastAsia="en-GB"/>
        </w:rPr>
        <w:t xml:space="preserve"> 2019-20</w:t>
      </w:r>
      <w:r w:rsidRPr="00D51E3B">
        <w:rPr>
          <w:rFonts w:ascii="Calibri" w:hAnsi="Calibri"/>
          <w:b/>
          <w:lang w:eastAsia="en-GB"/>
        </w:rPr>
        <w:t>:</w:t>
      </w:r>
    </w:p>
    <w:p w:rsidR="00360A13" w:rsidRDefault="00360A13" w:rsidP="00360A13">
      <w:pPr>
        <w:ind w:left="709"/>
        <w:jc w:val="both"/>
        <w:rPr>
          <w:rFonts w:ascii="Calibri" w:hAnsi="Calibri"/>
          <w:color w:val="FF0000"/>
          <w:lang w:eastAsia="en-GB"/>
        </w:rPr>
      </w:pPr>
      <w:r w:rsidRPr="00ED2551">
        <w:rPr>
          <w:rFonts w:ascii="Calibri" w:hAnsi="Calibri"/>
          <w:lang w:eastAsia="en-GB"/>
        </w:rPr>
        <w:t>For t</w:t>
      </w:r>
      <w:r>
        <w:rPr>
          <w:rFonts w:ascii="Calibri" w:hAnsi="Calibri"/>
          <w:lang w:eastAsia="en-GB"/>
        </w:rPr>
        <w:t>he 12 months ended 31 March 2020</w:t>
      </w:r>
      <w:r w:rsidRPr="00ED2551">
        <w:rPr>
          <w:rFonts w:ascii="Calibri" w:hAnsi="Calibri"/>
          <w:lang w:eastAsia="en-GB"/>
        </w:rPr>
        <w:t>, the Chief Internal Auditor’s opinion for</w:t>
      </w:r>
      <w:r>
        <w:rPr>
          <w:rFonts w:ascii="Calibri" w:hAnsi="Calibri"/>
          <w:lang w:eastAsia="en-GB"/>
        </w:rPr>
        <w:t xml:space="preserve"> the Office of the Police and Crime Commissioner for Surrey and the</w:t>
      </w:r>
      <w:r w:rsidRPr="00ED2551">
        <w:rPr>
          <w:rFonts w:ascii="Calibri" w:hAnsi="Calibri"/>
          <w:lang w:eastAsia="en-GB"/>
        </w:rPr>
        <w:t xml:space="preserve"> </w:t>
      </w:r>
      <w:r>
        <w:rPr>
          <w:rFonts w:ascii="Calibri" w:hAnsi="Calibri"/>
          <w:lang w:eastAsia="en-GB"/>
        </w:rPr>
        <w:t>Surrey</w:t>
      </w:r>
      <w:r w:rsidRPr="00ED2551">
        <w:rPr>
          <w:rFonts w:ascii="Calibri" w:hAnsi="Calibri"/>
          <w:lang w:eastAsia="en-GB"/>
        </w:rPr>
        <w:t xml:space="preserve"> Police Force is as </w:t>
      </w:r>
      <w:r w:rsidRPr="00B75DDA">
        <w:rPr>
          <w:rFonts w:ascii="Calibri" w:hAnsi="Calibri"/>
          <w:lang w:eastAsia="en-GB"/>
        </w:rPr>
        <w:t>follows</w:t>
      </w:r>
      <w:r w:rsidRPr="00B75DDA">
        <w:rPr>
          <w:rStyle w:val="FootnoteReference"/>
          <w:rFonts w:ascii="Calibri" w:hAnsi="Calibri"/>
        </w:rPr>
        <w:footnoteReference w:id="1"/>
      </w:r>
      <w:r w:rsidRPr="00B75DDA">
        <w:rPr>
          <w:rFonts w:ascii="Calibri" w:hAnsi="Calibri"/>
          <w:lang w:eastAsia="en-GB"/>
        </w:rPr>
        <w:t>:</w:t>
      </w:r>
      <w:r>
        <w:rPr>
          <w:rFonts w:ascii="Calibri" w:hAnsi="Calibri"/>
          <w:lang w:eastAsia="en-GB"/>
        </w:rPr>
        <w:t xml:space="preserve"> </w:t>
      </w:r>
    </w:p>
    <w:p w:rsidR="00360A13" w:rsidRDefault="00360A13" w:rsidP="00360A13">
      <w:pPr>
        <w:autoSpaceDE w:val="0"/>
        <w:jc w:val="both"/>
        <w:rPr>
          <w:rFonts w:ascii="Calibri" w:hAnsi="Calibri"/>
        </w:rPr>
      </w:pPr>
    </w:p>
    <w:p w:rsidR="00360A13" w:rsidRDefault="00360A13" w:rsidP="00360A13">
      <w:pPr>
        <w:autoSpaceDE w:val="0"/>
        <w:ind w:left="709" w:firstLine="11"/>
        <w:jc w:val="both"/>
        <w:rPr>
          <w:rFonts w:ascii="Calibri" w:hAnsi="Calibri"/>
          <w:i/>
        </w:rPr>
      </w:pPr>
      <w:r>
        <w:rPr>
          <w:rFonts w:ascii="Calibri" w:hAnsi="Calibri"/>
          <w:i/>
        </w:rPr>
        <w:t>“I am satisfied that sufficient assurance work has been carried out to allow me to form a reasonable conclusion on the adequacy and effectiveness of the internal control environment.</w:t>
      </w:r>
    </w:p>
    <w:p w:rsidR="00360A13" w:rsidRDefault="00360A13" w:rsidP="00360A13">
      <w:pPr>
        <w:autoSpaceDE w:val="0"/>
        <w:jc w:val="both"/>
        <w:rPr>
          <w:rFonts w:ascii="Calibri" w:hAnsi="Calibri"/>
          <w:i/>
        </w:rPr>
      </w:pPr>
      <w:r>
        <w:rPr>
          <w:rFonts w:ascii="Calibri" w:hAnsi="Calibri"/>
          <w:i/>
        </w:rPr>
        <w:tab/>
      </w:r>
    </w:p>
    <w:p w:rsidR="00360A13" w:rsidRDefault="00360A13" w:rsidP="00360A13">
      <w:pPr>
        <w:autoSpaceDE w:val="0"/>
        <w:ind w:left="709"/>
        <w:jc w:val="both"/>
        <w:rPr>
          <w:rFonts w:ascii="Calibri" w:hAnsi="Calibri"/>
          <w:i/>
        </w:rPr>
      </w:pPr>
      <w:r>
        <w:rPr>
          <w:rFonts w:ascii="Calibri" w:hAnsi="Calibri"/>
          <w:i/>
        </w:rPr>
        <w:tab/>
        <w:t>In my opinion I can give limited assurance over the framework of governance, risk management and management control based on the audit work undertaken during the year.</w:t>
      </w:r>
    </w:p>
    <w:p w:rsidR="00360A13" w:rsidRDefault="00360A13" w:rsidP="00360A13">
      <w:pPr>
        <w:autoSpaceDE w:val="0"/>
        <w:ind w:left="709"/>
        <w:jc w:val="both"/>
        <w:rPr>
          <w:rFonts w:ascii="Calibri" w:hAnsi="Calibri"/>
          <w:i/>
        </w:rPr>
      </w:pPr>
    </w:p>
    <w:p w:rsidR="00360A13" w:rsidRDefault="00360A13" w:rsidP="00360A13">
      <w:pPr>
        <w:autoSpaceDE w:val="0"/>
        <w:ind w:left="709"/>
        <w:jc w:val="both"/>
        <w:rPr>
          <w:rFonts w:ascii="Calibri" w:hAnsi="Calibri"/>
          <w:i/>
        </w:rPr>
      </w:pPr>
      <w:r>
        <w:rPr>
          <w:rFonts w:ascii="Calibri" w:hAnsi="Calibri"/>
          <w:i/>
        </w:rPr>
        <w:t>Historically there has been very little assurance work completed in the collaborative area of IT and following our appointment from April 2019, a joint internal audit plan was agreed with Sussex Police to address this going forwards. The results of the IT related reviews conducted during the year are the primary reason for this limited assurance opinion as outlined in section 5 below, given that this is such a critical area of control.</w:t>
      </w:r>
    </w:p>
    <w:p w:rsidR="00360A13" w:rsidRDefault="00360A13" w:rsidP="00360A13">
      <w:pPr>
        <w:autoSpaceDE w:val="0"/>
        <w:ind w:left="709"/>
        <w:jc w:val="both"/>
        <w:rPr>
          <w:rFonts w:ascii="Calibri" w:hAnsi="Calibri"/>
          <w:i/>
        </w:rPr>
      </w:pPr>
    </w:p>
    <w:p w:rsidR="00360A13" w:rsidRDefault="00360A13" w:rsidP="00360A13">
      <w:pPr>
        <w:autoSpaceDE w:val="0"/>
        <w:ind w:left="709"/>
        <w:jc w:val="both"/>
        <w:rPr>
          <w:rFonts w:ascii="Calibri" w:hAnsi="Calibri"/>
          <w:i/>
        </w:rPr>
      </w:pPr>
      <w:r>
        <w:rPr>
          <w:rFonts w:ascii="Calibri" w:hAnsi="Calibri"/>
          <w:i/>
        </w:rPr>
        <w:t>Where weaknesses have been identified through internal audit review, we have worked with management to agree appropriate corrective actions and a timescale for improvement.”</w:t>
      </w:r>
    </w:p>
    <w:p w:rsidR="00360A13" w:rsidRPr="00B75DDA" w:rsidRDefault="00360A13" w:rsidP="00360A13">
      <w:pPr>
        <w:autoSpaceDE w:val="0"/>
        <w:jc w:val="both"/>
        <w:rPr>
          <w:rFonts w:ascii="Calibri" w:hAnsi="Calibri"/>
          <w:i/>
        </w:rPr>
      </w:pPr>
      <w:r>
        <w:rPr>
          <w:rFonts w:ascii="Calibri" w:hAnsi="Calibri"/>
          <w:i/>
        </w:rPr>
        <w:t xml:space="preserve"> </w:t>
      </w:r>
    </w:p>
    <w:p w:rsidR="00360A13" w:rsidRDefault="00360A13" w:rsidP="00360A13">
      <w:pPr>
        <w:ind w:left="709" w:hanging="709"/>
        <w:jc w:val="both"/>
        <w:rPr>
          <w:rFonts w:ascii="Calibri" w:hAnsi="Calibri"/>
          <w:lang w:eastAsia="en-GB"/>
        </w:rPr>
      </w:pPr>
      <w:r>
        <w:rPr>
          <w:rFonts w:ascii="Calibri" w:hAnsi="Calibri"/>
          <w:bCs/>
        </w:rPr>
        <w:t>5</w:t>
      </w:r>
      <w:r w:rsidRPr="002D7A76">
        <w:rPr>
          <w:rFonts w:ascii="Calibri" w:hAnsi="Calibri"/>
          <w:bCs/>
        </w:rPr>
        <w:t>.2</w:t>
      </w:r>
      <w:r w:rsidRPr="002D7A76">
        <w:rPr>
          <w:rFonts w:ascii="Calibri" w:hAnsi="Calibri"/>
          <w:bCs/>
        </w:rPr>
        <w:tab/>
      </w:r>
      <w:r>
        <w:rPr>
          <w:rFonts w:ascii="Calibri" w:hAnsi="Calibri"/>
          <w:lang w:eastAsia="en-GB"/>
        </w:rPr>
        <w:t>Section 5 – Key observations (Extract from the Annual Internal Audit Report &amp; Opinion 2019-20)</w:t>
      </w:r>
    </w:p>
    <w:p w:rsidR="00360A13" w:rsidRDefault="00360A13" w:rsidP="00360A13">
      <w:pPr>
        <w:ind w:left="709" w:hanging="709"/>
        <w:jc w:val="both"/>
        <w:rPr>
          <w:rFonts w:ascii="Calibri" w:hAnsi="Calibri"/>
          <w:lang w:eastAsia="en-GB"/>
        </w:rPr>
      </w:pPr>
      <w:r w:rsidRPr="002D7A76">
        <w:rPr>
          <w:rFonts w:ascii="Calibri" w:hAnsi="Calibri"/>
          <w:lang w:eastAsia="en-GB"/>
        </w:rPr>
        <w:t xml:space="preserve"> </w:t>
      </w:r>
    </w:p>
    <w:p w:rsidR="00360A13" w:rsidRDefault="00360A13" w:rsidP="00360A13">
      <w:pPr>
        <w:ind w:left="709" w:hanging="709"/>
        <w:jc w:val="both"/>
        <w:rPr>
          <w:rFonts w:ascii="Calibri" w:hAnsi="Calibri"/>
          <w:lang w:eastAsia="en-GB"/>
        </w:rPr>
      </w:pPr>
      <w:r>
        <w:rPr>
          <w:rFonts w:ascii="Calibri" w:hAnsi="Calibri"/>
          <w:lang w:eastAsia="en-GB"/>
        </w:rPr>
        <w:tab/>
        <w:t>There were some areas identified that provide challenge to the organisations’ risk environment. Where our work identified risks that we considered fell outside the parameters acceptable to the PCC and Chief Constable, we agreed appropriate corrective actions and a timescale for improvement with the responsible managers. The implementation of these actions has been tracked by the Joint Audit Committee throughout the year through their review of the quarterly internal audit progress reports and reports from management which provide an update on any overdue actions.</w:t>
      </w:r>
    </w:p>
    <w:p w:rsidR="00360A13" w:rsidRDefault="00360A13" w:rsidP="00360A13">
      <w:pPr>
        <w:ind w:left="709" w:hanging="709"/>
        <w:jc w:val="both"/>
        <w:rPr>
          <w:rFonts w:ascii="Calibri" w:hAnsi="Calibri"/>
          <w:lang w:eastAsia="en-GB"/>
        </w:rPr>
      </w:pPr>
      <w:r>
        <w:rPr>
          <w:rFonts w:ascii="Calibri" w:hAnsi="Calibri"/>
          <w:lang w:eastAsia="en-GB"/>
        </w:rPr>
        <w:tab/>
      </w:r>
    </w:p>
    <w:p w:rsidR="00360A13" w:rsidRDefault="00360A13" w:rsidP="00360A13">
      <w:pPr>
        <w:ind w:left="709" w:hanging="709"/>
        <w:jc w:val="both"/>
        <w:rPr>
          <w:rFonts w:ascii="Calibri" w:hAnsi="Calibri"/>
          <w:lang w:eastAsia="en-GB"/>
        </w:rPr>
      </w:pPr>
      <w:r>
        <w:rPr>
          <w:rFonts w:ascii="Calibri" w:hAnsi="Calibri"/>
          <w:lang w:eastAsia="en-GB"/>
        </w:rPr>
        <w:tab/>
        <w:t>Prior to commencement of our work with Surrey Police in April 2019, we raised concerns regarding the historic level of assurance work completed in the collaborative area of IT. As a result, during 2018-19 a full IT needs assessment was commissioned by Sussex Police and shared with Surrey Police to inform future internal audit plans. The 2019-20 joint internal audit plan with Sussex Police included the first full year of delivery against this assessment, resulting in a significant increase in audit activity in this area.</w:t>
      </w:r>
    </w:p>
    <w:p w:rsidR="00360A13" w:rsidRDefault="00360A13" w:rsidP="00360A13">
      <w:pPr>
        <w:ind w:left="709" w:hanging="709"/>
        <w:jc w:val="both"/>
        <w:rPr>
          <w:rFonts w:ascii="Calibri" w:hAnsi="Calibri"/>
          <w:lang w:eastAsia="en-GB"/>
        </w:rPr>
      </w:pPr>
      <w:r>
        <w:rPr>
          <w:rFonts w:ascii="Calibri" w:hAnsi="Calibri"/>
          <w:lang w:eastAsia="en-GB"/>
        </w:rPr>
        <w:tab/>
      </w:r>
    </w:p>
    <w:p w:rsidR="00360A13" w:rsidRDefault="00360A13" w:rsidP="00360A13">
      <w:pPr>
        <w:ind w:left="709" w:hanging="709"/>
        <w:jc w:val="both"/>
        <w:rPr>
          <w:rFonts w:ascii="Calibri" w:hAnsi="Calibri"/>
          <w:lang w:eastAsia="en-GB"/>
        </w:rPr>
      </w:pPr>
      <w:r>
        <w:rPr>
          <w:rFonts w:ascii="Calibri" w:hAnsi="Calibri"/>
          <w:lang w:eastAsia="en-GB"/>
        </w:rPr>
        <w:tab/>
        <w:t>Despite full support from senior managers, due to changes in key personnel and pressures within the team, we experienced significant delays in completing the work in this area, and at the time of writing this annual report four reviews were still in progress (cyber security; disaster recovery and business continuity; application management; commercial unit). All four of the IT related reviews that were completed results in a limited assurance opinion. In my opinion this is reflective of a combination of pressures within the team, staff turnover and the very limited audit scrutiny in recent years, leading to control and compliance issues. This in turn increases the risk in this critical area which underpins all business systems and processes.</w:t>
      </w:r>
    </w:p>
    <w:p w:rsidR="00360A13" w:rsidRDefault="00360A13" w:rsidP="00360A13">
      <w:pPr>
        <w:ind w:left="709" w:hanging="709"/>
        <w:jc w:val="both"/>
        <w:rPr>
          <w:rFonts w:ascii="Calibri" w:hAnsi="Calibri"/>
          <w:lang w:eastAsia="en-GB"/>
        </w:rPr>
      </w:pPr>
    </w:p>
    <w:p w:rsidR="00360A13" w:rsidRDefault="00360A13" w:rsidP="00360A13">
      <w:pPr>
        <w:ind w:left="709" w:hanging="709"/>
        <w:jc w:val="both"/>
        <w:rPr>
          <w:rFonts w:ascii="Calibri" w:hAnsi="Calibri"/>
          <w:lang w:eastAsia="en-GB"/>
        </w:rPr>
      </w:pPr>
      <w:r>
        <w:rPr>
          <w:rFonts w:ascii="Calibri" w:hAnsi="Calibri"/>
          <w:lang w:eastAsia="en-GB"/>
        </w:rPr>
        <w:tab/>
        <w:t>Limited assurance was also provided in four other areas during the year as outlined in Appendix A, however I do not consider the issues raised in these reviews to be significant in the context of the overall governance, risk management and control system.</w:t>
      </w:r>
    </w:p>
    <w:p w:rsidR="00360A13" w:rsidRDefault="00360A13" w:rsidP="00360A13">
      <w:pPr>
        <w:ind w:left="709" w:hanging="709"/>
        <w:jc w:val="both"/>
        <w:rPr>
          <w:rFonts w:ascii="Calibri" w:hAnsi="Calibri"/>
          <w:lang w:eastAsia="en-GB"/>
        </w:rPr>
      </w:pPr>
    </w:p>
    <w:p w:rsidR="00360A13" w:rsidRDefault="00360A13" w:rsidP="00360A13">
      <w:pPr>
        <w:ind w:left="709" w:hanging="709"/>
        <w:jc w:val="both"/>
        <w:rPr>
          <w:rFonts w:ascii="Calibri" w:hAnsi="Calibri"/>
          <w:lang w:eastAsia="en-GB"/>
        </w:rPr>
      </w:pPr>
      <w:r>
        <w:rPr>
          <w:rFonts w:ascii="Calibri" w:hAnsi="Calibri"/>
          <w:lang w:eastAsia="en-GB"/>
        </w:rPr>
        <w:tab/>
        <w:t>Although the PCC and Chief Constable continue to work on a Tri-Force endeavor with Sussex and Thames Valley Police and Police and Crime Commissioners to develop the Equip programme, the project continues to experience significant delays. Equip is a large and complex undertaking, working with KPMG and Microsoft to develop solutions and at the time of writing continues to experience a cost over-run primarily due to the delay in implementation.</w:t>
      </w:r>
    </w:p>
    <w:p w:rsidR="00360A13" w:rsidRDefault="00360A13" w:rsidP="00360A13">
      <w:pPr>
        <w:ind w:left="709" w:hanging="709"/>
        <w:jc w:val="both"/>
        <w:rPr>
          <w:rFonts w:ascii="Calibri" w:hAnsi="Calibri"/>
          <w:lang w:eastAsia="en-GB"/>
        </w:rPr>
      </w:pPr>
    </w:p>
    <w:p w:rsidR="00360A13" w:rsidRDefault="00360A13" w:rsidP="00360A13">
      <w:pPr>
        <w:ind w:left="709" w:hanging="709"/>
        <w:jc w:val="both"/>
        <w:rPr>
          <w:rFonts w:ascii="Calibri" w:hAnsi="Calibri"/>
          <w:lang w:eastAsia="en-GB"/>
        </w:rPr>
      </w:pPr>
      <w:r>
        <w:rPr>
          <w:rFonts w:ascii="Calibri" w:hAnsi="Calibri"/>
          <w:lang w:eastAsia="en-GB"/>
        </w:rPr>
        <w:tab/>
        <w:t>Following the appointment of the new SRO during the year, the respective roles and expectations of the in-house team and the supplier have been reviewed and a further review of the delivery plan and timescales for implementation is underway. Regular reports on the progress and issues experienced by the project are presented to the Joint Audit Committee. The PCC and Chief Constable made arrangements with specialist advisers to provide assurance over the governance and project management arrangements for this programme and as a result this has not featured heavily in the internal audit plan to date. Once the programme moves towards implementation, however, it will feature heavily in the shared internal audit plan with Sussex Police to provide ongoing assurance that the controls in place, following the system and process changes, are adequate.</w:t>
      </w:r>
    </w:p>
    <w:p w:rsidR="00360A13" w:rsidRDefault="00360A13" w:rsidP="00763097">
      <w:pPr>
        <w:autoSpaceDE w:val="0"/>
        <w:ind w:left="720" w:hanging="720"/>
        <w:jc w:val="both"/>
        <w:rPr>
          <w:rFonts w:ascii="Calibri" w:hAnsi="Calibri"/>
        </w:rPr>
      </w:pPr>
    </w:p>
    <w:p w:rsidR="003F4361" w:rsidRPr="002F4708" w:rsidRDefault="003F4361" w:rsidP="003F4361">
      <w:pPr>
        <w:shd w:val="clear" w:color="auto" w:fill="0070C0"/>
        <w:jc w:val="both"/>
        <w:rPr>
          <w:rFonts w:ascii="Calibri" w:hAnsi="Calibri"/>
          <w:b/>
          <w:color w:val="FFFFFF"/>
        </w:rPr>
      </w:pPr>
      <w:r>
        <w:rPr>
          <w:rFonts w:ascii="Calibri" w:hAnsi="Calibri"/>
          <w:b/>
          <w:color w:val="FFFFFF"/>
        </w:rPr>
        <w:t>6</w:t>
      </w:r>
      <w:r w:rsidRPr="00481D6C">
        <w:rPr>
          <w:rFonts w:ascii="Calibri" w:hAnsi="Calibri"/>
          <w:b/>
          <w:color w:val="FFFFFF"/>
        </w:rPr>
        <w:tab/>
      </w:r>
      <w:r w:rsidR="00410AF8">
        <w:rPr>
          <w:rFonts w:ascii="Calibri" w:hAnsi="Calibri"/>
          <w:b/>
          <w:color w:val="FFFFFF"/>
        </w:rPr>
        <w:t>In response to Covid-19</w:t>
      </w:r>
    </w:p>
    <w:p w:rsidR="003F4361" w:rsidRDefault="003F4361" w:rsidP="003F4361">
      <w:pPr>
        <w:jc w:val="both"/>
        <w:rPr>
          <w:rFonts w:ascii="Calibri" w:hAnsi="Calibri"/>
          <w:color w:val="000000"/>
        </w:rPr>
      </w:pPr>
    </w:p>
    <w:p w:rsidR="003F4361" w:rsidRDefault="003F4361" w:rsidP="003F4361">
      <w:pPr>
        <w:ind w:left="720" w:hanging="720"/>
        <w:jc w:val="both"/>
        <w:rPr>
          <w:rFonts w:ascii="Calibri" w:hAnsi="Calibri"/>
          <w:color w:val="000000"/>
        </w:rPr>
      </w:pPr>
      <w:r>
        <w:rPr>
          <w:rFonts w:ascii="Calibri" w:hAnsi="Calibri"/>
          <w:color w:val="000000"/>
        </w:rPr>
        <w:t>6.1</w:t>
      </w:r>
      <w:r>
        <w:rPr>
          <w:rFonts w:ascii="Calibri" w:hAnsi="Calibri"/>
          <w:color w:val="000000"/>
        </w:rPr>
        <w:tab/>
      </w:r>
      <w:r w:rsidRPr="003F4361">
        <w:rPr>
          <w:rFonts w:ascii="Calibri" w:hAnsi="Calibri"/>
          <w:color w:val="000000"/>
        </w:rPr>
        <w:t>The annual governance statement (AGS) needs to be current at the final date of publication which may be later than previous years due to the extended deadlines for statutory reporting for 2019-20. As a result of Covid-19, statutory deadlines for the draft AGS was extended from 31 July to 31 August 2020 with the final AGS (ideally post-audit) extended to 30 November 2020.</w:t>
      </w:r>
    </w:p>
    <w:p w:rsidR="003F4361" w:rsidRPr="003F4361" w:rsidRDefault="003F4361" w:rsidP="003F4361">
      <w:pPr>
        <w:jc w:val="both"/>
        <w:rPr>
          <w:rFonts w:ascii="Calibri" w:hAnsi="Calibri"/>
          <w:color w:val="000000"/>
        </w:rPr>
      </w:pPr>
    </w:p>
    <w:p w:rsidR="00763097" w:rsidRPr="003F4361" w:rsidRDefault="003F4361" w:rsidP="003F4361">
      <w:pPr>
        <w:ind w:left="720" w:hanging="720"/>
        <w:jc w:val="both"/>
        <w:rPr>
          <w:rFonts w:ascii="Calibri" w:hAnsi="Calibri"/>
          <w:color w:val="000000"/>
        </w:rPr>
      </w:pPr>
      <w:r w:rsidRPr="003F4361">
        <w:rPr>
          <w:rFonts w:ascii="Calibri" w:hAnsi="Calibri"/>
          <w:color w:val="000000"/>
        </w:rPr>
        <w:t>6.</w:t>
      </w:r>
      <w:r>
        <w:rPr>
          <w:rFonts w:ascii="Calibri" w:hAnsi="Calibri"/>
          <w:color w:val="000000"/>
        </w:rPr>
        <w:t>2</w:t>
      </w:r>
      <w:r>
        <w:rPr>
          <w:rFonts w:ascii="Calibri" w:hAnsi="Calibri"/>
          <w:color w:val="000000"/>
        </w:rPr>
        <w:tab/>
      </w:r>
      <w:r w:rsidRPr="001303B2">
        <w:rPr>
          <w:rFonts w:ascii="Calibri" w:hAnsi="Calibri"/>
        </w:rPr>
        <w:t>The AGS assesses governance in place during the 2019/20 financial year so the majority of the year will be unaffected by the Covid-19 coronavirus pandemic. However Covid-19 did impact on governance arrangements during March 2020 and represents a significant governance issue beyond 31 March 2020. The impact of Covid-19 on existing governance arrangements is under constant review through established risk monitoring processes. The Chief Constable is keeping under continuous review the impact of Covid-19 on the operation of the force and partner organisations.</w:t>
      </w:r>
      <w:r w:rsidRPr="003F4361">
        <w:rPr>
          <w:rFonts w:ascii="Calibri" w:hAnsi="Calibri"/>
          <w:color w:val="000000"/>
        </w:rPr>
        <w:tab/>
      </w:r>
    </w:p>
    <w:p w:rsidR="00763097" w:rsidRPr="003F4361" w:rsidRDefault="00763097" w:rsidP="003F4361">
      <w:pPr>
        <w:jc w:val="both"/>
        <w:rPr>
          <w:rFonts w:ascii="Calibri" w:hAnsi="Calibri"/>
          <w:color w:val="000000"/>
        </w:rPr>
      </w:pPr>
    </w:p>
    <w:p w:rsidR="00763097" w:rsidRPr="003F4361" w:rsidRDefault="003F4361" w:rsidP="003F4361">
      <w:pPr>
        <w:suppressAutoHyphens/>
        <w:autoSpaceDE w:val="0"/>
        <w:jc w:val="both"/>
        <w:rPr>
          <w:rFonts w:ascii="Calibri" w:hAnsi="Calibri"/>
        </w:rPr>
      </w:pPr>
      <w:r>
        <w:rPr>
          <w:rFonts w:ascii="Calibri" w:hAnsi="Calibri"/>
        </w:rPr>
        <w:t>6.3</w:t>
      </w:r>
      <w:r>
        <w:rPr>
          <w:rFonts w:ascii="Calibri" w:hAnsi="Calibri"/>
        </w:rPr>
        <w:tab/>
      </w:r>
      <w:r w:rsidR="00763097" w:rsidRPr="003F4361">
        <w:rPr>
          <w:rFonts w:ascii="Calibri" w:hAnsi="Calibri"/>
        </w:rPr>
        <w:t>As part of the Coronavirus Bill 2020 two new powers were given to the police:</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Powers Relating to Potentially Infectious Persons – Schedule 20</w:t>
      </w:r>
      <w:r>
        <w:rPr>
          <w:rFonts w:ascii="Calibri" w:hAnsi="Calibri"/>
        </w:rPr>
        <w:t>;</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Powers to Issue Directions Relating to Events, Gathering and Premises – Schedule 21</w:t>
      </w:r>
    </w:p>
    <w:p w:rsidR="00763097" w:rsidRPr="001303B2" w:rsidRDefault="00763097" w:rsidP="00763097">
      <w:pPr>
        <w:ind w:left="720"/>
        <w:jc w:val="both"/>
        <w:rPr>
          <w:rFonts w:ascii="Calibri" w:hAnsi="Calibri"/>
        </w:rPr>
      </w:pPr>
      <w:r w:rsidRPr="001303B2">
        <w:rPr>
          <w:rFonts w:ascii="Calibri" w:hAnsi="Calibri"/>
        </w:rPr>
        <w:t xml:space="preserve">In </w:t>
      </w:r>
      <w:r>
        <w:rPr>
          <w:rFonts w:ascii="Calibri" w:hAnsi="Calibri"/>
        </w:rPr>
        <w:t>Surrey</w:t>
      </w:r>
      <w:r w:rsidRPr="001303B2">
        <w:rPr>
          <w:rFonts w:ascii="Calibri" w:hAnsi="Calibri"/>
        </w:rPr>
        <w:t xml:space="preserve"> Police these powers are used only on the express direction of specific individuals.</w:t>
      </w:r>
    </w:p>
    <w:p w:rsidR="00763097" w:rsidRPr="001303B2" w:rsidRDefault="00763097" w:rsidP="00763097">
      <w:pPr>
        <w:autoSpaceDE w:val="0"/>
        <w:jc w:val="both"/>
        <w:rPr>
          <w:rFonts w:ascii="Calibri" w:hAnsi="Calibri"/>
        </w:rPr>
      </w:pPr>
    </w:p>
    <w:p w:rsidR="00763097" w:rsidRPr="001303B2" w:rsidRDefault="003F4361" w:rsidP="003F4361">
      <w:pPr>
        <w:suppressAutoHyphens/>
        <w:autoSpaceDE w:val="0"/>
        <w:ind w:left="720" w:hanging="720"/>
        <w:jc w:val="both"/>
        <w:rPr>
          <w:rFonts w:ascii="Calibri" w:hAnsi="Calibri"/>
        </w:rPr>
      </w:pPr>
      <w:r>
        <w:rPr>
          <w:rFonts w:ascii="Calibri" w:hAnsi="Calibri"/>
        </w:rPr>
        <w:t>6.4</w:t>
      </w:r>
      <w:r>
        <w:rPr>
          <w:rFonts w:ascii="Calibri" w:hAnsi="Calibri"/>
        </w:rPr>
        <w:tab/>
      </w:r>
      <w:r w:rsidR="00763097" w:rsidRPr="001303B2">
        <w:rPr>
          <w:rFonts w:ascii="Calibri" w:hAnsi="Calibri"/>
        </w:rPr>
        <w:t>Operation Apollo, a ‘gold command’ governance group, set up to respond to changes as they were publicly</w:t>
      </w:r>
      <w:r>
        <w:rPr>
          <w:rFonts w:ascii="Calibri" w:hAnsi="Calibri"/>
        </w:rPr>
        <w:t xml:space="preserve"> </w:t>
      </w:r>
      <w:r w:rsidR="00763097" w:rsidRPr="001303B2">
        <w:rPr>
          <w:rFonts w:ascii="Calibri" w:hAnsi="Calibri"/>
        </w:rPr>
        <w:t xml:space="preserve">announced, maintained a robust control environment to capture issues, assess capacity and capability, manage stakeholder engagement, make decisions and coordinate the </w:t>
      </w:r>
      <w:r w:rsidR="00763097">
        <w:rPr>
          <w:rFonts w:ascii="Calibri" w:hAnsi="Calibri"/>
        </w:rPr>
        <w:t>Surrey</w:t>
      </w:r>
      <w:r w:rsidR="00763097" w:rsidRPr="001303B2">
        <w:rPr>
          <w:rFonts w:ascii="Calibri" w:hAnsi="Calibri"/>
        </w:rPr>
        <w:t xml:space="preserve"> Police response to Covid-19. </w:t>
      </w:r>
    </w:p>
    <w:p w:rsidR="00763097" w:rsidRDefault="00763097" w:rsidP="003F4361">
      <w:pPr>
        <w:pStyle w:val="ListParagraph"/>
        <w:numPr>
          <w:ilvl w:val="0"/>
          <w:numId w:val="0"/>
        </w:numPr>
        <w:ind w:left="357"/>
        <w:rPr>
          <w:rFonts w:ascii="Calibri" w:hAnsi="Calibri"/>
          <w:sz w:val="22"/>
          <w:highlight w:val="yellow"/>
        </w:rPr>
      </w:pPr>
    </w:p>
    <w:p w:rsidR="00763097" w:rsidRPr="001303B2" w:rsidRDefault="003F4361" w:rsidP="003F4361">
      <w:pPr>
        <w:suppressAutoHyphens/>
        <w:autoSpaceDE w:val="0"/>
        <w:ind w:left="720" w:hanging="720"/>
        <w:jc w:val="both"/>
        <w:rPr>
          <w:rFonts w:ascii="Calibri" w:hAnsi="Calibri"/>
        </w:rPr>
      </w:pPr>
      <w:r>
        <w:rPr>
          <w:rFonts w:ascii="Calibri" w:hAnsi="Calibri"/>
        </w:rPr>
        <w:t xml:space="preserve">6.5 </w:t>
      </w:r>
      <w:r>
        <w:rPr>
          <w:rFonts w:ascii="Calibri" w:hAnsi="Calibri"/>
        </w:rPr>
        <w:tab/>
      </w:r>
      <w:r w:rsidR="00763097" w:rsidRPr="001303B2">
        <w:rPr>
          <w:rFonts w:ascii="Calibri" w:hAnsi="Calibri"/>
        </w:rPr>
        <w:t xml:space="preserve">Extensive internal and external communications, managed via Operation Apollo issued the latest information and guidance to staff and officers daily to include; briefings, operational guidance, intelligence updates, personal guidance, line manager advice, staff impact and wellbeing resources. </w:t>
      </w:r>
    </w:p>
    <w:p w:rsidR="00763097" w:rsidRPr="001303B2" w:rsidRDefault="00763097" w:rsidP="003F4361">
      <w:pPr>
        <w:pStyle w:val="ListParagraph"/>
        <w:numPr>
          <w:ilvl w:val="0"/>
          <w:numId w:val="0"/>
        </w:numPr>
        <w:ind w:left="357"/>
        <w:rPr>
          <w:rFonts w:ascii="Calibri" w:hAnsi="Calibri"/>
          <w:sz w:val="22"/>
        </w:rPr>
      </w:pPr>
    </w:p>
    <w:p w:rsidR="00763097" w:rsidRPr="001303B2" w:rsidRDefault="003F4361" w:rsidP="003F4361">
      <w:pPr>
        <w:suppressAutoHyphens/>
        <w:autoSpaceDE w:val="0"/>
        <w:jc w:val="both"/>
        <w:rPr>
          <w:rFonts w:ascii="Calibri" w:hAnsi="Calibri"/>
        </w:rPr>
      </w:pPr>
      <w:r>
        <w:rPr>
          <w:rFonts w:ascii="Calibri" w:hAnsi="Calibri"/>
        </w:rPr>
        <w:t>6.6</w:t>
      </w:r>
      <w:r>
        <w:rPr>
          <w:rFonts w:ascii="Calibri" w:hAnsi="Calibri"/>
        </w:rPr>
        <w:tab/>
      </w:r>
      <w:r w:rsidR="00763097" w:rsidRPr="001303B2">
        <w:rPr>
          <w:rFonts w:ascii="Calibri" w:hAnsi="Calibri"/>
        </w:rPr>
        <w:t>Activation of ‘social distancing’ policies and business continuity plans were invoked early on:</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Employees were instructed to avoid unnecessary travel and non-essential physical contact</w:t>
      </w:r>
      <w:r>
        <w:rPr>
          <w:rFonts w:ascii="Calibri" w:hAnsi="Calibri"/>
        </w:rPr>
        <w:t>;</w:t>
      </w:r>
      <w:r w:rsidRPr="001303B2">
        <w:rPr>
          <w:rFonts w:ascii="Calibri" w:hAnsi="Calibri"/>
        </w:rPr>
        <w:t xml:space="preserve"> </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Familiarity with PPE guidance promoted in recognition of inevitable physical contact in policing</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NHS hygiene advice made available to all staff and officers</w:t>
      </w:r>
      <w:r>
        <w:rPr>
          <w:rFonts w:ascii="Calibri" w:hAnsi="Calibri"/>
        </w:rPr>
        <w:t>;</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Managers encouraged to support remote/home working for non-operational staff</w:t>
      </w:r>
      <w:r>
        <w:rPr>
          <w:rFonts w:ascii="Calibri" w:hAnsi="Calibri"/>
        </w:rPr>
        <w:t>;</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Face to face meetings, wherever possible were moved to teleconference or alternative virtual meeting space e.g. Skype</w:t>
      </w:r>
      <w:r>
        <w:rPr>
          <w:rFonts w:ascii="Calibri" w:hAnsi="Calibri"/>
        </w:rPr>
        <w:t>;</w:t>
      </w:r>
    </w:p>
    <w:p w:rsidR="00763097" w:rsidRPr="00410AF8" w:rsidRDefault="00763097" w:rsidP="00410AF8">
      <w:pPr>
        <w:numPr>
          <w:ilvl w:val="0"/>
          <w:numId w:val="2"/>
        </w:numPr>
        <w:tabs>
          <w:tab w:val="num" w:pos="1080"/>
        </w:tabs>
        <w:suppressAutoHyphens/>
        <w:ind w:left="1080"/>
        <w:jc w:val="both"/>
        <w:rPr>
          <w:rFonts w:ascii="Calibri" w:hAnsi="Calibri"/>
        </w:rPr>
      </w:pPr>
      <w:r w:rsidRPr="001303B2">
        <w:rPr>
          <w:rFonts w:ascii="Calibri" w:hAnsi="Calibri"/>
        </w:rPr>
        <w:t>Non-urgent meetings, events and conferences cancelled or postponed in consultation with stakeholders</w:t>
      </w:r>
      <w:r>
        <w:rPr>
          <w:rFonts w:ascii="Calibri" w:hAnsi="Calibri"/>
        </w:rPr>
        <w:t>.</w:t>
      </w:r>
    </w:p>
    <w:p w:rsidR="003F4361" w:rsidRDefault="003F4361" w:rsidP="003F4361">
      <w:pPr>
        <w:suppressAutoHyphens/>
        <w:autoSpaceDE w:val="0"/>
        <w:jc w:val="both"/>
        <w:rPr>
          <w:rFonts w:ascii="Calibri" w:hAnsi="Calibri"/>
        </w:rPr>
      </w:pPr>
    </w:p>
    <w:p w:rsidR="00763097" w:rsidRPr="001303B2" w:rsidRDefault="003F4361" w:rsidP="003F4361">
      <w:pPr>
        <w:suppressAutoHyphens/>
        <w:autoSpaceDE w:val="0"/>
        <w:ind w:left="720" w:hanging="720"/>
        <w:jc w:val="both"/>
        <w:rPr>
          <w:rFonts w:ascii="Calibri" w:hAnsi="Calibri"/>
        </w:rPr>
      </w:pPr>
      <w:r>
        <w:rPr>
          <w:rFonts w:ascii="Calibri" w:hAnsi="Calibri"/>
        </w:rPr>
        <w:t>6.7</w:t>
      </w:r>
      <w:r>
        <w:rPr>
          <w:rFonts w:ascii="Calibri" w:hAnsi="Calibri"/>
        </w:rPr>
        <w:tab/>
      </w:r>
      <w:r w:rsidR="00763097" w:rsidRPr="001303B2">
        <w:rPr>
          <w:rFonts w:ascii="Calibri" w:hAnsi="Calibri"/>
        </w:rPr>
        <w:t>Instruction was given mid-March for all staff to work from home where possible in line with restrictions on public life made by the UK Government to slow the effects of Coronavirus and protect NHS resources.</w:t>
      </w:r>
    </w:p>
    <w:p w:rsidR="00763097" w:rsidRPr="001303B2" w:rsidRDefault="00763097" w:rsidP="00763097">
      <w:pPr>
        <w:autoSpaceDE w:val="0"/>
        <w:ind w:left="720"/>
        <w:jc w:val="both"/>
        <w:rPr>
          <w:rFonts w:ascii="Calibri" w:hAnsi="Calibri"/>
        </w:rPr>
      </w:pPr>
    </w:p>
    <w:p w:rsidR="00763097" w:rsidRPr="001303B2" w:rsidRDefault="003F4361" w:rsidP="003F4361">
      <w:pPr>
        <w:suppressAutoHyphens/>
        <w:autoSpaceDE w:val="0"/>
        <w:jc w:val="both"/>
        <w:rPr>
          <w:rFonts w:ascii="Calibri" w:hAnsi="Calibri"/>
        </w:rPr>
      </w:pPr>
      <w:r>
        <w:rPr>
          <w:rFonts w:ascii="Calibri" w:hAnsi="Calibri"/>
        </w:rPr>
        <w:t>6.8</w:t>
      </w:r>
      <w:r>
        <w:rPr>
          <w:rFonts w:ascii="Calibri" w:hAnsi="Calibri"/>
        </w:rPr>
        <w:tab/>
      </w:r>
      <w:r w:rsidR="00763097" w:rsidRPr="001303B2">
        <w:rPr>
          <w:rFonts w:ascii="Calibri" w:hAnsi="Calibri"/>
        </w:rPr>
        <w:t>Other changes to governance arrangements as a result of Covid-19 include:</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 xml:space="preserve">Force command structure across </w:t>
      </w:r>
      <w:r>
        <w:rPr>
          <w:rFonts w:ascii="Calibri" w:hAnsi="Calibri"/>
        </w:rPr>
        <w:t>Surrey Police and Sussex</w:t>
      </w:r>
      <w:r w:rsidRPr="001303B2">
        <w:rPr>
          <w:rFonts w:ascii="Calibri" w:hAnsi="Calibri"/>
        </w:rPr>
        <w:t xml:space="preserve"> Police changes to increase resilience around the policing response</w:t>
      </w:r>
      <w:r>
        <w:rPr>
          <w:rFonts w:ascii="Calibri" w:hAnsi="Calibri"/>
        </w:rPr>
        <w:t>;</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Redeployment of staff to support the front-line workforce and Operation Apollo</w:t>
      </w:r>
      <w:r>
        <w:rPr>
          <w:rFonts w:ascii="Calibri" w:hAnsi="Calibri"/>
        </w:rPr>
        <w:t>;</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Redeployment of officers to changes in priorities and crime demands arising from Covid-19</w:t>
      </w:r>
      <w:r>
        <w:rPr>
          <w:rFonts w:ascii="Calibri" w:hAnsi="Calibri"/>
        </w:rPr>
        <w:t>;</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Frequent dialogue maintained with government officials and key stakeholders on the financial impact on policing resulting from Covid-19</w:t>
      </w:r>
      <w:r>
        <w:rPr>
          <w:rFonts w:ascii="Calibri" w:hAnsi="Calibri"/>
        </w:rPr>
        <w:t>;</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Monitoring and approval process through Operation Apollo to deal with additional costs e.g. pay related costs, personal protective equipment (PPE) for frontline staff, IT investment to allow people to work from home and income losses</w:t>
      </w:r>
      <w:r>
        <w:rPr>
          <w:rFonts w:ascii="Calibri" w:hAnsi="Calibri"/>
        </w:rPr>
        <w:t>;</w:t>
      </w:r>
    </w:p>
    <w:p w:rsidR="00763097" w:rsidRPr="001303B2" w:rsidRDefault="00763097" w:rsidP="00763097">
      <w:pPr>
        <w:numPr>
          <w:ilvl w:val="0"/>
          <w:numId w:val="2"/>
        </w:numPr>
        <w:tabs>
          <w:tab w:val="num" w:pos="1080"/>
        </w:tabs>
        <w:suppressAutoHyphens/>
        <w:ind w:left="1080"/>
        <w:jc w:val="both"/>
        <w:rPr>
          <w:rFonts w:ascii="Calibri" w:hAnsi="Calibri"/>
        </w:rPr>
      </w:pPr>
      <w:r w:rsidRPr="001303B2">
        <w:rPr>
          <w:rFonts w:ascii="Calibri" w:hAnsi="Calibri"/>
        </w:rPr>
        <w:t>More flexible use of Government Procurement Cards and increased local floats to facilitate urgent purchases</w:t>
      </w:r>
      <w:r>
        <w:rPr>
          <w:rFonts w:ascii="Calibri" w:hAnsi="Calibri"/>
        </w:rPr>
        <w:t>.</w:t>
      </w:r>
      <w:r w:rsidRPr="001303B2">
        <w:rPr>
          <w:rFonts w:ascii="Calibri" w:hAnsi="Calibri"/>
        </w:rPr>
        <w:t xml:space="preserve"> </w:t>
      </w:r>
    </w:p>
    <w:p w:rsidR="00763097" w:rsidRDefault="00763097" w:rsidP="003F4361">
      <w:pPr>
        <w:pStyle w:val="ListParagraph"/>
        <w:numPr>
          <w:ilvl w:val="0"/>
          <w:numId w:val="0"/>
        </w:numPr>
        <w:ind w:left="357"/>
        <w:rPr>
          <w:rFonts w:ascii="Calibri" w:hAnsi="Calibri"/>
          <w:sz w:val="22"/>
        </w:rPr>
      </w:pPr>
    </w:p>
    <w:p w:rsidR="00A7403F" w:rsidRDefault="00A7403F" w:rsidP="003F4361">
      <w:pPr>
        <w:pStyle w:val="ListParagraph"/>
        <w:numPr>
          <w:ilvl w:val="0"/>
          <w:numId w:val="0"/>
        </w:numPr>
        <w:ind w:left="357"/>
        <w:rPr>
          <w:rFonts w:ascii="Calibri" w:hAnsi="Calibri"/>
          <w:sz w:val="22"/>
        </w:rPr>
      </w:pPr>
    </w:p>
    <w:p w:rsidR="00A7403F" w:rsidRPr="001303B2" w:rsidRDefault="00A7403F" w:rsidP="003F4361">
      <w:pPr>
        <w:pStyle w:val="ListParagraph"/>
        <w:numPr>
          <w:ilvl w:val="0"/>
          <w:numId w:val="0"/>
        </w:numPr>
        <w:ind w:left="357"/>
        <w:rPr>
          <w:rFonts w:ascii="Calibri" w:hAnsi="Calibri"/>
          <w:sz w:val="22"/>
        </w:rPr>
      </w:pPr>
    </w:p>
    <w:p w:rsidR="00763097" w:rsidRPr="001303B2" w:rsidRDefault="003F4361" w:rsidP="003F4361">
      <w:pPr>
        <w:suppressAutoHyphens/>
        <w:autoSpaceDE w:val="0"/>
        <w:jc w:val="both"/>
        <w:rPr>
          <w:rFonts w:ascii="Calibri" w:hAnsi="Calibri"/>
        </w:rPr>
      </w:pPr>
      <w:r>
        <w:rPr>
          <w:rFonts w:ascii="Calibri" w:hAnsi="Calibri"/>
        </w:rPr>
        <w:t>6.9</w:t>
      </w:r>
      <w:r>
        <w:rPr>
          <w:rFonts w:ascii="Calibri" w:hAnsi="Calibri"/>
        </w:rPr>
        <w:tab/>
      </w:r>
      <w:r w:rsidR="00763097" w:rsidRPr="001303B2">
        <w:rPr>
          <w:rFonts w:ascii="Calibri" w:hAnsi="Calibri"/>
        </w:rPr>
        <w:t>Since 31 March 2020 the following governance issues arose relating to Covid-19:</w:t>
      </w:r>
    </w:p>
    <w:p w:rsidR="00763097" w:rsidRPr="001303B2" w:rsidRDefault="00763097" w:rsidP="00763097">
      <w:pPr>
        <w:numPr>
          <w:ilvl w:val="0"/>
          <w:numId w:val="18"/>
        </w:numPr>
        <w:suppressAutoHyphens/>
        <w:autoSpaceDE w:val="0"/>
        <w:jc w:val="both"/>
        <w:rPr>
          <w:rFonts w:ascii="Calibri" w:hAnsi="Calibri"/>
        </w:rPr>
      </w:pPr>
      <w:r w:rsidRPr="001303B2">
        <w:rPr>
          <w:rFonts w:ascii="Calibri" w:hAnsi="Calibri"/>
        </w:rPr>
        <w:t xml:space="preserve">National procurement contribution towards personal protective equipment (£5m </w:t>
      </w:r>
      <w:r>
        <w:rPr>
          <w:rFonts w:ascii="Calibri" w:hAnsi="Calibri"/>
        </w:rPr>
        <w:t>Surrey Police &amp; Sussex</w:t>
      </w:r>
      <w:r w:rsidRPr="001303B2">
        <w:rPr>
          <w:rFonts w:ascii="Calibri" w:hAnsi="Calibri"/>
        </w:rPr>
        <w:t xml:space="preserve"> Police) requiring legal and procurement exp</w:t>
      </w:r>
      <w:r>
        <w:rPr>
          <w:rFonts w:ascii="Calibri" w:hAnsi="Calibri"/>
        </w:rPr>
        <w:t>ertise and cash flow management;</w:t>
      </w:r>
    </w:p>
    <w:p w:rsidR="00763097" w:rsidRPr="001303B2" w:rsidRDefault="00763097" w:rsidP="00763097">
      <w:pPr>
        <w:numPr>
          <w:ilvl w:val="0"/>
          <w:numId w:val="18"/>
        </w:numPr>
        <w:suppressAutoHyphens/>
        <w:autoSpaceDE w:val="0"/>
        <w:jc w:val="both"/>
        <w:rPr>
          <w:rFonts w:ascii="Calibri" w:hAnsi="Calibri"/>
        </w:rPr>
      </w:pPr>
      <w:r w:rsidRPr="001303B2">
        <w:rPr>
          <w:rFonts w:ascii="Calibri" w:hAnsi="Calibri"/>
        </w:rPr>
        <w:t>Strategic review of budgets, existing projects and capital programmes with a view to mitigate costs arising from Covid-19 and support financial sustainability</w:t>
      </w:r>
      <w:r>
        <w:rPr>
          <w:rFonts w:ascii="Calibri" w:hAnsi="Calibri"/>
        </w:rPr>
        <w:t>;</w:t>
      </w:r>
    </w:p>
    <w:p w:rsidR="00763097" w:rsidRPr="001303B2" w:rsidRDefault="00763097" w:rsidP="00763097">
      <w:pPr>
        <w:numPr>
          <w:ilvl w:val="0"/>
          <w:numId w:val="18"/>
        </w:numPr>
        <w:suppressAutoHyphens/>
        <w:autoSpaceDE w:val="0"/>
        <w:jc w:val="both"/>
        <w:rPr>
          <w:rFonts w:ascii="Calibri" w:hAnsi="Calibri"/>
        </w:rPr>
      </w:pPr>
      <w:r w:rsidRPr="001303B2">
        <w:rPr>
          <w:rFonts w:ascii="Calibri" w:hAnsi="Calibri"/>
        </w:rPr>
        <w:t>Supply chain management including immediate payment of suppliers and/or exceptional payments in advance to mitigate risk of failure by essential suppliers</w:t>
      </w:r>
      <w:r>
        <w:rPr>
          <w:rFonts w:ascii="Calibri" w:hAnsi="Calibri"/>
        </w:rPr>
        <w:t>;</w:t>
      </w:r>
    </w:p>
    <w:p w:rsidR="00763097" w:rsidRPr="001303B2" w:rsidRDefault="00763097" w:rsidP="00763097">
      <w:pPr>
        <w:numPr>
          <w:ilvl w:val="0"/>
          <w:numId w:val="18"/>
        </w:numPr>
        <w:suppressAutoHyphens/>
        <w:autoSpaceDE w:val="0"/>
        <w:jc w:val="both"/>
        <w:rPr>
          <w:rFonts w:ascii="Calibri" w:hAnsi="Calibri"/>
        </w:rPr>
      </w:pPr>
      <w:r w:rsidRPr="001303B2">
        <w:rPr>
          <w:rFonts w:ascii="Calibri" w:hAnsi="Calibri"/>
        </w:rPr>
        <w:t>Greater likelihood of borrowing requirement due to additional costs and potential reductions in income impact on medium term financial planning</w:t>
      </w:r>
      <w:r>
        <w:rPr>
          <w:rFonts w:ascii="Calibri" w:hAnsi="Calibri"/>
        </w:rPr>
        <w:t>.</w:t>
      </w:r>
    </w:p>
    <w:p w:rsidR="00763097" w:rsidRPr="000803AE" w:rsidRDefault="00763097" w:rsidP="00763097">
      <w:pPr>
        <w:autoSpaceDE w:val="0"/>
        <w:ind w:left="720"/>
        <w:jc w:val="both"/>
        <w:rPr>
          <w:rFonts w:ascii="Calibri" w:hAnsi="Calibri"/>
        </w:rPr>
      </w:pPr>
    </w:p>
    <w:p w:rsidR="00763097" w:rsidRPr="001303B2" w:rsidRDefault="003F4361" w:rsidP="003F4361">
      <w:pPr>
        <w:suppressAutoHyphens/>
        <w:autoSpaceDE w:val="0"/>
        <w:ind w:left="720" w:hanging="720"/>
        <w:jc w:val="both"/>
        <w:rPr>
          <w:rFonts w:ascii="Calibri" w:hAnsi="Calibri"/>
        </w:rPr>
      </w:pPr>
      <w:r>
        <w:rPr>
          <w:rFonts w:ascii="Calibri" w:hAnsi="Calibri"/>
        </w:rPr>
        <w:t>6.10</w:t>
      </w:r>
      <w:r>
        <w:rPr>
          <w:rFonts w:ascii="Calibri" w:hAnsi="Calibri"/>
        </w:rPr>
        <w:tab/>
      </w:r>
      <w:r w:rsidR="00763097" w:rsidRPr="00FA10D2">
        <w:rPr>
          <w:rFonts w:ascii="Calibri" w:hAnsi="Calibri"/>
        </w:rPr>
        <w:t>The OPCC has continued to scrutinise the Force using electronic means of communication rather than face to face meetings. The PCC has held Performance Meetings with the Force remotely to ensure that the Chief Constable is still held to account. Remote meetings of the Joint Audit Committee and the Police and Crime Panel are also scheduled to take place as usual. The Internal Audit plan for 2020/21 has been re-ordered to enable audits which can be done remotely to be completed first. This is to ensure that any slippage in the overall timetable is minimised. The PCC has invited voluntary bodies to apply for special Covid-19 grants to support their work within the Community, especially in areas of Domestic and Child abuse, and to date almost £250,000 has been awarded</w:t>
      </w:r>
      <w:r w:rsidR="00763097" w:rsidRPr="001303B2">
        <w:rPr>
          <w:rFonts w:ascii="Calibri" w:hAnsi="Calibri"/>
        </w:rPr>
        <w:t>.</w:t>
      </w:r>
    </w:p>
    <w:p w:rsidR="00763097" w:rsidRPr="001303B2" w:rsidRDefault="00763097" w:rsidP="00763097">
      <w:pPr>
        <w:autoSpaceDE w:val="0"/>
        <w:ind w:left="720"/>
        <w:jc w:val="both"/>
        <w:rPr>
          <w:rFonts w:ascii="Calibri" w:hAnsi="Calibri"/>
        </w:rPr>
      </w:pPr>
    </w:p>
    <w:p w:rsidR="00763097" w:rsidRPr="002F4708" w:rsidRDefault="00763097" w:rsidP="00763097">
      <w:pPr>
        <w:shd w:val="clear" w:color="auto" w:fill="0070C0"/>
        <w:jc w:val="both"/>
        <w:rPr>
          <w:rFonts w:ascii="Calibri" w:hAnsi="Calibri"/>
          <w:b/>
          <w:color w:val="FFFFFF"/>
        </w:rPr>
      </w:pPr>
      <w:r>
        <w:rPr>
          <w:rFonts w:ascii="Calibri" w:hAnsi="Calibri"/>
          <w:b/>
          <w:color w:val="FFFFFF"/>
        </w:rPr>
        <w:t>7</w:t>
      </w:r>
      <w:r w:rsidRPr="00481D6C">
        <w:rPr>
          <w:rFonts w:ascii="Calibri" w:hAnsi="Calibri"/>
          <w:b/>
          <w:color w:val="FFFFFF"/>
        </w:rPr>
        <w:tab/>
      </w:r>
      <w:r>
        <w:rPr>
          <w:rFonts w:ascii="Calibri" w:hAnsi="Calibri"/>
          <w:b/>
          <w:color w:val="FFFFFF"/>
        </w:rPr>
        <w:t>Compliance with CIPFA’s Statement on the Role of the Chief Financial Officer (CFO)</w:t>
      </w:r>
    </w:p>
    <w:p w:rsidR="00763097" w:rsidRPr="002E3D0B" w:rsidRDefault="00763097" w:rsidP="00763097">
      <w:pPr>
        <w:jc w:val="both"/>
      </w:pPr>
    </w:p>
    <w:p w:rsidR="00763097" w:rsidRPr="00FA10D2" w:rsidRDefault="00763097" w:rsidP="00763097">
      <w:pPr>
        <w:ind w:left="709" w:hanging="709"/>
        <w:jc w:val="both"/>
        <w:rPr>
          <w:rFonts w:ascii="Calibri" w:hAnsi="Calibri"/>
          <w:bCs/>
        </w:rPr>
      </w:pPr>
      <w:r>
        <w:rPr>
          <w:rFonts w:ascii="Calibri" w:hAnsi="Calibri"/>
          <w:bCs/>
        </w:rPr>
        <w:t>7</w:t>
      </w:r>
      <w:r w:rsidRPr="00345718">
        <w:rPr>
          <w:rFonts w:ascii="Calibri" w:hAnsi="Calibri"/>
          <w:bCs/>
        </w:rPr>
        <w:t>.1</w:t>
      </w:r>
      <w:r w:rsidRPr="00345718">
        <w:rPr>
          <w:rFonts w:ascii="Calibri" w:hAnsi="Calibri"/>
          <w:bCs/>
        </w:rPr>
        <w:tab/>
      </w:r>
      <w:r w:rsidRPr="00FA10D2">
        <w:rPr>
          <w:rFonts w:ascii="Calibri" w:hAnsi="Calibri"/>
          <w:bCs/>
        </w:rPr>
        <w:t>The PCC and Chief Constable must both have a suitably qualified CFO with defined responsibilities and powers. The CIPFA Statement requires that the CFO should be a professionally qualified accountant, report directly to the PCC or the Chief Constable (depending on the specific CFO concerned) and be a member of their respective leadership teams. In the OPCC, the role of the CFO meets these requirements. In Surrey Police, the CFO holds the title of Executive Director of Commercial and Financial Services and is a key member of the Chief Constable’s leadership team. The CFO has direct access to the Chief Constable on financial matters however reports to the Deputy Chief Constable. This is consistent with other Surrey Chief Officers who report to either the Chief Constable or the Deputy Chief Constable.</w:t>
      </w:r>
    </w:p>
    <w:p w:rsidR="00360A13" w:rsidRPr="000803AE" w:rsidRDefault="00360A13" w:rsidP="00360A13">
      <w:pPr>
        <w:autoSpaceDE w:val="0"/>
        <w:jc w:val="both"/>
        <w:rPr>
          <w:rFonts w:ascii="Calibri" w:hAnsi="Calibri"/>
        </w:rPr>
      </w:pPr>
    </w:p>
    <w:p w:rsidR="00360A13" w:rsidRPr="002F4708" w:rsidRDefault="00360A13" w:rsidP="00360A13">
      <w:pPr>
        <w:shd w:val="clear" w:color="auto" w:fill="0070C0"/>
        <w:jc w:val="both"/>
        <w:rPr>
          <w:rFonts w:ascii="Calibri" w:hAnsi="Calibri"/>
          <w:b/>
          <w:color w:val="FFFFFF"/>
        </w:rPr>
      </w:pPr>
      <w:r>
        <w:rPr>
          <w:rFonts w:ascii="Calibri" w:hAnsi="Calibri"/>
          <w:b/>
          <w:color w:val="FFFFFF"/>
        </w:rPr>
        <w:t>8</w:t>
      </w:r>
      <w:r w:rsidRPr="00481D6C">
        <w:rPr>
          <w:rFonts w:ascii="Calibri" w:hAnsi="Calibri"/>
          <w:b/>
          <w:color w:val="FFFFFF"/>
        </w:rPr>
        <w:tab/>
      </w:r>
      <w:r>
        <w:rPr>
          <w:rFonts w:ascii="Calibri" w:hAnsi="Calibri"/>
          <w:b/>
          <w:color w:val="FFFFFF"/>
        </w:rPr>
        <w:t>Governance Issues</w:t>
      </w:r>
    </w:p>
    <w:p w:rsidR="00360A13" w:rsidRPr="002E3D0B" w:rsidRDefault="00360A13" w:rsidP="00360A13">
      <w:pPr>
        <w:jc w:val="both"/>
      </w:pPr>
    </w:p>
    <w:p w:rsidR="00360A13" w:rsidRPr="002D7A76" w:rsidRDefault="00360A13" w:rsidP="00360A13">
      <w:pPr>
        <w:ind w:left="709" w:hanging="709"/>
        <w:jc w:val="both"/>
        <w:rPr>
          <w:rFonts w:ascii="Calibri" w:hAnsi="Calibri"/>
          <w:bCs/>
        </w:rPr>
      </w:pPr>
      <w:r>
        <w:rPr>
          <w:rFonts w:ascii="Calibri" w:hAnsi="Calibri"/>
          <w:bCs/>
        </w:rPr>
        <w:t>8</w:t>
      </w:r>
      <w:r w:rsidRPr="00345718">
        <w:rPr>
          <w:rFonts w:ascii="Calibri" w:hAnsi="Calibri"/>
          <w:bCs/>
        </w:rPr>
        <w:t>.1</w:t>
      </w:r>
      <w:r w:rsidRPr="00345718">
        <w:rPr>
          <w:rFonts w:ascii="Calibri" w:hAnsi="Calibri"/>
          <w:bCs/>
        </w:rPr>
        <w:tab/>
      </w:r>
      <w:r w:rsidRPr="00345718">
        <w:rPr>
          <w:rFonts w:ascii="Calibri" w:hAnsi="Calibri"/>
        </w:rPr>
        <w:t xml:space="preserve">No significant concerns were </w:t>
      </w:r>
      <w:r>
        <w:rPr>
          <w:rFonts w:ascii="Calibri" w:hAnsi="Calibri"/>
        </w:rPr>
        <w:t>raised during the internal review</w:t>
      </w:r>
      <w:r w:rsidRPr="00345718">
        <w:rPr>
          <w:rFonts w:ascii="Calibri" w:hAnsi="Calibri"/>
        </w:rPr>
        <w:t xml:space="preserve"> of the </w:t>
      </w:r>
      <w:r>
        <w:rPr>
          <w:rFonts w:ascii="Calibri" w:hAnsi="Calibri"/>
        </w:rPr>
        <w:t xml:space="preserve">effectiveness of </w:t>
      </w:r>
      <w:r w:rsidRPr="00345718">
        <w:rPr>
          <w:rFonts w:ascii="Calibri" w:hAnsi="Calibri"/>
        </w:rPr>
        <w:t>governan</w:t>
      </w:r>
      <w:r>
        <w:rPr>
          <w:rFonts w:ascii="Calibri" w:hAnsi="Calibri"/>
        </w:rPr>
        <w:t xml:space="preserve">ce arrangements </w:t>
      </w:r>
      <w:r w:rsidRPr="00345718">
        <w:rPr>
          <w:rFonts w:ascii="Calibri" w:hAnsi="Calibri"/>
        </w:rPr>
        <w:t xml:space="preserve">however, </w:t>
      </w:r>
      <w:r w:rsidRPr="00345718">
        <w:rPr>
          <w:rFonts w:ascii="Calibri" w:hAnsi="Calibri"/>
          <w:bCs/>
        </w:rPr>
        <w:t xml:space="preserve">a </w:t>
      </w:r>
      <w:r w:rsidRPr="002D7A76">
        <w:rPr>
          <w:rFonts w:ascii="Calibri" w:hAnsi="Calibri"/>
          <w:bCs/>
        </w:rPr>
        <w:t xml:space="preserve">number of areas for improvement were identified. These improvements, to further enhance the Force governance arrangements, are detailed in Appendix A together with any on-going areas for improvement continued from the action plan included in the 2018-19 </w:t>
      </w:r>
      <w:r w:rsidRPr="002D7A76">
        <w:rPr>
          <w:rFonts w:ascii="Calibri" w:hAnsi="Calibri"/>
        </w:rPr>
        <w:t>annual governance statement</w:t>
      </w:r>
      <w:r w:rsidRPr="002D7A76">
        <w:rPr>
          <w:rFonts w:ascii="Calibri" w:hAnsi="Calibri"/>
          <w:bCs/>
        </w:rPr>
        <w:t>. The actions to achieve these improvements will be monitored through the Force Organisational Reassurance Board and reported to the Joint Audit Committee.</w:t>
      </w:r>
    </w:p>
    <w:p w:rsidR="00360A13" w:rsidRDefault="00360A13" w:rsidP="00360A13">
      <w:pPr>
        <w:ind w:left="709" w:hanging="709"/>
        <w:jc w:val="both"/>
        <w:rPr>
          <w:rFonts w:ascii="Calibri" w:hAnsi="Calibri"/>
          <w:bCs/>
        </w:rPr>
      </w:pPr>
    </w:p>
    <w:p w:rsidR="00360A13" w:rsidRPr="00D51E3B" w:rsidRDefault="00360A13" w:rsidP="00360A13">
      <w:pPr>
        <w:ind w:left="709" w:hanging="709"/>
        <w:jc w:val="both"/>
        <w:rPr>
          <w:rFonts w:ascii="Calibri" w:hAnsi="Calibri"/>
          <w:lang w:eastAsia="en-GB"/>
        </w:rPr>
      </w:pPr>
      <w:r>
        <w:rPr>
          <w:rFonts w:ascii="Calibri" w:hAnsi="Calibri"/>
          <w:bCs/>
        </w:rPr>
        <w:t>8.2</w:t>
      </w:r>
      <w:r>
        <w:rPr>
          <w:rFonts w:ascii="Calibri" w:hAnsi="Calibri"/>
          <w:bCs/>
        </w:rPr>
        <w:tab/>
      </w:r>
      <w:r w:rsidRPr="002D7A76">
        <w:rPr>
          <w:rFonts w:ascii="Calibri" w:hAnsi="Calibri"/>
          <w:lang w:eastAsia="en-GB"/>
        </w:rPr>
        <w:t xml:space="preserve">The internal </w:t>
      </w:r>
      <w:r w:rsidRPr="00D51E3B">
        <w:rPr>
          <w:rFonts w:ascii="Calibri" w:hAnsi="Calibri"/>
          <w:lang w:eastAsia="en-GB"/>
        </w:rPr>
        <w:t xml:space="preserve">audit function is carried out by Southern Internal Audit Partnership for both the PCC and the Chief Constable. Audit reviews are undertaken in line with an annual internal audit plan, which is recommended by the Joint Audit Committee. </w:t>
      </w:r>
    </w:p>
    <w:p w:rsidR="00360A13" w:rsidRDefault="00360A13" w:rsidP="00360A13">
      <w:pPr>
        <w:ind w:left="709" w:hanging="709"/>
        <w:jc w:val="both"/>
        <w:rPr>
          <w:rFonts w:ascii="Calibri" w:hAnsi="Calibri"/>
          <w:lang w:eastAsia="en-GB"/>
        </w:rPr>
      </w:pPr>
    </w:p>
    <w:p w:rsidR="00360A13" w:rsidRDefault="00360A13" w:rsidP="00360A13">
      <w:pPr>
        <w:ind w:left="709" w:hanging="709"/>
        <w:jc w:val="both"/>
        <w:rPr>
          <w:rFonts w:ascii="Calibri" w:hAnsi="Calibri"/>
          <w:lang w:eastAsia="en-GB"/>
        </w:rPr>
      </w:pPr>
      <w:r>
        <w:rPr>
          <w:rFonts w:ascii="Calibri" w:hAnsi="Calibri"/>
          <w:lang w:eastAsia="en-GB"/>
        </w:rPr>
        <w:t>8.3</w:t>
      </w:r>
      <w:r>
        <w:rPr>
          <w:rFonts w:ascii="Calibri" w:hAnsi="Calibri"/>
          <w:lang w:eastAsia="en-GB"/>
        </w:rPr>
        <w:tab/>
        <w:t>The overall Annual Internal Audit Opinion for 2019-20 from the Chief Internal Auditor of SIAP was limited, this indicates weaknesses in the internal control environment, representing a significant governance issue in year.</w:t>
      </w:r>
    </w:p>
    <w:p w:rsidR="00360A13" w:rsidRDefault="00360A13" w:rsidP="00360A13">
      <w:pPr>
        <w:ind w:left="709" w:hanging="709"/>
        <w:jc w:val="both"/>
        <w:rPr>
          <w:rFonts w:ascii="Calibri" w:hAnsi="Calibri"/>
          <w:lang w:eastAsia="en-GB"/>
        </w:rPr>
      </w:pPr>
    </w:p>
    <w:p w:rsidR="00360A13" w:rsidRDefault="00360A13" w:rsidP="00360A13">
      <w:pPr>
        <w:ind w:left="709" w:hanging="709"/>
        <w:jc w:val="both"/>
        <w:rPr>
          <w:rFonts w:ascii="Calibri" w:hAnsi="Calibri"/>
        </w:rPr>
      </w:pPr>
      <w:r>
        <w:rPr>
          <w:rFonts w:ascii="Calibri" w:hAnsi="Calibri"/>
          <w:lang w:eastAsia="en-GB"/>
        </w:rPr>
        <w:t>8.4</w:t>
      </w:r>
      <w:r>
        <w:rPr>
          <w:rFonts w:ascii="Calibri" w:hAnsi="Calibri"/>
          <w:lang w:eastAsia="en-GB"/>
        </w:rPr>
        <w:tab/>
      </w:r>
      <w:r>
        <w:rPr>
          <w:rFonts w:ascii="Calibri" w:hAnsi="Calibri"/>
        </w:rPr>
        <w:t>I</w:t>
      </w:r>
      <w:r w:rsidRPr="00D51E3B">
        <w:rPr>
          <w:rFonts w:ascii="Calibri" w:hAnsi="Calibri"/>
        </w:rPr>
        <w:t xml:space="preserve">n 2019-20 no </w:t>
      </w:r>
      <w:r>
        <w:rPr>
          <w:rFonts w:ascii="Calibri" w:hAnsi="Calibri"/>
        </w:rPr>
        <w:t xml:space="preserve">Internal Audit </w:t>
      </w:r>
      <w:r w:rsidRPr="00D51E3B">
        <w:rPr>
          <w:rFonts w:ascii="Calibri" w:hAnsi="Calibri"/>
        </w:rPr>
        <w:t>re</w:t>
      </w:r>
      <w:r>
        <w:rPr>
          <w:rFonts w:ascii="Calibri" w:hAnsi="Calibri"/>
        </w:rPr>
        <w:t>views</w:t>
      </w:r>
      <w:r w:rsidRPr="00D51E3B">
        <w:rPr>
          <w:rFonts w:ascii="Calibri" w:hAnsi="Calibri"/>
        </w:rPr>
        <w:t xml:space="preserve"> </w:t>
      </w:r>
      <w:r>
        <w:rPr>
          <w:rFonts w:ascii="Calibri" w:hAnsi="Calibri"/>
        </w:rPr>
        <w:t>gave</w:t>
      </w:r>
      <w:r w:rsidRPr="00D51E3B">
        <w:rPr>
          <w:rFonts w:ascii="Calibri" w:hAnsi="Calibri"/>
        </w:rPr>
        <w:t xml:space="preserve"> an opinion of no assurance</w:t>
      </w:r>
      <w:r>
        <w:rPr>
          <w:rFonts w:ascii="Calibri" w:hAnsi="Calibri"/>
        </w:rPr>
        <w:t>, four Internal Audit reviews resulted in substantial assurance opinions and a further eight Internal Audit reviews provided adequate assurance of the governance framework</w:t>
      </w:r>
      <w:r w:rsidRPr="00D51E3B">
        <w:rPr>
          <w:rFonts w:ascii="Calibri" w:hAnsi="Calibri"/>
        </w:rPr>
        <w:t xml:space="preserve">.  </w:t>
      </w:r>
    </w:p>
    <w:p w:rsidR="00360A13" w:rsidRDefault="00360A13" w:rsidP="00360A13">
      <w:pPr>
        <w:ind w:left="709" w:hanging="709"/>
        <w:jc w:val="both"/>
        <w:rPr>
          <w:rFonts w:ascii="Calibri" w:hAnsi="Calibri"/>
        </w:rPr>
      </w:pPr>
    </w:p>
    <w:p w:rsidR="00360A13" w:rsidRDefault="00360A13" w:rsidP="00360A13">
      <w:pPr>
        <w:ind w:left="709" w:hanging="709"/>
        <w:jc w:val="both"/>
        <w:rPr>
          <w:rFonts w:ascii="Calibri" w:hAnsi="Calibri"/>
        </w:rPr>
      </w:pPr>
      <w:r>
        <w:rPr>
          <w:rFonts w:ascii="Calibri" w:hAnsi="Calibri"/>
        </w:rPr>
        <w:t>8.5</w:t>
      </w:r>
      <w:r>
        <w:rPr>
          <w:rFonts w:ascii="Calibri" w:hAnsi="Calibri"/>
        </w:rPr>
        <w:tab/>
        <w:t>In 2019-20 t</w:t>
      </w:r>
      <w:r w:rsidRPr="00D51E3B">
        <w:rPr>
          <w:rFonts w:ascii="Calibri" w:hAnsi="Calibri"/>
        </w:rPr>
        <w:t xml:space="preserve">he following </w:t>
      </w:r>
      <w:r>
        <w:rPr>
          <w:rFonts w:ascii="Calibri" w:hAnsi="Calibri"/>
        </w:rPr>
        <w:t>Internal Audit reports</w:t>
      </w:r>
      <w:r w:rsidRPr="00D51E3B">
        <w:rPr>
          <w:rFonts w:ascii="Calibri" w:hAnsi="Calibri"/>
        </w:rPr>
        <w:t xml:space="preserve"> were given an opinion of limited assurance</w:t>
      </w:r>
      <w:r>
        <w:rPr>
          <w:rFonts w:ascii="Calibri" w:hAnsi="Calibri"/>
        </w:rPr>
        <w:t>, however the issues raised in these reviews were not considered by SIAP to be significant in the context of the overall governance, risk management and control system:</w:t>
      </w:r>
    </w:p>
    <w:p w:rsidR="00360A13" w:rsidRDefault="00360A13" w:rsidP="00360A13">
      <w:pPr>
        <w:pStyle w:val="ListParagraph"/>
        <w:numPr>
          <w:ilvl w:val="0"/>
          <w:numId w:val="39"/>
        </w:numPr>
        <w:jc w:val="both"/>
        <w:rPr>
          <w:rFonts w:ascii="Calibri" w:hAnsi="Calibri"/>
          <w:sz w:val="22"/>
        </w:rPr>
      </w:pPr>
      <w:r>
        <w:rPr>
          <w:rFonts w:ascii="Calibri" w:hAnsi="Calibri"/>
          <w:sz w:val="22"/>
        </w:rPr>
        <w:t xml:space="preserve">Victims Code </w:t>
      </w:r>
    </w:p>
    <w:p w:rsidR="00360A13" w:rsidRPr="00B75DDA" w:rsidRDefault="00360A13" w:rsidP="00360A13">
      <w:pPr>
        <w:pStyle w:val="ListParagraph"/>
        <w:numPr>
          <w:ilvl w:val="0"/>
          <w:numId w:val="39"/>
        </w:numPr>
        <w:jc w:val="both"/>
        <w:rPr>
          <w:rFonts w:ascii="Calibri" w:hAnsi="Calibri"/>
          <w:sz w:val="22"/>
        </w:rPr>
      </w:pPr>
      <w:r w:rsidRPr="00B75DDA">
        <w:rPr>
          <w:rFonts w:ascii="Calibri" w:hAnsi="Calibri"/>
          <w:sz w:val="22"/>
        </w:rPr>
        <w:t>Crime Recording Data Quality</w:t>
      </w:r>
    </w:p>
    <w:p w:rsidR="00360A13" w:rsidRPr="00B75DDA" w:rsidRDefault="00360A13" w:rsidP="00360A13">
      <w:pPr>
        <w:pStyle w:val="ListParagraph"/>
        <w:numPr>
          <w:ilvl w:val="0"/>
          <w:numId w:val="39"/>
        </w:numPr>
        <w:jc w:val="both"/>
        <w:rPr>
          <w:rFonts w:ascii="Calibri" w:hAnsi="Calibri"/>
          <w:sz w:val="22"/>
        </w:rPr>
      </w:pPr>
      <w:r w:rsidRPr="00B75DDA">
        <w:rPr>
          <w:rFonts w:ascii="Calibri" w:hAnsi="Calibri"/>
          <w:sz w:val="22"/>
        </w:rPr>
        <w:t>Fleet Management (joint)</w:t>
      </w:r>
    </w:p>
    <w:p w:rsidR="00360A13" w:rsidRPr="00B75DDA" w:rsidRDefault="00360A13" w:rsidP="00360A13">
      <w:pPr>
        <w:pStyle w:val="ListParagraph"/>
        <w:numPr>
          <w:ilvl w:val="0"/>
          <w:numId w:val="39"/>
        </w:numPr>
        <w:jc w:val="both"/>
        <w:rPr>
          <w:rFonts w:ascii="Calibri" w:hAnsi="Calibri"/>
          <w:sz w:val="22"/>
        </w:rPr>
      </w:pPr>
      <w:r w:rsidRPr="00B75DDA">
        <w:rPr>
          <w:rFonts w:ascii="Calibri" w:hAnsi="Calibri"/>
          <w:sz w:val="22"/>
        </w:rPr>
        <w:t>Pension Administration Arrangements (joint)</w:t>
      </w:r>
    </w:p>
    <w:p w:rsidR="00360A13" w:rsidRPr="00B75DDA" w:rsidRDefault="00360A13" w:rsidP="00360A13">
      <w:pPr>
        <w:ind w:left="709" w:hanging="709"/>
        <w:jc w:val="both"/>
        <w:rPr>
          <w:rFonts w:ascii="Calibri" w:hAnsi="Calibri"/>
        </w:rPr>
      </w:pPr>
    </w:p>
    <w:p w:rsidR="00360A13" w:rsidRDefault="00360A13" w:rsidP="00360A13">
      <w:pPr>
        <w:ind w:left="709" w:hanging="709"/>
        <w:jc w:val="both"/>
        <w:rPr>
          <w:rFonts w:ascii="Calibri" w:hAnsi="Calibri"/>
        </w:rPr>
      </w:pPr>
      <w:r w:rsidRPr="00B75DDA">
        <w:rPr>
          <w:rFonts w:ascii="Calibri" w:hAnsi="Calibri"/>
        </w:rPr>
        <w:t>8.6</w:t>
      </w:r>
      <w:r w:rsidRPr="00B75DDA">
        <w:rPr>
          <w:rFonts w:ascii="Calibri" w:hAnsi="Calibri"/>
        </w:rPr>
        <w:tab/>
        <w:t>In 2019-20 the following Internal Audit reports were given an opinion of limited assurance, resulting in a</w:t>
      </w:r>
      <w:r>
        <w:rPr>
          <w:rFonts w:ascii="Calibri" w:hAnsi="Calibri"/>
        </w:rPr>
        <w:t xml:space="preserve"> limited assurance opinion for the year overall because they were considered by SIAP to be significant in the context of the overall governance, risk management and control system:</w:t>
      </w:r>
      <w:r w:rsidRPr="00F000E7">
        <w:rPr>
          <w:rFonts w:ascii="Calibri" w:hAnsi="Calibri"/>
        </w:rPr>
        <w:t xml:space="preserve"> </w:t>
      </w:r>
    </w:p>
    <w:p w:rsidR="00360A13" w:rsidRDefault="00360A13" w:rsidP="00360A13">
      <w:pPr>
        <w:pStyle w:val="ListParagraph"/>
        <w:numPr>
          <w:ilvl w:val="0"/>
          <w:numId w:val="39"/>
        </w:numPr>
        <w:jc w:val="both"/>
        <w:rPr>
          <w:rFonts w:ascii="Calibri" w:hAnsi="Calibri"/>
          <w:sz w:val="22"/>
        </w:rPr>
      </w:pPr>
      <w:r>
        <w:rPr>
          <w:rFonts w:ascii="Calibri" w:hAnsi="Calibri"/>
          <w:sz w:val="22"/>
        </w:rPr>
        <w:t>IT resource management (joint)</w:t>
      </w:r>
    </w:p>
    <w:p w:rsidR="00360A13" w:rsidRDefault="00360A13" w:rsidP="00360A13">
      <w:pPr>
        <w:pStyle w:val="ListParagraph"/>
        <w:numPr>
          <w:ilvl w:val="0"/>
          <w:numId w:val="39"/>
        </w:numPr>
        <w:jc w:val="both"/>
        <w:rPr>
          <w:rFonts w:ascii="Calibri" w:hAnsi="Calibri"/>
          <w:sz w:val="22"/>
        </w:rPr>
      </w:pPr>
      <w:r>
        <w:rPr>
          <w:rFonts w:ascii="Calibri" w:hAnsi="Calibri"/>
          <w:sz w:val="22"/>
        </w:rPr>
        <w:t>Data centre facilities and management (joint)</w:t>
      </w:r>
    </w:p>
    <w:p w:rsidR="00360A13" w:rsidRDefault="00360A13" w:rsidP="00360A13">
      <w:pPr>
        <w:pStyle w:val="ListParagraph"/>
        <w:numPr>
          <w:ilvl w:val="0"/>
          <w:numId w:val="39"/>
        </w:numPr>
        <w:jc w:val="both"/>
        <w:rPr>
          <w:rFonts w:ascii="Calibri" w:hAnsi="Calibri"/>
          <w:sz w:val="22"/>
        </w:rPr>
      </w:pPr>
      <w:r>
        <w:rPr>
          <w:rFonts w:ascii="Calibri" w:hAnsi="Calibri"/>
          <w:sz w:val="22"/>
        </w:rPr>
        <w:t>Data storage and data back-up (joint)</w:t>
      </w:r>
    </w:p>
    <w:p w:rsidR="00F2623E" w:rsidRDefault="00360A13" w:rsidP="00F2623E">
      <w:pPr>
        <w:pStyle w:val="ListParagraph"/>
        <w:numPr>
          <w:ilvl w:val="0"/>
          <w:numId w:val="39"/>
        </w:numPr>
        <w:jc w:val="both"/>
        <w:rPr>
          <w:rFonts w:ascii="Calibri" w:hAnsi="Calibri"/>
          <w:sz w:val="22"/>
        </w:rPr>
      </w:pPr>
      <w:r>
        <w:rPr>
          <w:rFonts w:ascii="Calibri" w:hAnsi="Calibri"/>
          <w:sz w:val="22"/>
        </w:rPr>
        <w:t>Capacity and performance monitoring (joint)</w:t>
      </w:r>
      <w:r w:rsidR="00F2623E" w:rsidRPr="00F2623E">
        <w:rPr>
          <w:rFonts w:ascii="Calibri" w:hAnsi="Calibri"/>
          <w:sz w:val="22"/>
        </w:rPr>
        <w:t xml:space="preserve"> </w:t>
      </w:r>
    </w:p>
    <w:p w:rsidR="00F2623E" w:rsidRDefault="00F2623E" w:rsidP="00F2623E">
      <w:pPr>
        <w:pStyle w:val="ListParagraph"/>
        <w:numPr>
          <w:ilvl w:val="0"/>
          <w:numId w:val="39"/>
        </w:numPr>
        <w:jc w:val="both"/>
        <w:rPr>
          <w:rFonts w:ascii="Calibri" w:hAnsi="Calibri"/>
          <w:sz w:val="22"/>
        </w:rPr>
      </w:pPr>
      <w:r>
        <w:rPr>
          <w:rFonts w:ascii="Calibri" w:hAnsi="Calibri"/>
          <w:sz w:val="22"/>
        </w:rPr>
        <w:t>Commercial Unit (joint)</w:t>
      </w:r>
    </w:p>
    <w:p w:rsidR="00F2623E" w:rsidRDefault="00F2623E" w:rsidP="00F2623E">
      <w:pPr>
        <w:pStyle w:val="ListParagraph"/>
        <w:numPr>
          <w:ilvl w:val="0"/>
          <w:numId w:val="39"/>
        </w:numPr>
        <w:jc w:val="both"/>
        <w:rPr>
          <w:rFonts w:ascii="Calibri" w:hAnsi="Calibri"/>
          <w:sz w:val="22"/>
        </w:rPr>
      </w:pPr>
      <w:r>
        <w:rPr>
          <w:rFonts w:ascii="Calibri" w:hAnsi="Calibri"/>
          <w:sz w:val="22"/>
        </w:rPr>
        <w:t>Cyber Security (joint)</w:t>
      </w:r>
    </w:p>
    <w:p w:rsidR="00F2623E" w:rsidRDefault="00F2623E" w:rsidP="00F2623E">
      <w:pPr>
        <w:pStyle w:val="ListParagraph"/>
        <w:numPr>
          <w:ilvl w:val="1"/>
          <w:numId w:val="39"/>
        </w:numPr>
        <w:jc w:val="both"/>
        <w:rPr>
          <w:rFonts w:ascii="Calibri" w:hAnsi="Calibri"/>
          <w:sz w:val="22"/>
        </w:rPr>
      </w:pPr>
      <w:r>
        <w:rPr>
          <w:rFonts w:ascii="Calibri" w:hAnsi="Calibri"/>
          <w:sz w:val="22"/>
        </w:rPr>
        <w:t>Network Security and Access Controls – Limited assurance</w:t>
      </w:r>
    </w:p>
    <w:p w:rsidR="00F2623E" w:rsidRDefault="00F2623E" w:rsidP="00F2623E">
      <w:pPr>
        <w:pStyle w:val="ListParagraph"/>
        <w:numPr>
          <w:ilvl w:val="1"/>
          <w:numId w:val="39"/>
        </w:numPr>
        <w:jc w:val="both"/>
        <w:rPr>
          <w:rFonts w:ascii="Calibri" w:hAnsi="Calibri"/>
          <w:sz w:val="22"/>
        </w:rPr>
      </w:pPr>
      <w:r>
        <w:rPr>
          <w:rFonts w:ascii="Calibri" w:hAnsi="Calibri"/>
          <w:sz w:val="22"/>
        </w:rPr>
        <w:t>Cyber Security – Adequate assurance</w:t>
      </w:r>
    </w:p>
    <w:p w:rsidR="00360A13" w:rsidRPr="00A200D5" w:rsidRDefault="00F2623E">
      <w:pPr>
        <w:pStyle w:val="ListParagraph"/>
        <w:numPr>
          <w:ilvl w:val="0"/>
          <w:numId w:val="39"/>
        </w:numPr>
        <w:jc w:val="both"/>
        <w:rPr>
          <w:rFonts w:ascii="Calibri" w:hAnsi="Calibri"/>
          <w:sz w:val="22"/>
        </w:rPr>
      </w:pPr>
      <w:r>
        <w:rPr>
          <w:rFonts w:ascii="Calibri" w:hAnsi="Calibri"/>
          <w:sz w:val="22"/>
        </w:rPr>
        <w:t>Application management (joint)</w:t>
      </w:r>
    </w:p>
    <w:p w:rsidR="00360A13" w:rsidRPr="00D51E3B" w:rsidRDefault="00360A13" w:rsidP="00360A13">
      <w:pPr>
        <w:ind w:left="709" w:hanging="709"/>
        <w:jc w:val="both"/>
        <w:rPr>
          <w:rFonts w:ascii="Calibri" w:hAnsi="Calibri"/>
          <w:lang w:eastAsia="en-GB"/>
        </w:rPr>
      </w:pPr>
    </w:p>
    <w:p w:rsidR="00360A13" w:rsidRDefault="00360A13" w:rsidP="00360A13">
      <w:pPr>
        <w:ind w:left="709" w:hanging="709"/>
        <w:jc w:val="both"/>
        <w:rPr>
          <w:rFonts w:ascii="Calibri" w:hAnsi="Calibri"/>
          <w:lang w:eastAsia="en-GB"/>
        </w:rPr>
      </w:pPr>
      <w:r>
        <w:rPr>
          <w:rFonts w:ascii="Calibri" w:hAnsi="Calibri"/>
          <w:lang w:eastAsia="en-GB"/>
        </w:rPr>
        <w:t>8.7</w:t>
      </w:r>
      <w:r>
        <w:rPr>
          <w:rFonts w:ascii="Calibri" w:hAnsi="Calibri"/>
          <w:lang w:eastAsia="en-GB"/>
        </w:rPr>
        <w:tab/>
        <w:t>The key areas of weakness identified by SIAP were all within the collaborative area of IT which had not been subject to internal audit for several years. 2019-20 was the first full year of delivery against a full IT needs assessment, resulting in a significant increase in audit activity in this area of the business. This required significant input from a single department of the business, which put additional pressure on IT resource capacity and contributed to some of the delays in providing audit information, whilst critical IT services to the business had to be maintained.</w:t>
      </w:r>
    </w:p>
    <w:p w:rsidR="00360A13" w:rsidRDefault="00360A13" w:rsidP="00360A13">
      <w:pPr>
        <w:ind w:left="709" w:hanging="709"/>
        <w:jc w:val="both"/>
        <w:rPr>
          <w:rFonts w:ascii="Calibri" w:hAnsi="Calibri"/>
          <w:lang w:eastAsia="en-GB"/>
        </w:rPr>
      </w:pPr>
    </w:p>
    <w:p w:rsidR="00360A13" w:rsidRDefault="00360A13" w:rsidP="00360A13">
      <w:pPr>
        <w:ind w:left="709" w:hanging="709"/>
        <w:jc w:val="both"/>
        <w:rPr>
          <w:rFonts w:ascii="Calibri" w:hAnsi="Calibri"/>
          <w:lang w:eastAsia="en-GB"/>
        </w:rPr>
      </w:pPr>
      <w:r>
        <w:rPr>
          <w:rFonts w:ascii="Calibri" w:hAnsi="Calibri"/>
          <w:lang w:eastAsia="en-GB"/>
        </w:rPr>
        <w:t>8.8</w:t>
      </w:r>
      <w:r>
        <w:rPr>
          <w:rFonts w:ascii="Calibri" w:hAnsi="Calibri"/>
          <w:lang w:eastAsia="en-GB"/>
        </w:rPr>
        <w:tab/>
        <w:t>The Chief Digital &amp; Information Officer heading up the ICT department has since put in place a monthly review process to assess progress of agreed actions and provide regular updates to the</w:t>
      </w:r>
      <w:r w:rsidR="000708DB">
        <w:rPr>
          <w:rFonts w:ascii="Calibri" w:hAnsi="Calibri"/>
          <w:lang w:eastAsia="en-GB"/>
        </w:rPr>
        <w:t xml:space="preserve"> Deputy Chief Constables, </w:t>
      </w:r>
      <w:r>
        <w:rPr>
          <w:rFonts w:ascii="Calibri" w:hAnsi="Calibri"/>
          <w:lang w:eastAsia="en-GB"/>
        </w:rPr>
        <w:t xml:space="preserve">Chief Finance Officers, Joint Audit Committee, Internal Auditors and External Auditors of both Surrey Police and Sussex Police forces and PCC’s. This is in addition to the general governance framework detailed above and provides a strong and continual framework to address the audit findings and weaknesses in these areas of ICT. </w:t>
      </w:r>
    </w:p>
    <w:p w:rsidR="00360A13" w:rsidRDefault="00360A13" w:rsidP="00360A13">
      <w:pPr>
        <w:ind w:left="709" w:hanging="709"/>
        <w:jc w:val="both"/>
        <w:rPr>
          <w:rFonts w:ascii="Calibri" w:hAnsi="Calibri"/>
          <w:lang w:eastAsia="en-GB"/>
        </w:rPr>
      </w:pPr>
    </w:p>
    <w:p w:rsidR="00360A13" w:rsidRPr="00B75DDA" w:rsidRDefault="00360A13" w:rsidP="00360A13">
      <w:pPr>
        <w:ind w:left="709" w:hanging="709"/>
        <w:jc w:val="both"/>
        <w:rPr>
          <w:rFonts w:ascii="Calibri" w:hAnsi="Calibri"/>
          <w:lang w:eastAsia="en-GB"/>
        </w:rPr>
      </w:pPr>
      <w:r>
        <w:rPr>
          <w:rFonts w:ascii="Calibri" w:hAnsi="Calibri"/>
          <w:lang w:eastAsia="en-GB"/>
        </w:rPr>
        <w:t>8</w:t>
      </w:r>
      <w:r w:rsidRPr="00D51E3B">
        <w:rPr>
          <w:rFonts w:ascii="Calibri" w:hAnsi="Calibri"/>
          <w:lang w:eastAsia="en-GB"/>
        </w:rPr>
        <w:t>.</w:t>
      </w:r>
      <w:r>
        <w:rPr>
          <w:rFonts w:ascii="Calibri" w:hAnsi="Calibri"/>
          <w:lang w:eastAsia="en-GB"/>
        </w:rPr>
        <w:t>9</w:t>
      </w:r>
      <w:r w:rsidRPr="00D51E3B">
        <w:rPr>
          <w:rFonts w:ascii="Calibri" w:hAnsi="Calibri"/>
          <w:lang w:eastAsia="en-GB"/>
        </w:rPr>
        <w:tab/>
        <w:t xml:space="preserve">Management have agreed recommendations to address all the findings reported by the internal audit service </w:t>
      </w:r>
      <w:r w:rsidRPr="00B75DDA">
        <w:rPr>
          <w:rFonts w:ascii="Calibri" w:hAnsi="Calibri"/>
          <w:lang w:eastAsia="en-GB"/>
        </w:rPr>
        <w:t>during 2019/20.</w:t>
      </w:r>
    </w:p>
    <w:p w:rsidR="00360A13" w:rsidRPr="00B75DDA" w:rsidRDefault="00360A13" w:rsidP="00360A13">
      <w:pPr>
        <w:ind w:left="709" w:hanging="709"/>
        <w:jc w:val="both"/>
        <w:rPr>
          <w:rFonts w:ascii="Calibri" w:hAnsi="Calibri"/>
        </w:rPr>
      </w:pPr>
    </w:p>
    <w:p w:rsidR="00360A13" w:rsidRPr="00D51E3B" w:rsidRDefault="00360A13" w:rsidP="00360A13">
      <w:pPr>
        <w:ind w:left="709" w:hanging="709"/>
        <w:jc w:val="both"/>
        <w:rPr>
          <w:rFonts w:ascii="Calibri" w:hAnsi="Calibri"/>
        </w:rPr>
      </w:pPr>
      <w:r w:rsidRPr="00B75DDA">
        <w:rPr>
          <w:rFonts w:ascii="Calibri" w:hAnsi="Calibri"/>
        </w:rPr>
        <w:t>8.</w:t>
      </w:r>
      <w:r>
        <w:rPr>
          <w:rFonts w:ascii="Calibri" w:hAnsi="Calibri"/>
        </w:rPr>
        <w:t>10</w:t>
      </w:r>
      <w:r w:rsidRPr="00B75DDA">
        <w:rPr>
          <w:rFonts w:ascii="Calibri" w:hAnsi="Calibri"/>
        </w:rPr>
        <w:tab/>
      </w:r>
      <w:r w:rsidRPr="00B75DDA">
        <w:rPr>
          <w:rFonts w:ascii="Calibri" w:hAnsi="Calibri"/>
          <w:lang w:eastAsia="en-GB"/>
        </w:rPr>
        <w:t>Although Covid-19 slowed progress, SIAP continued to work remotely to complete the 2019/20 review, however Covid-19 has had a significant impact on SIAP’s ability to commence work on the 2020/21 plan, due</w:t>
      </w:r>
      <w:r w:rsidRPr="00D51E3B">
        <w:rPr>
          <w:rFonts w:ascii="Calibri" w:hAnsi="Calibri"/>
          <w:lang w:eastAsia="en-GB"/>
        </w:rPr>
        <w:t xml:space="preserve"> to the request to delay any work impacting on operational staff. Regular discussions are planned to review the plan and assess whether it remains appropriate and relevant and whether changes will be needed to incorporate new risk areas arising from the challenges presented by Covid-19.</w:t>
      </w:r>
    </w:p>
    <w:p w:rsidR="00763097" w:rsidRPr="006708B2" w:rsidRDefault="00763097" w:rsidP="00763097">
      <w:pPr>
        <w:ind w:firstLine="720"/>
        <w:jc w:val="both"/>
        <w:outlineLvl w:val="0"/>
        <w:rPr>
          <w:b/>
        </w:rPr>
      </w:pPr>
    </w:p>
    <w:p w:rsidR="00763097" w:rsidRPr="002F4708" w:rsidRDefault="00360A13" w:rsidP="00763097">
      <w:pPr>
        <w:shd w:val="clear" w:color="auto" w:fill="0070C0"/>
        <w:tabs>
          <w:tab w:val="left" w:pos="709"/>
        </w:tabs>
        <w:jc w:val="both"/>
        <w:rPr>
          <w:rFonts w:ascii="Calibri" w:hAnsi="Calibri"/>
          <w:b/>
          <w:color w:val="FFFFFF"/>
        </w:rPr>
      </w:pPr>
      <w:r>
        <w:rPr>
          <w:rFonts w:ascii="Calibri" w:hAnsi="Calibri"/>
          <w:b/>
          <w:color w:val="FFFFFF"/>
        </w:rPr>
        <w:t>9</w:t>
      </w:r>
      <w:r w:rsidR="00763097" w:rsidRPr="002F4708">
        <w:rPr>
          <w:rFonts w:ascii="Calibri" w:hAnsi="Calibri"/>
          <w:b/>
          <w:color w:val="FFFFFF"/>
        </w:rPr>
        <w:t xml:space="preserve"> </w:t>
      </w:r>
      <w:r w:rsidR="00763097" w:rsidRPr="002F4708">
        <w:rPr>
          <w:rFonts w:ascii="Calibri" w:hAnsi="Calibri"/>
          <w:b/>
          <w:color w:val="FFFFFF"/>
        </w:rPr>
        <w:tab/>
        <w:t>Certification</w:t>
      </w:r>
    </w:p>
    <w:p w:rsidR="00763097" w:rsidRDefault="00763097" w:rsidP="00763097">
      <w:pPr>
        <w:jc w:val="both"/>
        <w:rPr>
          <w:rFonts w:ascii="Calibri" w:hAnsi="Calibri"/>
        </w:rPr>
      </w:pPr>
    </w:p>
    <w:p w:rsidR="00351A1C" w:rsidRDefault="00763097" w:rsidP="00763097">
      <w:pPr>
        <w:jc w:val="both"/>
        <w:rPr>
          <w:rFonts w:ascii="Calibri" w:hAnsi="Calibri"/>
        </w:rPr>
      </w:pPr>
      <w:r w:rsidRPr="00345718">
        <w:rPr>
          <w:rFonts w:ascii="Calibri" w:hAnsi="Calibri"/>
        </w:rPr>
        <w:t xml:space="preserve">This statement has been prepared on the basis of the review of effectiveness of governance arrangements. Advice and recommendations on the annual governance statement have been received from internal and external auditors and the JAC. It represents a fair and reasonable assessment of current arrangements and plans for improvement within </w:t>
      </w:r>
      <w:r>
        <w:rPr>
          <w:rFonts w:ascii="Calibri" w:hAnsi="Calibri"/>
        </w:rPr>
        <w:t>Surrey</w:t>
      </w:r>
      <w:r w:rsidRPr="00345718">
        <w:rPr>
          <w:rFonts w:ascii="Calibri" w:hAnsi="Calibri"/>
        </w:rPr>
        <w:t xml:space="preserve"> Police.</w:t>
      </w:r>
      <w:r w:rsidR="00E460B1">
        <w:rPr>
          <w:rFonts w:ascii="Calibri" w:hAnsi="Calibri"/>
        </w:rPr>
        <w:t xml:space="preserve"> </w:t>
      </w:r>
      <w:r w:rsidR="00351A1C">
        <w:rPr>
          <w:rFonts w:ascii="Calibri" w:hAnsi="Calibri"/>
        </w:rPr>
        <w:t>The arrangements continue to be regarded as fit for purpose in accordance with the governance framework.</w:t>
      </w:r>
    </w:p>
    <w:p w:rsidR="00351A1C" w:rsidRDefault="00351A1C" w:rsidP="00763097">
      <w:pPr>
        <w:jc w:val="both"/>
        <w:rPr>
          <w:rFonts w:ascii="Calibri" w:hAnsi="Calibri"/>
        </w:rPr>
      </w:pPr>
    </w:p>
    <w:p w:rsidR="00351A1C" w:rsidRDefault="00351A1C" w:rsidP="00763097">
      <w:pPr>
        <w:jc w:val="both"/>
        <w:rPr>
          <w:rFonts w:ascii="Calibri" w:hAnsi="Calibri"/>
          <w:b/>
        </w:rPr>
      </w:pPr>
    </w:p>
    <w:p w:rsidR="00360A13" w:rsidRDefault="00360A13" w:rsidP="00763097">
      <w:pPr>
        <w:jc w:val="both"/>
        <w:rPr>
          <w:rFonts w:ascii="Calibri" w:hAnsi="Calibri"/>
          <w:b/>
        </w:rPr>
      </w:pPr>
    </w:p>
    <w:p w:rsidR="00351A1C" w:rsidRDefault="00351A1C" w:rsidP="00763097">
      <w:pPr>
        <w:jc w:val="both"/>
        <w:rPr>
          <w:rFonts w:ascii="Calibri" w:hAnsi="Calibri"/>
          <w:b/>
        </w:rPr>
      </w:pPr>
    </w:p>
    <w:p w:rsidR="00E460B1" w:rsidRDefault="00E460B1" w:rsidP="00763097">
      <w:pPr>
        <w:jc w:val="both"/>
        <w:rPr>
          <w:rFonts w:ascii="Calibri" w:hAnsi="Calibri"/>
          <w:b/>
        </w:rPr>
      </w:pPr>
    </w:p>
    <w:p w:rsidR="00351A1C" w:rsidRPr="00351A1C" w:rsidRDefault="00351A1C" w:rsidP="00763097">
      <w:pPr>
        <w:jc w:val="both"/>
        <w:rPr>
          <w:rFonts w:ascii="Calibri" w:hAnsi="Calibri"/>
          <w:b/>
        </w:rPr>
      </w:pPr>
      <w:r w:rsidRPr="00351A1C">
        <w:rPr>
          <w:rFonts w:ascii="Calibri" w:hAnsi="Calibri"/>
          <w:b/>
        </w:rPr>
        <w:t xml:space="preserve">David Munro, </w:t>
      </w:r>
      <w:r w:rsidRPr="00A200D5">
        <w:rPr>
          <w:rFonts w:ascii="Calibri" w:hAnsi="Calibri"/>
        </w:rPr>
        <w:t>Police and Crime Commissioner for Surrey</w:t>
      </w:r>
    </w:p>
    <w:p w:rsidR="00F2623E" w:rsidRDefault="00F2623E" w:rsidP="00763097">
      <w:pPr>
        <w:jc w:val="both"/>
        <w:rPr>
          <w:rFonts w:ascii="Calibri" w:hAnsi="Calibri"/>
          <w:b/>
        </w:rPr>
      </w:pPr>
    </w:p>
    <w:p w:rsidR="00351A1C" w:rsidRPr="00A200D5" w:rsidRDefault="00054BB1" w:rsidP="00763097">
      <w:pPr>
        <w:jc w:val="both"/>
        <w:rPr>
          <w:rFonts w:ascii="Calibri" w:hAnsi="Calibri"/>
        </w:rPr>
      </w:pPr>
      <w:r w:rsidRPr="00A200D5">
        <w:rPr>
          <w:rFonts w:ascii="Calibri" w:hAnsi="Calibri"/>
        </w:rPr>
        <w:t>Date:</w:t>
      </w:r>
    </w:p>
    <w:p w:rsidR="00351A1C" w:rsidRDefault="00351A1C" w:rsidP="00763097">
      <w:pPr>
        <w:jc w:val="both"/>
        <w:rPr>
          <w:rFonts w:ascii="Calibri" w:hAnsi="Calibri"/>
          <w:b/>
        </w:rPr>
      </w:pPr>
    </w:p>
    <w:p w:rsidR="00351A1C" w:rsidRDefault="00351A1C" w:rsidP="00763097">
      <w:pPr>
        <w:jc w:val="both"/>
        <w:rPr>
          <w:rFonts w:ascii="Calibri" w:hAnsi="Calibri"/>
          <w:b/>
        </w:rPr>
      </w:pPr>
    </w:p>
    <w:p w:rsidR="00360A13" w:rsidRDefault="00360A13" w:rsidP="00763097">
      <w:pPr>
        <w:jc w:val="both"/>
        <w:rPr>
          <w:rFonts w:ascii="Calibri" w:hAnsi="Calibri"/>
          <w:b/>
        </w:rPr>
      </w:pPr>
    </w:p>
    <w:p w:rsidR="00360A13" w:rsidRDefault="00360A13" w:rsidP="00763097">
      <w:pPr>
        <w:jc w:val="both"/>
        <w:rPr>
          <w:rFonts w:ascii="Calibri" w:hAnsi="Calibri"/>
          <w:b/>
        </w:rPr>
      </w:pPr>
    </w:p>
    <w:p w:rsidR="00351A1C" w:rsidRDefault="00351A1C" w:rsidP="00763097">
      <w:pPr>
        <w:jc w:val="both"/>
        <w:rPr>
          <w:rFonts w:ascii="Calibri" w:hAnsi="Calibri"/>
          <w:b/>
        </w:rPr>
      </w:pPr>
    </w:p>
    <w:p w:rsidR="00351A1C" w:rsidRPr="00351A1C" w:rsidRDefault="00351A1C" w:rsidP="00763097">
      <w:pPr>
        <w:jc w:val="both"/>
        <w:rPr>
          <w:rFonts w:ascii="Calibri" w:hAnsi="Calibri"/>
          <w:b/>
        </w:rPr>
      </w:pPr>
      <w:r w:rsidRPr="00351A1C">
        <w:rPr>
          <w:rFonts w:ascii="Calibri" w:hAnsi="Calibri"/>
          <w:b/>
        </w:rPr>
        <w:t xml:space="preserve">Alison Bolton, </w:t>
      </w:r>
      <w:r w:rsidRPr="00A200D5">
        <w:rPr>
          <w:rFonts w:ascii="Calibri" w:hAnsi="Calibri"/>
        </w:rPr>
        <w:t>Chief Executive, Office of the PCC for Surrey</w:t>
      </w:r>
    </w:p>
    <w:p w:rsidR="00F2623E" w:rsidRDefault="00F2623E" w:rsidP="00763097">
      <w:pPr>
        <w:jc w:val="both"/>
        <w:rPr>
          <w:rFonts w:ascii="Calibri" w:hAnsi="Calibri"/>
          <w:b/>
        </w:rPr>
      </w:pPr>
    </w:p>
    <w:p w:rsidR="00351A1C" w:rsidRPr="00A200D5" w:rsidRDefault="00054BB1" w:rsidP="00763097">
      <w:pPr>
        <w:jc w:val="both"/>
        <w:rPr>
          <w:rFonts w:ascii="Calibri" w:hAnsi="Calibri"/>
        </w:rPr>
      </w:pPr>
      <w:r w:rsidRPr="00A200D5">
        <w:rPr>
          <w:rFonts w:ascii="Calibri" w:hAnsi="Calibri"/>
        </w:rPr>
        <w:t>Date:</w:t>
      </w:r>
    </w:p>
    <w:p w:rsidR="00351A1C" w:rsidRDefault="00351A1C" w:rsidP="00763097">
      <w:pPr>
        <w:jc w:val="both"/>
        <w:rPr>
          <w:rFonts w:ascii="Calibri" w:hAnsi="Calibri"/>
          <w:b/>
        </w:rPr>
      </w:pPr>
    </w:p>
    <w:p w:rsidR="00E460B1" w:rsidRDefault="00E460B1" w:rsidP="00763097">
      <w:pPr>
        <w:jc w:val="both"/>
        <w:rPr>
          <w:rFonts w:ascii="Calibri" w:hAnsi="Calibri"/>
          <w:b/>
        </w:rPr>
      </w:pPr>
    </w:p>
    <w:p w:rsidR="00E460B1" w:rsidRDefault="00E460B1" w:rsidP="00763097">
      <w:pPr>
        <w:jc w:val="both"/>
        <w:rPr>
          <w:rFonts w:ascii="Calibri" w:hAnsi="Calibri"/>
          <w:b/>
        </w:rPr>
      </w:pPr>
    </w:p>
    <w:p w:rsidR="00A7403F" w:rsidRDefault="00A7403F" w:rsidP="00763097">
      <w:pPr>
        <w:jc w:val="both"/>
        <w:rPr>
          <w:rFonts w:ascii="Calibri" w:hAnsi="Calibri"/>
          <w:b/>
        </w:rPr>
      </w:pPr>
    </w:p>
    <w:p w:rsidR="00A7403F" w:rsidRDefault="00A7403F" w:rsidP="00763097">
      <w:pPr>
        <w:jc w:val="both"/>
        <w:rPr>
          <w:rFonts w:ascii="Calibri" w:hAnsi="Calibri"/>
          <w:b/>
        </w:rPr>
      </w:pPr>
    </w:p>
    <w:p w:rsidR="00351A1C" w:rsidRPr="00351A1C" w:rsidRDefault="00351A1C" w:rsidP="00763097">
      <w:pPr>
        <w:jc w:val="both"/>
        <w:rPr>
          <w:rFonts w:ascii="Calibri" w:hAnsi="Calibri"/>
          <w:b/>
        </w:rPr>
      </w:pPr>
      <w:r w:rsidRPr="00351A1C">
        <w:rPr>
          <w:rFonts w:ascii="Calibri" w:hAnsi="Calibri"/>
          <w:b/>
        </w:rPr>
        <w:t xml:space="preserve">Kelvin Menon, </w:t>
      </w:r>
      <w:r w:rsidRPr="00A200D5">
        <w:rPr>
          <w:rFonts w:ascii="Calibri" w:hAnsi="Calibri"/>
        </w:rPr>
        <w:t>Chief Finance Officer, Office of the PCC for Surrey</w:t>
      </w:r>
    </w:p>
    <w:p w:rsidR="00F2623E" w:rsidRDefault="00F2623E" w:rsidP="00763097">
      <w:pPr>
        <w:jc w:val="both"/>
        <w:rPr>
          <w:rFonts w:ascii="Calibri" w:hAnsi="Calibri"/>
        </w:rPr>
      </w:pPr>
    </w:p>
    <w:p w:rsidR="00E460B1" w:rsidRDefault="00054BB1" w:rsidP="00763097">
      <w:pPr>
        <w:jc w:val="both"/>
        <w:rPr>
          <w:rFonts w:ascii="Calibri" w:hAnsi="Calibri"/>
        </w:rPr>
      </w:pPr>
      <w:r>
        <w:rPr>
          <w:rFonts w:ascii="Calibri" w:hAnsi="Calibri"/>
        </w:rPr>
        <w:t>Date:</w:t>
      </w:r>
    </w:p>
    <w:p w:rsidR="00054BB1" w:rsidRDefault="00054BB1" w:rsidP="00763097">
      <w:pPr>
        <w:jc w:val="both"/>
        <w:rPr>
          <w:rFonts w:ascii="Calibri" w:hAnsi="Calibri"/>
        </w:rPr>
      </w:pPr>
    </w:p>
    <w:p w:rsidR="001B61EC" w:rsidRDefault="001B61EC" w:rsidP="00763097">
      <w:pPr>
        <w:jc w:val="both"/>
        <w:rPr>
          <w:rFonts w:ascii="Calibri" w:hAnsi="Calibri"/>
        </w:rPr>
      </w:pPr>
    </w:p>
    <w:p w:rsidR="00360A13" w:rsidRDefault="00360A13" w:rsidP="00763097">
      <w:pPr>
        <w:jc w:val="both"/>
        <w:rPr>
          <w:rFonts w:ascii="Calibri" w:hAnsi="Calibri"/>
        </w:rPr>
      </w:pPr>
      <w:r>
        <w:rPr>
          <w:rFonts w:ascii="Calibri" w:hAnsi="Calibri"/>
        </w:rPr>
        <w:t>Contact details:</w:t>
      </w:r>
    </w:p>
    <w:p w:rsidR="00360A13" w:rsidRDefault="00360A13" w:rsidP="00763097">
      <w:pPr>
        <w:jc w:val="both"/>
        <w:rPr>
          <w:rFonts w:ascii="Calibri" w:hAnsi="Calibri"/>
        </w:rPr>
      </w:pPr>
      <w:r>
        <w:rPr>
          <w:rFonts w:ascii="Calibri" w:hAnsi="Calibri"/>
        </w:rPr>
        <w:t>Kelvin Menon, Chief Finance Officer</w:t>
      </w:r>
    </w:p>
    <w:p w:rsidR="00360A13" w:rsidRDefault="00360A13" w:rsidP="00763097">
      <w:pPr>
        <w:jc w:val="both"/>
        <w:rPr>
          <w:rFonts w:ascii="Calibri" w:hAnsi="Calibri"/>
        </w:rPr>
      </w:pPr>
      <w:hyperlink r:id="rId26" w:history="1">
        <w:r w:rsidRPr="00D22313">
          <w:rPr>
            <w:rStyle w:val="Hyperlink"/>
            <w:rFonts w:ascii="Calibri" w:hAnsi="Calibri"/>
          </w:rPr>
          <w:t>Kelvin.Menon@Surrey.pnn.police.uk</w:t>
        </w:r>
      </w:hyperlink>
    </w:p>
    <w:p w:rsidR="00360A13" w:rsidRDefault="00360A13" w:rsidP="00763097">
      <w:pPr>
        <w:jc w:val="both"/>
        <w:rPr>
          <w:rFonts w:ascii="Calibri" w:hAnsi="Calibri"/>
        </w:rPr>
      </w:pPr>
    </w:p>
    <w:p w:rsidR="00763097" w:rsidRDefault="00763097" w:rsidP="00A200D5">
      <w:pPr>
        <w:jc w:val="both"/>
        <w:rPr>
          <w:rFonts w:ascii="Calibri" w:hAnsi="Calibri"/>
        </w:rPr>
      </w:pPr>
    </w:p>
    <w:p w:rsidR="00763097" w:rsidRPr="00345718" w:rsidRDefault="00763097" w:rsidP="00763097">
      <w:pPr>
        <w:pStyle w:val="NormalWeb1"/>
        <w:rPr>
          <w:rFonts w:ascii="Calibri" w:hAnsi="Calibri" w:cs="Arial"/>
          <w:b/>
        </w:rPr>
      </w:pPr>
      <w:r w:rsidRPr="00345718">
        <w:rPr>
          <w:rFonts w:ascii="Calibri" w:hAnsi="Calibri" w:cs="Arial"/>
          <w:b/>
        </w:rPr>
        <w:t>Appendix A:  Areas for Improvement - Action Plan</w:t>
      </w:r>
      <w:r>
        <w:rPr>
          <w:rFonts w:ascii="Calibri" w:hAnsi="Calibri" w:cs="Arial"/>
          <w:b/>
        </w:rPr>
        <w:t xml:space="preserve"> 2020-2021</w:t>
      </w:r>
    </w:p>
    <w:p w:rsidR="00763097" w:rsidRDefault="00763097" w:rsidP="00763097">
      <w:pPr>
        <w:pStyle w:val="NormalWeb1"/>
        <w:rPr>
          <w:rFonts w:ascii="Calibri" w:hAnsi="Calibri" w:cs="Arial"/>
          <w:b/>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8"/>
        <w:gridCol w:w="6064"/>
        <w:gridCol w:w="1823"/>
        <w:gridCol w:w="2319"/>
      </w:tblGrid>
      <w:tr w:rsidR="00763097" w:rsidRPr="0081221D" w:rsidTr="00C80C35">
        <w:trPr>
          <w:jc w:val="center"/>
        </w:trPr>
        <w:tc>
          <w:tcPr>
            <w:tcW w:w="691" w:type="dxa"/>
            <w:shd w:val="clear" w:color="auto" w:fill="F2F2F2"/>
          </w:tcPr>
          <w:p w:rsidR="00763097" w:rsidRPr="0081221D" w:rsidRDefault="00763097" w:rsidP="00C80C35">
            <w:pPr>
              <w:spacing w:before="40" w:after="40" w:line="259" w:lineRule="auto"/>
              <w:jc w:val="center"/>
              <w:rPr>
                <w:rFonts w:ascii="Calibri" w:eastAsia="Calibri" w:hAnsi="Calibri"/>
                <w:b/>
                <w:i/>
                <w:color w:val="333333"/>
                <w:sz w:val="18"/>
                <w:szCs w:val="18"/>
              </w:rPr>
            </w:pPr>
            <w:r>
              <w:rPr>
                <w:rFonts w:ascii="Calibri" w:eastAsia="Calibri" w:hAnsi="Calibri"/>
                <w:b/>
                <w:i/>
                <w:color w:val="333333"/>
                <w:sz w:val="18"/>
                <w:szCs w:val="18"/>
              </w:rPr>
              <w:t>Ref</w:t>
            </w:r>
          </w:p>
        </w:tc>
        <w:tc>
          <w:tcPr>
            <w:tcW w:w="6082" w:type="dxa"/>
            <w:gridSpan w:val="2"/>
            <w:shd w:val="clear" w:color="auto" w:fill="F2F2F2"/>
          </w:tcPr>
          <w:p w:rsidR="00763097" w:rsidRPr="0081221D" w:rsidRDefault="00763097" w:rsidP="00C80C35">
            <w:pPr>
              <w:spacing w:before="40" w:after="40" w:line="259" w:lineRule="auto"/>
              <w:jc w:val="center"/>
              <w:rPr>
                <w:rFonts w:ascii="Calibri" w:eastAsia="Calibri" w:hAnsi="Calibri"/>
                <w:b/>
                <w:i/>
                <w:color w:val="333333"/>
              </w:rPr>
            </w:pPr>
            <w:r w:rsidRPr="0081221D">
              <w:rPr>
                <w:rFonts w:ascii="Calibri" w:eastAsia="Calibri" w:hAnsi="Calibri"/>
                <w:b/>
                <w:i/>
                <w:color w:val="333333"/>
              </w:rPr>
              <w:t>Area for improvement</w:t>
            </w:r>
          </w:p>
        </w:tc>
        <w:tc>
          <w:tcPr>
            <w:tcW w:w="1823" w:type="dxa"/>
            <w:shd w:val="clear" w:color="auto" w:fill="F2F2F2"/>
          </w:tcPr>
          <w:p w:rsidR="00763097" w:rsidRPr="0081221D" w:rsidRDefault="00763097" w:rsidP="00C80C35">
            <w:pPr>
              <w:spacing w:before="40" w:after="40" w:line="259" w:lineRule="auto"/>
              <w:jc w:val="center"/>
              <w:rPr>
                <w:rFonts w:ascii="Calibri" w:eastAsia="Calibri" w:hAnsi="Calibri"/>
                <w:b/>
                <w:i/>
                <w:color w:val="333333"/>
              </w:rPr>
            </w:pPr>
            <w:r w:rsidRPr="0081221D">
              <w:rPr>
                <w:rFonts w:ascii="Calibri" w:eastAsia="Calibri" w:hAnsi="Calibri"/>
                <w:b/>
                <w:i/>
                <w:color w:val="333333"/>
              </w:rPr>
              <w:t>Owner</w:t>
            </w:r>
          </w:p>
        </w:tc>
        <w:tc>
          <w:tcPr>
            <w:tcW w:w="2319" w:type="dxa"/>
            <w:shd w:val="clear" w:color="auto" w:fill="F2F2F2"/>
          </w:tcPr>
          <w:p w:rsidR="00763097" w:rsidRPr="0081221D" w:rsidRDefault="00A7403F" w:rsidP="00C80C35">
            <w:pPr>
              <w:spacing w:before="40" w:after="40" w:line="259" w:lineRule="auto"/>
              <w:jc w:val="center"/>
              <w:rPr>
                <w:rFonts w:ascii="Calibri" w:eastAsia="Calibri" w:hAnsi="Calibri"/>
                <w:b/>
                <w:i/>
                <w:color w:val="333333"/>
              </w:rPr>
            </w:pPr>
            <w:r>
              <w:rPr>
                <w:rFonts w:ascii="Calibri" w:eastAsia="Calibri" w:hAnsi="Calibri"/>
                <w:b/>
                <w:i/>
                <w:color w:val="333333"/>
              </w:rPr>
              <w:t>C</w:t>
            </w:r>
            <w:r w:rsidR="00763097">
              <w:rPr>
                <w:rFonts w:ascii="Calibri" w:eastAsia="Calibri" w:hAnsi="Calibri"/>
                <w:b/>
                <w:i/>
                <w:color w:val="333333"/>
              </w:rPr>
              <w:t>ompletion</w:t>
            </w:r>
            <w:r>
              <w:rPr>
                <w:rFonts w:ascii="Calibri" w:eastAsia="Calibri" w:hAnsi="Calibri"/>
                <w:b/>
                <w:i/>
                <w:color w:val="333333"/>
              </w:rPr>
              <w:t xml:space="preserve"> Target</w:t>
            </w:r>
            <w:r w:rsidR="00763097">
              <w:rPr>
                <w:rFonts w:ascii="Calibri" w:eastAsia="Calibri" w:hAnsi="Calibri"/>
                <w:b/>
                <w:i/>
                <w:color w:val="333333"/>
              </w:rPr>
              <w:t xml:space="preserve"> dates</w:t>
            </w:r>
          </w:p>
        </w:tc>
      </w:tr>
      <w:tr w:rsidR="00763097" w:rsidRPr="0081221D" w:rsidTr="00C80C35">
        <w:trPr>
          <w:jc w:val="center"/>
        </w:trPr>
        <w:tc>
          <w:tcPr>
            <w:tcW w:w="10915" w:type="dxa"/>
            <w:gridSpan w:val="5"/>
            <w:shd w:val="clear" w:color="auto" w:fill="BDD6EE"/>
          </w:tcPr>
          <w:p w:rsidR="00763097" w:rsidRPr="005F3A78" w:rsidRDefault="00763097" w:rsidP="008E6F5A">
            <w:pPr>
              <w:spacing w:before="60" w:after="60"/>
              <w:rPr>
                <w:rFonts w:ascii="Calibri" w:eastAsia="Calibri" w:hAnsi="Calibri"/>
                <w:b/>
                <w:caps/>
              </w:rPr>
            </w:pPr>
            <w:r w:rsidRPr="005F3A78">
              <w:rPr>
                <w:rFonts w:ascii="Calibri" w:eastAsia="Calibri" w:hAnsi="Calibri"/>
                <w:b/>
                <w:caps/>
              </w:rPr>
              <w:t>Issues carried over from 20</w:t>
            </w:r>
            <w:r w:rsidR="00A7403F">
              <w:rPr>
                <w:rFonts w:ascii="Calibri" w:eastAsia="Calibri" w:hAnsi="Calibri"/>
                <w:b/>
                <w:caps/>
              </w:rPr>
              <w:t>18</w:t>
            </w:r>
            <w:r w:rsidRPr="005F3A78">
              <w:rPr>
                <w:rFonts w:ascii="Calibri" w:eastAsia="Calibri" w:hAnsi="Calibri"/>
                <w:b/>
                <w:caps/>
              </w:rPr>
              <w:t>-</w:t>
            </w:r>
            <w:r w:rsidR="00A7403F">
              <w:rPr>
                <w:rFonts w:ascii="Calibri" w:eastAsia="Calibri" w:hAnsi="Calibri"/>
                <w:b/>
                <w:caps/>
              </w:rPr>
              <w:t>19</w:t>
            </w:r>
            <w:r w:rsidRPr="005F3A78">
              <w:rPr>
                <w:rFonts w:ascii="Calibri" w:eastAsia="Calibri" w:hAnsi="Calibri"/>
                <w:b/>
                <w:caps/>
              </w:rPr>
              <w:t xml:space="preserve"> AGS action plan</w:t>
            </w:r>
          </w:p>
        </w:tc>
      </w:tr>
      <w:tr w:rsidR="00763097" w:rsidRPr="0081221D" w:rsidTr="00C80C35">
        <w:trPr>
          <w:trHeight w:val="1248"/>
          <w:jc w:val="center"/>
        </w:trPr>
        <w:tc>
          <w:tcPr>
            <w:tcW w:w="691" w:type="dxa"/>
            <w:shd w:val="clear" w:color="auto" w:fill="auto"/>
          </w:tcPr>
          <w:p w:rsidR="00763097" w:rsidRPr="00CB2BF2" w:rsidRDefault="00763097" w:rsidP="00C80C35">
            <w:pPr>
              <w:spacing w:before="40" w:after="40"/>
              <w:jc w:val="center"/>
              <w:rPr>
                <w:rFonts w:ascii="Calibri" w:eastAsia="Calibri" w:hAnsi="Calibri"/>
                <w:sz w:val="18"/>
                <w:szCs w:val="18"/>
              </w:rPr>
            </w:pPr>
            <w:r w:rsidRPr="00CB2BF2">
              <w:rPr>
                <w:rFonts w:ascii="Calibri" w:eastAsia="Calibri" w:hAnsi="Calibri"/>
                <w:sz w:val="18"/>
                <w:szCs w:val="18"/>
              </w:rPr>
              <w:t>1</w:t>
            </w:r>
          </w:p>
        </w:tc>
        <w:tc>
          <w:tcPr>
            <w:tcW w:w="6082" w:type="dxa"/>
            <w:gridSpan w:val="2"/>
            <w:shd w:val="clear" w:color="auto" w:fill="auto"/>
          </w:tcPr>
          <w:p w:rsidR="00763097" w:rsidRPr="00CB2BF2" w:rsidRDefault="00763097" w:rsidP="00C80C35">
            <w:pPr>
              <w:spacing w:before="40" w:after="40"/>
              <w:rPr>
                <w:rFonts w:ascii="Calibri" w:hAnsi="Calibri"/>
                <w:sz w:val="18"/>
                <w:szCs w:val="18"/>
                <w:lang w:eastAsia="en-GB"/>
              </w:rPr>
            </w:pPr>
            <w:r w:rsidRPr="00CB2BF2">
              <w:rPr>
                <w:rFonts w:ascii="Calibri" w:hAnsi="Calibri"/>
                <w:b/>
                <w:color w:val="002060"/>
                <w:sz w:val="18"/>
                <w:szCs w:val="18"/>
              </w:rPr>
              <w:t>Further improvements to financial reporting identified by the Executive Director Finance Commercial Services</w:t>
            </w:r>
            <w:r w:rsidRPr="00CB2BF2">
              <w:rPr>
                <w:rFonts w:ascii="Calibri" w:hAnsi="Calibri"/>
                <w:color w:val="000000"/>
                <w:sz w:val="18"/>
                <w:szCs w:val="18"/>
              </w:rPr>
              <w:t xml:space="preserve"> – including improvements required in processes used by the joint Surrey/Sussex Management Accounting team, and enhanced frequency/content of external financial reporting agreed with the OSPCC CFO</w:t>
            </w:r>
            <w:r w:rsidRPr="00CB2BF2">
              <w:rPr>
                <w:rFonts w:ascii="Calibri" w:hAnsi="Calibri"/>
                <w:sz w:val="18"/>
                <w:szCs w:val="18"/>
                <w:lang w:eastAsia="en-GB"/>
              </w:rPr>
              <w:t>.</w:t>
            </w:r>
          </w:p>
        </w:tc>
        <w:tc>
          <w:tcPr>
            <w:tcW w:w="1823" w:type="dxa"/>
            <w:shd w:val="clear" w:color="auto" w:fill="auto"/>
          </w:tcPr>
          <w:p w:rsidR="00763097" w:rsidRPr="00CB2BF2" w:rsidRDefault="00763097" w:rsidP="00C80C35">
            <w:pPr>
              <w:spacing w:before="40" w:after="40"/>
              <w:rPr>
                <w:rFonts w:ascii="Calibri" w:eastAsia="Calibri" w:hAnsi="Calibri"/>
                <w:color w:val="333333"/>
                <w:sz w:val="18"/>
                <w:szCs w:val="18"/>
              </w:rPr>
            </w:pPr>
            <w:r w:rsidRPr="00CB2BF2">
              <w:rPr>
                <w:rFonts w:ascii="Calibri" w:hAnsi="Calibri"/>
                <w:sz w:val="18"/>
                <w:szCs w:val="18"/>
                <w:lang w:eastAsia="en-GB"/>
              </w:rPr>
              <w:t>Executive Director of Commercial and Finance</w:t>
            </w:r>
          </w:p>
          <w:p w:rsidR="00763097" w:rsidRPr="00CB2BF2" w:rsidRDefault="00763097" w:rsidP="00C80C35">
            <w:pPr>
              <w:spacing w:before="40" w:after="40"/>
              <w:rPr>
                <w:rFonts w:ascii="Calibri" w:eastAsia="Calibri" w:hAnsi="Calibri"/>
                <w:color w:val="333333"/>
                <w:sz w:val="18"/>
                <w:szCs w:val="18"/>
              </w:rPr>
            </w:pPr>
          </w:p>
        </w:tc>
        <w:tc>
          <w:tcPr>
            <w:tcW w:w="2319" w:type="dxa"/>
          </w:tcPr>
          <w:p w:rsidR="00763097" w:rsidRPr="00CB2BF2" w:rsidRDefault="00763097" w:rsidP="00A200D5">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CB2BF2">
              <w:rPr>
                <w:rFonts w:ascii="Calibri" w:eastAsia="Calibri" w:hAnsi="Calibri"/>
                <w:sz w:val="18"/>
                <w:szCs w:val="18"/>
              </w:rPr>
              <w:t>31.03.21</w:t>
            </w:r>
          </w:p>
        </w:tc>
      </w:tr>
      <w:tr w:rsidR="00763097" w:rsidRPr="0081221D" w:rsidTr="00C80C35">
        <w:trPr>
          <w:jc w:val="center"/>
        </w:trPr>
        <w:tc>
          <w:tcPr>
            <w:tcW w:w="691" w:type="dxa"/>
            <w:shd w:val="clear" w:color="auto" w:fill="auto"/>
          </w:tcPr>
          <w:p w:rsidR="00763097" w:rsidRPr="00CB2BF2" w:rsidRDefault="00763097" w:rsidP="00C80C35">
            <w:pPr>
              <w:spacing w:before="40" w:after="40"/>
              <w:jc w:val="center"/>
              <w:rPr>
                <w:rFonts w:ascii="Calibri" w:eastAsia="Calibri" w:hAnsi="Calibri"/>
                <w:sz w:val="18"/>
                <w:szCs w:val="18"/>
              </w:rPr>
            </w:pPr>
            <w:r w:rsidRPr="00CB2BF2">
              <w:rPr>
                <w:rFonts w:ascii="Calibri" w:eastAsia="Calibri" w:hAnsi="Calibri"/>
                <w:sz w:val="18"/>
                <w:szCs w:val="18"/>
              </w:rPr>
              <w:t>2</w:t>
            </w:r>
          </w:p>
        </w:tc>
        <w:tc>
          <w:tcPr>
            <w:tcW w:w="6082" w:type="dxa"/>
            <w:gridSpan w:val="2"/>
            <w:shd w:val="clear" w:color="auto" w:fill="auto"/>
          </w:tcPr>
          <w:p w:rsidR="00763097" w:rsidRPr="00CB2BF2" w:rsidRDefault="00763097" w:rsidP="00C80C35">
            <w:pPr>
              <w:spacing w:before="40" w:after="40"/>
              <w:rPr>
                <w:rFonts w:ascii="Calibri" w:hAnsi="Calibri"/>
                <w:b/>
                <w:color w:val="002060"/>
                <w:sz w:val="18"/>
                <w:szCs w:val="18"/>
              </w:rPr>
            </w:pPr>
            <w:r w:rsidRPr="00CB2BF2">
              <w:rPr>
                <w:rFonts w:ascii="Calibri" w:hAnsi="Calibri"/>
                <w:b/>
                <w:color w:val="002060"/>
                <w:sz w:val="18"/>
                <w:szCs w:val="18"/>
              </w:rPr>
              <w:t>ERP Payroll Extra Costs – limited assurance internal audit opinion</w:t>
            </w:r>
          </w:p>
          <w:p w:rsidR="00763097" w:rsidRPr="00CB2BF2" w:rsidRDefault="00763097" w:rsidP="00C80C35">
            <w:pPr>
              <w:spacing w:before="40" w:after="40"/>
              <w:rPr>
                <w:rFonts w:ascii="Calibri" w:hAnsi="Calibri" w:cs="Times New Roman"/>
                <w:bCs/>
                <w:color w:val="000000"/>
                <w:sz w:val="18"/>
                <w:szCs w:val="18"/>
                <w:lang w:eastAsia="en-GB"/>
              </w:rPr>
            </w:pPr>
            <w:r w:rsidRPr="00CB2BF2">
              <w:rPr>
                <w:rFonts w:ascii="Calibri" w:hAnsi="Calibri" w:cs="Times New Roman"/>
                <w:bCs/>
                <w:color w:val="000000"/>
                <w:sz w:val="18"/>
                <w:szCs w:val="18"/>
                <w:lang w:eastAsia="en-GB"/>
              </w:rPr>
              <w:t>Lack of detailed definition and agreement of the costs to be included in any recharges could lead to dispute. Costs are not captured and recharged completely and accurately. Actions as set out in the report.</w:t>
            </w:r>
          </w:p>
        </w:tc>
        <w:tc>
          <w:tcPr>
            <w:tcW w:w="1823" w:type="dxa"/>
            <w:shd w:val="clear" w:color="auto" w:fill="auto"/>
          </w:tcPr>
          <w:p w:rsidR="00763097" w:rsidRPr="00CB2BF2" w:rsidRDefault="00763097" w:rsidP="00C80C35">
            <w:pPr>
              <w:spacing w:before="40" w:after="40"/>
              <w:rPr>
                <w:rFonts w:ascii="Calibri" w:eastAsia="Calibri" w:hAnsi="Calibri"/>
                <w:sz w:val="18"/>
                <w:szCs w:val="18"/>
              </w:rPr>
            </w:pPr>
            <w:r w:rsidRPr="00CB2BF2">
              <w:rPr>
                <w:rFonts w:ascii="Calibri" w:eastAsia="Calibri" w:hAnsi="Calibri"/>
                <w:sz w:val="18"/>
                <w:szCs w:val="18"/>
              </w:rPr>
              <w:t xml:space="preserve"> Chief Digital and Information Officer</w:t>
            </w:r>
          </w:p>
        </w:tc>
        <w:tc>
          <w:tcPr>
            <w:tcW w:w="2319" w:type="dxa"/>
          </w:tcPr>
          <w:p w:rsidR="00763097" w:rsidRPr="00CB2BF2" w:rsidRDefault="00763097" w:rsidP="00C80C35">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CB2BF2">
              <w:rPr>
                <w:rFonts w:ascii="Calibri" w:eastAsia="Calibri" w:hAnsi="Calibri" w:cs="Calibri"/>
                <w:sz w:val="18"/>
                <w:szCs w:val="18"/>
              </w:rPr>
              <w:t>Dependent upon project go-live</w:t>
            </w:r>
          </w:p>
        </w:tc>
      </w:tr>
      <w:tr w:rsidR="00763097" w:rsidRPr="0081221D" w:rsidTr="00C80C35">
        <w:trPr>
          <w:jc w:val="center"/>
        </w:trPr>
        <w:tc>
          <w:tcPr>
            <w:tcW w:w="691" w:type="dxa"/>
            <w:shd w:val="clear" w:color="auto" w:fill="auto"/>
          </w:tcPr>
          <w:p w:rsidR="00763097" w:rsidRPr="005B35E6" w:rsidRDefault="00763097" w:rsidP="00C80C35">
            <w:pPr>
              <w:spacing w:before="40" w:after="40"/>
              <w:jc w:val="center"/>
              <w:rPr>
                <w:rFonts w:ascii="Calibri" w:eastAsia="Calibri" w:hAnsi="Calibri"/>
                <w:sz w:val="18"/>
                <w:szCs w:val="18"/>
              </w:rPr>
            </w:pPr>
            <w:r w:rsidRPr="005B35E6">
              <w:rPr>
                <w:rFonts w:ascii="Calibri" w:eastAsia="Calibri" w:hAnsi="Calibri"/>
                <w:sz w:val="18"/>
                <w:szCs w:val="18"/>
              </w:rPr>
              <w:t>3</w:t>
            </w:r>
          </w:p>
        </w:tc>
        <w:tc>
          <w:tcPr>
            <w:tcW w:w="6082" w:type="dxa"/>
            <w:gridSpan w:val="2"/>
            <w:shd w:val="clear" w:color="auto" w:fill="auto"/>
          </w:tcPr>
          <w:p w:rsidR="00763097" w:rsidRPr="005B35E6" w:rsidRDefault="00763097" w:rsidP="00C80C35">
            <w:pPr>
              <w:spacing w:before="40" w:after="40"/>
              <w:rPr>
                <w:rFonts w:ascii="Calibri" w:eastAsia="Calibri" w:hAnsi="Calibri" w:cs="Times New Roman"/>
                <w:b/>
                <w:color w:val="1F3864"/>
                <w:sz w:val="18"/>
                <w:szCs w:val="18"/>
              </w:rPr>
            </w:pPr>
            <w:r w:rsidRPr="005B35E6">
              <w:rPr>
                <w:rFonts w:ascii="Calibri" w:eastAsia="Calibri" w:hAnsi="Calibri" w:cs="Times New Roman"/>
                <w:b/>
                <w:color w:val="1F3864"/>
                <w:sz w:val="18"/>
                <w:szCs w:val="18"/>
              </w:rPr>
              <w:t>ERP/EQUIP Programme</w:t>
            </w:r>
          </w:p>
          <w:p w:rsidR="00763097" w:rsidRPr="00D33B2A" w:rsidRDefault="00763097" w:rsidP="00C80C35">
            <w:pPr>
              <w:spacing w:before="40" w:after="40"/>
              <w:rPr>
                <w:rFonts w:ascii="Calibri" w:hAnsi="Calibri" w:cs="Times New Roman"/>
                <w:sz w:val="18"/>
                <w:szCs w:val="18"/>
                <w:lang w:eastAsia="en-GB"/>
              </w:rPr>
            </w:pPr>
            <w:r w:rsidRPr="005B35E6">
              <w:rPr>
                <w:rFonts w:ascii="Calibri" w:eastAsia="Calibri" w:hAnsi="Calibri" w:cs="Times New Roman"/>
                <w:sz w:val="18"/>
                <w:szCs w:val="18"/>
              </w:rPr>
              <w:t>The Equip Programme will proactively clear the outstanding actions from all previous audit/Gateway reviews and initiate further reviews at strategic points prior to go-live.</w:t>
            </w:r>
          </w:p>
        </w:tc>
        <w:tc>
          <w:tcPr>
            <w:tcW w:w="1823" w:type="dxa"/>
            <w:shd w:val="clear" w:color="auto" w:fill="auto"/>
          </w:tcPr>
          <w:p w:rsidR="00763097" w:rsidRPr="005B35E6" w:rsidRDefault="00763097" w:rsidP="00C80C35">
            <w:pPr>
              <w:spacing w:before="40" w:after="40"/>
              <w:rPr>
                <w:rFonts w:ascii="Calibri" w:eastAsia="Calibri" w:hAnsi="Calibri"/>
                <w:sz w:val="18"/>
                <w:szCs w:val="18"/>
              </w:rPr>
            </w:pPr>
            <w:r w:rsidRPr="005B35E6">
              <w:rPr>
                <w:rFonts w:ascii="Calibri" w:eastAsia="Calibri" w:hAnsi="Calibri"/>
                <w:sz w:val="18"/>
                <w:szCs w:val="18"/>
              </w:rPr>
              <w:t>Chief Digital and Information Officer</w:t>
            </w:r>
          </w:p>
        </w:tc>
        <w:tc>
          <w:tcPr>
            <w:tcW w:w="2319" w:type="dxa"/>
          </w:tcPr>
          <w:p w:rsidR="00763097" w:rsidRPr="005B35E6" w:rsidRDefault="00763097" w:rsidP="00C80C35">
            <w:pPr>
              <w:spacing w:before="40" w:after="40"/>
              <w:rPr>
                <w:rFonts w:ascii="Calibri" w:eastAsia="Calibri" w:hAnsi="Calibri"/>
                <w:sz w:val="18"/>
                <w:szCs w:val="18"/>
              </w:rPr>
            </w:pPr>
            <w:r w:rsidRPr="005B35E6">
              <w:rPr>
                <w:rFonts w:ascii="Calibri" w:eastAsia="Calibri" w:hAnsi="Calibri" w:cs="Calibri"/>
                <w:sz w:val="18"/>
                <w:szCs w:val="18"/>
              </w:rPr>
              <w:t>Dependent upon project go-live</w:t>
            </w:r>
          </w:p>
        </w:tc>
      </w:tr>
      <w:tr w:rsidR="00763097" w:rsidRPr="0081221D" w:rsidTr="00C80C35">
        <w:trPr>
          <w:jc w:val="center"/>
        </w:trPr>
        <w:tc>
          <w:tcPr>
            <w:tcW w:w="691" w:type="dxa"/>
            <w:shd w:val="clear" w:color="auto" w:fill="auto"/>
          </w:tcPr>
          <w:p w:rsidR="00763097" w:rsidRPr="005B35E6" w:rsidRDefault="00763097" w:rsidP="00C80C35">
            <w:pPr>
              <w:spacing w:before="40" w:after="40"/>
              <w:jc w:val="center"/>
              <w:rPr>
                <w:rFonts w:ascii="Calibri" w:eastAsia="Calibri" w:hAnsi="Calibri"/>
                <w:sz w:val="18"/>
                <w:szCs w:val="18"/>
              </w:rPr>
            </w:pPr>
          </w:p>
        </w:tc>
        <w:tc>
          <w:tcPr>
            <w:tcW w:w="6082" w:type="dxa"/>
            <w:gridSpan w:val="2"/>
            <w:shd w:val="clear" w:color="auto" w:fill="auto"/>
          </w:tcPr>
          <w:p w:rsidR="00763097" w:rsidRPr="004A190F" w:rsidRDefault="00763097" w:rsidP="004A190F">
            <w:pPr>
              <w:spacing w:before="40" w:after="40"/>
              <w:rPr>
                <w:rFonts w:ascii="Calibri" w:eastAsia="Calibri" w:hAnsi="Calibri" w:cs="Times New Roman"/>
                <w:sz w:val="18"/>
                <w:szCs w:val="18"/>
              </w:rPr>
            </w:pPr>
            <w:r w:rsidRPr="004A190F">
              <w:rPr>
                <w:rFonts w:ascii="Calibri" w:eastAsia="Calibri" w:hAnsi="Calibri" w:cs="Times New Roman"/>
                <w:b/>
                <w:color w:val="1F3864" w:themeColor="accent5" w:themeShade="80"/>
                <w:sz w:val="18"/>
                <w:szCs w:val="18"/>
              </w:rPr>
              <w:t>Uniform  and Small Assets</w:t>
            </w:r>
            <w:r w:rsidRPr="004A190F">
              <w:rPr>
                <w:rFonts w:ascii="Calibri" w:eastAsia="Calibri" w:hAnsi="Calibri" w:cs="Times New Roman"/>
                <w:color w:val="1F3864" w:themeColor="accent5" w:themeShade="80"/>
                <w:sz w:val="18"/>
                <w:szCs w:val="18"/>
              </w:rPr>
              <w:t xml:space="preserve"> </w:t>
            </w:r>
            <w:r w:rsidRPr="004A190F">
              <w:rPr>
                <w:rFonts w:ascii="Calibri" w:eastAsia="Calibri" w:hAnsi="Calibri" w:cs="Times New Roman"/>
                <w:sz w:val="18"/>
                <w:szCs w:val="18"/>
              </w:rPr>
              <w:t>– No assurance internal audit opinion (2018-19)</w:t>
            </w:r>
          </w:p>
          <w:p w:rsidR="00763097" w:rsidRPr="004A190F" w:rsidRDefault="00763097" w:rsidP="004A190F">
            <w:pPr>
              <w:spacing w:before="40" w:after="40"/>
              <w:rPr>
                <w:rFonts w:ascii="Calibri" w:eastAsia="Calibri" w:hAnsi="Calibri" w:cs="Times New Roman"/>
                <w:sz w:val="18"/>
                <w:szCs w:val="18"/>
              </w:rPr>
            </w:pPr>
            <w:r w:rsidRPr="004A190F">
              <w:rPr>
                <w:rFonts w:ascii="Calibri" w:eastAsia="Calibri" w:hAnsi="Calibri" w:cs="Times New Roman"/>
                <w:sz w:val="18"/>
                <w:szCs w:val="18"/>
              </w:rPr>
              <w:t>2 high, 3 medium management actions</w:t>
            </w:r>
          </w:p>
        </w:tc>
        <w:tc>
          <w:tcPr>
            <w:tcW w:w="1823" w:type="dxa"/>
            <w:shd w:val="clear" w:color="auto" w:fill="auto"/>
          </w:tcPr>
          <w:p w:rsidR="00763097" w:rsidRPr="001921D8" w:rsidRDefault="00763097" w:rsidP="00C80C35">
            <w:pPr>
              <w:spacing w:before="40" w:after="40"/>
              <w:rPr>
                <w:rFonts w:ascii="Calibri" w:eastAsia="Calibri" w:hAnsi="Calibri"/>
                <w:sz w:val="18"/>
                <w:szCs w:val="18"/>
                <w:lang w:eastAsia="en-GB"/>
              </w:rPr>
            </w:pPr>
            <w:r w:rsidRPr="001921D8">
              <w:rPr>
                <w:rFonts w:ascii="Calibri" w:eastAsia="Calibri" w:hAnsi="Calibri"/>
                <w:sz w:val="18"/>
                <w:szCs w:val="18"/>
                <w:lang w:eastAsia="en-GB"/>
              </w:rPr>
              <w:t>Service Director, Estates &amp; Facilities</w:t>
            </w:r>
          </w:p>
        </w:tc>
        <w:tc>
          <w:tcPr>
            <w:tcW w:w="2319" w:type="dxa"/>
          </w:tcPr>
          <w:p w:rsidR="00763097" w:rsidRPr="001921D8" w:rsidRDefault="00A7403F" w:rsidP="00A200D5">
            <w:pPr>
              <w:spacing w:before="40" w:after="40"/>
              <w:jc w:val="center"/>
              <w:rPr>
                <w:rFonts w:ascii="Calibri" w:eastAsia="Calibri" w:hAnsi="Calibri" w:cs="Times New Roman"/>
                <w:sz w:val="18"/>
                <w:szCs w:val="18"/>
              </w:rPr>
            </w:pPr>
            <w:r w:rsidRPr="00CB2BF2">
              <w:rPr>
                <w:rFonts w:ascii="Calibri" w:eastAsia="Calibri" w:hAnsi="Calibri"/>
                <w:sz w:val="18"/>
                <w:szCs w:val="18"/>
              </w:rPr>
              <w:t>31.03.21</w:t>
            </w:r>
          </w:p>
        </w:tc>
      </w:tr>
      <w:tr w:rsidR="00763097" w:rsidRPr="0081221D" w:rsidTr="00C80C35">
        <w:trPr>
          <w:jc w:val="center"/>
        </w:trPr>
        <w:tc>
          <w:tcPr>
            <w:tcW w:w="10915" w:type="dxa"/>
            <w:gridSpan w:val="5"/>
            <w:shd w:val="clear" w:color="auto" w:fill="BDD6EE"/>
          </w:tcPr>
          <w:p w:rsidR="00763097" w:rsidRPr="0087453B" w:rsidRDefault="00763097" w:rsidP="00C80C35">
            <w:pPr>
              <w:spacing w:before="40" w:after="40" w:line="252" w:lineRule="auto"/>
              <w:rPr>
                <w:rFonts w:ascii="Calibri" w:hAnsi="Calibri"/>
                <w:caps/>
                <w:sz w:val="18"/>
                <w:szCs w:val="18"/>
                <w:highlight w:val="yellow"/>
              </w:rPr>
            </w:pPr>
            <w:r w:rsidRPr="00CB2BF2">
              <w:rPr>
                <w:rFonts w:ascii="Calibri" w:eastAsia="Calibri" w:hAnsi="Calibri"/>
                <w:b/>
                <w:caps/>
              </w:rPr>
              <w:t>Issues identified from internal audit 2019-20</w:t>
            </w:r>
          </w:p>
        </w:tc>
      </w:tr>
      <w:tr w:rsidR="00763097" w:rsidRPr="0081221D" w:rsidTr="00C80C35">
        <w:trPr>
          <w:jc w:val="center"/>
        </w:trPr>
        <w:tc>
          <w:tcPr>
            <w:tcW w:w="709" w:type="dxa"/>
            <w:gridSpan w:val="2"/>
            <w:shd w:val="clear" w:color="auto" w:fill="auto"/>
          </w:tcPr>
          <w:p w:rsidR="00763097" w:rsidRPr="00CB2BF2" w:rsidRDefault="00763097" w:rsidP="00C80C35">
            <w:pPr>
              <w:spacing w:before="40" w:after="40" w:line="259" w:lineRule="auto"/>
              <w:jc w:val="center"/>
              <w:rPr>
                <w:rFonts w:ascii="Calibri" w:eastAsia="Calibri" w:hAnsi="Calibri"/>
                <w:sz w:val="18"/>
                <w:szCs w:val="18"/>
              </w:rPr>
            </w:pPr>
          </w:p>
        </w:tc>
        <w:tc>
          <w:tcPr>
            <w:tcW w:w="6064" w:type="dxa"/>
            <w:shd w:val="clear" w:color="auto" w:fill="auto"/>
          </w:tcPr>
          <w:p w:rsidR="00763097" w:rsidRPr="004A190F" w:rsidRDefault="00763097" w:rsidP="00C80C35">
            <w:pPr>
              <w:spacing w:before="40" w:after="40"/>
              <w:rPr>
                <w:rFonts w:ascii="Calibri" w:eastAsia="Calibri" w:hAnsi="Calibri" w:cs="Times New Roman"/>
                <w:b/>
                <w:color w:val="1F3864" w:themeColor="accent5" w:themeShade="80"/>
                <w:sz w:val="18"/>
                <w:szCs w:val="18"/>
              </w:rPr>
            </w:pPr>
            <w:r w:rsidRPr="004A190F">
              <w:rPr>
                <w:rFonts w:ascii="Calibri" w:eastAsia="Calibri" w:hAnsi="Calibri" w:cs="Times New Roman"/>
                <w:b/>
                <w:color w:val="1F3864" w:themeColor="accent5" w:themeShade="80"/>
                <w:sz w:val="18"/>
                <w:szCs w:val="18"/>
              </w:rPr>
              <w:t>Surrey Police Victims Code 2019/20 – Limited Assurance</w:t>
            </w:r>
          </w:p>
          <w:p w:rsidR="00763097" w:rsidRPr="004A190F" w:rsidRDefault="00763097" w:rsidP="00C80C35">
            <w:pPr>
              <w:spacing w:before="40" w:after="40"/>
              <w:rPr>
                <w:rFonts w:ascii="Calibri" w:eastAsia="Calibri" w:hAnsi="Calibri" w:cs="Times New Roman"/>
                <w:sz w:val="18"/>
                <w:szCs w:val="18"/>
              </w:rPr>
            </w:pPr>
            <w:r w:rsidRPr="004A190F">
              <w:rPr>
                <w:rFonts w:ascii="Calibri" w:eastAsia="Calibri" w:hAnsi="Calibri" w:cs="Times New Roman"/>
                <w:sz w:val="18"/>
                <w:szCs w:val="18"/>
              </w:rPr>
              <w:t>9 high, 3 medium management actions</w:t>
            </w:r>
          </w:p>
        </w:tc>
        <w:tc>
          <w:tcPr>
            <w:tcW w:w="1823" w:type="dxa"/>
            <w:shd w:val="clear" w:color="auto" w:fill="auto"/>
          </w:tcPr>
          <w:p w:rsidR="00763097" w:rsidRPr="00D33B2A" w:rsidRDefault="00763097" w:rsidP="00C80C35">
            <w:pPr>
              <w:tabs>
                <w:tab w:val="left" w:pos="0"/>
              </w:tabs>
              <w:overflowPunct w:val="0"/>
              <w:autoSpaceDE w:val="0"/>
              <w:autoSpaceDN w:val="0"/>
              <w:adjustRightInd w:val="0"/>
              <w:spacing w:before="40" w:after="40"/>
              <w:jc w:val="center"/>
              <w:textAlignment w:val="baseline"/>
              <w:rPr>
                <w:rFonts w:ascii="Calibri" w:eastAsia="Calibri" w:hAnsi="Calibri"/>
                <w:sz w:val="18"/>
                <w:szCs w:val="18"/>
              </w:rPr>
            </w:pPr>
            <w:r w:rsidRPr="00D33B2A">
              <w:rPr>
                <w:rFonts w:ascii="Calibri" w:eastAsia="Calibri" w:hAnsi="Calibri"/>
                <w:sz w:val="18"/>
                <w:szCs w:val="18"/>
              </w:rPr>
              <w:t>Surrey OPCC CEO and Head of Victims &amp; Witness Care Unit</w:t>
            </w:r>
          </w:p>
        </w:tc>
        <w:tc>
          <w:tcPr>
            <w:tcW w:w="2319" w:type="dxa"/>
          </w:tcPr>
          <w:p w:rsidR="00763097" w:rsidRPr="00D33B2A" w:rsidRDefault="00763097" w:rsidP="00C80C35">
            <w:pPr>
              <w:spacing w:before="40" w:after="40"/>
              <w:jc w:val="center"/>
              <w:rPr>
                <w:rFonts w:ascii="Calibri" w:hAnsi="Calibri"/>
                <w:sz w:val="18"/>
                <w:szCs w:val="18"/>
              </w:rPr>
            </w:pPr>
            <w:r w:rsidRPr="00D33B2A">
              <w:rPr>
                <w:rFonts w:ascii="Calibri" w:hAnsi="Calibri"/>
                <w:sz w:val="18"/>
                <w:szCs w:val="18"/>
              </w:rPr>
              <w:t>17</w:t>
            </w:r>
            <w:r w:rsidR="00B70D3E">
              <w:rPr>
                <w:rFonts w:ascii="Calibri" w:hAnsi="Calibri"/>
                <w:sz w:val="18"/>
                <w:szCs w:val="18"/>
              </w:rPr>
              <w:t>.</w:t>
            </w:r>
            <w:r w:rsidRPr="00D33B2A">
              <w:rPr>
                <w:rFonts w:ascii="Calibri" w:hAnsi="Calibri"/>
                <w:sz w:val="18"/>
                <w:szCs w:val="18"/>
              </w:rPr>
              <w:t>12</w:t>
            </w:r>
            <w:r w:rsidR="00B70D3E">
              <w:rPr>
                <w:rFonts w:ascii="Calibri" w:hAnsi="Calibri"/>
                <w:sz w:val="18"/>
                <w:szCs w:val="18"/>
              </w:rPr>
              <w:t>.</w:t>
            </w:r>
            <w:r w:rsidRPr="00D33B2A">
              <w:rPr>
                <w:rFonts w:ascii="Calibri" w:hAnsi="Calibri"/>
                <w:sz w:val="18"/>
                <w:szCs w:val="18"/>
              </w:rPr>
              <w:t>20</w:t>
            </w:r>
          </w:p>
        </w:tc>
      </w:tr>
      <w:tr w:rsidR="00763097" w:rsidRPr="0081221D" w:rsidTr="00C80C35">
        <w:trPr>
          <w:jc w:val="center"/>
        </w:trPr>
        <w:tc>
          <w:tcPr>
            <w:tcW w:w="709" w:type="dxa"/>
            <w:gridSpan w:val="2"/>
            <w:shd w:val="clear" w:color="auto" w:fill="auto"/>
          </w:tcPr>
          <w:p w:rsidR="00763097" w:rsidRPr="0087453B" w:rsidRDefault="00763097" w:rsidP="00C80C35">
            <w:pPr>
              <w:spacing w:before="40" w:after="40" w:line="259" w:lineRule="auto"/>
              <w:jc w:val="center"/>
              <w:rPr>
                <w:rFonts w:ascii="Calibri" w:eastAsia="Calibri" w:hAnsi="Calibri"/>
                <w:sz w:val="18"/>
                <w:szCs w:val="18"/>
                <w:highlight w:val="yellow"/>
              </w:rPr>
            </w:pPr>
          </w:p>
        </w:tc>
        <w:tc>
          <w:tcPr>
            <w:tcW w:w="6064" w:type="dxa"/>
            <w:shd w:val="clear" w:color="auto" w:fill="auto"/>
          </w:tcPr>
          <w:p w:rsidR="00763097" w:rsidRPr="004A190F" w:rsidRDefault="00763097" w:rsidP="00C80C35">
            <w:pPr>
              <w:spacing w:before="40" w:after="40"/>
              <w:rPr>
                <w:rFonts w:ascii="Calibri" w:eastAsia="Calibri" w:hAnsi="Calibri" w:cs="Times New Roman"/>
                <w:b/>
                <w:color w:val="1F3864" w:themeColor="accent5" w:themeShade="80"/>
                <w:sz w:val="18"/>
                <w:szCs w:val="18"/>
              </w:rPr>
            </w:pPr>
            <w:r w:rsidRPr="004A190F">
              <w:rPr>
                <w:rFonts w:ascii="Calibri" w:eastAsia="Calibri" w:hAnsi="Calibri" w:cs="Times New Roman"/>
                <w:b/>
                <w:color w:val="1F3864" w:themeColor="accent5" w:themeShade="80"/>
                <w:sz w:val="18"/>
                <w:szCs w:val="18"/>
              </w:rPr>
              <w:t>Crime Recording Data Quality – Limited Assurance</w:t>
            </w:r>
          </w:p>
          <w:p w:rsidR="00763097" w:rsidRPr="004A190F" w:rsidRDefault="00763097" w:rsidP="00C80C35">
            <w:pPr>
              <w:spacing w:before="40" w:after="40"/>
              <w:rPr>
                <w:rFonts w:ascii="Calibri" w:eastAsia="Calibri" w:hAnsi="Calibri" w:cs="Times New Roman"/>
                <w:sz w:val="18"/>
                <w:szCs w:val="18"/>
              </w:rPr>
            </w:pPr>
            <w:r w:rsidRPr="004A190F">
              <w:rPr>
                <w:rFonts w:ascii="Calibri" w:eastAsia="Calibri" w:hAnsi="Calibri" w:cs="Times New Roman"/>
                <w:sz w:val="18"/>
                <w:szCs w:val="18"/>
              </w:rPr>
              <w:t>6 medium, 7 low management actions</w:t>
            </w:r>
          </w:p>
        </w:tc>
        <w:tc>
          <w:tcPr>
            <w:tcW w:w="1823" w:type="dxa"/>
            <w:shd w:val="clear" w:color="auto" w:fill="auto"/>
          </w:tcPr>
          <w:p w:rsidR="00763097" w:rsidRPr="00D33B2A" w:rsidRDefault="00763097" w:rsidP="00C80C35">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D33B2A">
              <w:rPr>
                <w:rFonts w:ascii="Calibri" w:eastAsia="Calibri" w:hAnsi="Calibri"/>
                <w:sz w:val="18"/>
                <w:szCs w:val="18"/>
              </w:rPr>
              <w:t>Head of Service Quality</w:t>
            </w:r>
          </w:p>
        </w:tc>
        <w:tc>
          <w:tcPr>
            <w:tcW w:w="2319" w:type="dxa"/>
          </w:tcPr>
          <w:p w:rsidR="00763097" w:rsidRPr="00D33B2A" w:rsidRDefault="00763097" w:rsidP="00C80C35">
            <w:pPr>
              <w:spacing w:before="40" w:after="40"/>
              <w:jc w:val="center"/>
              <w:rPr>
                <w:rFonts w:ascii="Calibri" w:hAnsi="Calibri"/>
                <w:sz w:val="18"/>
                <w:szCs w:val="18"/>
              </w:rPr>
            </w:pPr>
            <w:r w:rsidRPr="00D33B2A">
              <w:rPr>
                <w:rFonts w:ascii="Calibri" w:hAnsi="Calibri"/>
                <w:sz w:val="18"/>
                <w:szCs w:val="18"/>
              </w:rPr>
              <w:t>Complete</w:t>
            </w:r>
          </w:p>
        </w:tc>
      </w:tr>
      <w:tr w:rsidR="00E460B1" w:rsidRPr="0081221D" w:rsidTr="00C80C35">
        <w:trPr>
          <w:jc w:val="center"/>
        </w:trPr>
        <w:tc>
          <w:tcPr>
            <w:tcW w:w="709" w:type="dxa"/>
            <w:gridSpan w:val="2"/>
            <w:shd w:val="clear" w:color="auto" w:fill="auto"/>
          </w:tcPr>
          <w:p w:rsidR="00E460B1" w:rsidRPr="0087453B" w:rsidRDefault="00E460B1" w:rsidP="00E460B1">
            <w:pPr>
              <w:spacing w:before="40" w:after="40" w:line="259" w:lineRule="auto"/>
              <w:jc w:val="center"/>
              <w:rPr>
                <w:rFonts w:ascii="Calibri" w:eastAsia="Calibri" w:hAnsi="Calibri"/>
                <w:sz w:val="18"/>
                <w:szCs w:val="18"/>
                <w:highlight w:val="yellow"/>
              </w:rPr>
            </w:pPr>
          </w:p>
        </w:tc>
        <w:tc>
          <w:tcPr>
            <w:tcW w:w="6064" w:type="dxa"/>
            <w:shd w:val="clear" w:color="auto" w:fill="auto"/>
          </w:tcPr>
          <w:p w:rsidR="00E460B1" w:rsidRPr="00D33B2A" w:rsidRDefault="00E460B1" w:rsidP="00E460B1">
            <w:pPr>
              <w:spacing w:before="40" w:after="40"/>
              <w:ind w:left="709" w:hanging="709"/>
              <w:jc w:val="both"/>
              <w:rPr>
                <w:rFonts w:ascii="Calibri" w:hAnsi="Calibri"/>
                <w:sz w:val="18"/>
                <w:szCs w:val="18"/>
              </w:rPr>
            </w:pPr>
            <w:r w:rsidRPr="00D33B2A">
              <w:rPr>
                <w:rFonts w:ascii="Calibri" w:hAnsi="Calibri"/>
                <w:b/>
                <w:color w:val="002060"/>
                <w:sz w:val="18"/>
                <w:szCs w:val="18"/>
              </w:rPr>
              <w:t>Transport – Fleet Management – Limited Assurance</w:t>
            </w:r>
          </w:p>
          <w:p w:rsidR="00E460B1" w:rsidRPr="00D33B2A" w:rsidRDefault="00E460B1" w:rsidP="00E460B1">
            <w:pPr>
              <w:spacing w:before="40" w:after="40"/>
              <w:rPr>
                <w:rFonts w:ascii="Calibri" w:hAnsi="Calibri"/>
                <w:b/>
                <w:color w:val="002060"/>
                <w:sz w:val="18"/>
                <w:szCs w:val="18"/>
              </w:rPr>
            </w:pPr>
            <w:r w:rsidRPr="00D33B2A">
              <w:rPr>
                <w:rFonts w:ascii="Calibri" w:eastAsia="Calibri" w:hAnsi="Calibri" w:cs="Times New Roman"/>
                <w:sz w:val="18"/>
                <w:szCs w:val="18"/>
              </w:rPr>
              <w:t>4 high, 5 medium, 5 low level management actions</w:t>
            </w:r>
          </w:p>
        </w:tc>
        <w:tc>
          <w:tcPr>
            <w:tcW w:w="1823" w:type="dxa"/>
            <w:shd w:val="clear" w:color="auto" w:fill="auto"/>
          </w:tcPr>
          <w:p w:rsidR="00E460B1" w:rsidRPr="00D33B2A" w:rsidRDefault="00E460B1" w:rsidP="00E460B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D33B2A">
              <w:rPr>
                <w:rFonts w:ascii="Calibri" w:eastAsia="Calibri" w:hAnsi="Calibri"/>
                <w:sz w:val="18"/>
                <w:szCs w:val="18"/>
              </w:rPr>
              <w:t>Executive Director Commercial and Financ</w:t>
            </w:r>
            <w:r>
              <w:rPr>
                <w:rFonts w:ascii="Calibri" w:eastAsia="Calibri" w:hAnsi="Calibri"/>
                <w:sz w:val="18"/>
                <w:szCs w:val="18"/>
              </w:rPr>
              <w:t>e</w:t>
            </w:r>
            <w:r w:rsidRPr="00D33B2A">
              <w:rPr>
                <w:rFonts w:ascii="Calibri" w:eastAsia="Calibri" w:hAnsi="Calibri"/>
                <w:sz w:val="18"/>
                <w:szCs w:val="18"/>
              </w:rPr>
              <w:t xml:space="preserve"> Services/</w:t>
            </w:r>
          </w:p>
          <w:p w:rsidR="00E460B1" w:rsidRPr="00D33B2A" w:rsidRDefault="00E460B1" w:rsidP="00E460B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D33B2A">
              <w:rPr>
                <w:rFonts w:ascii="Calibri" w:eastAsia="Calibri" w:hAnsi="Calibri"/>
                <w:sz w:val="18"/>
                <w:szCs w:val="18"/>
              </w:rPr>
              <w:t>Head of Joint Transport</w:t>
            </w:r>
          </w:p>
        </w:tc>
        <w:tc>
          <w:tcPr>
            <w:tcW w:w="2319" w:type="dxa"/>
          </w:tcPr>
          <w:p w:rsidR="00E460B1" w:rsidRPr="00D33B2A" w:rsidRDefault="00E460B1" w:rsidP="00E460B1">
            <w:pPr>
              <w:spacing w:before="40" w:after="40"/>
              <w:jc w:val="center"/>
              <w:rPr>
                <w:rFonts w:ascii="Calibri" w:hAnsi="Calibri"/>
                <w:sz w:val="18"/>
                <w:szCs w:val="18"/>
              </w:rPr>
            </w:pPr>
            <w:r w:rsidRPr="00D33B2A">
              <w:rPr>
                <w:rFonts w:ascii="Calibri" w:hAnsi="Calibri"/>
                <w:sz w:val="18"/>
                <w:szCs w:val="18"/>
              </w:rPr>
              <w:t>Complete</w:t>
            </w:r>
          </w:p>
        </w:tc>
      </w:tr>
      <w:tr w:rsidR="00E460B1" w:rsidRPr="0081221D" w:rsidTr="00C80C35">
        <w:trPr>
          <w:jc w:val="center"/>
        </w:trPr>
        <w:tc>
          <w:tcPr>
            <w:tcW w:w="709" w:type="dxa"/>
            <w:gridSpan w:val="2"/>
            <w:shd w:val="clear" w:color="auto" w:fill="auto"/>
          </w:tcPr>
          <w:p w:rsidR="00E460B1" w:rsidRPr="0087453B" w:rsidRDefault="00E460B1" w:rsidP="00E460B1">
            <w:pPr>
              <w:spacing w:before="40" w:after="40" w:line="259" w:lineRule="auto"/>
              <w:jc w:val="center"/>
              <w:rPr>
                <w:rFonts w:ascii="Calibri" w:eastAsia="Calibri" w:hAnsi="Calibri"/>
                <w:sz w:val="18"/>
                <w:szCs w:val="18"/>
                <w:highlight w:val="yellow"/>
              </w:rPr>
            </w:pPr>
          </w:p>
        </w:tc>
        <w:tc>
          <w:tcPr>
            <w:tcW w:w="6064" w:type="dxa"/>
            <w:shd w:val="clear" w:color="auto" w:fill="auto"/>
          </w:tcPr>
          <w:p w:rsidR="00E460B1" w:rsidRDefault="00E460B1" w:rsidP="00E460B1">
            <w:pPr>
              <w:spacing w:before="40" w:after="40"/>
              <w:ind w:left="709" w:hanging="709"/>
              <w:jc w:val="both"/>
              <w:rPr>
                <w:rFonts w:ascii="Calibri" w:eastAsia="Calibri" w:hAnsi="Calibri" w:cs="FS Lola"/>
                <w:b/>
                <w:color w:val="1F3864" w:themeColor="accent5" w:themeShade="80"/>
                <w:sz w:val="18"/>
                <w:szCs w:val="18"/>
                <w:lang w:eastAsia="en-GB"/>
              </w:rPr>
            </w:pPr>
            <w:r w:rsidRPr="004A190F">
              <w:rPr>
                <w:rFonts w:ascii="Calibri" w:eastAsia="Calibri" w:hAnsi="Calibri" w:cs="FS Lola"/>
                <w:b/>
                <w:color w:val="1F3864" w:themeColor="accent5" w:themeShade="80"/>
                <w:sz w:val="18"/>
                <w:szCs w:val="18"/>
                <w:lang w:eastAsia="en-GB"/>
              </w:rPr>
              <w:t>Pensions Administration &amp; Contract Management 2019/20 – Limited Assurance</w:t>
            </w:r>
          </w:p>
          <w:p w:rsidR="00E460B1" w:rsidRPr="00D33B2A" w:rsidRDefault="00E460B1" w:rsidP="00E460B1">
            <w:pPr>
              <w:spacing w:before="40" w:after="40"/>
              <w:rPr>
                <w:rFonts w:ascii="Calibri" w:hAnsi="Calibri"/>
                <w:b/>
                <w:color w:val="002060"/>
                <w:sz w:val="18"/>
                <w:szCs w:val="18"/>
              </w:rPr>
            </w:pPr>
            <w:r w:rsidRPr="00C5423F">
              <w:rPr>
                <w:rFonts w:ascii="Calibri" w:hAnsi="Calibri"/>
                <w:sz w:val="18"/>
                <w:szCs w:val="18"/>
              </w:rPr>
              <w:t>Actions to be confirmed</w:t>
            </w:r>
          </w:p>
        </w:tc>
        <w:tc>
          <w:tcPr>
            <w:tcW w:w="1823" w:type="dxa"/>
            <w:shd w:val="clear" w:color="auto" w:fill="auto"/>
          </w:tcPr>
          <w:p w:rsidR="00E460B1" w:rsidRPr="00D33B2A" w:rsidRDefault="00E460B1" w:rsidP="00E460B1">
            <w:pPr>
              <w:tabs>
                <w:tab w:val="left" w:pos="0"/>
              </w:tabs>
              <w:overflowPunct w:val="0"/>
              <w:autoSpaceDE w:val="0"/>
              <w:autoSpaceDN w:val="0"/>
              <w:adjustRightInd w:val="0"/>
              <w:spacing w:before="40" w:after="40"/>
              <w:textAlignment w:val="baseline"/>
              <w:rPr>
                <w:rFonts w:ascii="Calibri" w:eastAsia="Calibri" w:hAnsi="Calibri"/>
                <w:sz w:val="18"/>
                <w:szCs w:val="18"/>
              </w:rPr>
            </w:pPr>
            <w:r>
              <w:rPr>
                <w:rFonts w:ascii="Calibri" w:eastAsia="Calibri" w:hAnsi="Calibri"/>
                <w:sz w:val="18"/>
                <w:szCs w:val="18"/>
              </w:rPr>
              <w:t>Director of People Services</w:t>
            </w:r>
          </w:p>
        </w:tc>
        <w:tc>
          <w:tcPr>
            <w:tcW w:w="2319" w:type="dxa"/>
          </w:tcPr>
          <w:p w:rsidR="00E460B1" w:rsidRPr="00D33B2A" w:rsidRDefault="00E460B1" w:rsidP="00E460B1">
            <w:pPr>
              <w:spacing w:before="40" w:after="40"/>
              <w:jc w:val="center"/>
              <w:rPr>
                <w:rFonts w:ascii="Calibri" w:hAnsi="Calibri"/>
                <w:sz w:val="18"/>
                <w:szCs w:val="18"/>
              </w:rPr>
            </w:pPr>
            <w:r>
              <w:rPr>
                <w:rFonts w:ascii="Calibri" w:hAnsi="Calibri"/>
                <w:sz w:val="18"/>
                <w:szCs w:val="18"/>
              </w:rPr>
              <w:t>31.03.21</w:t>
            </w:r>
          </w:p>
        </w:tc>
      </w:tr>
      <w:tr w:rsidR="00E460B1" w:rsidRPr="0081221D" w:rsidTr="00C80C35">
        <w:trPr>
          <w:jc w:val="center"/>
        </w:trPr>
        <w:tc>
          <w:tcPr>
            <w:tcW w:w="709" w:type="dxa"/>
            <w:gridSpan w:val="2"/>
            <w:shd w:val="clear" w:color="auto" w:fill="auto"/>
          </w:tcPr>
          <w:p w:rsidR="00E460B1" w:rsidRPr="0087453B" w:rsidRDefault="00E460B1" w:rsidP="00E460B1">
            <w:pPr>
              <w:spacing w:before="40" w:after="40" w:line="259" w:lineRule="auto"/>
              <w:jc w:val="center"/>
              <w:rPr>
                <w:rFonts w:ascii="Calibri" w:eastAsia="Calibri" w:hAnsi="Calibri"/>
                <w:sz w:val="18"/>
                <w:szCs w:val="18"/>
                <w:highlight w:val="yellow"/>
              </w:rPr>
            </w:pPr>
          </w:p>
        </w:tc>
        <w:tc>
          <w:tcPr>
            <w:tcW w:w="6064" w:type="dxa"/>
            <w:shd w:val="clear" w:color="auto" w:fill="auto"/>
          </w:tcPr>
          <w:p w:rsidR="00E460B1" w:rsidRPr="005B35E6" w:rsidRDefault="00E460B1" w:rsidP="00E460B1">
            <w:pPr>
              <w:spacing w:before="40" w:after="40"/>
              <w:rPr>
                <w:rFonts w:ascii="Calibri" w:hAnsi="Calibri"/>
                <w:sz w:val="18"/>
                <w:szCs w:val="18"/>
              </w:rPr>
            </w:pPr>
            <w:r w:rsidRPr="005B35E6">
              <w:rPr>
                <w:rFonts w:ascii="Calibri" w:hAnsi="Calibri"/>
                <w:b/>
                <w:color w:val="002060"/>
                <w:sz w:val="18"/>
                <w:szCs w:val="18"/>
              </w:rPr>
              <w:t xml:space="preserve">IT – </w:t>
            </w:r>
            <w:r>
              <w:rPr>
                <w:rFonts w:ascii="Calibri" w:hAnsi="Calibri"/>
                <w:b/>
                <w:color w:val="002060"/>
                <w:sz w:val="18"/>
                <w:szCs w:val="18"/>
              </w:rPr>
              <w:t>Resource Management</w:t>
            </w:r>
            <w:r w:rsidRPr="005B35E6">
              <w:rPr>
                <w:rFonts w:ascii="Calibri" w:hAnsi="Calibri"/>
                <w:b/>
                <w:color w:val="002060"/>
                <w:sz w:val="18"/>
                <w:szCs w:val="18"/>
              </w:rPr>
              <w:t xml:space="preserve"> – Limited Assurance</w:t>
            </w:r>
          </w:p>
          <w:p w:rsidR="00E460B1" w:rsidRPr="00D33B2A" w:rsidRDefault="00E460B1" w:rsidP="00E460B1">
            <w:pPr>
              <w:spacing w:before="40" w:after="40"/>
              <w:rPr>
                <w:rFonts w:ascii="Calibri" w:hAnsi="Calibri"/>
                <w:b/>
                <w:color w:val="002060"/>
                <w:sz w:val="18"/>
                <w:szCs w:val="18"/>
              </w:rPr>
            </w:pPr>
            <w:r>
              <w:rPr>
                <w:rFonts w:ascii="Calibri" w:hAnsi="Calibri"/>
                <w:sz w:val="18"/>
                <w:szCs w:val="18"/>
              </w:rPr>
              <w:t>15</w:t>
            </w:r>
            <w:r w:rsidRPr="00366DB4">
              <w:rPr>
                <w:rFonts w:ascii="Calibri" w:hAnsi="Calibri"/>
                <w:sz w:val="18"/>
                <w:szCs w:val="18"/>
              </w:rPr>
              <w:t xml:space="preserve"> high, </w:t>
            </w:r>
            <w:r>
              <w:rPr>
                <w:rFonts w:ascii="Calibri" w:hAnsi="Calibri"/>
                <w:sz w:val="18"/>
                <w:szCs w:val="18"/>
              </w:rPr>
              <w:t>1</w:t>
            </w:r>
            <w:r w:rsidRPr="00366DB4">
              <w:rPr>
                <w:rFonts w:ascii="Calibri" w:hAnsi="Calibri"/>
                <w:sz w:val="18"/>
                <w:szCs w:val="18"/>
              </w:rPr>
              <w:t xml:space="preserve"> medium level management actions</w:t>
            </w:r>
          </w:p>
        </w:tc>
        <w:tc>
          <w:tcPr>
            <w:tcW w:w="1823" w:type="dxa"/>
            <w:shd w:val="clear" w:color="auto" w:fill="auto"/>
          </w:tcPr>
          <w:p w:rsidR="00E460B1" w:rsidRPr="00D33B2A" w:rsidRDefault="00E460B1" w:rsidP="00E460B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B35E6">
              <w:rPr>
                <w:rFonts w:ascii="Calibri" w:eastAsia="Calibri" w:hAnsi="Calibri"/>
                <w:sz w:val="18"/>
                <w:szCs w:val="18"/>
              </w:rPr>
              <w:t>Chief Digital and Information Officer</w:t>
            </w:r>
          </w:p>
        </w:tc>
        <w:tc>
          <w:tcPr>
            <w:tcW w:w="2319" w:type="dxa"/>
          </w:tcPr>
          <w:p w:rsidR="00E460B1" w:rsidRPr="00D33B2A" w:rsidRDefault="00E460B1" w:rsidP="00E460B1">
            <w:pPr>
              <w:spacing w:before="40" w:after="40"/>
              <w:jc w:val="center"/>
              <w:rPr>
                <w:rFonts w:ascii="Calibri" w:hAnsi="Calibri"/>
                <w:sz w:val="18"/>
                <w:szCs w:val="18"/>
              </w:rPr>
            </w:pPr>
            <w:r>
              <w:rPr>
                <w:rFonts w:ascii="Calibri" w:hAnsi="Calibri"/>
                <w:sz w:val="18"/>
                <w:szCs w:val="18"/>
              </w:rPr>
              <w:t>30.09.20</w:t>
            </w:r>
          </w:p>
        </w:tc>
      </w:tr>
      <w:tr w:rsidR="00763097" w:rsidRPr="0081221D" w:rsidTr="00C80C35">
        <w:trPr>
          <w:jc w:val="center"/>
        </w:trPr>
        <w:tc>
          <w:tcPr>
            <w:tcW w:w="709" w:type="dxa"/>
            <w:gridSpan w:val="2"/>
            <w:shd w:val="clear" w:color="auto" w:fill="auto"/>
          </w:tcPr>
          <w:p w:rsidR="00763097" w:rsidRPr="0087453B" w:rsidRDefault="00763097" w:rsidP="00C80C35">
            <w:pPr>
              <w:spacing w:before="40" w:after="40" w:line="259" w:lineRule="auto"/>
              <w:jc w:val="center"/>
              <w:rPr>
                <w:rFonts w:ascii="Calibri" w:eastAsia="Calibri" w:hAnsi="Calibri"/>
                <w:sz w:val="18"/>
                <w:szCs w:val="18"/>
                <w:highlight w:val="yellow"/>
              </w:rPr>
            </w:pPr>
          </w:p>
        </w:tc>
        <w:tc>
          <w:tcPr>
            <w:tcW w:w="6064" w:type="dxa"/>
            <w:shd w:val="clear" w:color="auto" w:fill="auto"/>
          </w:tcPr>
          <w:p w:rsidR="00763097" w:rsidRPr="00D33B2A" w:rsidRDefault="00763097" w:rsidP="00C80C35">
            <w:pPr>
              <w:spacing w:before="40" w:after="40"/>
              <w:rPr>
                <w:rFonts w:ascii="Calibri" w:hAnsi="Calibri"/>
                <w:sz w:val="18"/>
                <w:szCs w:val="18"/>
              </w:rPr>
            </w:pPr>
            <w:r w:rsidRPr="00D33B2A">
              <w:rPr>
                <w:rFonts w:ascii="Calibri" w:hAnsi="Calibri"/>
                <w:b/>
                <w:color w:val="002060"/>
                <w:sz w:val="18"/>
                <w:szCs w:val="18"/>
              </w:rPr>
              <w:t>IT – Data Centre Facilities &amp; Security – Limited Assurance</w:t>
            </w:r>
          </w:p>
          <w:p w:rsidR="00763097" w:rsidRPr="00D33B2A" w:rsidRDefault="00763097" w:rsidP="00C80C35">
            <w:pPr>
              <w:spacing w:before="40" w:after="40"/>
              <w:rPr>
                <w:rFonts w:ascii="Calibri" w:eastAsia="Calibri" w:hAnsi="Calibri" w:cs="Times New Roman"/>
                <w:sz w:val="18"/>
                <w:szCs w:val="18"/>
              </w:rPr>
            </w:pPr>
            <w:r w:rsidRPr="00D33B2A">
              <w:rPr>
                <w:rFonts w:ascii="Calibri" w:eastAsia="Calibri" w:hAnsi="Calibri" w:cs="Times New Roman"/>
                <w:sz w:val="18"/>
                <w:szCs w:val="18"/>
              </w:rPr>
              <w:t>2 high, 2 medium, 4 low level management actions</w:t>
            </w:r>
          </w:p>
        </w:tc>
        <w:tc>
          <w:tcPr>
            <w:tcW w:w="1823" w:type="dxa"/>
            <w:shd w:val="clear" w:color="auto" w:fill="auto"/>
          </w:tcPr>
          <w:p w:rsidR="00763097" w:rsidRPr="00D33B2A" w:rsidRDefault="00763097" w:rsidP="00C80C35">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D33B2A">
              <w:rPr>
                <w:rFonts w:ascii="Calibri" w:eastAsia="Calibri" w:hAnsi="Calibri"/>
                <w:sz w:val="18"/>
                <w:szCs w:val="18"/>
              </w:rPr>
              <w:t>Chief Digital and Information Officer</w:t>
            </w:r>
            <w:r w:rsidRPr="00D33B2A" w:rsidDel="0031071F">
              <w:rPr>
                <w:rFonts w:ascii="Calibri" w:eastAsia="Calibri" w:hAnsi="Calibri"/>
                <w:sz w:val="18"/>
                <w:szCs w:val="18"/>
              </w:rPr>
              <w:t xml:space="preserve"> </w:t>
            </w:r>
          </w:p>
        </w:tc>
        <w:tc>
          <w:tcPr>
            <w:tcW w:w="2319" w:type="dxa"/>
          </w:tcPr>
          <w:p w:rsidR="00763097" w:rsidRPr="00D33B2A" w:rsidRDefault="00763097" w:rsidP="00C80C35">
            <w:pPr>
              <w:spacing w:before="40" w:after="40"/>
              <w:jc w:val="center"/>
              <w:rPr>
                <w:rFonts w:ascii="Calibri" w:hAnsi="Calibri"/>
                <w:sz w:val="18"/>
                <w:szCs w:val="18"/>
              </w:rPr>
            </w:pPr>
            <w:r w:rsidRPr="00D33B2A">
              <w:rPr>
                <w:rFonts w:ascii="Calibri" w:hAnsi="Calibri"/>
                <w:sz w:val="18"/>
                <w:szCs w:val="18"/>
              </w:rPr>
              <w:t>31.10.20</w:t>
            </w:r>
          </w:p>
        </w:tc>
      </w:tr>
      <w:tr w:rsidR="00763097" w:rsidRPr="0081221D" w:rsidTr="00C80C35">
        <w:trPr>
          <w:jc w:val="center"/>
        </w:trPr>
        <w:tc>
          <w:tcPr>
            <w:tcW w:w="709" w:type="dxa"/>
            <w:gridSpan w:val="2"/>
            <w:shd w:val="clear" w:color="auto" w:fill="auto"/>
          </w:tcPr>
          <w:p w:rsidR="00763097" w:rsidRPr="0087453B" w:rsidRDefault="00763097" w:rsidP="00C80C35">
            <w:pPr>
              <w:spacing w:before="40" w:after="40" w:line="259" w:lineRule="auto"/>
              <w:jc w:val="center"/>
              <w:rPr>
                <w:rFonts w:ascii="Calibri" w:eastAsia="Calibri" w:hAnsi="Calibri"/>
                <w:sz w:val="18"/>
                <w:szCs w:val="18"/>
                <w:highlight w:val="yellow"/>
              </w:rPr>
            </w:pPr>
          </w:p>
        </w:tc>
        <w:tc>
          <w:tcPr>
            <w:tcW w:w="6064" w:type="dxa"/>
            <w:shd w:val="clear" w:color="auto" w:fill="auto"/>
          </w:tcPr>
          <w:p w:rsidR="00763097" w:rsidRPr="00D33B2A" w:rsidRDefault="00763097" w:rsidP="00C80C35">
            <w:pPr>
              <w:spacing w:before="40" w:after="40"/>
              <w:rPr>
                <w:rFonts w:ascii="Calibri" w:hAnsi="Calibri"/>
                <w:sz w:val="18"/>
                <w:szCs w:val="18"/>
              </w:rPr>
            </w:pPr>
            <w:r w:rsidRPr="00D33B2A">
              <w:rPr>
                <w:rFonts w:ascii="Calibri" w:hAnsi="Calibri"/>
                <w:b/>
                <w:color w:val="002060"/>
                <w:sz w:val="18"/>
                <w:szCs w:val="18"/>
              </w:rPr>
              <w:t>IT – Data Storage and Backup – Limited Assurance</w:t>
            </w:r>
          </w:p>
          <w:p w:rsidR="00763097" w:rsidRPr="00D33B2A" w:rsidRDefault="00763097" w:rsidP="00C80C35">
            <w:pPr>
              <w:spacing w:before="40" w:after="40"/>
              <w:rPr>
                <w:rFonts w:ascii="Calibri" w:eastAsia="Calibri" w:hAnsi="Calibri" w:cs="Times New Roman"/>
                <w:sz w:val="18"/>
                <w:szCs w:val="18"/>
              </w:rPr>
            </w:pPr>
            <w:r w:rsidRPr="00D33B2A">
              <w:rPr>
                <w:rFonts w:ascii="Calibri" w:eastAsia="Calibri" w:hAnsi="Calibri" w:cs="Times New Roman"/>
                <w:sz w:val="18"/>
                <w:szCs w:val="18"/>
              </w:rPr>
              <w:t>4 high, 6 medium, 1 low level management actions</w:t>
            </w:r>
          </w:p>
        </w:tc>
        <w:tc>
          <w:tcPr>
            <w:tcW w:w="1823" w:type="dxa"/>
            <w:shd w:val="clear" w:color="auto" w:fill="auto"/>
          </w:tcPr>
          <w:p w:rsidR="00763097" w:rsidRPr="00D33B2A" w:rsidRDefault="00763097" w:rsidP="00C80C35">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D33B2A">
              <w:rPr>
                <w:rFonts w:ascii="Calibri" w:eastAsia="Calibri" w:hAnsi="Calibri"/>
                <w:sz w:val="18"/>
                <w:szCs w:val="18"/>
              </w:rPr>
              <w:t>Chief Digital and Information Officer</w:t>
            </w:r>
            <w:r w:rsidRPr="00D33B2A" w:rsidDel="0031071F">
              <w:rPr>
                <w:rFonts w:ascii="Calibri" w:eastAsia="Calibri" w:hAnsi="Calibri"/>
                <w:sz w:val="18"/>
                <w:szCs w:val="18"/>
              </w:rPr>
              <w:t xml:space="preserve"> </w:t>
            </w:r>
          </w:p>
        </w:tc>
        <w:tc>
          <w:tcPr>
            <w:tcW w:w="2319" w:type="dxa"/>
          </w:tcPr>
          <w:p w:rsidR="00763097" w:rsidRPr="00D33B2A" w:rsidRDefault="00763097" w:rsidP="00C80C35">
            <w:pPr>
              <w:spacing w:before="40" w:after="40"/>
              <w:jc w:val="center"/>
              <w:rPr>
                <w:rFonts w:ascii="Calibri" w:hAnsi="Calibri"/>
                <w:sz w:val="18"/>
                <w:szCs w:val="18"/>
              </w:rPr>
            </w:pPr>
            <w:r w:rsidRPr="00D33B2A">
              <w:rPr>
                <w:rFonts w:ascii="Calibri" w:hAnsi="Calibri"/>
                <w:sz w:val="18"/>
                <w:szCs w:val="18"/>
              </w:rPr>
              <w:t>20.11.20</w:t>
            </w:r>
          </w:p>
        </w:tc>
      </w:tr>
      <w:tr w:rsidR="00763097" w:rsidRPr="0081221D" w:rsidTr="00C80C35">
        <w:trPr>
          <w:jc w:val="center"/>
        </w:trPr>
        <w:tc>
          <w:tcPr>
            <w:tcW w:w="709" w:type="dxa"/>
            <w:gridSpan w:val="2"/>
            <w:shd w:val="clear" w:color="auto" w:fill="auto"/>
          </w:tcPr>
          <w:p w:rsidR="00763097" w:rsidRPr="0087453B" w:rsidRDefault="00763097" w:rsidP="00C80C35">
            <w:pPr>
              <w:spacing w:before="40" w:after="40" w:line="259" w:lineRule="auto"/>
              <w:jc w:val="center"/>
              <w:rPr>
                <w:rFonts w:ascii="Calibri" w:eastAsia="Calibri" w:hAnsi="Calibri"/>
                <w:sz w:val="18"/>
                <w:szCs w:val="18"/>
                <w:highlight w:val="yellow"/>
              </w:rPr>
            </w:pPr>
          </w:p>
        </w:tc>
        <w:tc>
          <w:tcPr>
            <w:tcW w:w="6064" w:type="dxa"/>
            <w:shd w:val="clear" w:color="auto" w:fill="auto"/>
          </w:tcPr>
          <w:p w:rsidR="00763097" w:rsidRPr="00D33B2A" w:rsidRDefault="00763097" w:rsidP="00C80C35">
            <w:pPr>
              <w:spacing w:before="40" w:after="40"/>
              <w:rPr>
                <w:rFonts w:ascii="Calibri" w:hAnsi="Calibri"/>
                <w:sz w:val="18"/>
                <w:szCs w:val="18"/>
              </w:rPr>
            </w:pPr>
            <w:r w:rsidRPr="00D33B2A">
              <w:rPr>
                <w:rFonts w:ascii="Calibri" w:hAnsi="Calibri"/>
                <w:b/>
                <w:color w:val="002060"/>
                <w:sz w:val="18"/>
                <w:szCs w:val="18"/>
              </w:rPr>
              <w:t>IT – Capacity and Performance Monitoring – Limited Assurance</w:t>
            </w:r>
          </w:p>
          <w:p w:rsidR="00763097" w:rsidRPr="00D33B2A" w:rsidRDefault="00763097" w:rsidP="00C80C35">
            <w:pPr>
              <w:spacing w:before="40" w:after="40"/>
              <w:rPr>
                <w:rFonts w:ascii="Calibri" w:eastAsia="Calibri" w:hAnsi="Calibri" w:cs="Times New Roman"/>
                <w:color w:val="FF0000"/>
                <w:sz w:val="18"/>
                <w:szCs w:val="18"/>
              </w:rPr>
            </w:pPr>
            <w:r w:rsidRPr="00D33B2A">
              <w:rPr>
                <w:rFonts w:ascii="Calibri" w:eastAsia="Calibri" w:hAnsi="Calibri" w:cs="Times New Roman"/>
                <w:sz w:val="18"/>
                <w:szCs w:val="18"/>
              </w:rPr>
              <w:t>1 high, 4 medium, 2 low level management actions</w:t>
            </w:r>
          </w:p>
        </w:tc>
        <w:tc>
          <w:tcPr>
            <w:tcW w:w="1823" w:type="dxa"/>
            <w:shd w:val="clear" w:color="auto" w:fill="auto"/>
          </w:tcPr>
          <w:p w:rsidR="00763097" w:rsidRPr="00D33B2A" w:rsidRDefault="00763097" w:rsidP="00C80C35">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D33B2A">
              <w:rPr>
                <w:rFonts w:ascii="Calibri" w:eastAsia="Calibri" w:hAnsi="Calibri"/>
                <w:sz w:val="18"/>
                <w:szCs w:val="18"/>
              </w:rPr>
              <w:t>Chief Digital and Information Officer</w:t>
            </w:r>
            <w:r w:rsidRPr="00D33B2A" w:rsidDel="0031071F">
              <w:rPr>
                <w:rFonts w:ascii="Calibri" w:eastAsia="Calibri" w:hAnsi="Calibri"/>
                <w:sz w:val="18"/>
                <w:szCs w:val="18"/>
              </w:rPr>
              <w:t xml:space="preserve"> </w:t>
            </w:r>
          </w:p>
        </w:tc>
        <w:tc>
          <w:tcPr>
            <w:tcW w:w="2319" w:type="dxa"/>
          </w:tcPr>
          <w:p w:rsidR="00763097" w:rsidRPr="00D33B2A" w:rsidRDefault="00763097" w:rsidP="00C80C35">
            <w:pPr>
              <w:spacing w:before="40" w:after="40"/>
              <w:jc w:val="center"/>
              <w:rPr>
                <w:rFonts w:ascii="Calibri" w:hAnsi="Calibri"/>
                <w:sz w:val="18"/>
                <w:szCs w:val="18"/>
              </w:rPr>
            </w:pPr>
            <w:r w:rsidRPr="00D33B2A">
              <w:rPr>
                <w:rFonts w:ascii="Calibri" w:hAnsi="Calibri"/>
                <w:sz w:val="18"/>
                <w:szCs w:val="18"/>
              </w:rPr>
              <w:t>31.03.21</w:t>
            </w:r>
          </w:p>
        </w:tc>
      </w:tr>
      <w:tr w:rsidR="00287B41" w:rsidRPr="0081221D" w:rsidTr="00C80C35">
        <w:trPr>
          <w:jc w:val="center"/>
        </w:trPr>
        <w:tc>
          <w:tcPr>
            <w:tcW w:w="709" w:type="dxa"/>
            <w:gridSpan w:val="2"/>
            <w:shd w:val="clear" w:color="auto" w:fill="auto"/>
          </w:tcPr>
          <w:p w:rsidR="00287B41" w:rsidRPr="0087453B" w:rsidRDefault="00287B41" w:rsidP="00287B41">
            <w:pPr>
              <w:spacing w:before="40" w:after="40" w:line="259" w:lineRule="auto"/>
              <w:jc w:val="center"/>
              <w:rPr>
                <w:rFonts w:ascii="Calibri" w:eastAsia="Calibri" w:hAnsi="Calibri"/>
                <w:sz w:val="18"/>
                <w:szCs w:val="18"/>
                <w:highlight w:val="yellow"/>
              </w:rPr>
            </w:pPr>
          </w:p>
        </w:tc>
        <w:tc>
          <w:tcPr>
            <w:tcW w:w="6064" w:type="dxa"/>
            <w:shd w:val="clear" w:color="auto" w:fill="auto"/>
          </w:tcPr>
          <w:p w:rsidR="00287B41" w:rsidRPr="00D33B2A" w:rsidRDefault="00287B41" w:rsidP="00287B41">
            <w:pPr>
              <w:spacing w:before="40" w:after="40"/>
              <w:rPr>
                <w:rFonts w:ascii="Calibri" w:hAnsi="Calibri"/>
                <w:sz w:val="18"/>
                <w:szCs w:val="18"/>
              </w:rPr>
            </w:pPr>
            <w:r w:rsidRPr="00D33B2A">
              <w:rPr>
                <w:rFonts w:ascii="Calibri" w:hAnsi="Calibri"/>
                <w:b/>
                <w:color w:val="002060"/>
                <w:sz w:val="18"/>
                <w:szCs w:val="18"/>
              </w:rPr>
              <w:t>IT – C</w:t>
            </w:r>
            <w:r>
              <w:rPr>
                <w:rFonts w:ascii="Calibri" w:hAnsi="Calibri"/>
                <w:b/>
                <w:color w:val="002060"/>
                <w:sz w:val="18"/>
                <w:szCs w:val="18"/>
              </w:rPr>
              <w:t>ommercial Unit</w:t>
            </w:r>
            <w:r w:rsidRPr="00D33B2A">
              <w:rPr>
                <w:rFonts w:ascii="Calibri" w:hAnsi="Calibri"/>
                <w:b/>
                <w:color w:val="002060"/>
                <w:sz w:val="18"/>
                <w:szCs w:val="18"/>
              </w:rPr>
              <w:t xml:space="preserve"> – Limited Assurance</w:t>
            </w:r>
          </w:p>
          <w:p w:rsidR="00287B41" w:rsidRPr="00D33B2A" w:rsidRDefault="00287B41">
            <w:pPr>
              <w:spacing w:before="40" w:after="40"/>
              <w:rPr>
                <w:rFonts w:ascii="Calibri" w:hAnsi="Calibri"/>
                <w:b/>
                <w:color w:val="002060"/>
                <w:sz w:val="18"/>
                <w:szCs w:val="18"/>
              </w:rPr>
            </w:pPr>
            <w:r>
              <w:rPr>
                <w:rFonts w:ascii="Calibri" w:eastAsia="Calibri" w:hAnsi="Calibri" w:cs="Times New Roman"/>
                <w:sz w:val="18"/>
                <w:szCs w:val="18"/>
              </w:rPr>
              <w:t>8</w:t>
            </w:r>
            <w:r w:rsidRPr="00D33B2A">
              <w:rPr>
                <w:rFonts w:ascii="Calibri" w:eastAsia="Calibri" w:hAnsi="Calibri" w:cs="Times New Roman"/>
                <w:sz w:val="18"/>
                <w:szCs w:val="18"/>
              </w:rPr>
              <w:t xml:space="preserve"> high, </w:t>
            </w:r>
            <w:r>
              <w:rPr>
                <w:rFonts w:ascii="Calibri" w:eastAsia="Calibri" w:hAnsi="Calibri" w:cs="Times New Roman"/>
                <w:sz w:val="18"/>
                <w:szCs w:val="18"/>
              </w:rPr>
              <w:t>6</w:t>
            </w:r>
            <w:r w:rsidRPr="00D33B2A">
              <w:rPr>
                <w:rFonts w:ascii="Calibri" w:eastAsia="Calibri" w:hAnsi="Calibri" w:cs="Times New Roman"/>
                <w:sz w:val="18"/>
                <w:szCs w:val="18"/>
              </w:rPr>
              <w:t xml:space="preserve"> medium</w:t>
            </w:r>
            <w:r>
              <w:rPr>
                <w:rFonts w:ascii="Calibri" w:eastAsia="Calibri" w:hAnsi="Calibri" w:cs="Times New Roman"/>
                <w:sz w:val="18"/>
                <w:szCs w:val="18"/>
              </w:rPr>
              <w:t xml:space="preserve"> </w:t>
            </w:r>
            <w:r w:rsidRPr="00D33B2A">
              <w:rPr>
                <w:rFonts w:ascii="Calibri" w:eastAsia="Calibri" w:hAnsi="Calibri" w:cs="Times New Roman"/>
                <w:sz w:val="18"/>
                <w:szCs w:val="18"/>
              </w:rPr>
              <w:t>level management actions</w:t>
            </w:r>
          </w:p>
        </w:tc>
        <w:tc>
          <w:tcPr>
            <w:tcW w:w="1823" w:type="dxa"/>
            <w:shd w:val="clear" w:color="auto" w:fill="auto"/>
          </w:tcPr>
          <w:p w:rsidR="00287B41" w:rsidRPr="00D33B2A"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D33B2A">
              <w:rPr>
                <w:rFonts w:ascii="Calibri" w:eastAsia="Calibri" w:hAnsi="Calibri"/>
                <w:sz w:val="18"/>
                <w:szCs w:val="18"/>
              </w:rPr>
              <w:t>Chief Digital and Information Officer</w:t>
            </w:r>
            <w:r w:rsidRPr="00D33B2A" w:rsidDel="0031071F">
              <w:rPr>
                <w:rFonts w:ascii="Calibri" w:eastAsia="Calibri" w:hAnsi="Calibri"/>
                <w:sz w:val="18"/>
                <w:szCs w:val="18"/>
              </w:rPr>
              <w:t xml:space="preserve"> </w:t>
            </w:r>
          </w:p>
        </w:tc>
        <w:tc>
          <w:tcPr>
            <w:tcW w:w="2319" w:type="dxa"/>
          </w:tcPr>
          <w:p w:rsidR="00287B41" w:rsidRPr="00D33B2A" w:rsidRDefault="00287B41">
            <w:pPr>
              <w:spacing w:before="40" w:after="40"/>
              <w:jc w:val="center"/>
              <w:rPr>
                <w:rFonts w:ascii="Calibri" w:hAnsi="Calibri"/>
                <w:sz w:val="18"/>
                <w:szCs w:val="18"/>
              </w:rPr>
            </w:pPr>
            <w:r w:rsidRPr="00D33B2A">
              <w:rPr>
                <w:rFonts w:ascii="Calibri" w:hAnsi="Calibri"/>
                <w:sz w:val="18"/>
                <w:szCs w:val="18"/>
              </w:rPr>
              <w:t>31.</w:t>
            </w:r>
            <w:r>
              <w:rPr>
                <w:rFonts w:ascii="Calibri" w:hAnsi="Calibri"/>
                <w:sz w:val="18"/>
                <w:szCs w:val="18"/>
              </w:rPr>
              <w:t>12</w:t>
            </w:r>
            <w:r w:rsidRPr="00D33B2A">
              <w:rPr>
                <w:rFonts w:ascii="Calibri" w:hAnsi="Calibri"/>
                <w:sz w:val="18"/>
                <w:szCs w:val="18"/>
              </w:rPr>
              <w:t>.2</w:t>
            </w:r>
            <w:r>
              <w:rPr>
                <w:rFonts w:ascii="Calibri" w:hAnsi="Calibri"/>
                <w:sz w:val="18"/>
                <w:szCs w:val="18"/>
              </w:rPr>
              <w:t>0</w:t>
            </w:r>
          </w:p>
        </w:tc>
      </w:tr>
      <w:tr w:rsidR="00287B41" w:rsidRPr="0081221D" w:rsidTr="00C80C35">
        <w:trPr>
          <w:jc w:val="center"/>
        </w:trPr>
        <w:tc>
          <w:tcPr>
            <w:tcW w:w="709" w:type="dxa"/>
            <w:gridSpan w:val="2"/>
            <w:shd w:val="clear" w:color="auto" w:fill="auto"/>
          </w:tcPr>
          <w:p w:rsidR="00287B41" w:rsidRPr="0087453B" w:rsidRDefault="00287B41" w:rsidP="00287B41">
            <w:pPr>
              <w:spacing w:before="40" w:after="40" w:line="259" w:lineRule="auto"/>
              <w:jc w:val="center"/>
              <w:rPr>
                <w:rFonts w:ascii="Calibri" w:eastAsia="Calibri" w:hAnsi="Calibri"/>
                <w:sz w:val="18"/>
                <w:szCs w:val="18"/>
                <w:highlight w:val="yellow"/>
              </w:rPr>
            </w:pPr>
          </w:p>
        </w:tc>
        <w:tc>
          <w:tcPr>
            <w:tcW w:w="6064" w:type="dxa"/>
            <w:shd w:val="clear" w:color="auto" w:fill="auto"/>
          </w:tcPr>
          <w:p w:rsidR="00287B41" w:rsidRDefault="00287B41" w:rsidP="00A200D5">
            <w:pPr>
              <w:spacing w:before="40" w:after="40"/>
              <w:rPr>
                <w:rFonts w:ascii="Calibri" w:hAnsi="Calibri"/>
                <w:b/>
                <w:color w:val="002060"/>
                <w:sz w:val="18"/>
                <w:szCs w:val="18"/>
              </w:rPr>
            </w:pPr>
            <w:r>
              <w:rPr>
                <w:rFonts w:ascii="Calibri" w:hAnsi="Calibri"/>
                <w:b/>
                <w:color w:val="002060"/>
                <w:sz w:val="18"/>
                <w:szCs w:val="18"/>
              </w:rPr>
              <w:t xml:space="preserve">IT- Cyber Security </w:t>
            </w:r>
            <w:r w:rsidRPr="00D33B2A">
              <w:rPr>
                <w:rFonts w:ascii="Calibri" w:hAnsi="Calibri"/>
                <w:b/>
                <w:color w:val="002060"/>
                <w:sz w:val="18"/>
                <w:szCs w:val="18"/>
              </w:rPr>
              <w:t>– Limited Assurance</w:t>
            </w:r>
          </w:p>
          <w:p w:rsidR="00287B41" w:rsidRPr="00A200D5" w:rsidRDefault="00287B41" w:rsidP="00A200D5">
            <w:pPr>
              <w:spacing w:before="40" w:after="40"/>
              <w:rPr>
                <w:rFonts w:ascii="Calibri" w:hAnsi="Calibri"/>
                <w:sz w:val="18"/>
                <w:szCs w:val="18"/>
              </w:rPr>
            </w:pPr>
            <w:r w:rsidRPr="00A200D5">
              <w:rPr>
                <w:rFonts w:ascii="Calibri" w:hAnsi="Calibri"/>
                <w:sz w:val="18"/>
                <w:szCs w:val="18"/>
              </w:rPr>
              <w:t xml:space="preserve">N.B.: Network Security &amp; Access Controls (Limited Assurance); Cyber Security (Adequate) </w:t>
            </w:r>
          </w:p>
          <w:p w:rsidR="00287B41" w:rsidRPr="00D33B2A" w:rsidRDefault="00287B41">
            <w:pPr>
              <w:spacing w:before="40" w:after="40"/>
              <w:rPr>
                <w:rFonts w:ascii="Calibri" w:hAnsi="Calibri"/>
                <w:b/>
                <w:color w:val="002060"/>
                <w:sz w:val="18"/>
                <w:szCs w:val="18"/>
              </w:rPr>
            </w:pPr>
            <w:r w:rsidRPr="00A200D5">
              <w:rPr>
                <w:rFonts w:ascii="Calibri" w:hAnsi="Calibri"/>
                <w:sz w:val="18"/>
                <w:szCs w:val="18"/>
              </w:rPr>
              <w:t>5 medium level management actions</w:t>
            </w:r>
          </w:p>
        </w:tc>
        <w:tc>
          <w:tcPr>
            <w:tcW w:w="1823" w:type="dxa"/>
            <w:shd w:val="clear" w:color="auto" w:fill="auto"/>
          </w:tcPr>
          <w:p w:rsidR="00287B41" w:rsidRPr="00D33B2A"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D33B2A">
              <w:rPr>
                <w:rFonts w:ascii="Calibri" w:eastAsia="Calibri" w:hAnsi="Calibri"/>
                <w:sz w:val="18"/>
                <w:szCs w:val="18"/>
              </w:rPr>
              <w:t>Chief Digital and Information Officer</w:t>
            </w:r>
            <w:r w:rsidRPr="00D33B2A" w:rsidDel="0031071F">
              <w:rPr>
                <w:rFonts w:ascii="Calibri" w:eastAsia="Calibri" w:hAnsi="Calibri"/>
                <w:sz w:val="18"/>
                <w:szCs w:val="18"/>
              </w:rPr>
              <w:t xml:space="preserve"> </w:t>
            </w:r>
          </w:p>
        </w:tc>
        <w:tc>
          <w:tcPr>
            <w:tcW w:w="2319" w:type="dxa"/>
          </w:tcPr>
          <w:p w:rsidR="00287B41" w:rsidRPr="00D33B2A" w:rsidRDefault="00287B41" w:rsidP="00287B41">
            <w:pPr>
              <w:spacing w:before="40" w:after="40"/>
              <w:jc w:val="center"/>
              <w:rPr>
                <w:rFonts w:ascii="Calibri" w:hAnsi="Calibri"/>
                <w:sz w:val="18"/>
                <w:szCs w:val="18"/>
              </w:rPr>
            </w:pPr>
            <w:r w:rsidRPr="00D33B2A">
              <w:rPr>
                <w:rFonts w:ascii="Calibri" w:hAnsi="Calibri"/>
                <w:sz w:val="18"/>
                <w:szCs w:val="18"/>
              </w:rPr>
              <w:t>31.03.21</w:t>
            </w:r>
          </w:p>
        </w:tc>
      </w:tr>
      <w:tr w:rsidR="00287B41" w:rsidRPr="0081221D" w:rsidTr="00C80C35">
        <w:trPr>
          <w:jc w:val="center"/>
        </w:trPr>
        <w:tc>
          <w:tcPr>
            <w:tcW w:w="709" w:type="dxa"/>
            <w:gridSpan w:val="2"/>
            <w:shd w:val="clear" w:color="auto" w:fill="auto"/>
          </w:tcPr>
          <w:p w:rsidR="00287B41" w:rsidRPr="0087453B" w:rsidRDefault="00287B41" w:rsidP="00287B41">
            <w:pPr>
              <w:spacing w:before="40" w:after="40" w:line="259" w:lineRule="auto"/>
              <w:jc w:val="center"/>
              <w:rPr>
                <w:rFonts w:ascii="Calibri" w:eastAsia="Calibri" w:hAnsi="Calibri"/>
                <w:sz w:val="18"/>
                <w:szCs w:val="18"/>
                <w:highlight w:val="yellow"/>
              </w:rPr>
            </w:pPr>
          </w:p>
        </w:tc>
        <w:tc>
          <w:tcPr>
            <w:tcW w:w="6064" w:type="dxa"/>
            <w:shd w:val="clear" w:color="auto" w:fill="auto"/>
          </w:tcPr>
          <w:p w:rsidR="00287B41" w:rsidRDefault="00287B41" w:rsidP="00287B41">
            <w:pPr>
              <w:autoSpaceDE w:val="0"/>
              <w:autoSpaceDN w:val="0"/>
              <w:adjustRightInd w:val="0"/>
              <w:spacing w:before="40" w:after="40"/>
              <w:ind w:left="-74"/>
              <w:rPr>
                <w:rFonts w:ascii="Calibri" w:hAnsi="Calibri"/>
                <w:b/>
                <w:color w:val="002060"/>
                <w:sz w:val="18"/>
                <w:szCs w:val="18"/>
              </w:rPr>
            </w:pPr>
            <w:r>
              <w:rPr>
                <w:rFonts w:ascii="Calibri" w:hAnsi="Calibri"/>
                <w:b/>
                <w:color w:val="002060"/>
                <w:sz w:val="18"/>
                <w:szCs w:val="18"/>
              </w:rPr>
              <w:t>IT- Application Management</w:t>
            </w:r>
          </w:p>
          <w:p w:rsidR="00287B41" w:rsidRPr="00287B41" w:rsidRDefault="00287B41" w:rsidP="00287B41">
            <w:pPr>
              <w:spacing w:before="40" w:after="40"/>
              <w:rPr>
                <w:rFonts w:ascii="Calibri" w:hAnsi="Calibri"/>
                <w:b/>
                <w:color w:val="002060"/>
                <w:sz w:val="18"/>
                <w:szCs w:val="18"/>
              </w:rPr>
            </w:pPr>
            <w:r w:rsidRPr="00A200D5">
              <w:rPr>
                <w:rFonts w:ascii="Calibri" w:eastAsia="Calibri" w:hAnsi="Calibri" w:cs="Times New Roman"/>
                <w:sz w:val="18"/>
                <w:szCs w:val="18"/>
              </w:rPr>
              <w:t>1 high, 2 medium level management actions</w:t>
            </w:r>
          </w:p>
        </w:tc>
        <w:tc>
          <w:tcPr>
            <w:tcW w:w="1823" w:type="dxa"/>
            <w:shd w:val="clear" w:color="auto" w:fill="auto"/>
          </w:tcPr>
          <w:p w:rsidR="00287B41" w:rsidRPr="00D33B2A"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D33B2A">
              <w:rPr>
                <w:rFonts w:ascii="Calibri" w:eastAsia="Calibri" w:hAnsi="Calibri"/>
                <w:sz w:val="18"/>
                <w:szCs w:val="18"/>
              </w:rPr>
              <w:t>Chief Digital and Information Officer</w:t>
            </w:r>
            <w:r w:rsidRPr="00D33B2A" w:rsidDel="0031071F">
              <w:rPr>
                <w:rFonts w:ascii="Calibri" w:eastAsia="Calibri" w:hAnsi="Calibri"/>
                <w:sz w:val="18"/>
                <w:szCs w:val="18"/>
              </w:rPr>
              <w:t xml:space="preserve"> </w:t>
            </w:r>
          </w:p>
        </w:tc>
        <w:tc>
          <w:tcPr>
            <w:tcW w:w="2319" w:type="dxa"/>
          </w:tcPr>
          <w:p w:rsidR="00287B41" w:rsidRPr="00D33B2A" w:rsidRDefault="00287B41" w:rsidP="00287B41">
            <w:pPr>
              <w:spacing w:before="40" w:after="40"/>
              <w:jc w:val="center"/>
              <w:rPr>
                <w:rFonts w:ascii="Calibri" w:hAnsi="Calibri"/>
                <w:sz w:val="18"/>
                <w:szCs w:val="18"/>
              </w:rPr>
            </w:pPr>
            <w:r>
              <w:rPr>
                <w:rFonts w:ascii="Calibri" w:hAnsi="Calibri"/>
                <w:sz w:val="18"/>
                <w:szCs w:val="18"/>
              </w:rPr>
              <w:t>27.11.20</w:t>
            </w:r>
          </w:p>
        </w:tc>
      </w:tr>
      <w:tr w:rsidR="00287B41" w:rsidRPr="0081221D" w:rsidTr="00C80C35">
        <w:trPr>
          <w:jc w:val="center"/>
        </w:trPr>
        <w:tc>
          <w:tcPr>
            <w:tcW w:w="8596" w:type="dxa"/>
            <w:gridSpan w:val="4"/>
            <w:shd w:val="clear" w:color="auto" w:fill="BDD6EE"/>
          </w:tcPr>
          <w:p w:rsidR="00287B41" w:rsidRPr="00CB2BF2" w:rsidRDefault="00287B41" w:rsidP="00287B41">
            <w:pPr>
              <w:spacing w:before="40" w:after="40"/>
              <w:rPr>
                <w:rFonts w:ascii="Calibri" w:eastAsia="Calibri" w:hAnsi="Calibri"/>
                <w:caps/>
                <w:color w:val="000000"/>
                <w:sz w:val="18"/>
                <w:szCs w:val="18"/>
              </w:rPr>
            </w:pPr>
            <w:r w:rsidRPr="00CB2BF2">
              <w:rPr>
                <w:rFonts w:ascii="Calibri" w:eastAsia="Calibri" w:hAnsi="Calibri"/>
                <w:b/>
                <w:caps/>
              </w:rPr>
              <w:t>Proposed new Areas of improvement identified by force for 2020-21 AGS action plan</w:t>
            </w:r>
          </w:p>
        </w:tc>
        <w:tc>
          <w:tcPr>
            <w:tcW w:w="2319" w:type="dxa"/>
            <w:shd w:val="clear" w:color="auto" w:fill="BDD6EE"/>
          </w:tcPr>
          <w:p w:rsidR="00287B41" w:rsidRPr="00CB2BF2" w:rsidRDefault="00287B41" w:rsidP="00287B41">
            <w:pPr>
              <w:spacing w:before="40" w:after="40"/>
              <w:rPr>
                <w:rFonts w:ascii="Calibri" w:eastAsia="Calibri" w:hAnsi="Calibri"/>
                <w:b/>
              </w:rPr>
            </w:pPr>
          </w:p>
        </w:tc>
      </w:tr>
      <w:tr w:rsidR="00287B41" w:rsidRPr="0081221D" w:rsidTr="00C80C35">
        <w:trPr>
          <w:jc w:val="center"/>
        </w:trPr>
        <w:tc>
          <w:tcPr>
            <w:tcW w:w="709" w:type="dxa"/>
            <w:gridSpan w:val="2"/>
            <w:shd w:val="clear" w:color="auto" w:fill="auto"/>
          </w:tcPr>
          <w:p w:rsidR="00287B41" w:rsidRPr="00CB2BF2" w:rsidRDefault="00287B41" w:rsidP="00287B41">
            <w:pPr>
              <w:spacing w:before="40" w:after="40" w:line="259" w:lineRule="auto"/>
              <w:jc w:val="center"/>
              <w:rPr>
                <w:rFonts w:ascii="Calibri" w:eastAsia="Calibri" w:hAnsi="Calibri"/>
                <w:color w:val="333333"/>
                <w:sz w:val="18"/>
                <w:szCs w:val="18"/>
              </w:rPr>
            </w:pPr>
          </w:p>
        </w:tc>
        <w:tc>
          <w:tcPr>
            <w:tcW w:w="6064" w:type="dxa"/>
            <w:shd w:val="clear" w:color="auto" w:fill="auto"/>
          </w:tcPr>
          <w:p w:rsidR="00287B41" w:rsidRPr="00CB2BF2" w:rsidRDefault="00287B41" w:rsidP="00287B41">
            <w:pPr>
              <w:spacing w:before="40" w:after="40"/>
              <w:rPr>
                <w:rFonts w:ascii="Calibri" w:eastAsia="Calibri" w:hAnsi="Calibri" w:cs="Times New Roman"/>
                <w:b/>
                <w:color w:val="002060"/>
                <w:sz w:val="18"/>
                <w:szCs w:val="18"/>
              </w:rPr>
            </w:pPr>
            <w:r w:rsidRPr="00CB2BF2">
              <w:rPr>
                <w:rFonts w:ascii="Calibri" w:eastAsia="Calibri" w:hAnsi="Calibri" w:cs="Times New Roman"/>
                <w:b/>
                <w:color w:val="002060"/>
                <w:sz w:val="18"/>
                <w:szCs w:val="18"/>
              </w:rPr>
              <w:t>Information Commissioner’s Office guidance regarding publication of information</w:t>
            </w:r>
          </w:p>
          <w:p w:rsidR="00287B41" w:rsidRPr="00CB2BF2" w:rsidRDefault="00287B41" w:rsidP="00287B41">
            <w:pPr>
              <w:autoSpaceDE w:val="0"/>
              <w:autoSpaceDN w:val="0"/>
              <w:adjustRightInd w:val="0"/>
              <w:spacing w:before="40" w:after="40"/>
              <w:rPr>
                <w:rFonts w:ascii="Calibri" w:eastAsia="Calibri" w:hAnsi="Calibri"/>
                <w:b/>
                <w:sz w:val="18"/>
                <w:szCs w:val="18"/>
                <w:lang w:eastAsia="en-GB"/>
              </w:rPr>
            </w:pPr>
            <w:r w:rsidRPr="00CB2BF2">
              <w:rPr>
                <w:rFonts w:ascii="Calibri" w:eastAsia="Calibri" w:hAnsi="Calibri" w:cs="Times New Roman"/>
                <w:sz w:val="18"/>
                <w:szCs w:val="18"/>
              </w:rPr>
              <w:t>Ensure force information published on Single On-line Home is compliant with ICO requirements</w:t>
            </w:r>
          </w:p>
        </w:tc>
        <w:tc>
          <w:tcPr>
            <w:tcW w:w="1823" w:type="dxa"/>
            <w:shd w:val="clear" w:color="auto" w:fill="auto"/>
          </w:tcPr>
          <w:p w:rsidR="00287B41" w:rsidRPr="00CB2BF2"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CB2BF2">
              <w:rPr>
                <w:rFonts w:ascii="Calibri" w:eastAsia="Calibri" w:hAnsi="Calibri"/>
                <w:sz w:val="18"/>
                <w:szCs w:val="18"/>
              </w:rPr>
              <w:t>Chief Digital and Information Officer</w:t>
            </w:r>
            <w:r w:rsidRPr="00CB2BF2" w:rsidDel="0031071F">
              <w:rPr>
                <w:rFonts w:ascii="Calibri" w:eastAsia="Calibri" w:hAnsi="Calibri"/>
                <w:sz w:val="18"/>
                <w:szCs w:val="18"/>
              </w:rPr>
              <w:t xml:space="preserve"> </w:t>
            </w:r>
            <w:r w:rsidRPr="00CB2BF2">
              <w:rPr>
                <w:rFonts w:ascii="Calibri" w:eastAsia="Calibri" w:hAnsi="Calibri"/>
                <w:sz w:val="18"/>
                <w:szCs w:val="18"/>
              </w:rPr>
              <w:t>/</w:t>
            </w:r>
          </w:p>
          <w:p w:rsidR="00287B41" w:rsidRPr="00CB2BF2" w:rsidRDefault="00287B41" w:rsidP="00287B41">
            <w:pPr>
              <w:spacing w:before="40" w:after="40"/>
              <w:rPr>
                <w:rFonts w:ascii="Calibri" w:eastAsia="Calibri" w:hAnsi="Calibri"/>
                <w:color w:val="000000"/>
                <w:sz w:val="18"/>
                <w:szCs w:val="18"/>
              </w:rPr>
            </w:pPr>
            <w:r w:rsidRPr="00CB2BF2">
              <w:rPr>
                <w:rFonts w:ascii="Calibri" w:eastAsia="Calibri" w:hAnsi="Calibri"/>
                <w:sz w:val="18"/>
                <w:szCs w:val="18"/>
              </w:rPr>
              <w:t>Force Information Manager</w:t>
            </w:r>
          </w:p>
        </w:tc>
        <w:tc>
          <w:tcPr>
            <w:tcW w:w="2319" w:type="dxa"/>
          </w:tcPr>
          <w:p w:rsidR="00287B41" w:rsidRPr="00CB2BF2" w:rsidRDefault="00287B41" w:rsidP="00A200D5">
            <w:pPr>
              <w:spacing w:before="40" w:after="40" w:line="254" w:lineRule="auto"/>
              <w:jc w:val="center"/>
              <w:rPr>
                <w:rFonts w:ascii="Calibri" w:hAnsi="Calibri"/>
                <w:sz w:val="18"/>
                <w:szCs w:val="18"/>
              </w:rPr>
            </w:pPr>
            <w:r w:rsidRPr="00CB2BF2">
              <w:rPr>
                <w:rFonts w:ascii="Calibri" w:hAnsi="Calibri"/>
                <w:sz w:val="18"/>
                <w:szCs w:val="18"/>
              </w:rPr>
              <w:t>30.09.20</w:t>
            </w:r>
          </w:p>
        </w:tc>
      </w:tr>
      <w:tr w:rsidR="00287B41" w:rsidRPr="0081221D" w:rsidTr="00C80C35">
        <w:trPr>
          <w:jc w:val="center"/>
        </w:trPr>
        <w:tc>
          <w:tcPr>
            <w:tcW w:w="709" w:type="dxa"/>
            <w:gridSpan w:val="2"/>
            <w:shd w:val="clear" w:color="auto" w:fill="auto"/>
          </w:tcPr>
          <w:p w:rsidR="00287B41" w:rsidRPr="0087453B" w:rsidRDefault="00287B41" w:rsidP="00287B41">
            <w:pPr>
              <w:spacing w:before="40" w:after="40" w:line="259" w:lineRule="auto"/>
              <w:jc w:val="center"/>
              <w:rPr>
                <w:rFonts w:ascii="Calibri" w:eastAsia="Calibri" w:hAnsi="Calibri"/>
                <w:color w:val="333333"/>
                <w:sz w:val="18"/>
                <w:szCs w:val="18"/>
                <w:highlight w:val="yellow"/>
              </w:rPr>
            </w:pPr>
          </w:p>
        </w:tc>
        <w:tc>
          <w:tcPr>
            <w:tcW w:w="6064" w:type="dxa"/>
            <w:shd w:val="clear" w:color="auto" w:fill="auto"/>
          </w:tcPr>
          <w:p w:rsidR="00287B41" w:rsidRPr="00CB2BF2" w:rsidRDefault="00287B41" w:rsidP="00287B41">
            <w:pPr>
              <w:spacing w:before="60" w:after="60" w:line="259" w:lineRule="auto"/>
              <w:rPr>
                <w:rFonts w:ascii="Calibri" w:eastAsia="Calibri" w:hAnsi="Calibri" w:cs="Times New Roman"/>
                <w:b/>
                <w:color w:val="002060"/>
                <w:sz w:val="18"/>
                <w:szCs w:val="18"/>
              </w:rPr>
            </w:pPr>
            <w:r w:rsidRPr="00CB2BF2">
              <w:rPr>
                <w:rFonts w:ascii="Calibri" w:eastAsia="Calibri" w:hAnsi="Calibri" w:cs="Times New Roman"/>
                <w:b/>
                <w:color w:val="002060"/>
                <w:sz w:val="18"/>
                <w:szCs w:val="18"/>
              </w:rPr>
              <w:t>Information Sharing Agreements</w:t>
            </w:r>
          </w:p>
          <w:p w:rsidR="00287B41" w:rsidRPr="00D33B2A" w:rsidRDefault="00287B41" w:rsidP="00287B41">
            <w:pPr>
              <w:autoSpaceDE w:val="0"/>
              <w:autoSpaceDN w:val="0"/>
              <w:adjustRightInd w:val="0"/>
              <w:spacing w:before="40" w:after="40"/>
              <w:rPr>
                <w:rFonts w:ascii="Calibri" w:eastAsia="Calibri" w:hAnsi="Calibri" w:cs="FS Lola"/>
                <w:sz w:val="18"/>
                <w:szCs w:val="18"/>
                <w:lang w:eastAsia="en-GB"/>
              </w:rPr>
            </w:pPr>
            <w:r w:rsidRPr="00CB2BF2">
              <w:rPr>
                <w:rFonts w:ascii="Calibri" w:eastAsia="Calibri" w:hAnsi="Calibri" w:cs="Times New Roman"/>
                <w:sz w:val="18"/>
                <w:szCs w:val="18"/>
              </w:rPr>
              <w:t>Process to be introduced to ensure ISAs are kept up to date</w:t>
            </w:r>
            <w:r w:rsidRPr="00CB2BF2">
              <w:rPr>
                <w:rFonts w:ascii="Calibri" w:eastAsia="Calibri" w:hAnsi="Calibri" w:cs="FS Lola"/>
                <w:sz w:val="18"/>
                <w:szCs w:val="18"/>
                <w:lang w:eastAsia="en-GB"/>
              </w:rPr>
              <w:t xml:space="preserve"> within the resource envelope of the In</w:t>
            </w:r>
            <w:r>
              <w:rPr>
                <w:rFonts w:ascii="Calibri" w:eastAsia="Calibri" w:hAnsi="Calibri" w:cs="FS Lola"/>
                <w:sz w:val="18"/>
                <w:szCs w:val="18"/>
                <w:lang w:eastAsia="en-GB"/>
              </w:rPr>
              <w:t>formation Management department.</w:t>
            </w:r>
          </w:p>
        </w:tc>
        <w:tc>
          <w:tcPr>
            <w:tcW w:w="1823" w:type="dxa"/>
            <w:shd w:val="clear" w:color="auto" w:fill="auto"/>
          </w:tcPr>
          <w:p w:rsidR="00287B41" w:rsidRPr="00CB2BF2"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CB2BF2">
              <w:rPr>
                <w:rFonts w:ascii="Calibri" w:eastAsia="Calibri" w:hAnsi="Calibri"/>
                <w:sz w:val="18"/>
                <w:szCs w:val="18"/>
              </w:rPr>
              <w:t>Chief Digital and Information Officer</w:t>
            </w:r>
            <w:r w:rsidRPr="00CB2BF2" w:rsidDel="0031071F">
              <w:rPr>
                <w:rFonts w:ascii="Calibri" w:eastAsia="Calibri" w:hAnsi="Calibri"/>
                <w:sz w:val="18"/>
                <w:szCs w:val="18"/>
              </w:rPr>
              <w:t xml:space="preserve"> </w:t>
            </w:r>
            <w:r w:rsidRPr="00CB2BF2">
              <w:rPr>
                <w:rFonts w:ascii="Calibri" w:eastAsia="Calibri" w:hAnsi="Calibri"/>
                <w:sz w:val="18"/>
                <w:szCs w:val="18"/>
              </w:rPr>
              <w:t>/</w:t>
            </w:r>
          </w:p>
          <w:p w:rsidR="00287B41" w:rsidRPr="00CB2BF2" w:rsidRDefault="00287B41" w:rsidP="00287B41">
            <w:pPr>
              <w:spacing w:before="40" w:after="40"/>
              <w:rPr>
                <w:rFonts w:ascii="Calibri" w:eastAsia="Calibri" w:hAnsi="Calibri"/>
                <w:color w:val="000000"/>
                <w:sz w:val="18"/>
                <w:szCs w:val="18"/>
              </w:rPr>
            </w:pPr>
            <w:r w:rsidRPr="00CB2BF2">
              <w:rPr>
                <w:rFonts w:ascii="Calibri" w:eastAsia="Calibri" w:hAnsi="Calibri"/>
                <w:sz w:val="18"/>
                <w:szCs w:val="18"/>
              </w:rPr>
              <w:t>Force Information Manager</w:t>
            </w:r>
          </w:p>
        </w:tc>
        <w:tc>
          <w:tcPr>
            <w:tcW w:w="2319" w:type="dxa"/>
          </w:tcPr>
          <w:p w:rsidR="00287B41" w:rsidRPr="00CB2BF2" w:rsidRDefault="00287B41" w:rsidP="00A200D5">
            <w:pPr>
              <w:spacing w:before="40" w:after="40"/>
              <w:jc w:val="center"/>
              <w:rPr>
                <w:rFonts w:ascii="Calibri" w:eastAsia="Calibri" w:hAnsi="Calibri"/>
                <w:sz w:val="18"/>
                <w:szCs w:val="18"/>
              </w:rPr>
            </w:pPr>
            <w:r w:rsidRPr="00CB2BF2">
              <w:rPr>
                <w:rFonts w:ascii="Calibri" w:eastAsia="Calibri" w:hAnsi="Calibri"/>
                <w:sz w:val="18"/>
                <w:szCs w:val="18"/>
              </w:rPr>
              <w:t>30.09.20</w:t>
            </w:r>
          </w:p>
        </w:tc>
      </w:tr>
      <w:tr w:rsidR="00287B41" w:rsidRPr="0081221D" w:rsidTr="00C80C35">
        <w:trPr>
          <w:jc w:val="center"/>
        </w:trPr>
        <w:tc>
          <w:tcPr>
            <w:tcW w:w="709" w:type="dxa"/>
            <w:gridSpan w:val="2"/>
            <w:shd w:val="clear" w:color="auto" w:fill="auto"/>
          </w:tcPr>
          <w:p w:rsidR="00287B41" w:rsidRPr="00CB2BF2" w:rsidRDefault="00287B41" w:rsidP="00287B41">
            <w:pPr>
              <w:spacing w:before="40" w:after="40" w:line="259" w:lineRule="auto"/>
              <w:jc w:val="center"/>
              <w:rPr>
                <w:rFonts w:ascii="Calibri" w:eastAsia="Calibri" w:hAnsi="Calibri"/>
                <w:color w:val="333333"/>
                <w:sz w:val="18"/>
                <w:szCs w:val="18"/>
              </w:rPr>
            </w:pPr>
          </w:p>
        </w:tc>
        <w:tc>
          <w:tcPr>
            <w:tcW w:w="6064" w:type="dxa"/>
            <w:shd w:val="clear" w:color="auto" w:fill="auto"/>
          </w:tcPr>
          <w:p w:rsidR="00287B41" w:rsidRPr="00CB2BF2" w:rsidRDefault="00287B41" w:rsidP="00287B41">
            <w:pPr>
              <w:spacing w:before="40" w:after="40"/>
              <w:rPr>
                <w:rFonts w:ascii="Calibri" w:eastAsia="Calibri" w:hAnsi="Calibri" w:cs="Times New Roman"/>
                <w:b/>
                <w:color w:val="002060"/>
                <w:sz w:val="18"/>
                <w:szCs w:val="18"/>
              </w:rPr>
            </w:pPr>
            <w:r w:rsidRPr="00CB2BF2">
              <w:rPr>
                <w:rFonts w:ascii="Calibri" w:eastAsia="Calibri" w:hAnsi="Calibri" w:cs="Times New Roman"/>
                <w:b/>
                <w:color w:val="002060"/>
                <w:sz w:val="18"/>
                <w:szCs w:val="18"/>
              </w:rPr>
              <w:t>Risk assurance mapping:</w:t>
            </w:r>
          </w:p>
          <w:p w:rsidR="00287B41" w:rsidRPr="00D33B2A" w:rsidRDefault="00287B41" w:rsidP="00287B41">
            <w:pPr>
              <w:spacing w:before="40" w:after="40"/>
              <w:rPr>
                <w:rFonts w:ascii="Calibri" w:eastAsia="Calibri" w:hAnsi="Calibri" w:cs="Times New Roman"/>
                <w:sz w:val="18"/>
                <w:szCs w:val="18"/>
              </w:rPr>
            </w:pPr>
            <w:r w:rsidRPr="00CB2BF2">
              <w:rPr>
                <w:rFonts w:ascii="Calibri" w:eastAsia="Calibri" w:hAnsi="Calibri" w:cs="Times New Roman"/>
                <w:sz w:val="18"/>
                <w:szCs w:val="18"/>
              </w:rPr>
              <w:t>As proposed by Karen Shaw, Deputy Head of Southern Internal Audit Partnership – risk assurance mapping exercise to be undertaken in relation to strategic force risks building on from work undertaken re action 14 above in relation to mapping corporate governance arrangements.</w:t>
            </w:r>
          </w:p>
        </w:tc>
        <w:tc>
          <w:tcPr>
            <w:tcW w:w="1823" w:type="dxa"/>
            <w:shd w:val="clear" w:color="auto" w:fill="auto"/>
          </w:tcPr>
          <w:p w:rsidR="00287B41" w:rsidRPr="00CB2BF2"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CB2BF2">
              <w:rPr>
                <w:rFonts w:ascii="Calibri" w:eastAsia="Calibri" w:hAnsi="Calibri"/>
                <w:sz w:val="18"/>
                <w:szCs w:val="18"/>
              </w:rPr>
              <w:t>Executive Director Commercial and Financial Services/</w:t>
            </w:r>
          </w:p>
          <w:p w:rsidR="00287B41" w:rsidRPr="00CB2BF2" w:rsidRDefault="00287B41" w:rsidP="00287B41">
            <w:pPr>
              <w:spacing w:before="40" w:after="40"/>
              <w:rPr>
                <w:rFonts w:ascii="Calibri" w:eastAsia="Calibri" w:hAnsi="Calibri"/>
                <w:color w:val="000000"/>
                <w:sz w:val="18"/>
                <w:szCs w:val="18"/>
              </w:rPr>
            </w:pPr>
            <w:r w:rsidRPr="00CB2BF2">
              <w:rPr>
                <w:rFonts w:ascii="Calibri" w:eastAsia="Calibri" w:hAnsi="Calibri"/>
                <w:sz w:val="18"/>
                <w:szCs w:val="18"/>
              </w:rPr>
              <w:t>Risk Manager</w:t>
            </w:r>
          </w:p>
        </w:tc>
        <w:tc>
          <w:tcPr>
            <w:tcW w:w="2319" w:type="dxa"/>
          </w:tcPr>
          <w:p w:rsidR="00287B41" w:rsidRPr="00CB2BF2" w:rsidRDefault="00287B41" w:rsidP="00A200D5">
            <w:pPr>
              <w:spacing w:before="40" w:after="40"/>
              <w:jc w:val="center"/>
              <w:rPr>
                <w:rFonts w:ascii="Calibri" w:eastAsia="Calibri" w:hAnsi="Calibri"/>
                <w:sz w:val="18"/>
                <w:szCs w:val="18"/>
              </w:rPr>
            </w:pPr>
            <w:r w:rsidRPr="00CB2BF2">
              <w:rPr>
                <w:rFonts w:ascii="Calibri" w:eastAsia="Calibri" w:hAnsi="Calibri"/>
                <w:sz w:val="18"/>
                <w:szCs w:val="18"/>
              </w:rPr>
              <w:t>02.09. 20 report to ORB</w:t>
            </w:r>
          </w:p>
        </w:tc>
      </w:tr>
      <w:tr w:rsidR="00287B41" w:rsidRPr="0081221D" w:rsidTr="00C80C35">
        <w:trPr>
          <w:jc w:val="center"/>
        </w:trPr>
        <w:tc>
          <w:tcPr>
            <w:tcW w:w="709" w:type="dxa"/>
            <w:gridSpan w:val="2"/>
            <w:shd w:val="clear" w:color="auto" w:fill="auto"/>
          </w:tcPr>
          <w:p w:rsidR="00287B41" w:rsidRPr="005F3A78" w:rsidRDefault="00287B41" w:rsidP="00287B41">
            <w:pPr>
              <w:spacing w:before="40" w:after="40" w:line="259" w:lineRule="auto"/>
              <w:jc w:val="center"/>
              <w:rPr>
                <w:rFonts w:ascii="Calibri" w:eastAsia="Calibri" w:hAnsi="Calibri"/>
                <w:color w:val="333333"/>
                <w:sz w:val="18"/>
                <w:szCs w:val="18"/>
              </w:rPr>
            </w:pPr>
          </w:p>
        </w:tc>
        <w:tc>
          <w:tcPr>
            <w:tcW w:w="6064" w:type="dxa"/>
            <w:shd w:val="clear" w:color="auto" w:fill="auto"/>
          </w:tcPr>
          <w:p w:rsidR="00287B41" w:rsidRPr="005F3A78" w:rsidRDefault="00287B41" w:rsidP="00287B41">
            <w:pPr>
              <w:spacing w:before="40" w:after="40"/>
              <w:rPr>
                <w:rFonts w:ascii="Calibri" w:eastAsia="Calibri" w:hAnsi="Calibri" w:cs="Times New Roman"/>
                <w:b/>
                <w:color w:val="002060"/>
                <w:sz w:val="18"/>
                <w:szCs w:val="18"/>
              </w:rPr>
            </w:pPr>
            <w:r w:rsidRPr="005F3A78">
              <w:rPr>
                <w:rFonts w:ascii="Calibri" w:eastAsia="Calibri" w:hAnsi="Calibri" w:cs="Times New Roman"/>
                <w:b/>
                <w:color w:val="002060"/>
                <w:sz w:val="18"/>
                <w:szCs w:val="18"/>
              </w:rPr>
              <w:t>Covid-19</w:t>
            </w:r>
          </w:p>
          <w:p w:rsidR="00287B41" w:rsidRPr="005F3A78" w:rsidRDefault="00287B41" w:rsidP="00287B41">
            <w:pPr>
              <w:spacing w:before="40" w:after="40"/>
              <w:rPr>
                <w:rFonts w:ascii="Calibri" w:eastAsia="Calibri" w:hAnsi="Calibri" w:cs="Times New Roman"/>
                <w:sz w:val="18"/>
                <w:szCs w:val="18"/>
              </w:rPr>
            </w:pPr>
            <w:r w:rsidRPr="005F3A78">
              <w:rPr>
                <w:rFonts w:ascii="Calibri" w:eastAsia="Calibri" w:hAnsi="Calibri" w:cs="Times New Roman"/>
                <w:sz w:val="18"/>
                <w:szCs w:val="18"/>
              </w:rPr>
              <w:t xml:space="preserve">Keep under review the impact of Covid-19 issues on </w:t>
            </w:r>
            <w:r>
              <w:rPr>
                <w:rFonts w:ascii="Calibri" w:eastAsia="Calibri" w:hAnsi="Calibri" w:cs="Times New Roman"/>
                <w:sz w:val="18"/>
                <w:szCs w:val="18"/>
              </w:rPr>
              <w:t>Surrey</w:t>
            </w:r>
            <w:r w:rsidRPr="005F3A78">
              <w:rPr>
                <w:rFonts w:ascii="Calibri" w:eastAsia="Calibri" w:hAnsi="Calibri" w:cs="Times New Roman"/>
                <w:sz w:val="18"/>
                <w:szCs w:val="18"/>
              </w:rPr>
              <w:t xml:space="preserve"> Police and consider any governance issues arising.</w:t>
            </w:r>
          </w:p>
        </w:tc>
        <w:tc>
          <w:tcPr>
            <w:tcW w:w="1823" w:type="dxa"/>
            <w:shd w:val="clear" w:color="auto" w:fill="auto"/>
          </w:tcPr>
          <w:p w:rsidR="00287B41"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F3A78">
              <w:rPr>
                <w:rFonts w:ascii="Calibri" w:eastAsia="Calibri" w:hAnsi="Calibri"/>
                <w:sz w:val="18"/>
                <w:szCs w:val="18"/>
              </w:rPr>
              <w:t xml:space="preserve">Deputy Chief Constable / </w:t>
            </w:r>
          </w:p>
          <w:p w:rsidR="00287B41" w:rsidRPr="005F3A78"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F3A78">
              <w:rPr>
                <w:rFonts w:ascii="Calibri" w:eastAsia="Calibri" w:hAnsi="Calibri"/>
                <w:sz w:val="18"/>
                <w:szCs w:val="18"/>
              </w:rPr>
              <w:t>Executive Director of Commercial and Finance Services</w:t>
            </w:r>
          </w:p>
        </w:tc>
        <w:tc>
          <w:tcPr>
            <w:tcW w:w="2319" w:type="dxa"/>
          </w:tcPr>
          <w:p w:rsidR="00287B41" w:rsidRPr="005F3A78" w:rsidRDefault="00287B41" w:rsidP="00A200D5">
            <w:pPr>
              <w:spacing w:before="40" w:after="40"/>
              <w:jc w:val="center"/>
              <w:rPr>
                <w:rFonts w:ascii="Calibri" w:eastAsia="Calibri" w:hAnsi="Calibri"/>
                <w:sz w:val="18"/>
                <w:szCs w:val="18"/>
              </w:rPr>
            </w:pPr>
            <w:r>
              <w:rPr>
                <w:rFonts w:ascii="Calibri" w:eastAsia="Calibri" w:hAnsi="Calibri"/>
                <w:sz w:val="18"/>
                <w:szCs w:val="18"/>
              </w:rPr>
              <w:t>31.03.21</w:t>
            </w:r>
          </w:p>
        </w:tc>
      </w:tr>
      <w:tr w:rsidR="00287B41" w:rsidRPr="0081221D" w:rsidTr="00C80C35">
        <w:trPr>
          <w:jc w:val="center"/>
        </w:trPr>
        <w:tc>
          <w:tcPr>
            <w:tcW w:w="709" w:type="dxa"/>
            <w:gridSpan w:val="2"/>
            <w:shd w:val="clear" w:color="auto" w:fill="auto"/>
          </w:tcPr>
          <w:p w:rsidR="00287B41" w:rsidRPr="005F3A78" w:rsidRDefault="00287B41" w:rsidP="00287B41">
            <w:pPr>
              <w:spacing w:before="40" w:after="40" w:line="259" w:lineRule="auto"/>
              <w:jc w:val="center"/>
              <w:rPr>
                <w:rFonts w:ascii="Calibri" w:eastAsia="Calibri" w:hAnsi="Calibri"/>
                <w:color w:val="333333"/>
                <w:sz w:val="18"/>
                <w:szCs w:val="18"/>
              </w:rPr>
            </w:pPr>
          </w:p>
        </w:tc>
        <w:tc>
          <w:tcPr>
            <w:tcW w:w="6064" w:type="dxa"/>
            <w:shd w:val="clear" w:color="auto" w:fill="auto"/>
          </w:tcPr>
          <w:p w:rsidR="00287B41" w:rsidRPr="005F3A78" w:rsidRDefault="00287B41" w:rsidP="00287B41">
            <w:pPr>
              <w:spacing w:before="40" w:after="40"/>
              <w:rPr>
                <w:rFonts w:ascii="Calibri" w:eastAsia="Calibri" w:hAnsi="Calibri" w:cs="Times New Roman"/>
                <w:b/>
                <w:color w:val="002060"/>
                <w:sz w:val="18"/>
                <w:szCs w:val="18"/>
              </w:rPr>
            </w:pPr>
            <w:r w:rsidRPr="005F3A78">
              <w:rPr>
                <w:rFonts w:ascii="Calibri" w:eastAsia="Calibri" w:hAnsi="Calibri" w:cs="Times New Roman"/>
                <w:b/>
                <w:color w:val="002060"/>
                <w:sz w:val="18"/>
                <w:szCs w:val="18"/>
              </w:rPr>
              <w:t>Covid-19</w:t>
            </w:r>
          </w:p>
          <w:p w:rsidR="00287B41" w:rsidRPr="005F3A78" w:rsidRDefault="00287B41" w:rsidP="00287B41">
            <w:pPr>
              <w:spacing w:before="40" w:after="40"/>
              <w:rPr>
                <w:rFonts w:ascii="Calibri" w:eastAsia="Calibri" w:hAnsi="Calibri" w:cs="Times New Roman"/>
                <w:b/>
                <w:color w:val="002060"/>
                <w:sz w:val="18"/>
                <w:szCs w:val="18"/>
              </w:rPr>
            </w:pPr>
            <w:r w:rsidRPr="005F3A78">
              <w:rPr>
                <w:rFonts w:ascii="Calibri" w:eastAsia="Calibri" w:hAnsi="Calibri" w:cs="Times New Roman"/>
                <w:sz w:val="18"/>
                <w:szCs w:val="18"/>
              </w:rPr>
              <w:t>Undertake a lessons learned review from the Covid-19 response.</w:t>
            </w:r>
          </w:p>
        </w:tc>
        <w:tc>
          <w:tcPr>
            <w:tcW w:w="1823" w:type="dxa"/>
            <w:shd w:val="clear" w:color="auto" w:fill="auto"/>
          </w:tcPr>
          <w:p w:rsidR="00287B41"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F3A78">
              <w:rPr>
                <w:rFonts w:ascii="Calibri" w:eastAsia="Calibri" w:hAnsi="Calibri"/>
                <w:sz w:val="18"/>
                <w:szCs w:val="18"/>
              </w:rPr>
              <w:t xml:space="preserve">Deputy Chief Constable / </w:t>
            </w:r>
          </w:p>
          <w:p w:rsidR="00287B41" w:rsidRPr="005F3A78" w:rsidRDefault="00287B41" w:rsidP="00287B41">
            <w:pPr>
              <w:tabs>
                <w:tab w:val="left" w:pos="0"/>
              </w:tabs>
              <w:overflowPunct w:val="0"/>
              <w:autoSpaceDE w:val="0"/>
              <w:autoSpaceDN w:val="0"/>
              <w:adjustRightInd w:val="0"/>
              <w:spacing w:before="40" w:after="40"/>
              <w:textAlignment w:val="baseline"/>
              <w:rPr>
                <w:rFonts w:ascii="Calibri" w:eastAsia="Calibri" w:hAnsi="Calibri"/>
                <w:sz w:val="18"/>
                <w:szCs w:val="18"/>
              </w:rPr>
            </w:pPr>
            <w:r w:rsidRPr="005F3A78">
              <w:rPr>
                <w:rFonts w:ascii="Calibri" w:eastAsia="Calibri" w:hAnsi="Calibri"/>
                <w:sz w:val="18"/>
                <w:szCs w:val="18"/>
              </w:rPr>
              <w:t>Executive Director of Commercial and Finance Services</w:t>
            </w:r>
          </w:p>
        </w:tc>
        <w:tc>
          <w:tcPr>
            <w:tcW w:w="2319" w:type="dxa"/>
          </w:tcPr>
          <w:p w:rsidR="00287B41" w:rsidRPr="005F3A78" w:rsidRDefault="00287B41" w:rsidP="00A200D5">
            <w:pPr>
              <w:spacing w:before="40" w:after="40"/>
              <w:jc w:val="center"/>
              <w:rPr>
                <w:rFonts w:ascii="Calibri" w:eastAsia="Calibri" w:hAnsi="Calibri"/>
                <w:sz w:val="18"/>
                <w:szCs w:val="18"/>
              </w:rPr>
            </w:pPr>
            <w:r>
              <w:rPr>
                <w:rFonts w:ascii="Calibri" w:eastAsia="Calibri" w:hAnsi="Calibri"/>
                <w:sz w:val="18"/>
                <w:szCs w:val="18"/>
              </w:rPr>
              <w:t>31.03.21</w:t>
            </w:r>
          </w:p>
        </w:tc>
      </w:tr>
    </w:tbl>
    <w:p w:rsidR="00763097" w:rsidRDefault="00763097" w:rsidP="00763097">
      <w:pPr>
        <w:pStyle w:val="NormalWeb1"/>
        <w:rPr>
          <w:rFonts w:ascii="Calibri" w:hAnsi="Calibri" w:cs="Arial"/>
          <w:b/>
        </w:rPr>
      </w:pPr>
    </w:p>
    <w:p w:rsidR="006F4F0F" w:rsidRDefault="006F4F0F" w:rsidP="000D6EF8"/>
    <w:p w:rsidR="006F4F0F" w:rsidRDefault="006F4F0F" w:rsidP="000D6EF8"/>
    <w:p w:rsidR="00763097" w:rsidRDefault="00763097" w:rsidP="000D6EF8"/>
    <w:p w:rsidR="00763097" w:rsidRDefault="00763097" w:rsidP="000D6EF8"/>
    <w:p w:rsidR="00763097" w:rsidRDefault="00763097" w:rsidP="000D6EF8"/>
    <w:p w:rsidR="00763097" w:rsidRDefault="00763097" w:rsidP="000D6EF8"/>
    <w:p w:rsidR="00763097" w:rsidRDefault="00763097" w:rsidP="000D6EF8"/>
    <w:p w:rsidR="00763097" w:rsidRDefault="00763097" w:rsidP="000D6EF8"/>
    <w:p w:rsidR="006F4F0F" w:rsidRDefault="006F4F0F" w:rsidP="000D6EF8">
      <w:pPr>
        <w:pStyle w:val="NormalWeb1"/>
      </w:pPr>
    </w:p>
    <w:p w:rsidR="006F4F0F" w:rsidRDefault="006F4F0F" w:rsidP="000D6EF8">
      <w:pPr>
        <w:pStyle w:val="NormalWeb1"/>
      </w:pPr>
    </w:p>
    <w:p w:rsidR="006F4F0F" w:rsidRDefault="006F4F0F" w:rsidP="000D6EF8">
      <w:pPr>
        <w:pStyle w:val="NormalWeb1"/>
      </w:pPr>
    </w:p>
    <w:p w:rsidR="006F4F0F" w:rsidRDefault="006F4F0F" w:rsidP="000D6EF8">
      <w:pPr>
        <w:pStyle w:val="NormalWeb1"/>
      </w:pPr>
    </w:p>
    <w:p w:rsidR="006F4F0F" w:rsidRDefault="006F4F0F" w:rsidP="000D6EF8">
      <w:pPr>
        <w:pStyle w:val="NormalWeb1"/>
      </w:pPr>
    </w:p>
    <w:p w:rsidR="006F4F0F" w:rsidRPr="00345718" w:rsidRDefault="006F4F0F" w:rsidP="000D6EF8">
      <w:pPr>
        <w:pStyle w:val="NormalWeb1"/>
      </w:pPr>
    </w:p>
    <w:p w:rsidR="00CA6653" w:rsidRPr="005D4C2D" w:rsidRDefault="00CA6653" w:rsidP="00CA6653">
      <w:pPr>
        <w:pStyle w:val="Normal00"/>
        <w:jc w:val="both"/>
        <w:rPr>
          <w:rFonts w:ascii="Verdana" w:hAnsi="Verdana"/>
          <w:b/>
          <w:sz w:val="22"/>
          <w:szCs w:val="22"/>
          <w:lang w:val="en-GB"/>
        </w:rPr>
        <w:sectPr w:rsidR="00CA6653" w:rsidRPr="005D4C2D" w:rsidSect="00CA6653">
          <w:type w:val="continuous"/>
          <w:pgSz w:w="11900" w:h="16840"/>
          <w:pgMar w:top="720" w:right="720" w:bottom="720" w:left="720" w:header="708" w:footer="708" w:gutter="0"/>
          <w:cols w:space="708"/>
          <w:docGrid w:linePitch="360"/>
        </w:sectPr>
      </w:pPr>
    </w:p>
    <w:p w:rsidR="00CA6653" w:rsidRDefault="00CA6653" w:rsidP="00A31A9E">
      <w:pPr>
        <w:pStyle w:val="Heading1"/>
      </w:pPr>
      <w:bookmarkStart w:id="8" w:name="_Toc55900399"/>
      <w:r w:rsidRPr="00035F1A">
        <w:t>Movement in Reserves Statement</w:t>
      </w:r>
      <w:bookmarkEnd w:id="8"/>
    </w:p>
    <w:p w:rsidR="00CA6653" w:rsidRPr="00CA6653" w:rsidRDefault="00CA6653" w:rsidP="000D6EF8">
      <w:pPr>
        <w:rPr>
          <w:lang w:val="pt-BR"/>
        </w:rPr>
      </w:pPr>
    </w:p>
    <w:p w:rsidR="00CA6653" w:rsidRDefault="00CA6653">
      <w:pPr>
        <w:pStyle w:val="Normal0"/>
        <w:spacing w:after="160" w:line="259" w:lineRule="auto"/>
        <w:rPr>
          <w:rFonts w:ascii="Verdana" w:eastAsia="Verdana" w:hAnsi="Verdana" w:cs="Verdana"/>
          <w:b/>
          <w:szCs w:val="22"/>
          <w:lang w:val="en-GB"/>
        </w:rPr>
      </w:pPr>
      <w:r>
        <w:rPr>
          <w:rFonts w:ascii="Verdana" w:eastAsia="Verdana" w:hAnsi="Verdana" w:cs="Verdana"/>
          <w:b/>
          <w:szCs w:val="22"/>
          <w:lang w:val="en-GB"/>
        </w:rPr>
        <w:t>Group</w:t>
      </w:r>
    </w:p>
    <w:tbl>
      <w:tblPr>
        <w:tblW w:w="0" w:type="auto"/>
        <w:tblLayout w:type="fixed"/>
        <w:tblLook w:val="04A0" w:firstRow="1" w:lastRow="0" w:firstColumn="1" w:lastColumn="0" w:noHBand="0" w:noVBand="1"/>
      </w:tblPr>
      <w:tblGrid>
        <w:gridCol w:w="2556"/>
        <w:gridCol w:w="1096"/>
        <w:gridCol w:w="1267"/>
        <w:gridCol w:w="1191"/>
        <w:gridCol w:w="1348"/>
        <w:gridCol w:w="1396"/>
        <w:gridCol w:w="1096"/>
        <w:gridCol w:w="1191"/>
        <w:gridCol w:w="1191"/>
      </w:tblGrid>
      <w:tr w:rsidR="00DF2050" w:rsidTr="00F43C93">
        <w:trPr>
          <w:trHeight w:val="1050"/>
        </w:trPr>
        <w:tc>
          <w:tcPr>
            <w:tcW w:w="255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b/>
                <w:color w:val="000000"/>
                <w:sz w:val="2"/>
                <w:lang w:val="en-GB"/>
              </w:rPr>
            </w:pPr>
          </w:p>
        </w:tc>
        <w:tc>
          <w:tcPr>
            <w:tcW w:w="1096"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General Fund Balance</w:t>
            </w:r>
          </w:p>
        </w:tc>
        <w:tc>
          <w:tcPr>
            <w:tcW w:w="1267"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Earmarked General Fund Reserves</w:t>
            </w:r>
          </w:p>
        </w:tc>
        <w:tc>
          <w:tcPr>
            <w:tcW w:w="1191"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General Fund Balance</w:t>
            </w:r>
          </w:p>
        </w:tc>
        <w:tc>
          <w:tcPr>
            <w:tcW w:w="1348"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Receipts Reserve</w:t>
            </w:r>
          </w:p>
        </w:tc>
        <w:tc>
          <w:tcPr>
            <w:tcW w:w="1396"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Grants Un-applied Account</w:t>
            </w:r>
          </w:p>
        </w:tc>
        <w:tc>
          <w:tcPr>
            <w:tcW w:w="1096"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Usable Reserves</w:t>
            </w:r>
          </w:p>
        </w:tc>
        <w:tc>
          <w:tcPr>
            <w:tcW w:w="1191"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Unusable Reserves</w:t>
            </w:r>
          </w:p>
        </w:tc>
        <w:tc>
          <w:tcPr>
            <w:tcW w:w="1191"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Reserves</w:t>
            </w:r>
          </w:p>
        </w:tc>
      </w:tr>
      <w:tr w:rsidR="00DF2050" w:rsidTr="00EE6015">
        <w:trPr>
          <w:trHeight w:val="243"/>
        </w:trPr>
        <w:tc>
          <w:tcPr>
            <w:tcW w:w="2556" w:type="dxa"/>
            <w:tcBorders>
              <w:bottom w:val="single" w:sz="4" w:space="0" w:color="auto"/>
            </w:tcBorders>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0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67"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48"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0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EE6015" w:rsidTr="00EE6015">
        <w:trPr>
          <w:trHeight w:val="341"/>
        </w:trPr>
        <w:tc>
          <w:tcPr>
            <w:tcW w:w="2556" w:type="dxa"/>
            <w:tcBorders>
              <w:top w:val="single" w:sz="4" w:space="0" w:color="auto"/>
              <w:bottom w:val="single" w:sz="4" w:space="0" w:color="auto"/>
            </w:tcBorders>
            <w:shd w:val="clear" w:color="auto" w:fill="auto"/>
            <w:tcMar>
              <w:top w:w="20" w:type="dxa"/>
              <w:left w:w="20" w:type="dxa"/>
              <w:bottom w:w="20" w:type="dxa"/>
              <w:right w:w="20" w:type="dxa"/>
            </w:tcMar>
          </w:tcPr>
          <w:p w:rsidR="00EE6015" w:rsidRDefault="006B3FF3"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Balance</w:t>
            </w:r>
            <w:r w:rsidR="00EE6015">
              <w:rPr>
                <w:rFonts w:ascii="Verdana" w:eastAsia="Verdana" w:hAnsi="Verdana" w:cs="Verdana"/>
                <w:b/>
                <w:color w:val="000000"/>
                <w:sz w:val="16"/>
                <w:lang w:val="en-GB"/>
              </w:rPr>
              <w:t xml:space="preserve"> at 31 March 2019</w:t>
            </w:r>
          </w:p>
        </w:tc>
        <w:tc>
          <w:tcPr>
            <w:tcW w:w="1096" w:type="dxa"/>
            <w:tcBorders>
              <w:left w:val="single" w:sz="2" w:space="0" w:color="000000"/>
              <w:bottom w:val="single" w:sz="4" w:space="0" w:color="auto"/>
            </w:tcBorders>
            <w:shd w:val="clear" w:color="auto" w:fill="auto"/>
            <w:tcMar>
              <w:top w:w="20" w:type="dxa"/>
              <w:left w:w="20" w:type="dxa"/>
              <w:bottom w:w="20" w:type="dxa"/>
              <w:right w:w="20" w:type="dxa"/>
            </w:tcMar>
          </w:tcPr>
          <w:p w:rsidR="006B3FF3" w:rsidRDefault="006B3FF3"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215</w:t>
            </w:r>
          </w:p>
          <w:p w:rsidR="00EE6015" w:rsidRPr="006B3FF3" w:rsidRDefault="006B3FF3" w:rsidP="006B3FF3">
            <w:pPr>
              <w:jc w:val="right"/>
              <w:rPr>
                <w:sz w:val="16"/>
                <w:szCs w:val="16"/>
                <w:lang w:val="en-GB"/>
              </w:rPr>
            </w:pPr>
            <w:r>
              <w:rPr>
                <w:sz w:val="16"/>
                <w:szCs w:val="16"/>
                <w:lang w:val="en-GB"/>
              </w:rPr>
              <w:t>(6,812)</w:t>
            </w:r>
          </w:p>
        </w:tc>
        <w:tc>
          <w:tcPr>
            <w:tcW w:w="1267" w:type="dxa"/>
            <w:tcBorders>
              <w:bottom w:val="single" w:sz="4" w:space="0" w:color="auto"/>
            </w:tcBorders>
            <w:shd w:val="clear" w:color="auto" w:fill="auto"/>
            <w:tcMar>
              <w:top w:w="20" w:type="dxa"/>
              <w:left w:w="20" w:type="dxa"/>
              <w:bottom w:w="20" w:type="dxa"/>
              <w:right w:w="20" w:type="dxa"/>
            </w:tcMar>
          </w:tcPr>
          <w:p w:rsidR="006B3FF3" w:rsidRDefault="006B3FF3"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w:t>
            </w:r>
          </w:p>
          <w:p w:rsidR="00EE6015" w:rsidRPr="006B3FF3" w:rsidRDefault="006B3FF3" w:rsidP="006B3FF3">
            <w:pPr>
              <w:jc w:val="center"/>
              <w:rPr>
                <w:sz w:val="16"/>
                <w:szCs w:val="16"/>
                <w:lang w:val="en-GB"/>
              </w:rPr>
            </w:pPr>
            <w:r>
              <w:rPr>
                <w:sz w:val="16"/>
                <w:szCs w:val="16"/>
                <w:lang w:val="en-GB"/>
              </w:rPr>
              <w:t xml:space="preserve">        </w:t>
            </w:r>
            <w:r w:rsidRPr="006B3FF3">
              <w:rPr>
                <w:sz w:val="16"/>
                <w:szCs w:val="16"/>
                <w:lang w:val="en-GB"/>
              </w:rPr>
              <w:t>(10,441)</w:t>
            </w:r>
          </w:p>
        </w:tc>
        <w:tc>
          <w:tcPr>
            <w:tcW w:w="1191" w:type="dxa"/>
            <w:tcBorders>
              <w:bottom w:val="single" w:sz="4" w:space="0" w:color="auto"/>
            </w:tcBorders>
            <w:shd w:val="clear" w:color="auto" w:fill="auto"/>
            <w:tcMar>
              <w:top w:w="20" w:type="dxa"/>
              <w:left w:w="20" w:type="dxa"/>
              <w:bottom w:w="20" w:type="dxa"/>
              <w:right w:w="20" w:type="dxa"/>
            </w:tcMar>
          </w:tcPr>
          <w:p w:rsidR="006B3FF3" w:rsidRDefault="006B3FF3"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p w:rsidR="00EE6015" w:rsidRPr="00E34C94" w:rsidRDefault="00E34C94" w:rsidP="006B3FF3">
            <w:pPr>
              <w:rPr>
                <w:b/>
                <w:sz w:val="16"/>
                <w:szCs w:val="16"/>
                <w:lang w:val="en-GB"/>
              </w:rPr>
            </w:pPr>
            <w:r>
              <w:rPr>
                <w:b/>
                <w:sz w:val="16"/>
                <w:szCs w:val="16"/>
                <w:lang w:val="en-GB"/>
              </w:rPr>
              <w:t xml:space="preserve">      </w:t>
            </w:r>
            <w:r w:rsidR="006B3FF3" w:rsidRPr="00E34C94">
              <w:rPr>
                <w:b/>
                <w:sz w:val="16"/>
                <w:szCs w:val="16"/>
                <w:lang w:val="en-GB"/>
              </w:rPr>
              <w:t>(17,253)</w:t>
            </w:r>
          </w:p>
        </w:tc>
        <w:tc>
          <w:tcPr>
            <w:tcW w:w="1348" w:type="dxa"/>
            <w:tcBorders>
              <w:bottom w:val="single" w:sz="4" w:space="0" w:color="auto"/>
            </w:tcBorders>
            <w:shd w:val="clear" w:color="auto" w:fill="auto"/>
            <w:tcMar>
              <w:top w:w="20" w:type="dxa"/>
              <w:left w:w="20" w:type="dxa"/>
              <w:bottom w:w="20" w:type="dxa"/>
              <w:right w:w="20" w:type="dxa"/>
            </w:tcMar>
          </w:tcPr>
          <w:p w:rsidR="00E34C94" w:rsidRDefault="00E34C94" w:rsidP="00DF2050">
            <w:pPr>
              <w:pStyle w:val="T1TableStyle"/>
              <w:jc w:val="right"/>
              <w:rPr>
                <w:rFonts w:ascii="Verdana" w:eastAsia="Verdana" w:hAnsi="Verdana" w:cs="Verdana"/>
                <w:color w:val="000000"/>
                <w:sz w:val="2"/>
                <w:lang w:val="en-GB"/>
              </w:rPr>
            </w:pPr>
          </w:p>
          <w:p w:rsidR="00EE6015" w:rsidRPr="00E34C94" w:rsidRDefault="00E34C94" w:rsidP="00E34C94">
            <w:pPr>
              <w:rPr>
                <w:sz w:val="16"/>
                <w:szCs w:val="16"/>
                <w:lang w:val="en-GB"/>
              </w:rPr>
            </w:pPr>
            <w:r>
              <w:rPr>
                <w:sz w:val="16"/>
                <w:szCs w:val="16"/>
                <w:lang w:val="en-GB"/>
              </w:rPr>
              <w:t xml:space="preserve">            </w:t>
            </w:r>
            <w:r w:rsidRPr="00E34C94">
              <w:rPr>
                <w:sz w:val="16"/>
                <w:szCs w:val="16"/>
                <w:lang w:val="en-GB"/>
              </w:rPr>
              <w:t>(3,996)</w:t>
            </w:r>
          </w:p>
        </w:tc>
        <w:tc>
          <w:tcPr>
            <w:tcW w:w="1396" w:type="dxa"/>
            <w:tcBorders>
              <w:bottom w:val="single" w:sz="4" w:space="0" w:color="auto"/>
            </w:tcBorders>
            <w:shd w:val="clear" w:color="auto" w:fill="auto"/>
            <w:tcMar>
              <w:top w:w="20" w:type="dxa"/>
              <w:left w:w="20" w:type="dxa"/>
              <w:bottom w:w="20" w:type="dxa"/>
              <w:right w:w="20" w:type="dxa"/>
            </w:tcMar>
          </w:tcPr>
          <w:p w:rsidR="00E34C94" w:rsidRDefault="00E34C94"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w:t>
            </w:r>
          </w:p>
          <w:p w:rsidR="00EE6015" w:rsidRPr="00E34C94" w:rsidRDefault="00E34C94" w:rsidP="00E34C94">
            <w:pPr>
              <w:rPr>
                <w:sz w:val="16"/>
                <w:szCs w:val="16"/>
                <w:lang w:val="en-GB"/>
              </w:rPr>
            </w:pPr>
            <w:r>
              <w:rPr>
                <w:sz w:val="16"/>
                <w:szCs w:val="16"/>
                <w:lang w:val="en-GB"/>
              </w:rPr>
              <w:t xml:space="preserve">             </w:t>
            </w:r>
            <w:r w:rsidRPr="00E34C94">
              <w:rPr>
                <w:sz w:val="16"/>
                <w:szCs w:val="16"/>
                <w:lang w:val="en-GB"/>
              </w:rPr>
              <w:t>(1,317)</w:t>
            </w:r>
          </w:p>
        </w:tc>
        <w:tc>
          <w:tcPr>
            <w:tcW w:w="1096" w:type="dxa"/>
            <w:tcBorders>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rsidR="00E34C94" w:rsidRDefault="00E34C94" w:rsidP="00DF2050">
            <w:pPr>
              <w:pStyle w:val="T1TableStyle"/>
              <w:jc w:val="right"/>
              <w:rPr>
                <w:rFonts w:ascii="Verdana" w:eastAsia="Verdana" w:hAnsi="Verdana" w:cs="Verdana"/>
                <w:b/>
                <w:color w:val="000000"/>
                <w:sz w:val="2"/>
                <w:lang w:val="en-GB"/>
              </w:rPr>
            </w:pPr>
          </w:p>
          <w:p w:rsidR="00EE6015" w:rsidRPr="00E34C94" w:rsidRDefault="00E34C94" w:rsidP="00E34C94">
            <w:pPr>
              <w:tabs>
                <w:tab w:val="left" w:pos="590"/>
              </w:tabs>
              <w:jc w:val="right"/>
              <w:rPr>
                <w:b/>
                <w:sz w:val="16"/>
                <w:szCs w:val="16"/>
                <w:lang w:val="en-GB"/>
              </w:rPr>
            </w:pPr>
            <w:r>
              <w:rPr>
                <w:b/>
                <w:sz w:val="16"/>
                <w:szCs w:val="16"/>
                <w:lang w:val="en-GB"/>
              </w:rPr>
              <w:t xml:space="preserve">    </w:t>
            </w:r>
            <w:r w:rsidRPr="00E34C94">
              <w:rPr>
                <w:b/>
                <w:sz w:val="16"/>
                <w:szCs w:val="16"/>
                <w:lang w:val="en-GB"/>
              </w:rPr>
              <w:t>(22,56</w:t>
            </w:r>
            <w:r w:rsidR="000E5C76">
              <w:rPr>
                <w:b/>
                <w:sz w:val="16"/>
                <w:szCs w:val="16"/>
                <w:lang w:val="en-GB"/>
              </w:rPr>
              <w:t>6</w:t>
            </w:r>
            <w:r w:rsidRPr="00E34C94">
              <w:rPr>
                <w:b/>
                <w:sz w:val="16"/>
                <w:szCs w:val="16"/>
                <w:lang w:val="en-GB"/>
              </w:rPr>
              <w:t>)</w:t>
            </w:r>
          </w:p>
        </w:tc>
        <w:tc>
          <w:tcPr>
            <w:tcW w:w="1191" w:type="dxa"/>
            <w:tcBorders>
              <w:bottom w:val="single" w:sz="4" w:space="0" w:color="auto"/>
            </w:tcBorders>
            <w:shd w:val="clear" w:color="auto" w:fill="auto"/>
            <w:tcMar>
              <w:top w:w="20" w:type="dxa"/>
              <w:left w:w="20" w:type="dxa"/>
              <w:bottom w:w="20" w:type="dxa"/>
              <w:right w:w="20" w:type="dxa"/>
            </w:tcMar>
          </w:tcPr>
          <w:p w:rsidR="00E34C94" w:rsidRDefault="00E34C94" w:rsidP="00DF2050">
            <w:pPr>
              <w:pStyle w:val="T1TableStyle"/>
              <w:jc w:val="right"/>
              <w:rPr>
                <w:rFonts w:ascii="Verdana" w:eastAsia="Verdana" w:hAnsi="Verdana" w:cs="Verdana"/>
                <w:color w:val="000000"/>
                <w:sz w:val="2"/>
                <w:lang w:val="en-GB"/>
              </w:rPr>
            </w:pPr>
          </w:p>
          <w:p w:rsidR="00EE6015" w:rsidRPr="00E34C94" w:rsidRDefault="00E34C94" w:rsidP="00E34C94">
            <w:pPr>
              <w:jc w:val="right"/>
              <w:rPr>
                <w:b/>
                <w:sz w:val="16"/>
                <w:szCs w:val="16"/>
                <w:lang w:val="en-GB"/>
              </w:rPr>
            </w:pPr>
            <w:r w:rsidRPr="00E34C94">
              <w:rPr>
                <w:b/>
                <w:sz w:val="16"/>
                <w:szCs w:val="16"/>
                <w:lang w:val="en-GB"/>
              </w:rPr>
              <w:t>2,056,936</w:t>
            </w:r>
          </w:p>
        </w:tc>
        <w:tc>
          <w:tcPr>
            <w:tcW w:w="1191" w:type="dxa"/>
            <w:tcBorders>
              <w:left w:val="single" w:sz="2" w:space="0" w:color="000000"/>
              <w:bottom w:val="single" w:sz="4" w:space="0" w:color="auto"/>
            </w:tcBorders>
            <w:shd w:val="clear" w:color="auto" w:fill="auto"/>
            <w:tcMar>
              <w:top w:w="20" w:type="dxa"/>
              <w:left w:w="20" w:type="dxa"/>
              <w:bottom w:w="20" w:type="dxa"/>
              <w:right w:w="20" w:type="dxa"/>
            </w:tcMar>
          </w:tcPr>
          <w:p w:rsidR="00E34C94" w:rsidRDefault="00E34C94" w:rsidP="00DF2050">
            <w:pPr>
              <w:pStyle w:val="T1TableStyle"/>
              <w:jc w:val="right"/>
              <w:rPr>
                <w:rFonts w:ascii="Verdana" w:eastAsia="Verdana" w:hAnsi="Verdana" w:cs="Verdana"/>
                <w:b/>
                <w:color w:val="000000"/>
                <w:sz w:val="2"/>
                <w:lang w:val="en-GB"/>
              </w:rPr>
            </w:pPr>
          </w:p>
          <w:p w:rsidR="00EE6015" w:rsidRPr="00E34C94" w:rsidRDefault="00E34C94" w:rsidP="00E34C94">
            <w:pPr>
              <w:tabs>
                <w:tab w:val="left" w:pos="850"/>
              </w:tabs>
              <w:jc w:val="right"/>
              <w:rPr>
                <w:b/>
                <w:sz w:val="16"/>
                <w:szCs w:val="16"/>
                <w:lang w:val="en-GB"/>
              </w:rPr>
            </w:pPr>
            <w:r w:rsidRPr="00E34C94">
              <w:rPr>
                <w:b/>
                <w:sz w:val="16"/>
                <w:szCs w:val="16"/>
                <w:lang w:val="en-GB"/>
              </w:rPr>
              <w:t>2,034,370</w:t>
            </w:r>
          </w:p>
        </w:tc>
      </w:tr>
      <w:tr w:rsidR="00DF2050" w:rsidTr="00EE6015">
        <w:trPr>
          <w:trHeight w:val="341"/>
        </w:trPr>
        <w:tc>
          <w:tcPr>
            <w:tcW w:w="2556"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Movement in reserves during 2019/20</w:t>
            </w:r>
          </w:p>
        </w:tc>
        <w:tc>
          <w:tcPr>
            <w:tcW w:w="1096" w:type="dxa"/>
            <w:tcBorders>
              <w:top w:val="single" w:sz="4" w:space="0" w:color="auto"/>
              <w:lef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67"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48"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96"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tcBorders>
              <w:top w:val="single" w:sz="4" w:space="0" w:color="auto"/>
              <w:left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91"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tcBorders>
              <w:top w:val="single" w:sz="4" w:space="0" w:color="auto"/>
              <w:lef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DF2050" w:rsidTr="00F43C93">
        <w:trPr>
          <w:trHeight w:val="341"/>
        </w:trPr>
        <w:tc>
          <w:tcPr>
            <w:tcW w:w="2556" w:type="dxa"/>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color w:val="000000"/>
                <w:sz w:val="16"/>
                <w:lang w:val="en-GB"/>
              </w:rPr>
            </w:pPr>
            <w:r>
              <w:rPr>
                <w:rFonts w:ascii="Verdana" w:eastAsia="Verdana" w:hAnsi="Verdana" w:cs="Verdana"/>
                <w:color w:val="000000"/>
                <w:sz w:val="16"/>
                <w:lang w:val="en-GB"/>
              </w:rPr>
              <w:t>Surplus or deficit on the provision of services</w:t>
            </w:r>
          </w:p>
        </w:tc>
        <w:tc>
          <w:tcPr>
            <w:tcW w:w="1096" w:type="dxa"/>
            <w:tcBorders>
              <w:left w:val="single" w:sz="2" w:space="0" w:color="000000"/>
            </w:tcBorders>
            <w:shd w:val="clear" w:color="auto" w:fill="auto"/>
            <w:tcMar>
              <w:top w:w="20" w:type="dxa"/>
              <w:left w:w="20" w:type="dxa"/>
              <w:bottom w:w="20" w:type="dxa"/>
              <w:right w:w="20" w:type="dxa"/>
            </w:tcMar>
          </w:tcPr>
          <w:p w:rsidR="00DF2050" w:rsidRDefault="00B859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63,875</w:t>
            </w:r>
          </w:p>
        </w:tc>
        <w:tc>
          <w:tcPr>
            <w:tcW w:w="1267"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shd w:val="clear" w:color="auto" w:fill="auto"/>
            <w:tcMar>
              <w:top w:w="20" w:type="dxa"/>
              <w:left w:w="20" w:type="dxa"/>
              <w:bottom w:w="20" w:type="dxa"/>
              <w:right w:w="20" w:type="dxa"/>
            </w:tcMar>
          </w:tcPr>
          <w:p w:rsidR="00DF2050" w:rsidRDefault="00B859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63,875</w:t>
            </w:r>
          </w:p>
        </w:tc>
        <w:tc>
          <w:tcPr>
            <w:tcW w:w="1348"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96"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tcBorders>
              <w:left w:val="single" w:sz="2" w:space="0" w:color="000000"/>
              <w:right w:val="single" w:sz="2" w:space="0" w:color="000000"/>
            </w:tcBorders>
            <w:shd w:val="clear" w:color="auto" w:fill="auto"/>
            <w:tcMar>
              <w:top w:w="20" w:type="dxa"/>
              <w:left w:w="20" w:type="dxa"/>
              <w:bottom w:w="20" w:type="dxa"/>
              <w:right w:w="20" w:type="dxa"/>
            </w:tcMar>
          </w:tcPr>
          <w:p w:rsidR="00DF2050" w:rsidRDefault="00B8593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63,875</w:t>
            </w:r>
          </w:p>
        </w:tc>
        <w:tc>
          <w:tcPr>
            <w:tcW w:w="1191"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tcBorders>
              <w:left w:val="single" w:sz="2" w:space="0" w:color="000000"/>
            </w:tcBorders>
            <w:shd w:val="clear" w:color="auto" w:fill="auto"/>
            <w:tcMar>
              <w:top w:w="20" w:type="dxa"/>
              <w:left w:w="20" w:type="dxa"/>
              <w:bottom w:w="20" w:type="dxa"/>
              <w:right w:w="20" w:type="dxa"/>
            </w:tcMar>
          </w:tcPr>
          <w:p w:rsidR="00DF2050" w:rsidRDefault="00B8593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63,875</w:t>
            </w:r>
          </w:p>
        </w:tc>
      </w:tr>
      <w:tr w:rsidR="00DF2050" w:rsidTr="00F43C93">
        <w:trPr>
          <w:trHeight w:val="341"/>
        </w:trPr>
        <w:tc>
          <w:tcPr>
            <w:tcW w:w="255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Comprehensive Income / Expenditure</w:t>
            </w:r>
          </w:p>
        </w:tc>
        <w:tc>
          <w:tcPr>
            <w:tcW w:w="1096" w:type="dxa"/>
            <w:tcBorders>
              <w:left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67"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48"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09043D">
              <w:rPr>
                <w:rFonts w:ascii="Verdana" w:eastAsia="Verdana" w:hAnsi="Verdana" w:cs="Verdana"/>
                <w:color w:val="000000"/>
                <w:sz w:val="16"/>
                <w:lang w:val="en-GB"/>
              </w:rPr>
              <w:t>20</w:t>
            </w:r>
            <w:r w:rsidR="00B8593F">
              <w:rPr>
                <w:rFonts w:ascii="Verdana" w:eastAsia="Verdana" w:hAnsi="Verdana" w:cs="Verdana"/>
                <w:color w:val="000000"/>
                <w:sz w:val="16"/>
                <w:lang w:val="en-GB"/>
              </w:rPr>
              <w:t>1,45</w:t>
            </w:r>
            <w:r w:rsidR="008A24D0">
              <w:rPr>
                <w:rFonts w:ascii="Verdana" w:eastAsia="Verdana" w:hAnsi="Verdana" w:cs="Verdana"/>
                <w:color w:val="000000"/>
                <w:sz w:val="16"/>
                <w:lang w:val="en-GB"/>
              </w:rPr>
              <w:t>7</w:t>
            </w:r>
            <w:r>
              <w:rPr>
                <w:rFonts w:ascii="Verdana" w:eastAsia="Verdana" w:hAnsi="Verdana" w:cs="Verdana"/>
                <w:color w:val="000000"/>
                <w:sz w:val="16"/>
                <w:lang w:val="en-GB"/>
              </w:rPr>
              <w:t>)</w:t>
            </w:r>
          </w:p>
        </w:tc>
        <w:tc>
          <w:tcPr>
            <w:tcW w:w="1191" w:type="dxa"/>
            <w:tcBorders>
              <w:left w:val="single" w:sz="2" w:space="0" w:color="000000"/>
              <w:bottom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B8593F">
              <w:rPr>
                <w:rFonts w:ascii="Verdana" w:eastAsia="Verdana" w:hAnsi="Verdana" w:cs="Verdana"/>
                <w:b/>
                <w:color w:val="000000"/>
                <w:sz w:val="16"/>
                <w:lang w:val="en-GB"/>
              </w:rPr>
              <w:t>201,45</w:t>
            </w:r>
            <w:r w:rsidR="008A24D0">
              <w:rPr>
                <w:rFonts w:ascii="Verdana" w:eastAsia="Verdana" w:hAnsi="Verdana" w:cs="Verdana"/>
                <w:b/>
                <w:color w:val="000000"/>
                <w:sz w:val="16"/>
                <w:lang w:val="en-GB"/>
              </w:rPr>
              <w:t>7</w:t>
            </w:r>
            <w:r>
              <w:rPr>
                <w:rFonts w:ascii="Verdana" w:eastAsia="Verdana" w:hAnsi="Verdana" w:cs="Verdana"/>
                <w:b/>
                <w:color w:val="000000"/>
                <w:sz w:val="16"/>
                <w:lang w:val="en-GB"/>
              </w:rPr>
              <w:t>)</w:t>
            </w:r>
          </w:p>
        </w:tc>
      </w:tr>
      <w:tr w:rsidR="00DF2050" w:rsidTr="0019417B">
        <w:trPr>
          <w:trHeight w:val="341"/>
        </w:trPr>
        <w:tc>
          <w:tcPr>
            <w:tcW w:w="2556" w:type="dxa"/>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Comprehensive Income and Expenditure</w:t>
            </w:r>
          </w:p>
        </w:tc>
        <w:tc>
          <w:tcPr>
            <w:tcW w:w="1096" w:type="dxa"/>
            <w:tcBorders>
              <w:left w:val="single" w:sz="2" w:space="0" w:color="000000"/>
            </w:tcBorders>
            <w:shd w:val="clear" w:color="auto" w:fill="auto"/>
            <w:tcMar>
              <w:top w:w="20" w:type="dxa"/>
              <w:left w:w="20" w:type="dxa"/>
              <w:bottom w:w="20" w:type="dxa"/>
              <w:right w:w="20" w:type="dxa"/>
            </w:tcMar>
          </w:tcPr>
          <w:p w:rsidR="00DF2050" w:rsidRDefault="00B8593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63,875</w:t>
            </w:r>
          </w:p>
        </w:tc>
        <w:tc>
          <w:tcPr>
            <w:tcW w:w="1267"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91" w:type="dxa"/>
            <w:shd w:val="clear" w:color="auto" w:fill="auto"/>
            <w:tcMar>
              <w:top w:w="20" w:type="dxa"/>
              <w:left w:w="20" w:type="dxa"/>
              <w:bottom w:w="20" w:type="dxa"/>
              <w:right w:w="20" w:type="dxa"/>
            </w:tcMar>
          </w:tcPr>
          <w:p w:rsidR="00DF2050" w:rsidRDefault="00B8593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63,875</w:t>
            </w:r>
          </w:p>
        </w:tc>
        <w:tc>
          <w:tcPr>
            <w:tcW w:w="1348"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96"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096" w:type="dxa"/>
            <w:tcBorders>
              <w:left w:val="single" w:sz="2" w:space="0" w:color="000000"/>
              <w:right w:val="single" w:sz="2" w:space="0" w:color="000000"/>
            </w:tcBorders>
            <w:shd w:val="clear" w:color="auto" w:fill="auto"/>
            <w:tcMar>
              <w:top w:w="20" w:type="dxa"/>
              <w:left w:w="20" w:type="dxa"/>
              <w:bottom w:w="20" w:type="dxa"/>
              <w:right w:w="20" w:type="dxa"/>
            </w:tcMar>
          </w:tcPr>
          <w:p w:rsidR="00DF2050" w:rsidRDefault="007C58B6" w:rsidP="00A840F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92,678</w:t>
            </w:r>
          </w:p>
        </w:tc>
        <w:tc>
          <w:tcPr>
            <w:tcW w:w="1191" w:type="dxa"/>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09043D">
              <w:rPr>
                <w:rFonts w:ascii="Verdana" w:eastAsia="Verdana" w:hAnsi="Verdana" w:cs="Verdana"/>
                <w:b/>
                <w:color w:val="000000"/>
                <w:sz w:val="16"/>
                <w:lang w:val="en-GB"/>
              </w:rPr>
              <w:t>20</w:t>
            </w:r>
            <w:r w:rsidR="00B8593F">
              <w:rPr>
                <w:rFonts w:ascii="Verdana" w:eastAsia="Verdana" w:hAnsi="Verdana" w:cs="Verdana"/>
                <w:b/>
                <w:color w:val="000000"/>
                <w:sz w:val="16"/>
                <w:lang w:val="en-GB"/>
              </w:rPr>
              <w:t>1</w:t>
            </w:r>
            <w:r w:rsidR="0009043D">
              <w:rPr>
                <w:rFonts w:ascii="Verdana" w:eastAsia="Verdana" w:hAnsi="Verdana" w:cs="Verdana"/>
                <w:b/>
                <w:color w:val="000000"/>
                <w:sz w:val="16"/>
                <w:lang w:val="en-GB"/>
              </w:rPr>
              <w:t>,</w:t>
            </w:r>
            <w:r w:rsidR="00B8593F">
              <w:rPr>
                <w:rFonts w:ascii="Verdana" w:eastAsia="Verdana" w:hAnsi="Verdana" w:cs="Verdana"/>
                <w:b/>
                <w:color w:val="000000"/>
                <w:sz w:val="16"/>
                <w:lang w:val="en-GB"/>
              </w:rPr>
              <w:t>45</w:t>
            </w:r>
            <w:r w:rsidR="008A24D0">
              <w:rPr>
                <w:rFonts w:ascii="Verdana" w:eastAsia="Verdana" w:hAnsi="Verdana" w:cs="Verdana"/>
                <w:b/>
                <w:color w:val="000000"/>
                <w:sz w:val="16"/>
                <w:lang w:val="en-GB"/>
              </w:rPr>
              <w:t>7</w:t>
            </w:r>
            <w:r>
              <w:rPr>
                <w:rFonts w:ascii="Verdana" w:eastAsia="Verdana" w:hAnsi="Verdana" w:cs="Verdana"/>
                <w:b/>
                <w:color w:val="000000"/>
                <w:sz w:val="16"/>
                <w:lang w:val="en-GB"/>
              </w:rPr>
              <w:t>)</w:t>
            </w:r>
          </w:p>
        </w:tc>
        <w:tc>
          <w:tcPr>
            <w:tcW w:w="1191" w:type="dxa"/>
            <w:tcBorders>
              <w:left w:val="single" w:sz="2" w:space="0" w:color="000000"/>
            </w:tcBorders>
            <w:shd w:val="clear" w:color="auto" w:fill="auto"/>
            <w:tcMar>
              <w:top w:w="20" w:type="dxa"/>
              <w:left w:w="20" w:type="dxa"/>
              <w:bottom w:w="20" w:type="dxa"/>
              <w:right w:w="20" w:type="dxa"/>
            </w:tcMar>
          </w:tcPr>
          <w:p w:rsidR="00DF2050" w:rsidRDefault="007C58B6">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B8593F">
              <w:rPr>
                <w:rFonts w:ascii="Verdana" w:eastAsia="Verdana" w:hAnsi="Verdana" w:cs="Verdana"/>
                <w:b/>
                <w:color w:val="000000"/>
                <w:sz w:val="16"/>
                <w:lang w:val="en-GB"/>
              </w:rPr>
              <w:t>137,58</w:t>
            </w:r>
            <w:r w:rsidR="008A24D0">
              <w:rPr>
                <w:rFonts w:ascii="Verdana" w:eastAsia="Verdana" w:hAnsi="Verdana" w:cs="Verdana"/>
                <w:b/>
                <w:color w:val="000000"/>
                <w:sz w:val="16"/>
                <w:lang w:val="en-GB"/>
              </w:rPr>
              <w:t>2</w:t>
            </w:r>
            <w:r>
              <w:rPr>
                <w:rFonts w:ascii="Verdana" w:eastAsia="Verdana" w:hAnsi="Verdana" w:cs="Verdana"/>
                <w:b/>
                <w:color w:val="000000"/>
                <w:sz w:val="16"/>
                <w:lang w:val="en-GB"/>
              </w:rPr>
              <w:t>)</w:t>
            </w:r>
          </w:p>
        </w:tc>
      </w:tr>
      <w:tr w:rsidR="00DF2050" w:rsidTr="0019417B">
        <w:trPr>
          <w:trHeight w:val="683"/>
        </w:trPr>
        <w:tc>
          <w:tcPr>
            <w:tcW w:w="2556" w:type="dxa"/>
            <w:tcBorders>
              <w:bottom w:val="single" w:sz="4" w:space="0" w:color="auto"/>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between accounting basis and funding basis under regulations</w:t>
            </w:r>
          </w:p>
        </w:tc>
        <w:tc>
          <w:tcPr>
            <w:tcW w:w="1096" w:type="dxa"/>
            <w:tcBorders>
              <w:left w:val="single" w:sz="2" w:space="0" w:color="000000"/>
              <w:bottom w:val="single" w:sz="4" w:space="0" w:color="auto"/>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B8593F">
              <w:rPr>
                <w:rFonts w:ascii="Verdana" w:eastAsia="Verdana" w:hAnsi="Verdana" w:cs="Verdana"/>
                <w:color w:val="000000"/>
                <w:sz w:val="16"/>
                <w:lang w:val="en-GB"/>
              </w:rPr>
              <w:t>66,123</w:t>
            </w:r>
            <w:r>
              <w:rPr>
                <w:rFonts w:ascii="Verdana" w:eastAsia="Verdana" w:hAnsi="Verdana" w:cs="Verdana"/>
                <w:color w:val="000000"/>
                <w:sz w:val="16"/>
                <w:lang w:val="en-GB"/>
              </w:rPr>
              <w:t>)</w:t>
            </w:r>
          </w:p>
        </w:tc>
        <w:tc>
          <w:tcPr>
            <w:tcW w:w="1267" w:type="dxa"/>
            <w:tcBorders>
              <w:bottom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tcBorders>
              <w:bottom w:val="single" w:sz="4" w:space="0" w:color="auto"/>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B8593F">
              <w:rPr>
                <w:rFonts w:ascii="Verdana" w:eastAsia="Verdana" w:hAnsi="Verdana" w:cs="Verdana"/>
                <w:color w:val="000000"/>
                <w:sz w:val="16"/>
                <w:lang w:val="en-GB"/>
              </w:rPr>
              <w:t>66,123</w:t>
            </w:r>
            <w:r>
              <w:rPr>
                <w:rFonts w:ascii="Verdana" w:eastAsia="Verdana" w:hAnsi="Verdana" w:cs="Verdana"/>
                <w:color w:val="000000"/>
                <w:sz w:val="16"/>
                <w:lang w:val="en-GB"/>
              </w:rPr>
              <w:t>)</w:t>
            </w:r>
          </w:p>
        </w:tc>
        <w:tc>
          <w:tcPr>
            <w:tcW w:w="1348" w:type="dxa"/>
            <w:tcBorders>
              <w:bottom w:val="single" w:sz="4" w:space="0" w:color="auto"/>
            </w:tcBorders>
            <w:shd w:val="clear" w:color="auto" w:fill="auto"/>
            <w:tcMar>
              <w:top w:w="20" w:type="dxa"/>
              <w:left w:w="20" w:type="dxa"/>
              <w:bottom w:w="20" w:type="dxa"/>
              <w:right w:w="20" w:type="dxa"/>
            </w:tcMar>
          </w:tcPr>
          <w:p w:rsidR="00DF2050" w:rsidRDefault="006B5F1F"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3,799</w:t>
            </w:r>
          </w:p>
        </w:tc>
        <w:tc>
          <w:tcPr>
            <w:tcW w:w="1396" w:type="dxa"/>
            <w:tcBorders>
              <w:bottom w:val="single" w:sz="4" w:space="0" w:color="auto"/>
            </w:tcBorders>
            <w:shd w:val="clear" w:color="auto" w:fill="auto"/>
            <w:tcMar>
              <w:top w:w="20" w:type="dxa"/>
              <w:left w:w="20" w:type="dxa"/>
              <w:bottom w:w="20" w:type="dxa"/>
              <w:right w:w="20" w:type="dxa"/>
            </w:tcMar>
          </w:tcPr>
          <w:p w:rsidR="00DF2050" w:rsidRDefault="006B5F1F" w:rsidP="006B5F1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8A237E">
              <w:rPr>
                <w:rFonts w:ascii="Verdana" w:eastAsia="Verdana" w:hAnsi="Verdana" w:cs="Verdana"/>
                <w:color w:val="000000"/>
                <w:sz w:val="16"/>
                <w:lang w:val="en-GB"/>
              </w:rPr>
              <w:t>1</w:t>
            </w:r>
            <w:r>
              <w:rPr>
                <w:rFonts w:ascii="Verdana" w:eastAsia="Verdana" w:hAnsi="Verdana" w:cs="Verdana"/>
                <w:color w:val="000000"/>
                <w:sz w:val="16"/>
                <w:lang w:val="en-GB"/>
              </w:rPr>
              <w:t>,629)</w:t>
            </w:r>
          </w:p>
        </w:tc>
        <w:tc>
          <w:tcPr>
            <w:tcW w:w="1096" w:type="dxa"/>
            <w:tcBorders>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B8593F">
              <w:rPr>
                <w:rFonts w:ascii="Verdana" w:eastAsia="Verdana" w:hAnsi="Verdana" w:cs="Verdana"/>
                <w:b/>
                <w:color w:val="000000"/>
                <w:sz w:val="16"/>
                <w:lang w:val="en-GB"/>
              </w:rPr>
              <w:t>63,953</w:t>
            </w:r>
            <w:r w:rsidR="007C58B6">
              <w:rPr>
                <w:rFonts w:ascii="Verdana" w:eastAsia="Verdana" w:hAnsi="Verdana" w:cs="Verdana"/>
                <w:b/>
                <w:color w:val="000000"/>
                <w:sz w:val="16"/>
                <w:lang w:val="en-GB"/>
              </w:rPr>
              <w:t>)</w:t>
            </w:r>
          </w:p>
        </w:tc>
        <w:tc>
          <w:tcPr>
            <w:tcW w:w="1191" w:type="dxa"/>
            <w:tcBorders>
              <w:bottom w:val="single" w:sz="4" w:space="0" w:color="auto"/>
            </w:tcBorders>
            <w:shd w:val="clear" w:color="auto" w:fill="auto"/>
            <w:tcMar>
              <w:top w:w="20" w:type="dxa"/>
              <w:left w:w="20" w:type="dxa"/>
              <w:bottom w:w="20" w:type="dxa"/>
              <w:right w:w="20" w:type="dxa"/>
            </w:tcMar>
          </w:tcPr>
          <w:p w:rsidR="00DF2050" w:rsidRDefault="00B8593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63,953</w:t>
            </w:r>
          </w:p>
        </w:tc>
        <w:tc>
          <w:tcPr>
            <w:tcW w:w="1191" w:type="dxa"/>
            <w:tcBorders>
              <w:left w:val="single" w:sz="2" w:space="0" w:color="000000"/>
              <w:bottom w:val="single" w:sz="4" w:space="0" w:color="auto"/>
            </w:tcBorders>
            <w:shd w:val="clear" w:color="auto" w:fill="auto"/>
            <w:tcMar>
              <w:top w:w="20" w:type="dxa"/>
              <w:left w:w="20" w:type="dxa"/>
              <w:bottom w:w="20" w:type="dxa"/>
              <w:right w:w="20" w:type="dxa"/>
            </w:tcMar>
          </w:tcPr>
          <w:p w:rsidR="00DF2050" w:rsidRDefault="007C58B6"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DF2050" w:rsidTr="0019417B">
        <w:trPr>
          <w:trHeight w:val="537"/>
        </w:trPr>
        <w:tc>
          <w:tcPr>
            <w:tcW w:w="2556" w:type="dxa"/>
            <w:tcBorders>
              <w:top w:val="single" w:sz="4" w:space="0" w:color="auto"/>
            </w:tcBorders>
            <w:shd w:val="clear" w:color="auto" w:fill="auto"/>
            <w:tcMar>
              <w:top w:w="20" w:type="dxa"/>
              <w:left w:w="20" w:type="dxa"/>
              <w:bottom w:w="20" w:type="dxa"/>
              <w:right w:w="20" w:type="dxa"/>
            </w:tcMar>
          </w:tcPr>
          <w:p w:rsidR="00DF2050" w:rsidRPr="00A840F1" w:rsidRDefault="00DF2050" w:rsidP="00DF2050">
            <w:pPr>
              <w:pStyle w:val="T1TableStyle"/>
              <w:rPr>
                <w:rFonts w:ascii="Verdana" w:eastAsia="Verdana" w:hAnsi="Verdana" w:cs="Verdana"/>
                <w:b/>
                <w:color w:val="000000"/>
                <w:sz w:val="16"/>
                <w:lang w:val="en-GB"/>
              </w:rPr>
            </w:pPr>
            <w:r w:rsidRPr="00A840F1">
              <w:rPr>
                <w:rFonts w:ascii="Verdana" w:eastAsia="Verdana" w:hAnsi="Verdana" w:cs="Verdana"/>
                <w:b/>
                <w:color w:val="000000"/>
                <w:sz w:val="16"/>
                <w:lang w:val="en-GB"/>
              </w:rPr>
              <w:t>Net Increase or Decrease before Transfers to Earmarked Reserves</w:t>
            </w:r>
          </w:p>
        </w:tc>
        <w:tc>
          <w:tcPr>
            <w:tcW w:w="1096" w:type="dxa"/>
            <w:tcBorders>
              <w:top w:val="single" w:sz="4" w:space="0" w:color="auto"/>
              <w:left w:val="single" w:sz="2" w:space="0" w:color="000000"/>
            </w:tcBorders>
            <w:shd w:val="clear" w:color="auto" w:fill="auto"/>
            <w:tcMar>
              <w:top w:w="20" w:type="dxa"/>
              <w:left w:w="20" w:type="dxa"/>
              <w:bottom w:w="20" w:type="dxa"/>
              <w:right w:w="20" w:type="dxa"/>
            </w:tcMar>
          </w:tcPr>
          <w:p w:rsidR="00DF2050" w:rsidRPr="00A840F1" w:rsidRDefault="008A237E">
            <w:pPr>
              <w:pStyle w:val="T1TableStyle"/>
              <w:jc w:val="right"/>
              <w:rPr>
                <w:rFonts w:ascii="Verdana" w:eastAsia="Verdana" w:hAnsi="Verdana" w:cs="Verdana"/>
                <w:b/>
                <w:color w:val="000000"/>
                <w:sz w:val="16"/>
                <w:lang w:val="en-GB"/>
              </w:rPr>
            </w:pPr>
            <w:r w:rsidRPr="00A840F1">
              <w:rPr>
                <w:rFonts w:ascii="Verdana" w:eastAsia="Verdana" w:hAnsi="Verdana" w:cs="Verdana"/>
                <w:b/>
                <w:color w:val="000000"/>
                <w:sz w:val="16"/>
                <w:lang w:val="en-GB"/>
              </w:rPr>
              <w:t>(</w:t>
            </w:r>
            <w:r w:rsidR="00DF2050" w:rsidRPr="00A840F1">
              <w:rPr>
                <w:rFonts w:ascii="Verdana" w:eastAsia="Verdana" w:hAnsi="Verdana" w:cs="Verdana"/>
                <w:b/>
                <w:color w:val="000000"/>
                <w:sz w:val="16"/>
                <w:lang w:val="en-GB"/>
              </w:rPr>
              <w:t>2</w:t>
            </w:r>
            <w:r w:rsidR="00B8593F">
              <w:rPr>
                <w:rFonts w:ascii="Verdana" w:eastAsia="Verdana" w:hAnsi="Verdana" w:cs="Verdana"/>
                <w:b/>
                <w:color w:val="000000"/>
                <w:sz w:val="16"/>
                <w:lang w:val="en-GB"/>
              </w:rPr>
              <w:t>,248</w:t>
            </w:r>
            <w:r w:rsidRPr="00A840F1">
              <w:rPr>
                <w:rFonts w:ascii="Verdana" w:eastAsia="Verdana" w:hAnsi="Verdana" w:cs="Verdana"/>
                <w:b/>
                <w:color w:val="000000"/>
                <w:sz w:val="16"/>
                <w:lang w:val="en-GB"/>
              </w:rPr>
              <w:t>)</w:t>
            </w:r>
          </w:p>
        </w:tc>
        <w:tc>
          <w:tcPr>
            <w:tcW w:w="1267" w:type="dxa"/>
            <w:tcBorders>
              <w:top w:val="single" w:sz="4" w:space="0" w:color="auto"/>
            </w:tcBorders>
            <w:shd w:val="clear" w:color="auto" w:fill="auto"/>
            <w:tcMar>
              <w:top w:w="20" w:type="dxa"/>
              <w:left w:w="20" w:type="dxa"/>
              <w:bottom w:w="20" w:type="dxa"/>
              <w:right w:w="20" w:type="dxa"/>
            </w:tcMar>
          </w:tcPr>
          <w:p w:rsidR="00DF2050" w:rsidRPr="00A840F1" w:rsidRDefault="00DF2050" w:rsidP="00DF2050">
            <w:pPr>
              <w:pStyle w:val="T1TableStyle"/>
              <w:jc w:val="right"/>
              <w:rPr>
                <w:rFonts w:ascii="Verdana" w:eastAsia="Verdana" w:hAnsi="Verdana" w:cs="Verdana"/>
                <w:b/>
                <w:color w:val="000000"/>
                <w:sz w:val="16"/>
                <w:lang w:val="en-GB"/>
              </w:rPr>
            </w:pPr>
            <w:r w:rsidRPr="00A840F1">
              <w:rPr>
                <w:rFonts w:ascii="Verdana" w:eastAsia="Verdana" w:hAnsi="Verdana" w:cs="Verdana"/>
                <w:b/>
                <w:color w:val="000000"/>
                <w:sz w:val="16"/>
                <w:lang w:val="en-GB"/>
              </w:rPr>
              <w:t>0</w:t>
            </w:r>
          </w:p>
        </w:tc>
        <w:tc>
          <w:tcPr>
            <w:tcW w:w="1191" w:type="dxa"/>
            <w:tcBorders>
              <w:top w:val="single" w:sz="4" w:space="0" w:color="auto"/>
            </w:tcBorders>
            <w:shd w:val="clear" w:color="auto" w:fill="auto"/>
            <w:tcMar>
              <w:top w:w="20" w:type="dxa"/>
              <w:left w:w="20" w:type="dxa"/>
              <w:bottom w:w="20" w:type="dxa"/>
              <w:right w:w="20" w:type="dxa"/>
            </w:tcMar>
          </w:tcPr>
          <w:p w:rsidR="00DF2050" w:rsidRPr="00A840F1" w:rsidRDefault="008A237E">
            <w:pPr>
              <w:pStyle w:val="T1TableStyle"/>
              <w:jc w:val="right"/>
              <w:rPr>
                <w:rFonts w:ascii="Verdana" w:eastAsia="Verdana" w:hAnsi="Verdana" w:cs="Verdana"/>
                <w:b/>
                <w:color w:val="000000"/>
                <w:sz w:val="16"/>
                <w:lang w:val="en-GB"/>
              </w:rPr>
            </w:pPr>
            <w:r w:rsidRPr="00A840F1">
              <w:rPr>
                <w:rFonts w:ascii="Verdana" w:eastAsia="Verdana" w:hAnsi="Verdana" w:cs="Verdana"/>
                <w:b/>
                <w:color w:val="000000"/>
                <w:sz w:val="16"/>
                <w:lang w:val="en-GB"/>
              </w:rPr>
              <w:t>(</w:t>
            </w:r>
            <w:r w:rsidR="00B8593F">
              <w:rPr>
                <w:rFonts w:ascii="Verdana" w:eastAsia="Verdana" w:hAnsi="Verdana" w:cs="Verdana"/>
                <w:b/>
                <w:color w:val="000000"/>
                <w:sz w:val="16"/>
                <w:lang w:val="en-GB"/>
              </w:rPr>
              <w:t>2,248</w:t>
            </w:r>
            <w:r w:rsidRPr="00A840F1">
              <w:rPr>
                <w:rFonts w:ascii="Verdana" w:eastAsia="Verdana" w:hAnsi="Verdana" w:cs="Verdana"/>
                <w:b/>
                <w:color w:val="000000"/>
                <w:sz w:val="16"/>
                <w:lang w:val="en-GB"/>
              </w:rPr>
              <w:t>)</w:t>
            </w:r>
          </w:p>
        </w:tc>
        <w:tc>
          <w:tcPr>
            <w:tcW w:w="1348" w:type="dxa"/>
            <w:tcBorders>
              <w:top w:val="single" w:sz="4" w:space="0" w:color="auto"/>
            </w:tcBorders>
            <w:shd w:val="clear" w:color="auto" w:fill="auto"/>
            <w:tcMar>
              <w:top w:w="20" w:type="dxa"/>
              <w:left w:w="20" w:type="dxa"/>
              <w:bottom w:w="20" w:type="dxa"/>
              <w:right w:w="20" w:type="dxa"/>
            </w:tcMar>
          </w:tcPr>
          <w:p w:rsidR="00DF2050" w:rsidRPr="00A840F1" w:rsidRDefault="00D32B34"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3,799</w:t>
            </w:r>
          </w:p>
        </w:tc>
        <w:tc>
          <w:tcPr>
            <w:tcW w:w="1396" w:type="dxa"/>
            <w:tcBorders>
              <w:top w:val="single" w:sz="4" w:space="0" w:color="auto"/>
            </w:tcBorders>
            <w:shd w:val="clear" w:color="auto" w:fill="auto"/>
            <w:tcMar>
              <w:top w:w="20" w:type="dxa"/>
              <w:left w:w="20" w:type="dxa"/>
              <w:bottom w:w="20" w:type="dxa"/>
              <w:right w:w="20" w:type="dxa"/>
            </w:tcMar>
          </w:tcPr>
          <w:p w:rsidR="00DF2050" w:rsidRDefault="00D32B34"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(1,629)</w:t>
            </w:r>
          </w:p>
        </w:tc>
        <w:tc>
          <w:tcPr>
            <w:tcW w:w="1096" w:type="dxa"/>
            <w:tcBorders>
              <w:top w:val="single" w:sz="4" w:space="0" w:color="auto"/>
              <w:left w:val="single" w:sz="2" w:space="0" w:color="000000"/>
              <w:right w:val="single" w:sz="2" w:space="0" w:color="000000"/>
            </w:tcBorders>
            <w:shd w:val="clear" w:color="auto" w:fill="auto"/>
            <w:tcMar>
              <w:top w:w="20" w:type="dxa"/>
              <w:left w:w="20" w:type="dxa"/>
              <w:bottom w:w="20" w:type="dxa"/>
              <w:right w:w="20" w:type="dxa"/>
            </w:tcMar>
          </w:tcPr>
          <w:p w:rsidR="00DF2050" w:rsidRDefault="008A237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454D9C">
              <w:rPr>
                <w:rFonts w:ascii="Verdana" w:eastAsia="Verdana" w:hAnsi="Verdana" w:cs="Verdana"/>
                <w:b/>
                <w:color w:val="000000"/>
                <w:sz w:val="16"/>
                <w:lang w:val="en-GB"/>
              </w:rPr>
              <w:t>7</w:t>
            </w:r>
            <w:r w:rsidR="00A840F1">
              <w:rPr>
                <w:rFonts w:ascii="Verdana" w:eastAsia="Verdana" w:hAnsi="Verdana" w:cs="Verdana"/>
                <w:b/>
                <w:color w:val="000000"/>
                <w:sz w:val="16"/>
                <w:lang w:val="en-GB"/>
              </w:rPr>
              <w:t>8</w:t>
            </w:r>
            <w:r>
              <w:rPr>
                <w:rFonts w:ascii="Verdana" w:eastAsia="Verdana" w:hAnsi="Verdana" w:cs="Verdana"/>
                <w:b/>
                <w:color w:val="000000"/>
                <w:sz w:val="16"/>
                <w:lang w:val="en-GB"/>
              </w:rPr>
              <w:t>)</w:t>
            </w:r>
          </w:p>
        </w:tc>
        <w:tc>
          <w:tcPr>
            <w:tcW w:w="1191" w:type="dxa"/>
            <w:tcBorders>
              <w:top w:val="single" w:sz="4" w:space="0" w:color="auto"/>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B8593F">
              <w:rPr>
                <w:rFonts w:ascii="Verdana" w:eastAsia="Verdana" w:hAnsi="Verdana" w:cs="Verdana"/>
                <w:b/>
                <w:color w:val="000000"/>
                <w:sz w:val="16"/>
                <w:lang w:val="en-GB"/>
              </w:rPr>
              <w:t>137,50</w:t>
            </w:r>
            <w:r w:rsidR="008A24D0">
              <w:rPr>
                <w:rFonts w:ascii="Verdana" w:eastAsia="Verdana" w:hAnsi="Verdana" w:cs="Verdana"/>
                <w:b/>
                <w:color w:val="000000"/>
                <w:sz w:val="16"/>
                <w:lang w:val="en-GB"/>
              </w:rPr>
              <w:t>4</w:t>
            </w:r>
            <w:r>
              <w:rPr>
                <w:rFonts w:ascii="Verdana" w:eastAsia="Verdana" w:hAnsi="Verdana" w:cs="Verdana"/>
                <w:b/>
                <w:color w:val="000000"/>
                <w:sz w:val="16"/>
                <w:lang w:val="en-GB"/>
              </w:rPr>
              <w:t>)</w:t>
            </w:r>
          </w:p>
        </w:tc>
        <w:tc>
          <w:tcPr>
            <w:tcW w:w="1191" w:type="dxa"/>
            <w:tcBorders>
              <w:top w:val="single" w:sz="4" w:space="0" w:color="auto"/>
              <w:left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B8593F">
              <w:rPr>
                <w:rFonts w:ascii="Verdana" w:eastAsia="Verdana" w:hAnsi="Verdana" w:cs="Verdana"/>
                <w:b/>
                <w:color w:val="000000"/>
                <w:sz w:val="16"/>
                <w:lang w:val="en-GB"/>
              </w:rPr>
              <w:t>137,58</w:t>
            </w:r>
            <w:r w:rsidR="008A24D0">
              <w:rPr>
                <w:rFonts w:ascii="Verdana" w:eastAsia="Verdana" w:hAnsi="Verdana" w:cs="Verdana"/>
                <w:b/>
                <w:color w:val="000000"/>
                <w:sz w:val="16"/>
                <w:lang w:val="en-GB"/>
              </w:rPr>
              <w:t>2</w:t>
            </w:r>
            <w:r>
              <w:rPr>
                <w:rFonts w:ascii="Verdana" w:eastAsia="Verdana" w:hAnsi="Verdana" w:cs="Verdana"/>
                <w:b/>
                <w:color w:val="000000"/>
                <w:sz w:val="16"/>
                <w:lang w:val="en-GB"/>
              </w:rPr>
              <w:t>)</w:t>
            </w:r>
          </w:p>
        </w:tc>
      </w:tr>
      <w:tr w:rsidR="00DF2050" w:rsidTr="00F43C93">
        <w:trPr>
          <w:trHeight w:val="341"/>
        </w:trPr>
        <w:tc>
          <w:tcPr>
            <w:tcW w:w="2556" w:type="dxa"/>
            <w:tcBorders>
              <w:bottom w:val="single" w:sz="2" w:space="0" w:color="000000"/>
            </w:tcBorders>
            <w:shd w:val="clear" w:color="auto" w:fill="auto"/>
            <w:tcMar>
              <w:top w:w="20" w:type="dxa"/>
              <w:left w:w="20" w:type="dxa"/>
              <w:bottom w:w="20" w:type="dxa"/>
              <w:right w:w="20" w:type="dxa"/>
            </w:tcMar>
          </w:tcPr>
          <w:p w:rsidR="00DF2050" w:rsidRPr="00A840F1" w:rsidRDefault="00DF2050" w:rsidP="00DF2050">
            <w:pPr>
              <w:pStyle w:val="T1TableStyle"/>
              <w:rPr>
                <w:rFonts w:ascii="Verdana" w:eastAsia="Verdana" w:hAnsi="Verdana" w:cs="Verdana"/>
                <w:color w:val="000000"/>
                <w:sz w:val="16"/>
                <w:lang w:val="en-GB"/>
              </w:rPr>
            </w:pPr>
            <w:r w:rsidRPr="00A840F1">
              <w:rPr>
                <w:rFonts w:ascii="Verdana" w:eastAsia="Verdana" w:hAnsi="Verdana" w:cs="Verdana"/>
                <w:color w:val="000000"/>
                <w:sz w:val="16"/>
                <w:lang w:val="en-GB"/>
              </w:rPr>
              <w:t>Transfers to / from Earmarked Reserves</w:t>
            </w:r>
          </w:p>
          <w:p w:rsidR="00222933" w:rsidRPr="00A840F1" w:rsidRDefault="00222933" w:rsidP="00DF2050">
            <w:pPr>
              <w:pStyle w:val="T1TableStyle"/>
              <w:rPr>
                <w:rFonts w:ascii="Verdana" w:eastAsia="Verdana" w:hAnsi="Verdana" w:cs="Verdana"/>
                <w:color w:val="000000"/>
                <w:sz w:val="16"/>
                <w:lang w:val="en-GB"/>
              </w:rPr>
            </w:pPr>
          </w:p>
          <w:p w:rsidR="00F43C93" w:rsidRPr="00A840F1" w:rsidRDefault="00BB5F9E" w:rsidP="00DF2050">
            <w:pPr>
              <w:pStyle w:val="T1TableStyle"/>
              <w:rPr>
                <w:rFonts w:ascii="Verdana" w:eastAsia="Verdana" w:hAnsi="Verdana" w:cs="Verdana"/>
                <w:color w:val="000000"/>
                <w:sz w:val="16"/>
                <w:lang w:val="en-GB"/>
              </w:rPr>
            </w:pPr>
            <w:r w:rsidRPr="00A840F1">
              <w:rPr>
                <w:rFonts w:ascii="Verdana" w:eastAsia="Verdana" w:hAnsi="Verdana" w:cs="Verdana"/>
                <w:color w:val="000000"/>
                <w:sz w:val="16"/>
                <w:lang w:val="en-GB"/>
              </w:rPr>
              <w:t>Transfer  Chief Constable Reserve to General Fund Balance</w:t>
            </w:r>
          </w:p>
          <w:p w:rsidR="00BB5F9E" w:rsidRDefault="00BB5F9E" w:rsidP="00DF2050">
            <w:pPr>
              <w:pStyle w:val="T1TableStyle"/>
              <w:rPr>
                <w:rFonts w:ascii="Verdana" w:eastAsia="Verdana" w:hAnsi="Verdana" w:cs="Verdana"/>
                <w:color w:val="000000"/>
                <w:sz w:val="16"/>
                <w:lang w:val="en-GB"/>
              </w:rPr>
            </w:pPr>
          </w:p>
          <w:p w:rsidR="006D740C" w:rsidRPr="00A840F1" w:rsidRDefault="006D740C">
            <w:pPr>
              <w:pStyle w:val="T1TableStyle"/>
              <w:rPr>
                <w:rFonts w:ascii="Verdana" w:eastAsia="Verdana" w:hAnsi="Verdana" w:cs="Verdana"/>
                <w:color w:val="000000"/>
                <w:sz w:val="16"/>
                <w:lang w:val="en-GB"/>
              </w:rPr>
            </w:pPr>
          </w:p>
        </w:tc>
        <w:tc>
          <w:tcPr>
            <w:tcW w:w="1096" w:type="dxa"/>
            <w:tcBorders>
              <w:left w:val="single" w:sz="2" w:space="0" w:color="000000"/>
              <w:bottom w:val="single" w:sz="2" w:space="0" w:color="000000"/>
            </w:tcBorders>
            <w:shd w:val="clear" w:color="auto" w:fill="auto"/>
            <w:tcMar>
              <w:top w:w="20" w:type="dxa"/>
              <w:left w:w="20" w:type="dxa"/>
              <w:bottom w:w="20" w:type="dxa"/>
              <w:right w:w="20" w:type="dxa"/>
            </w:tcMar>
          </w:tcPr>
          <w:p w:rsidR="00F43C93" w:rsidRPr="00A840F1" w:rsidRDefault="00A840F1"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2,011</w:t>
            </w:r>
          </w:p>
          <w:p w:rsidR="00F43C93" w:rsidRPr="00A840F1" w:rsidRDefault="00F43C93" w:rsidP="00DF2050">
            <w:pPr>
              <w:pStyle w:val="T1TableStyle"/>
              <w:jc w:val="right"/>
              <w:rPr>
                <w:rFonts w:ascii="Verdana" w:eastAsia="Verdana" w:hAnsi="Verdana" w:cs="Verdana"/>
                <w:color w:val="000000"/>
                <w:sz w:val="16"/>
                <w:lang w:val="en-GB"/>
              </w:rPr>
            </w:pPr>
          </w:p>
          <w:p w:rsidR="00454D9C" w:rsidRDefault="00454D9C">
            <w:pPr>
              <w:pStyle w:val="T1TableStyle"/>
              <w:jc w:val="right"/>
              <w:rPr>
                <w:rFonts w:ascii="Verdana" w:eastAsia="Verdana" w:hAnsi="Verdana" w:cs="Verdana"/>
                <w:color w:val="000000"/>
                <w:sz w:val="16"/>
                <w:lang w:val="en-GB"/>
              </w:rPr>
            </w:pPr>
          </w:p>
          <w:p w:rsidR="00BB5F9E" w:rsidRPr="00A840F1" w:rsidRDefault="00454D9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(1,071)</w:t>
            </w:r>
          </w:p>
        </w:tc>
        <w:tc>
          <w:tcPr>
            <w:tcW w:w="1267" w:type="dxa"/>
            <w:tcBorders>
              <w:bottom w:val="single" w:sz="2" w:space="0" w:color="000000"/>
            </w:tcBorders>
            <w:shd w:val="clear" w:color="auto" w:fill="auto"/>
            <w:tcMar>
              <w:top w:w="20" w:type="dxa"/>
              <w:left w:w="20" w:type="dxa"/>
              <w:bottom w:w="20" w:type="dxa"/>
              <w:right w:w="20" w:type="dxa"/>
            </w:tcMar>
          </w:tcPr>
          <w:p w:rsidR="00A840F1" w:rsidRPr="00A840F1" w:rsidRDefault="00A840F1" w:rsidP="00A840F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(2,011)</w:t>
            </w:r>
          </w:p>
          <w:p w:rsidR="00F43C93" w:rsidRPr="00A840F1" w:rsidRDefault="00F43C93" w:rsidP="008901BA">
            <w:pPr>
              <w:pStyle w:val="T1TableStyle"/>
              <w:jc w:val="right"/>
              <w:rPr>
                <w:rFonts w:ascii="Verdana" w:eastAsia="Verdana" w:hAnsi="Verdana" w:cs="Verdana"/>
                <w:color w:val="000000"/>
                <w:sz w:val="16"/>
                <w:lang w:val="en-GB"/>
              </w:rPr>
            </w:pPr>
          </w:p>
          <w:p w:rsidR="00F43C93" w:rsidRPr="00A840F1" w:rsidRDefault="00F43C93" w:rsidP="008901BA">
            <w:pPr>
              <w:pStyle w:val="T1TableStyle"/>
              <w:jc w:val="right"/>
              <w:rPr>
                <w:rFonts w:ascii="Verdana" w:eastAsia="Verdana" w:hAnsi="Verdana" w:cs="Verdana"/>
                <w:color w:val="000000"/>
                <w:sz w:val="16"/>
                <w:lang w:val="en-GB"/>
              </w:rPr>
            </w:pPr>
          </w:p>
          <w:p w:rsidR="00BB5F9E" w:rsidRPr="00A840F1" w:rsidRDefault="00222933" w:rsidP="00222933">
            <w:pPr>
              <w:pStyle w:val="T1TableStyle"/>
              <w:jc w:val="right"/>
              <w:rPr>
                <w:rFonts w:ascii="Verdana" w:eastAsia="Verdana" w:hAnsi="Verdana" w:cs="Verdana"/>
                <w:color w:val="000000"/>
                <w:sz w:val="16"/>
                <w:lang w:val="en-GB"/>
              </w:rPr>
            </w:pPr>
            <w:r w:rsidRPr="00A840F1">
              <w:rPr>
                <w:rFonts w:ascii="Verdana" w:eastAsia="Verdana" w:hAnsi="Verdana" w:cs="Verdana"/>
                <w:color w:val="000000"/>
                <w:sz w:val="16"/>
                <w:lang w:val="en-GB"/>
              </w:rPr>
              <w:t>1,0</w:t>
            </w:r>
            <w:r w:rsidR="00BB5F9E" w:rsidRPr="00A840F1">
              <w:rPr>
                <w:rFonts w:ascii="Verdana" w:eastAsia="Verdana" w:hAnsi="Verdana" w:cs="Verdana"/>
                <w:color w:val="000000"/>
                <w:sz w:val="16"/>
                <w:lang w:val="en-GB"/>
              </w:rPr>
              <w:t>71</w:t>
            </w:r>
          </w:p>
        </w:tc>
        <w:tc>
          <w:tcPr>
            <w:tcW w:w="1191" w:type="dxa"/>
            <w:tcBorders>
              <w:bottom w:val="single" w:sz="2" w:space="0" w:color="000000"/>
            </w:tcBorders>
            <w:shd w:val="clear" w:color="auto" w:fill="auto"/>
            <w:tcMar>
              <w:top w:w="20" w:type="dxa"/>
              <w:left w:w="20" w:type="dxa"/>
              <w:bottom w:w="20" w:type="dxa"/>
              <w:right w:w="20" w:type="dxa"/>
            </w:tcMar>
          </w:tcPr>
          <w:p w:rsidR="00DF2050" w:rsidRPr="00A840F1" w:rsidRDefault="00DF2050" w:rsidP="00DF2050">
            <w:pPr>
              <w:pStyle w:val="T1TableStyle"/>
              <w:jc w:val="right"/>
              <w:rPr>
                <w:rFonts w:ascii="Verdana" w:eastAsia="Verdana" w:hAnsi="Verdana" w:cs="Verdana"/>
                <w:color w:val="000000"/>
                <w:sz w:val="16"/>
                <w:lang w:val="en-GB"/>
              </w:rPr>
            </w:pPr>
            <w:r w:rsidRPr="00A840F1">
              <w:rPr>
                <w:rFonts w:ascii="Verdana" w:eastAsia="Verdana" w:hAnsi="Verdana" w:cs="Verdana"/>
                <w:color w:val="000000"/>
                <w:sz w:val="16"/>
                <w:lang w:val="en-GB"/>
              </w:rPr>
              <w:t>0</w:t>
            </w:r>
          </w:p>
          <w:p w:rsidR="00CD54E5" w:rsidRPr="00A840F1" w:rsidRDefault="00CD54E5" w:rsidP="00DF2050">
            <w:pPr>
              <w:pStyle w:val="T1TableStyle"/>
              <w:jc w:val="right"/>
              <w:rPr>
                <w:rFonts w:ascii="Verdana" w:eastAsia="Verdana" w:hAnsi="Verdana" w:cs="Verdana"/>
                <w:color w:val="000000"/>
                <w:sz w:val="16"/>
                <w:lang w:val="en-GB"/>
              </w:rPr>
            </w:pPr>
          </w:p>
          <w:p w:rsidR="00CD54E5" w:rsidRPr="00A840F1" w:rsidRDefault="00CD54E5" w:rsidP="00DF2050">
            <w:pPr>
              <w:pStyle w:val="T1TableStyle"/>
              <w:jc w:val="right"/>
              <w:rPr>
                <w:rFonts w:ascii="Verdana" w:eastAsia="Verdana" w:hAnsi="Verdana" w:cs="Verdana"/>
                <w:color w:val="000000"/>
                <w:sz w:val="16"/>
                <w:lang w:val="en-GB"/>
              </w:rPr>
            </w:pPr>
          </w:p>
          <w:p w:rsidR="00CD54E5" w:rsidRPr="00A840F1" w:rsidRDefault="00CD54E5" w:rsidP="00DF2050">
            <w:pPr>
              <w:pStyle w:val="T1TableStyle"/>
              <w:jc w:val="right"/>
              <w:rPr>
                <w:rFonts w:ascii="Verdana" w:eastAsia="Verdana" w:hAnsi="Verdana" w:cs="Verdana"/>
                <w:color w:val="000000"/>
                <w:sz w:val="16"/>
                <w:lang w:val="en-GB"/>
              </w:rPr>
            </w:pPr>
            <w:r w:rsidRPr="00A840F1">
              <w:rPr>
                <w:rFonts w:ascii="Verdana" w:eastAsia="Verdana" w:hAnsi="Verdana" w:cs="Verdana"/>
                <w:color w:val="000000"/>
                <w:sz w:val="16"/>
                <w:lang w:val="en-GB"/>
              </w:rPr>
              <w:t>0</w:t>
            </w:r>
          </w:p>
        </w:tc>
        <w:tc>
          <w:tcPr>
            <w:tcW w:w="1348" w:type="dxa"/>
            <w:tcBorders>
              <w:bottom w:val="single" w:sz="2" w:space="0" w:color="000000"/>
            </w:tcBorders>
            <w:shd w:val="clear" w:color="auto" w:fill="auto"/>
            <w:tcMar>
              <w:top w:w="20" w:type="dxa"/>
              <w:left w:w="20" w:type="dxa"/>
              <w:bottom w:w="20" w:type="dxa"/>
              <w:right w:w="20" w:type="dxa"/>
            </w:tcMar>
          </w:tcPr>
          <w:p w:rsidR="00DF2050" w:rsidRPr="00A840F1" w:rsidRDefault="00DF2050" w:rsidP="00DF2050">
            <w:pPr>
              <w:pStyle w:val="T1TableStyle"/>
              <w:jc w:val="right"/>
              <w:rPr>
                <w:rFonts w:ascii="Verdana" w:eastAsia="Verdana" w:hAnsi="Verdana" w:cs="Verdana"/>
                <w:color w:val="000000"/>
                <w:sz w:val="2"/>
                <w:lang w:val="en-GB"/>
              </w:rPr>
            </w:pPr>
            <w:r w:rsidRPr="00A840F1">
              <w:rPr>
                <w:rFonts w:ascii="Verdana" w:eastAsia="Verdana" w:hAnsi="Verdana" w:cs="Verdana"/>
                <w:color w:val="000000"/>
                <w:sz w:val="2"/>
                <w:lang w:val="en-GB"/>
              </w:rPr>
              <w:t xml:space="preserve"> </w:t>
            </w:r>
          </w:p>
          <w:p w:rsidR="00CD54E5" w:rsidRPr="00A840F1" w:rsidRDefault="00CD54E5" w:rsidP="00DF2050">
            <w:pPr>
              <w:pStyle w:val="T1TableStyle"/>
              <w:jc w:val="right"/>
              <w:rPr>
                <w:rFonts w:ascii="Verdana" w:eastAsia="Verdana" w:hAnsi="Verdana" w:cs="Verdana"/>
                <w:color w:val="000000"/>
                <w:sz w:val="2"/>
                <w:lang w:val="en-GB"/>
              </w:rPr>
            </w:pPr>
          </w:p>
          <w:p w:rsidR="00CD54E5" w:rsidRPr="00A840F1" w:rsidRDefault="00CD54E5" w:rsidP="00DF2050">
            <w:pPr>
              <w:pStyle w:val="T1TableStyle"/>
              <w:jc w:val="right"/>
              <w:rPr>
                <w:rFonts w:ascii="Verdana" w:eastAsia="Verdana" w:hAnsi="Verdana" w:cs="Verdana"/>
                <w:color w:val="000000"/>
                <w:sz w:val="2"/>
                <w:lang w:val="en-GB"/>
              </w:rPr>
            </w:pPr>
          </w:p>
          <w:p w:rsidR="00CD54E5" w:rsidRPr="00A840F1" w:rsidRDefault="00CD54E5" w:rsidP="00DF2050">
            <w:pPr>
              <w:pStyle w:val="T1TableStyle"/>
              <w:jc w:val="right"/>
              <w:rPr>
                <w:rFonts w:ascii="Verdana" w:eastAsia="Verdana" w:hAnsi="Verdana" w:cs="Verdana"/>
                <w:color w:val="000000"/>
                <w:sz w:val="2"/>
                <w:lang w:val="en-GB"/>
              </w:rPr>
            </w:pPr>
            <w:r w:rsidRPr="00A840F1">
              <w:rPr>
                <w:rFonts w:ascii="Verdana" w:eastAsia="Verdana" w:hAnsi="Verdana" w:cs="Verdana"/>
                <w:color w:val="000000"/>
                <w:sz w:val="2"/>
                <w:lang w:val="en-GB"/>
              </w:rPr>
              <w:t>0</w:t>
            </w:r>
          </w:p>
        </w:tc>
        <w:tc>
          <w:tcPr>
            <w:tcW w:w="13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p w:rsidR="00CD54E5" w:rsidRDefault="00CD54E5" w:rsidP="00DF2050">
            <w:pPr>
              <w:pStyle w:val="T1TableStyle"/>
              <w:jc w:val="right"/>
              <w:rPr>
                <w:rFonts w:ascii="Verdana" w:eastAsia="Verdana" w:hAnsi="Verdana" w:cs="Verdana"/>
                <w:b/>
                <w:color w:val="000000"/>
                <w:sz w:val="16"/>
                <w:lang w:val="en-GB"/>
              </w:rPr>
            </w:pPr>
          </w:p>
          <w:p w:rsidR="00CD54E5" w:rsidRDefault="00CD54E5" w:rsidP="00DF2050">
            <w:pPr>
              <w:pStyle w:val="T1TableStyle"/>
              <w:jc w:val="right"/>
              <w:rPr>
                <w:rFonts w:ascii="Verdana" w:eastAsia="Verdana" w:hAnsi="Verdana" w:cs="Verdana"/>
                <w:b/>
                <w:color w:val="000000"/>
                <w:sz w:val="16"/>
                <w:lang w:val="en-GB"/>
              </w:rPr>
            </w:pPr>
          </w:p>
          <w:p w:rsidR="00CD54E5" w:rsidRDefault="00CD54E5"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p w:rsidR="00CD54E5" w:rsidRDefault="00CD54E5" w:rsidP="00DF2050">
            <w:pPr>
              <w:pStyle w:val="T1TableStyle"/>
              <w:jc w:val="right"/>
              <w:rPr>
                <w:rFonts w:ascii="Verdana" w:eastAsia="Verdana" w:hAnsi="Verdana" w:cs="Verdana"/>
                <w:b/>
                <w:color w:val="000000"/>
                <w:sz w:val="16"/>
                <w:lang w:val="en-GB"/>
              </w:rPr>
            </w:pP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p w:rsidR="00CD54E5" w:rsidRDefault="00CD54E5" w:rsidP="00DF2050">
            <w:pPr>
              <w:pStyle w:val="T1TableStyle"/>
              <w:jc w:val="right"/>
              <w:rPr>
                <w:rFonts w:ascii="Verdana" w:eastAsia="Verdana" w:hAnsi="Verdana" w:cs="Verdana"/>
                <w:color w:val="000000"/>
                <w:sz w:val="16"/>
                <w:lang w:val="en-GB"/>
              </w:rPr>
            </w:pPr>
          </w:p>
          <w:p w:rsidR="00CD54E5" w:rsidRDefault="00CD54E5" w:rsidP="00DF2050">
            <w:pPr>
              <w:pStyle w:val="T1TableStyle"/>
              <w:jc w:val="right"/>
              <w:rPr>
                <w:rFonts w:ascii="Verdana" w:eastAsia="Verdana" w:hAnsi="Verdana" w:cs="Verdana"/>
                <w:color w:val="000000"/>
                <w:sz w:val="16"/>
                <w:lang w:val="en-GB"/>
              </w:rPr>
            </w:pPr>
          </w:p>
          <w:p w:rsidR="00CD54E5" w:rsidRDefault="00CD54E5"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p w:rsidR="006D740C" w:rsidRDefault="006D740C" w:rsidP="00DF2050">
            <w:pPr>
              <w:pStyle w:val="T1TableStyle"/>
              <w:jc w:val="right"/>
              <w:rPr>
                <w:rFonts w:ascii="Verdana" w:eastAsia="Verdana" w:hAnsi="Verdana" w:cs="Verdana"/>
                <w:color w:val="000000"/>
                <w:sz w:val="16"/>
                <w:lang w:val="en-GB"/>
              </w:rPr>
            </w:pPr>
          </w:p>
          <w:p w:rsidR="006D740C" w:rsidRDefault="006D740C" w:rsidP="00DF2050">
            <w:pPr>
              <w:pStyle w:val="T1TableStyle"/>
              <w:jc w:val="right"/>
              <w:rPr>
                <w:rFonts w:ascii="Verdana" w:eastAsia="Verdana" w:hAnsi="Verdana" w:cs="Verdana"/>
                <w:color w:val="000000"/>
                <w:sz w:val="16"/>
                <w:lang w:val="en-GB"/>
              </w:rPr>
            </w:pPr>
          </w:p>
          <w:p w:rsidR="006D740C" w:rsidRDefault="006D740C" w:rsidP="00DF2050">
            <w:pPr>
              <w:pStyle w:val="T1TableStyle"/>
              <w:jc w:val="right"/>
              <w:rPr>
                <w:rFonts w:ascii="Verdana" w:eastAsia="Verdana" w:hAnsi="Verdana" w:cs="Verdana"/>
                <w:color w:val="000000"/>
                <w:sz w:val="16"/>
                <w:lang w:val="en-GB"/>
              </w:rPr>
            </w:pPr>
          </w:p>
          <w:p w:rsidR="006D740C" w:rsidRDefault="006D740C" w:rsidP="00DF2050">
            <w:pPr>
              <w:pStyle w:val="T1TableStyle"/>
              <w:jc w:val="right"/>
              <w:rPr>
                <w:rFonts w:ascii="Verdana" w:eastAsia="Verdana" w:hAnsi="Verdana" w:cs="Verdana"/>
                <w:color w:val="000000"/>
                <w:sz w:val="16"/>
                <w:lang w:val="en-GB"/>
              </w:rPr>
            </w:pPr>
          </w:p>
        </w:tc>
        <w:tc>
          <w:tcPr>
            <w:tcW w:w="1191" w:type="dxa"/>
            <w:tcBorders>
              <w:left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p w:rsidR="00CD54E5" w:rsidRDefault="00CD54E5" w:rsidP="00DF2050">
            <w:pPr>
              <w:pStyle w:val="T1TableStyle"/>
              <w:jc w:val="right"/>
              <w:rPr>
                <w:rFonts w:ascii="Verdana" w:eastAsia="Verdana" w:hAnsi="Verdana" w:cs="Verdana"/>
                <w:b/>
                <w:color w:val="000000"/>
                <w:sz w:val="16"/>
                <w:lang w:val="en-GB"/>
              </w:rPr>
            </w:pPr>
          </w:p>
          <w:p w:rsidR="00CD54E5" w:rsidRDefault="00CD54E5" w:rsidP="00DF2050">
            <w:pPr>
              <w:pStyle w:val="T1TableStyle"/>
              <w:jc w:val="right"/>
              <w:rPr>
                <w:rFonts w:ascii="Verdana" w:eastAsia="Verdana" w:hAnsi="Verdana" w:cs="Verdana"/>
                <w:b/>
                <w:color w:val="000000"/>
                <w:sz w:val="16"/>
                <w:lang w:val="en-GB"/>
              </w:rPr>
            </w:pPr>
          </w:p>
          <w:p w:rsidR="00CD54E5" w:rsidRDefault="00CD54E5"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p w:rsidR="006D740C" w:rsidRDefault="006D740C" w:rsidP="00DF2050">
            <w:pPr>
              <w:pStyle w:val="T1TableStyle"/>
              <w:jc w:val="right"/>
              <w:rPr>
                <w:rFonts w:ascii="Verdana" w:eastAsia="Verdana" w:hAnsi="Verdana" w:cs="Verdana"/>
                <w:b/>
                <w:color w:val="000000"/>
                <w:sz w:val="16"/>
                <w:lang w:val="en-GB"/>
              </w:rPr>
            </w:pPr>
          </w:p>
          <w:p w:rsidR="006D740C" w:rsidRDefault="006D740C" w:rsidP="00DF2050">
            <w:pPr>
              <w:pStyle w:val="T1TableStyle"/>
              <w:jc w:val="right"/>
              <w:rPr>
                <w:rFonts w:ascii="Verdana" w:eastAsia="Verdana" w:hAnsi="Verdana" w:cs="Verdana"/>
                <w:b/>
                <w:color w:val="000000"/>
                <w:sz w:val="16"/>
                <w:lang w:val="en-GB"/>
              </w:rPr>
            </w:pPr>
          </w:p>
          <w:p w:rsidR="006D740C" w:rsidRDefault="006D740C" w:rsidP="00DF2050">
            <w:pPr>
              <w:pStyle w:val="T1TableStyle"/>
              <w:jc w:val="right"/>
              <w:rPr>
                <w:rFonts w:ascii="Verdana" w:eastAsia="Verdana" w:hAnsi="Verdana" w:cs="Verdana"/>
                <w:b/>
                <w:color w:val="000000"/>
                <w:sz w:val="16"/>
                <w:lang w:val="en-GB"/>
              </w:rPr>
            </w:pPr>
          </w:p>
          <w:p w:rsidR="006D740C" w:rsidRDefault="006D740C" w:rsidP="00DF2050">
            <w:pPr>
              <w:pStyle w:val="T1TableStyle"/>
              <w:jc w:val="right"/>
              <w:rPr>
                <w:rFonts w:ascii="Verdana" w:eastAsia="Verdana" w:hAnsi="Verdana" w:cs="Verdana"/>
                <w:b/>
                <w:color w:val="000000"/>
                <w:sz w:val="16"/>
                <w:lang w:val="en-GB"/>
              </w:rPr>
            </w:pPr>
          </w:p>
        </w:tc>
      </w:tr>
      <w:tr w:rsidR="00DF2050" w:rsidTr="00F43C93">
        <w:trPr>
          <w:trHeight w:val="341"/>
        </w:trPr>
        <w:tc>
          <w:tcPr>
            <w:tcW w:w="2556"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Increase or Decrease in 2019/20</w:t>
            </w:r>
          </w:p>
        </w:tc>
        <w:tc>
          <w:tcPr>
            <w:tcW w:w="1096"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DF2050" w:rsidRDefault="0078659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A840F1">
              <w:rPr>
                <w:rFonts w:ascii="Verdana" w:eastAsia="Verdana" w:hAnsi="Verdana" w:cs="Verdana"/>
                <w:b/>
                <w:color w:val="000000"/>
                <w:sz w:val="16"/>
                <w:lang w:val="en-GB"/>
              </w:rPr>
              <w:t>1,3</w:t>
            </w:r>
            <w:r w:rsidR="00454D9C">
              <w:rPr>
                <w:rFonts w:ascii="Verdana" w:eastAsia="Verdana" w:hAnsi="Verdana" w:cs="Verdana"/>
                <w:b/>
                <w:color w:val="000000"/>
                <w:sz w:val="16"/>
                <w:lang w:val="en-GB"/>
              </w:rPr>
              <w:t>0</w:t>
            </w:r>
            <w:r w:rsidR="00A840F1">
              <w:rPr>
                <w:rFonts w:ascii="Verdana" w:eastAsia="Verdana" w:hAnsi="Verdana" w:cs="Verdana"/>
                <w:b/>
                <w:color w:val="000000"/>
                <w:sz w:val="16"/>
                <w:lang w:val="en-GB"/>
              </w:rPr>
              <w:t>8</w:t>
            </w:r>
            <w:r>
              <w:rPr>
                <w:rFonts w:ascii="Verdana" w:eastAsia="Verdana" w:hAnsi="Verdana" w:cs="Verdana"/>
                <w:b/>
                <w:color w:val="000000"/>
                <w:sz w:val="16"/>
                <w:lang w:val="en-GB"/>
              </w:rPr>
              <w:t>)</w:t>
            </w:r>
          </w:p>
        </w:tc>
        <w:tc>
          <w:tcPr>
            <w:tcW w:w="1267"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A840F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A840F1">
              <w:rPr>
                <w:rFonts w:ascii="Verdana" w:eastAsia="Verdana" w:hAnsi="Verdana" w:cs="Verdana"/>
                <w:b/>
                <w:color w:val="000000"/>
                <w:sz w:val="16"/>
                <w:lang w:val="en-GB"/>
              </w:rPr>
              <w:t>940</w:t>
            </w:r>
            <w:r>
              <w:rPr>
                <w:rFonts w:ascii="Verdana" w:eastAsia="Verdana" w:hAnsi="Verdana" w:cs="Verdana"/>
                <w:b/>
                <w:color w:val="000000"/>
                <w:sz w:val="16"/>
                <w:lang w:val="en-GB"/>
              </w:rPr>
              <w:t>)</w:t>
            </w:r>
          </w:p>
        </w:tc>
        <w:tc>
          <w:tcPr>
            <w:tcW w:w="1191"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27027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w:t>
            </w:r>
            <w:r w:rsidR="00454D9C">
              <w:rPr>
                <w:rFonts w:ascii="Verdana" w:eastAsia="Verdana" w:hAnsi="Verdana" w:cs="Verdana"/>
                <w:b/>
                <w:color w:val="000000"/>
                <w:sz w:val="16"/>
                <w:lang w:val="en-GB"/>
              </w:rPr>
              <w:t>4</w:t>
            </w:r>
            <w:r>
              <w:rPr>
                <w:rFonts w:ascii="Verdana" w:eastAsia="Verdana" w:hAnsi="Verdana" w:cs="Verdana"/>
                <w:b/>
                <w:color w:val="000000"/>
                <w:sz w:val="16"/>
                <w:lang w:val="en-GB"/>
              </w:rPr>
              <w:t>8)</w:t>
            </w:r>
          </w:p>
        </w:tc>
        <w:tc>
          <w:tcPr>
            <w:tcW w:w="1348"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6B5F1F"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3,799</w:t>
            </w:r>
          </w:p>
        </w:tc>
        <w:tc>
          <w:tcPr>
            <w:tcW w:w="1396"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6B5F1F" w:rsidP="0009043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(1,6</w:t>
            </w:r>
            <w:r w:rsidR="0009043D">
              <w:rPr>
                <w:rFonts w:ascii="Verdana" w:eastAsia="Verdana" w:hAnsi="Verdana" w:cs="Verdana"/>
                <w:b/>
                <w:color w:val="000000"/>
                <w:sz w:val="16"/>
                <w:lang w:val="en-GB"/>
              </w:rPr>
              <w:t>29</w:t>
            </w:r>
            <w:r>
              <w:rPr>
                <w:rFonts w:ascii="Verdana" w:eastAsia="Verdana" w:hAnsi="Verdana" w:cs="Verdana"/>
                <w:b/>
                <w:color w:val="000000"/>
                <w:sz w:val="16"/>
                <w:lang w:val="en-GB"/>
              </w:rPr>
              <w:t>)</w:t>
            </w:r>
          </w:p>
        </w:tc>
        <w:tc>
          <w:tcPr>
            <w:tcW w:w="109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DF2050" w:rsidRDefault="00A840F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454D9C">
              <w:rPr>
                <w:rFonts w:ascii="Verdana" w:eastAsia="Verdana" w:hAnsi="Verdana" w:cs="Verdana"/>
                <w:b/>
                <w:color w:val="000000"/>
                <w:sz w:val="16"/>
                <w:lang w:val="en-GB"/>
              </w:rPr>
              <w:t>7</w:t>
            </w:r>
            <w:r>
              <w:rPr>
                <w:rFonts w:ascii="Verdana" w:eastAsia="Verdana" w:hAnsi="Verdana" w:cs="Verdana"/>
                <w:b/>
                <w:color w:val="000000"/>
                <w:sz w:val="16"/>
                <w:lang w:val="en-GB"/>
              </w:rPr>
              <w:t>8)</w:t>
            </w:r>
          </w:p>
          <w:p w:rsidR="006B5F1F" w:rsidRDefault="006B5F1F" w:rsidP="00DF2050">
            <w:pPr>
              <w:pStyle w:val="T1TableStyle"/>
              <w:jc w:val="right"/>
              <w:rPr>
                <w:rFonts w:ascii="Verdana" w:eastAsia="Verdana" w:hAnsi="Verdana" w:cs="Verdana"/>
                <w:b/>
                <w:color w:val="000000"/>
                <w:sz w:val="16"/>
                <w:lang w:val="en-GB"/>
              </w:rPr>
            </w:pPr>
          </w:p>
        </w:tc>
        <w:tc>
          <w:tcPr>
            <w:tcW w:w="1191"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B8593F">
              <w:rPr>
                <w:rFonts w:ascii="Verdana" w:eastAsia="Verdana" w:hAnsi="Verdana" w:cs="Verdana"/>
                <w:b/>
                <w:color w:val="000000"/>
                <w:sz w:val="16"/>
                <w:lang w:val="en-GB"/>
              </w:rPr>
              <w:t>137,50</w:t>
            </w:r>
            <w:r w:rsidR="008A24D0">
              <w:rPr>
                <w:rFonts w:ascii="Verdana" w:eastAsia="Verdana" w:hAnsi="Verdana" w:cs="Verdana"/>
                <w:b/>
                <w:color w:val="000000"/>
                <w:sz w:val="16"/>
                <w:lang w:val="en-GB"/>
              </w:rPr>
              <w:t>4</w:t>
            </w:r>
            <w:r>
              <w:rPr>
                <w:rFonts w:ascii="Verdana" w:eastAsia="Verdana" w:hAnsi="Verdana" w:cs="Verdana"/>
                <w:b/>
                <w:color w:val="000000"/>
                <w:sz w:val="16"/>
                <w:lang w:val="en-GB"/>
              </w:rPr>
              <w:t>)</w:t>
            </w:r>
          </w:p>
        </w:tc>
        <w:tc>
          <w:tcPr>
            <w:tcW w:w="1191"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DF2050" w:rsidRDefault="00A840F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B8593F">
              <w:rPr>
                <w:rFonts w:ascii="Verdana" w:eastAsia="Verdana" w:hAnsi="Verdana" w:cs="Verdana"/>
                <w:b/>
                <w:color w:val="000000"/>
                <w:sz w:val="16"/>
                <w:lang w:val="en-GB"/>
              </w:rPr>
              <w:t>137,58</w:t>
            </w:r>
            <w:r w:rsidR="008A24D0">
              <w:rPr>
                <w:rFonts w:ascii="Verdana" w:eastAsia="Verdana" w:hAnsi="Verdana" w:cs="Verdana"/>
                <w:b/>
                <w:color w:val="000000"/>
                <w:sz w:val="16"/>
                <w:lang w:val="en-GB"/>
              </w:rPr>
              <w:t>2</w:t>
            </w:r>
            <w:r w:rsidR="00614FDF">
              <w:rPr>
                <w:rFonts w:ascii="Verdana" w:eastAsia="Verdana" w:hAnsi="Verdana" w:cs="Verdana"/>
                <w:b/>
                <w:color w:val="000000"/>
                <w:sz w:val="16"/>
                <w:lang w:val="en-GB"/>
              </w:rPr>
              <w:t>)</w:t>
            </w:r>
          </w:p>
        </w:tc>
      </w:tr>
      <w:tr w:rsidR="00DF2050" w:rsidTr="00F43C93">
        <w:trPr>
          <w:trHeight w:val="27"/>
        </w:trPr>
        <w:tc>
          <w:tcPr>
            <w:tcW w:w="2556"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Balance at 31 March 2020</w:t>
            </w:r>
          </w:p>
        </w:tc>
        <w:tc>
          <w:tcPr>
            <w:tcW w:w="1096"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27027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8A237E">
              <w:rPr>
                <w:rFonts w:ascii="Verdana" w:eastAsia="Verdana" w:hAnsi="Verdana" w:cs="Verdana"/>
                <w:b/>
                <w:color w:val="000000"/>
                <w:sz w:val="16"/>
                <w:lang w:val="en-GB"/>
              </w:rPr>
              <w:t>8,1</w:t>
            </w:r>
            <w:r w:rsidR="00454D9C">
              <w:rPr>
                <w:rFonts w:ascii="Verdana" w:eastAsia="Verdana" w:hAnsi="Verdana" w:cs="Verdana"/>
                <w:b/>
                <w:color w:val="000000"/>
                <w:sz w:val="16"/>
                <w:lang w:val="en-GB"/>
              </w:rPr>
              <w:t>2</w:t>
            </w:r>
            <w:r w:rsidR="00270273">
              <w:rPr>
                <w:rFonts w:ascii="Verdana" w:eastAsia="Verdana" w:hAnsi="Verdana" w:cs="Verdana"/>
                <w:b/>
                <w:color w:val="000000"/>
                <w:sz w:val="16"/>
                <w:lang w:val="en-GB"/>
              </w:rPr>
              <w:t>0</w:t>
            </w:r>
            <w:r>
              <w:rPr>
                <w:rFonts w:ascii="Verdana" w:eastAsia="Verdana" w:hAnsi="Verdana" w:cs="Verdana"/>
                <w:b/>
                <w:color w:val="000000"/>
                <w:sz w:val="16"/>
                <w:lang w:val="en-GB"/>
              </w:rPr>
              <w:t>)</w:t>
            </w:r>
          </w:p>
        </w:tc>
        <w:tc>
          <w:tcPr>
            <w:tcW w:w="1267"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BB5F9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8A237E">
              <w:rPr>
                <w:rFonts w:ascii="Verdana" w:eastAsia="Verdana" w:hAnsi="Verdana" w:cs="Verdana"/>
                <w:b/>
                <w:color w:val="000000"/>
                <w:sz w:val="16"/>
                <w:lang w:val="en-GB"/>
              </w:rPr>
              <w:t>11,</w:t>
            </w:r>
            <w:r w:rsidR="00BB5F9E">
              <w:rPr>
                <w:rFonts w:ascii="Verdana" w:eastAsia="Verdana" w:hAnsi="Verdana" w:cs="Verdana"/>
                <w:b/>
                <w:color w:val="000000"/>
                <w:sz w:val="16"/>
                <w:lang w:val="en-GB"/>
              </w:rPr>
              <w:t>3</w:t>
            </w:r>
            <w:r w:rsidR="008A237E">
              <w:rPr>
                <w:rFonts w:ascii="Verdana" w:eastAsia="Verdana" w:hAnsi="Verdana" w:cs="Verdana"/>
                <w:b/>
                <w:color w:val="000000"/>
                <w:sz w:val="16"/>
                <w:lang w:val="en-GB"/>
              </w:rPr>
              <w:t>81</w:t>
            </w:r>
            <w:r>
              <w:rPr>
                <w:rFonts w:ascii="Verdana" w:eastAsia="Verdana" w:hAnsi="Verdana" w:cs="Verdana"/>
                <w:b/>
                <w:color w:val="000000"/>
                <w:sz w:val="16"/>
                <w:lang w:val="en-GB"/>
              </w:rPr>
              <w:t>)</w:t>
            </w:r>
          </w:p>
        </w:tc>
        <w:tc>
          <w:tcPr>
            <w:tcW w:w="1191"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A840F1">
              <w:rPr>
                <w:rFonts w:ascii="Verdana" w:eastAsia="Verdana" w:hAnsi="Verdana" w:cs="Verdana"/>
                <w:b/>
                <w:color w:val="000000"/>
                <w:sz w:val="16"/>
                <w:lang w:val="en-GB"/>
              </w:rPr>
              <w:t>19</w:t>
            </w:r>
            <w:r w:rsidR="00270273">
              <w:rPr>
                <w:rFonts w:ascii="Verdana" w:eastAsia="Verdana" w:hAnsi="Verdana" w:cs="Verdana"/>
                <w:b/>
                <w:color w:val="000000"/>
                <w:sz w:val="16"/>
                <w:lang w:val="en-GB"/>
              </w:rPr>
              <w:t>,</w:t>
            </w:r>
            <w:r w:rsidR="00A840F1">
              <w:rPr>
                <w:rFonts w:ascii="Verdana" w:eastAsia="Verdana" w:hAnsi="Verdana" w:cs="Verdana"/>
                <w:b/>
                <w:color w:val="000000"/>
                <w:sz w:val="16"/>
                <w:lang w:val="en-GB"/>
              </w:rPr>
              <w:t>5</w:t>
            </w:r>
            <w:r w:rsidR="00454D9C">
              <w:rPr>
                <w:rFonts w:ascii="Verdana" w:eastAsia="Verdana" w:hAnsi="Verdana" w:cs="Verdana"/>
                <w:b/>
                <w:color w:val="000000"/>
                <w:sz w:val="16"/>
                <w:lang w:val="en-GB"/>
              </w:rPr>
              <w:t>0</w:t>
            </w:r>
            <w:r w:rsidR="00270273">
              <w:rPr>
                <w:rFonts w:ascii="Verdana" w:eastAsia="Verdana" w:hAnsi="Verdana" w:cs="Verdana"/>
                <w:b/>
                <w:color w:val="000000"/>
                <w:sz w:val="16"/>
                <w:lang w:val="en-GB"/>
              </w:rPr>
              <w:t>1</w:t>
            </w:r>
            <w:r>
              <w:rPr>
                <w:rFonts w:ascii="Verdana" w:eastAsia="Verdana" w:hAnsi="Verdana" w:cs="Verdana"/>
                <w:b/>
                <w:color w:val="000000"/>
                <w:sz w:val="16"/>
                <w:lang w:val="en-GB"/>
              </w:rPr>
              <w:t>)</w:t>
            </w:r>
          </w:p>
        </w:tc>
        <w:tc>
          <w:tcPr>
            <w:tcW w:w="1348"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09043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09043D">
              <w:rPr>
                <w:rFonts w:ascii="Verdana" w:eastAsia="Verdana" w:hAnsi="Verdana" w:cs="Verdana"/>
                <w:b/>
                <w:color w:val="000000"/>
                <w:sz w:val="16"/>
                <w:lang w:val="en-GB"/>
              </w:rPr>
              <w:t>197</w:t>
            </w:r>
            <w:r>
              <w:rPr>
                <w:rFonts w:ascii="Verdana" w:eastAsia="Verdana" w:hAnsi="Verdana" w:cs="Verdana"/>
                <w:b/>
                <w:color w:val="000000"/>
                <w:sz w:val="16"/>
                <w:lang w:val="en-GB"/>
              </w:rPr>
              <w:t>)</w:t>
            </w:r>
          </w:p>
        </w:tc>
        <w:tc>
          <w:tcPr>
            <w:tcW w:w="1396"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6B5F1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6B5F1F">
              <w:rPr>
                <w:rFonts w:ascii="Verdana" w:eastAsia="Verdana" w:hAnsi="Verdana" w:cs="Verdana"/>
                <w:b/>
                <w:color w:val="000000"/>
                <w:sz w:val="16"/>
                <w:lang w:val="en-GB"/>
              </w:rPr>
              <w:t>2,946</w:t>
            </w:r>
            <w:r>
              <w:rPr>
                <w:rFonts w:ascii="Verdana" w:eastAsia="Verdana" w:hAnsi="Verdana" w:cs="Verdana"/>
                <w:b/>
                <w:color w:val="000000"/>
                <w:sz w:val="16"/>
                <w:lang w:val="en-GB"/>
              </w:rPr>
              <w:t>)</w:t>
            </w:r>
          </w:p>
        </w:tc>
        <w:tc>
          <w:tcPr>
            <w:tcW w:w="1096" w:type="dxa"/>
            <w:tcBorders>
              <w:top w:val="single" w:sz="2" w:space="0" w:color="000000"/>
              <w:left w:val="single" w:sz="2" w:space="0" w:color="000000"/>
              <w:bottom w:val="single" w:sz="12" w:space="0" w:color="000000"/>
              <w:right w:val="single" w:sz="2" w:space="0" w:color="000000"/>
            </w:tcBorders>
            <w:shd w:val="clear" w:color="auto" w:fill="auto"/>
            <w:tcMar>
              <w:top w:w="20" w:type="dxa"/>
              <w:left w:w="20" w:type="dxa"/>
              <w:bottom w:w="20" w:type="dxa"/>
              <w:right w:w="20" w:type="dxa"/>
            </w:tcMar>
          </w:tcPr>
          <w:p w:rsidR="00DF2050" w:rsidRDefault="00DF2050" w:rsidP="0027027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270273">
              <w:rPr>
                <w:rFonts w:ascii="Verdana" w:eastAsia="Verdana" w:hAnsi="Verdana" w:cs="Verdana"/>
                <w:b/>
                <w:color w:val="000000"/>
                <w:sz w:val="16"/>
                <w:lang w:val="en-GB"/>
              </w:rPr>
              <w:t>22</w:t>
            </w:r>
            <w:r>
              <w:rPr>
                <w:rFonts w:ascii="Verdana" w:eastAsia="Verdana" w:hAnsi="Verdana" w:cs="Verdana"/>
                <w:b/>
                <w:color w:val="000000"/>
                <w:sz w:val="16"/>
                <w:lang w:val="en-GB"/>
              </w:rPr>
              <w:t>,</w:t>
            </w:r>
            <w:r w:rsidR="00270273">
              <w:rPr>
                <w:rFonts w:ascii="Verdana" w:eastAsia="Verdana" w:hAnsi="Verdana" w:cs="Verdana"/>
                <w:b/>
                <w:color w:val="000000"/>
                <w:sz w:val="16"/>
                <w:lang w:val="en-GB"/>
              </w:rPr>
              <w:t>6</w:t>
            </w:r>
            <w:r w:rsidR="00454D9C">
              <w:rPr>
                <w:rFonts w:ascii="Verdana" w:eastAsia="Verdana" w:hAnsi="Verdana" w:cs="Verdana"/>
                <w:b/>
                <w:color w:val="000000"/>
                <w:sz w:val="16"/>
                <w:lang w:val="en-GB"/>
              </w:rPr>
              <w:t>4</w:t>
            </w:r>
            <w:r w:rsidR="00270273">
              <w:rPr>
                <w:rFonts w:ascii="Verdana" w:eastAsia="Verdana" w:hAnsi="Verdana" w:cs="Verdana"/>
                <w:b/>
                <w:color w:val="000000"/>
                <w:sz w:val="16"/>
                <w:lang w:val="en-GB"/>
              </w:rPr>
              <w:t>4</w:t>
            </w:r>
            <w:r>
              <w:rPr>
                <w:rFonts w:ascii="Verdana" w:eastAsia="Verdana" w:hAnsi="Verdana" w:cs="Verdana"/>
                <w:b/>
                <w:color w:val="000000"/>
                <w:sz w:val="16"/>
                <w:lang w:val="en-GB"/>
              </w:rPr>
              <w:t>)</w:t>
            </w:r>
          </w:p>
        </w:tc>
        <w:tc>
          <w:tcPr>
            <w:tcW w:w="1191"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A840F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r w:rsidR="00B8593F">
              <w:rPr>
                <w:rFonts w:ascii="Verdana" w:eastAsia="Verdana" w:hAnsi="Verdana" w:cs="Verdana"/>
                <w:b/>
                <w:color w:val="000000"/>
                <w:sz w:val="16"/>
                <w:lang w:val="en-GB"/>
              </w:rPr>
              <w:t>919,43</w:t>
            </w:r>
            <w:r w:rsidR="008A24D0">
              <w:rPr>
                <w:rFonts w:ascii="Verdana" w:eastAsia="Verdana" w:hAnsi="Verdana" w:cs="Verdana"/>
                <w:b/>
                <w:color w:val="000000"/>
                <w:sz w:val="16"/>
                <w:lang w:val="en-GB"/>
              </w:rPr>
              <w:t xml:space="preserve">2 </w:t>
            </w:r>
          </w:p>
        </w:tc>
        <w:tc>
          <w:tcPr>
            <w:tcW w:w="1191"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DF2050" w:rsidRDefault="00B8593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1,896,78</w:t>
            </w:r>
            <w:r w:rsidR="008A24D0">
              <w:rPr>
                <w:rFonts w:ascii="Verdana" w:eastAsia="Verdana" w:hAnsi="Verdana" w:cs="Verdana"/>
                <w:b/>
                <w:color w:val="000000"/>
                <w:sz w:val="16"/>
                <w:lang w:val="en-GB"/>
              </w:rPr>
              <w:t>8</w:t>
            </w:r>
          </w:p>
        </w:tc>
      </w:tr>
      <w:tr w:rsidR="00DF2050" w:rsidTr="00F43C93">
        <w:trPr>
          <w:trHeight w:hRule="exact" w:val="108"/>
        </w:trPr>
        <w:tc>
          <w:tcPr>
            <w:tcW w:w="255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67"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48"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9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191"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DF2050" w:rsidTr="00F43C93">
        <w:trPr>
          <w:trHeight w:hRule="exact" w:val="402"/>
        </w:trPr>
        <w:tc>
          <w:tcPr>
            <w:tcW w:w="2556"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096"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67"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191"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48"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96"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096"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191"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191"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r>
      <w:tr w:rsidR="00DF2050" w:rsidTr="00F43C93">
        <w:trPr>
          <w:trHeight w:val="1050"/>
        </w:trPr>
        <w:tc>
          <w:tcPr>
            <w:tcW w:w="255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096"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General Fund Balance</w:t>
            </w:r>
          </w:p>
        </w:tc>
        <w:tc>
          <w:tcPr>
            <w:tcW w:w="1267"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Earmarked General Fund Reserves</w:t>
            </w:r>
          </w:p>
        </w:tc>
        <w:tc>
          <w:tcPr>
            <w:tcW w:w="1191"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General Fund Balance</w:t>
            </w:r>
          </w:p>
        </w:tc>
        <w:tc>
          <w:tcPr>
            <w:tcW w:w="1348"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Receipts Reserve</w:t>
            </w:r>
          </w:p>
        </w:tc>
        <w:tc>
          <w:tcPr>
            <w:tcW w:w="1396"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Grants Un-applied Account</w:t>
            </w:r>
          </w:p>
        </w:tc>
        <w:tc>
          <w:tcPr>
            <w:tcW w:w="1096"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Usable Reserves</w:t>
            </w:r>
          </w:p>
        </w:tc>
        <w:tc>
          <w:tcPr>
            <w:tcW w:w="1191"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Unusable Reserves</w:t>
            </w:r>
          </w:p>
        </w:tc>
        <w:tc>
          <w:tcPr>
            <w:tcW w:w="1191" w:type="dxa"/>
            <w:shd w:val="clear" w:color="auto" w:fill="auto"/>
            <w:tcMar>
              <w:top w:w="20" w:type="dxa"/>
              <w:left w:w="20" w:type="dxa"/>
              <w:bottom w:w="20" w:type="dxa"/>
              <w:right w:w="20" w:type="dxa"/>
            </w:tcMar>
            <w:vAlign w:val="bottom"/>
          </w:tcPr>
          <w:p w:rsidR="00DF2050" w:rsidRDefault="00DF2050" w:rsidP="00DF2050">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Reserves</w:t>
            </w:r>
          </w:p>
        </w:tc>
      </w:tr>
      <w:tr w:rsidR="00DF2050" w:rsidTr="00F43C93">
        <w:trPr>
          <w:trHeight w:val="243"/>
        </w:trPr>
        <w:tc>
          <w:tcPr>
            <w:tcW w:w="255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0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67"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48"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0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DF2050" w:rsidTr="00F43C93">
        <w:trPr>
          <w:trHeight w:val="243"/>
        </w:trPr>
        <w:tc>
          <w:tcPr>
            <w:tcW w:w="255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Balance at 31 March 2018</w:t>
            </w:r>
          </w:p>
        </w:tc>
        <w:tc>
          <w:tcPr>
            <w:tcW w:w="1096"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(6,147)</w:t>
            </w:r>
          </w:p>
        </w:tc>
        <w:tc>
          <w:tcPr>
            <w:tcW w:w="1267"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(6,907)</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(13,054)</w:t>
            </w:r>
          </w:p>
        </w:tc>
        <w:tc>
          <w:tcPr>
            <w:tcW w:w="1348"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(8,806)</w:t>
            </w:r>
          </w:p>
        </w:tc>
        <w:tc>
          <w:tcPr>
            <w:tcW w:w="13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(1,602)</w:t>
            </w:r>
          </w:p>
        </w:tc>
        <w:tc>
          <w:tcPr>
            <w:tcW w:w="1096"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(23,462)</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1,831,82</w:t>
            </w:r>
            <w:r w:rsidR="0013122F">
              <w:rPr>
                <w:rFonts w:ascii="Verdana" w:eastAsia="Verdana" w:hAnsi="Verdana" w:cs="Verdana"/>
                <w:color w:val="000000"/>
                <w:sz w:val="16"/>
                <w:lang w:val="en-GB"/>
              </w:rPr>
              <w:t>4</w:t>
            </w:r>
          </w:p>
        </w:tc>
        <w:tc>
          <w:tcPr>
            <w:tcW w:w="1191" w:type="dxa"/>
            <w:tcBorders>
              <w:left w:val="single" w:sz="2" w:space="0" w:color="000000"/>
              <w:bottom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1,808,36</w:t>
            </w:r>
            <w:r w:rsidR="0013122F">
              <w:rPr>
                <w:rFonts w:ascii="Verdana" w:eastAsia="Verdana" w:hAnsi="Verdana" w:cs="Verdana"/>
                <w:b/>
                <w:color w:val="000000"/>
                <w:sz w:val="16"/>
                <w:lang w:val="en-GB"/>
              </w:rPr>
              <w:t>2</w:t>
            </w:r>
          </w:p>
        </w:tc>
      </w:tr>
      <w:tr w:rsidR="00DF2050" w:rsidTr="00F43C93">
        <w:trPr>
          <w:trHeight w:val="341"/>
        </w:trPr>
        <w:tc>
          <w:tcPr>
            <w:tcW w:w="2556" w:type="dxa"/>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Movement in reserves during 2018/19</w:t>
            </w:r>
          </w:p>
        </w:tc>
        <w:tc>
          <w:tcPr>
            <w:tcW w:w="1096" w:type="dxa"/>
            <w:tcBorders>
              <w:lef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67"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48"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96"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tcBorders>
              <w:left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91"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tcBorders>
              <w:lef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DF2050" w:rsidTr="00F43C93">
        <w:trPr>
          <w:trHeight w:val="341"/>
        </w:trPr>
        <w:tc>
          <w:tcPr>
            <w:tcW w:w="2556" w:type="dxa"/>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color w:val="000000"/>
                <w:sz w:val="16"/>
                <w:lang w:val="en-GB"/>
              </w:rPr>
            </w:pPr>
            <w:r>
              <w:rPr>
                <w:rFonts w:ascii="Verdana" w:eastAsia="Verdana" w:hAnsi="Verdana" w:cs="Verdana"/>
                <w:color w:val="000000"/>
                <w:sz w:val="16"/>
                <w:lang w:val="en-GB"/>
              </w:rPr>
              <w:t>Surplus or deficit on the provision of services</w:t>
            </w:r>
          </w:p>
        </w:tc>
        <w:tc>
          <w:tcPr>
            <w:tcW w:w="1096" w:type="dxa"/>
            <w:tcBorders>
              <w:lef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143,644</w:t>
            </w:r>
          </w:p>
        </w:tc>
        <w:tc>
          <w:tcPr>
            <w:tcW w:w="1267"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143,644</w:t>
            </w:r>
          </w:p>
        </w:tc>
        <w:tc>
          <w:tcPr>
            <w:tcW w:w="1348"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96"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tcBorders>
              <w:left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143,644</w:t>
            </w:r>
          </w:p>
        </w:tc>
        <w:tc>
          <w:tcPr>
            <w:tcW w:w="1191"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tcBorders>
              <w:lef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143,644</w:t>
            </w:r>
          </w:p>
        </w:tc>
      </w:tr>
      <w:tr w:rsidR="00DF2050" w:rsidTr="00F43C93">
        <w:trPr>
          <w:trHeight w:val="341"/>
        </w:trPr>
        <w:tc>
          <w:tcPr>
            <w:tcW w:w="255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Comprehensive Income / Expenditure</w:t>
            </w:r>
          </w:p>
        </w:tc>
        <w:tc>
          <w:tcPr>
            <w:tcW w:w="1096" w:type="dxa"/>
            <w:tcBorders>
              <w:left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67"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48"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82,364</w:t>
            </w:r>
          </w:p>
        </w:tc>
        <w:tc>
          <w:tcPr>
            <w:tcW w:w="1191" w:type="dxa"/>
            <w:tcBorders>
              <w:left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82,364</w:t>
            </w:r>
          </w:p>
        </w:tc>
      </w:tr>
      <w:tr w:rsidR="00DF2050" w:rsidTr="0019417B">
        <w:trPr>
          <w:trHeight w:val="341"/>
        </w:trPr>
        <w:tc>
          <w:tcPr>
            <w:tcW w:w="2556" w:type="dxa"/>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Comprehensive Income and Expenditure</w:t>
            </w:r>
          </w:p>
        </w:tc>
        <w:tc>
          <w:tcPr>
            <w:tcW w:w="1096" w:type="dxa"/>
            <w:tcBorders>
              <w:lef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143,644</w:t>
            </w:r>
          </w:p>
        </w:tc>
        <w:tc>
          <w:tcPr>
            <w:tcW w:w="1267"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91"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143,644</w:t>
            </w:r>
          </w:p>
        </w:tc>
        <w:tc>
          <w:tcPr>
            <w:tcW w:w="1348"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96"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096" w:type="dxa"/>
            <w:tcBorders>
              <w:left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143,644</w:t>
            </w:r>
          </w:p>
        </w:tc>
        <w:tc>
          <w:tcPr>
            <w:tcW w:w="1191" w:type="dxa"/>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82,364</w:t>
            </w:r>
          </w:p>
        </w:tc>
        <w:tc>
          <w:tcPr>
            <w:tcW w:w="1191" w:type="dxa"/>
            <w:tcBorders>
              <w:left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226,00</w:t>
            </w:r>
            <w:r w:rsidR="0013122F">
              <w:rPr>
                <w:rFonts w:ascii="Verdana" w:eastAsia="Verdana" w:hAnsi="Verdana" w:cs="Verdana"/>
                <w:b/>
                <w:color w:val="000000"/>
                <w:sz w:val="16"/>
                <w:lang w:val="en-GB"/>
              </w:rPr>
              <w:t>8</w:t>
            </w:r>
          </w:p>
        </w:tc>
      </w:tr>
      <w:tr w:rsidR="00DF2050" w:rsidTr="0019417B">
        <w:trPr>
          <w:trHeight w:val="683"/>
        </w:trPr>
        <w:tc>
          <w:tcPr>
            <w:tcW w:w="2556" w:type="dxa"/>
            <w:tcBorders>
              <w:bottom w:val="single" w:sz="4" w:space="0" w:color="auto"/>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between accounting basis and funding basis under regulations</w:t>
            </w:r>
          </w:p>
        </w:tc>
        <w:tc>
          <w:tcPr>
            <w:tcW w:w="1096" w:type="dxa"/>
            <w:tcBorders>
              <w:left w:val="single" w:sz="2" w:space="0" w:color="000000"/>
              <w:bottom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(147,843)</w:t>
            </w:r>
          </w:p>
        </w:tc>
        <w:tc>
          <w:tcPr>
            <w:tcW w:w="1267" w:type="dxa"/>
            <w:tcBorders>
              <w:bottom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tcBorders>
              <w:bottom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(147,843)</w:t>
            </w:r>
          </w:p>
        </w:tc>
        <w:tc>
          <w:tcPr>
            <w:tcW w:w="1348" w:type="dxa"/>
            <w:tcBorders>
              <w:bottom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4,810</w:t>
            </w:r>
          </w:p>
        </w:tc>
        <w:tc>
          <w:tcPr>
            <w:tcW w:w="1396" w:type="dxa"/>
            <w:tcBorders>
              <w:bottom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285</w:t>
            </w:r>
          </w:p>
        </w:tc>
        <w:tc>
          <w:tcPr>
            <w:tcW w:w="1096" w:type="dxa"/>
            <w:tcBorders>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(142,748)</w:t>
            </w:r>
          </w:p>
        </w:tc>
        <w:tc>
          <w:tcPr>
            <w:tcW w:w="1191" w:type="dxa"/>
            <w:tcBorders>
              <w:bottom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142,748</w:t>
            </w:r>
          </w:p>
        </w:tc>
        <w:tc>
          <w:tcPr>
            <w:tcW w:w="1191" w:type="dxa"/>
            <w:tcBorders>
              <w:left w:val="single" w:sz="2" w:space="0" w:color="000000"/>
              <w:bottom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DF2050" w:rsidTr="0019417B">
        <w:trPr>
          <w:trHeight w:val="537"/>
        </w:trPr>
        <w:tc>
          <w:tcPr>
            <w:tcW w:w="2556"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Net Increase or Decrease before Transfers to Earmarked Reserves</w:t>
            </w:r>
          </w:p>
        </w:tc>
        <w:tc>
          <w:tcPr>
            <w:tcW w:w="1096" w:type="dxa"/>
            <w:tcBorders>
              <w:top w:val="single" w:sz="4" w:space="0" w:color="auto"/>
              <w:lef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(4,199)</w:t>
            </w:r>
          </w:p>
        </w:tc>
        <w:tc>
          <w:tcPr>
            <w:tcW w:w="1267"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91"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(4,199)</w:t>
            </w:r>
          </w:p>
        </w:tc>
        <w:tc>
          <w:tcPr>
            <w:tcW w:w="1348"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4,810</w:t>
            </w:r>
          </w:p>
        </w:tc>
        <w:tc>
          <w:tcPr>
            <w:tcW w:w="1396"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285</w:t>
            </w:r>
          </w:p>
        </w:tc>
        <w:tc>
          <w:tcPr>
            <w:tcW w:w="1096" w:type="dxa"/>
            <w:tcBorders>
              <w:top w:val="single" w:sz="4" w:space="0" w:color="auto"/>
              <w:left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896</w:t>
            </w:r>
          </w:p>
        </w:tc>
        <w:tc>
          <w:tcPr>
            <w:tcW w:w="1191" w:type="dxa"/>
            <w:tcBorders>
              <w:top w:val="single" w:sz="4" w:space="0" w:color="auto"/>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225,112</w:t>
            </w:r>
          </w:p>
        </w:tc>
        <w:tc>
          <w:tcPr>
            <w:tcW w:w="1191" w:type="dxa"/>
            <w:tcBorders>
              <w:top w:val="single" w:sz="4" w:space="0" w:color="auto"/>
              <w:left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226,00</w:t>
            </w:r>
            <w:r w:rsidR="0013122F">
              <w:rPr>
                <w:rFonts w:ascii="Verdana" w:eastAsia="Verdana" w:hAnsi="Verdana" w:cs="Verdana"/>
                <w:b/>
                <w:color w:val="000000"/>
                <w:sz w:val="16"/>
                <w:lang w:val="en-GB"/>
              </w:rPr>
              <w:t>8</w:t>
            </w:r>
          </w:p>
        </w:tc>
      </w:tr>
      <w:tr w:rsidR="00DF2050" w:rsidTr="00F43C93">
        <w:trPr>
          <w:trHeight w:val="341"/>
        </w:trPr>
        <w:tc>
          <w:tcPr>
            <w:tcW w:w="255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Transfers to / from Earmarked Reserves</w:t>
            </w:r>
          </w:p>
        </w:tc>
        <w:tc>
          <w:tcPr>
            <w:tcW w:w="1096" w:type="dxa"/>
            <w:tcBorders>
              <w:left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3,534</w:t>
            </w:r>
          </w:p>
        </w:tc>
        <w:tc>
          <w:tcPr>
            <w:tcW w:w="1267"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(3,534)</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48"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96"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91" w:type="dxa"/>
            <w:tcBorders>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91" w:type="dxa"/>
            <w:tcBorders>
              <w:left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DF2050" w:rsidTr="00F43C93">
        <w:trPr>
          <w:trHeight w:val="341"/>
        </w:trPr>
        <w:tc>
          <w:tcPr>
            <w:tcW w:w="2556"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Increase or Decrease in 2018/19</w:t>
            </w:r>
          </w:p>
        </w:tc>
        <w:tc>
          <w:tcPr>
            <w:tcW w:w="1096"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(665)</w:t>
            </w:r>
          </w:p>
        </w:tc>
        <w:tc>
          <w:tcPr>
            <w:tcW w:w="1267"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(3,534)</w:t>
            </w:r>
          </w:p>
        </w:tc>
        <w:tc>
          <w:tcPr>
            <w:tcW w:w="1191"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(4,199)</w:t>
            </w:r>
          </w:p>
        </w:tc>
        <w:tc>
          <w:tcPr>
            <w:tcW w:w="1348"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4,810</w:t>
            </w:r>
          </w:p>
        </w:tc>
        <w:tc>
          <w:tcPr>
            <w:tcW w:w="1396"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285</w:t>
            </w:r>
          </w:p>
        </w:tc>
        <w:tc>
          <w:tcPr>
            <w:tcW w:w="1096"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896</w:t>
            </w:r>
          </w:p>
        </w:tc>
        <w:tc>
          <w:tcPr>
            <w:tcW w:w="1191" w:type="dxa"/>
            <w:tcBorders>
              <w:top w:val="single" w:sz="2" w:space="0" w:color="000000"/>
              <w:bottom w:val="single" w:sz="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225,112</w:t>
            </w:r>
          </w:p>
        </w:tc>
        <w:tc>
          <w:tcPr>
            <w:tcW w:w="1191"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226,00</w:t>
            </w:r>
            <w:r w:rsidR="0013122F">
              <w:rPr>
                <w:rFonts w:ascii="Verdana" w:eastAsia="Verdana" w:hAnsi="Verdana" w:cs="Verdana"/>
                <w:b/>
                <w:color w:val="000000"/>
                <w:sz w:val="16"/>
                <w:lang w:val="en-GB"/>
              </w:rPr>
              <w:t>8</w:t>
            </w:r>
          </w:p>
        </w:tc>
      </w:tr>
      <w:tr w:rsidR="00DF2050" w:rsidTr="00F43C93">
        <w:trPr>
          <w:trHeight w:val="243"/>
        </w:trPr>
        <w:tc>
          <w:tcPr>
            <w:tcW w:w="2556"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DF2050">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Balance at 31 March 2019</w:t>
            </w:r>
          </w:p>
        </w:tc>
        <w:tc>
          <w:tcPr>
            <w:tcW w:w="1096"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(6,812)</w:t>
            </w:r>
          </w:p>
        </w:tc>
        <w:tc>
          <w:tcPr>
            <w:tcW w:w="1267"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(10,441)</w:t>
            </w:r>
          </w:p>
        </w:tc>
        <w:tc>
          <w:tcPr>
            <w:tcW w:w="1191"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(17,25</w:t>
            </w:r>
            <w:r w:rsidR="0013122F">
              <w:rPr>
                <w:rFonts w:ascii="Verdana" w:eastAsia="Verdana" w:hAnsi="Verdana" w:cs="Verdana"/>
                <w:b/>
                <w:color w:val="000000"/>
                <w:sz w:val="16"/>
                <w:lang w:val="en-GB"/>
              </w:rPr>
              <w:t>3</w:t>
            </w:r>
            <w:r>
              <w:rPr>
                <w:rFonts w:ascii="Verdana" w:eastAsia="Verdana" w:hAnsi="Verdana" w:cs="Verdana"/>
                <w:b/>
                <w:color w:val="000000"/>
                <w:sz w:val="16"/>
                <w:lang w:val="en-GB"/>
              </w:rPr>
              <w:t>)</w:t>
            </w:r>
          </w:p>
        </w:tc>
        <w:tc>
          <w:tcPr>
            <w:tcW w:w="1348"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(3,996)</w:t>
            </w:r>
          </w:p>
        </w:tc>
        <w:tc>
          <w:tcPr>
            <w:tcW w:w="1396"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rsidP="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(1,317)</w:t>
            </w:r>
          </w:p>
        </w:tc>
        <w:tc>
          <w:tcPr>
            <w:tcW w:w="1096" w:type="dxa"/>
            <w:tcBorders>
              <w:top w:val="single" w:sz="2" w:space="0" w:color="000000"/>
              <w:left w:val="single" w:sz="2" w:space="0" w:color="000000"/>
              <w:bottom w:val="single" w:sz="12" w:space="0" w:color="000000"/>
              <w:right w:val="single" w:sz="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(22,56</w:t>
            </w:r>
            <w:r w:rsidR="0013122F">
              <w:rPr>
                <w:rFonts w:ascii="Verdana" w:eastAsia="Verdana" w:hAnsi="Verdana" w:cs="Verdana"/>
                <w:b/>
                <w:color w:val="000000"/>
                <w:sz w:val="16"/>
                <w:lang w:val="en-GB"/>
              </w:rPr>
              <w:t>6</w:t>
            </w:r>
            <w:r>
              <w:rPr>
                <w:rFonts w:ascii="Verdana" w:eastAsia="Verdana" w:hAnsi="Verdana" w:cs="Verdana"/>
                <w:b/>
                <w:color w:val="000000"/>
                <w:sz w:val="16"/>
                <w:lang w:val="en-GB"/>
              </w:rPr>
              <w:t>)</w:t>
            </w:r>
          </w:p>
        </w:tc>
        <w:tc>
          <w:tcPr>
            <w:tcW w:w="1191" w:type="dxa"/>
            <w:tcBorders>
              <w:top w:val="single" w:sz="2" w:space="0" w:color="000000"/>
              <w:bottom w:val="single" w:sz="1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2,056,93</w:t>
            </w:r>
            <w:r w:rsidR="0013122F">
              <w:rPr>
                <w:rFonts w:ascii="Verdana" w:eastAsia="Verdana" w:hAnsi="Verdana" w:cs="Verdana"/>
                <w:b/>
                <w:color w:val="000000"/>
                <w:sz w:val="16"/>
                <w:lang w:val="en-GB"/>
              </w:rPr>
              <w:t>6</w:t>
            </w:r>
          </w:p>
        </w:tc>
        <w:tc>
          <w:tcPr>
            <w:tcW w:w="1191"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DF2050" w:rsidRDefault="00DF205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2,034,3</w:t>
            </w:r>
            <w:r w:rsidR="0013122F">
              <w:rPr>
                <w:rFonts w:ascii="Verdana" w:eastAsia="Verdana" w:hAnsi="Verdana" w:cs="Verdana"/>
                <w:b/>
                <w:color w:val="000000"/>
                <w:sz w:val="16"/>
                <w:lang w:val="en-GB"/>
              </w:rPr>
              <w:t>70</w:t>
            </w:r>
          </w:p>
        </w:tc>
      </w:tr>
      <w:tr w:rsidR="00DF2050" w:rsidTr="00F43C93">
        <w:trPr>
          <w:trHeight w:hRule="exact" w:val="108"/>
        </w:trPr>
        <w:tc>
          <w:tcPr>
            <w:tcW w:w="255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67"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48"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9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96"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91" w:type="dxa"/>
            <w:shd w:val="clear" w:color="auto" w:fill="auto"/>
            <w:tcMar>
              <w:top w:w="20" w:type="dxa"/>
              <w:left w:w="20" w:type="dxa"/>
              <w:bottom w:w="20" w:type="dxa"/>
              <w:right w:w="20" w:type="dxa"/>
            </w:tcMar>
            <w:vAlign w:val="center"/>
          </w:tcPr>
          <w:p w:rsidR="00DF2050" w:rsidRDefault="00DF2050" w:rsidP="00DF2050">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191" w:type="dxa"/>
            <w:shd w:val="clear" w:color="auto" w:fill="auto"/>
            <w:tcMar>
              <w:top w:w="20" w:type="dxa"/>
              <w:left w:w="20" w:type="dxa"/>
              <w:bottom w:w="20" w:type="dxa"/>
              <w:right w:w="20" w:type="dxa"/>
            </w:tcMar>
          </w:tcPr>
          <w:p w:rsidR="00DF2050" w:rsidRDefault="00DF2050" w:rsidP="00DF2050">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bl>
    <w:p w:rsidR="00F43C93" w:rsidRDefault="00DF2050">
      <w:pPr>
        <w:pStyle w:val="Normal0"/>
        <w:spacing w:after="160" w:line="259" w:lineRule="auto"/>
        <w:rPr>
          <w:rFonts w:ascii="Verdana" w:eastAsia="Verdana" w:hAnsi="Verdana" w:cs="Verdana"/>
          <w:b/>
          <w:szCs w:val="22"/>
          <w:lang w:val="en-GB"/>
        </w:rPr>
      </w:pPr>
      <w:r>
        <w:rPr>
          <w:rFonts w:ascii="Verdana" w:eastAsia="Verdana" w:hAnsi="Verdana" w:cs="Verdana"/>
          <w:b/>
          <w:szCs w:val="22"/>
          <w:lang w:val="en-GB"/>
        </w:rPr>
        <w:tab/>
      </w:r>
    </w:p>
    <w:p w:rsidR="00F43C93" w:rsidRDefault="00F43C93">
      <w:pPr>
        <w:pStyle w:val="Normal0"/>
        <w:spacing w:after="160" w:line="259" w:lineRule="auto"/>
        <w:rPr>
          <w:rFonts w:ascii="Verdana" w:eastAsia="Verdana" w:hAnsi="Verdana" w:cs="Verdana"/>
          <w:b/>
          <w:szCs w:val="22"/>
          <w:lang w:val="en-GB"/>
        </w:rPr>
      </w:pPr>
    </w:p>
    <w:p w:rsidR="00F43C93" w:rsidRDefault="00F43C93">
      <w:pPr>
        <w:pStyle w:val="Normal0"/>
        <w:spacing w:after="160" w:line="259" w:lineRule="auto"/>
        <w:rPr>
          <w:rFonts w:ascii="Verdana" w:eastAsia="Verdana" w:hAnsi="Verdana" w:cs="Verdana"/>
          <w:b/>
          <w:szCs w:val="22"/>
          <w:lang w:val="en-GB"/>
        </w:rPr>
      </w:pPr>
    </w:p>
    <w:p w:rsidR="00F43C93" w:rsidRDefault="00F43C93">
      <w:pPr>
        <w:pStyle w:val="Normal0"/>
        <w:spacing w:after="160" w:line="259" w:lineRule="auto"/>
        <w:rPr>
          <w:rFonts w:ascii="Verdana" w:eastAsia="Verdana" w:hAnsi="Verdana" w:cs="Verdana"/>
          <w:b/>
          <w:szCs w:val="22"/>
          <w:lang w:val="en-GB"/>
        </w:rPr>
      </w:pPr>
    </w:p>
    <w:p w:rsidR="00F363FD" w:rsidRDefault="00DF2050">
      <w:pPr>
        <w:pStyle w:val="Normal0"/>
        <w:spacing w:after="160" w:line="259" w:lineRule="auto"/>
        <w:rPr>
          <w:rFonts w:ascii="Verdana" w:eastAsia="Verdana" w:hAnsi="Verdana" w:cs="Verdana"/>
          <w:b/>
          <w:szCs w:val="22"/>
          <w:lang w:val="en-GB"/>
        </w:rPr>
      </w:pPr>
      <w:r>
        <w:rPr>
          <w:rFonts w:ascii="Verdana" w:eastAsia="Verdana" w:hAnsi="Verdana" w:cs="Verdana"/>
          <w:b/>
          <w:szCs w:val="22"/>
          <w:lang w:val="en-GB"/>
        </w:rPr>
        <w:tab/>
      </w:r>
    </w:p>
    <w:p w:rsidR="00F363FD" w:rsidRDefault="00F363FD">
      <w:pPr>
        <w:pStyle w:val="Normal0"/>
        <w:spacing w:after="160" w:line="259" w:lineRule="auto"/>
        <w:rPr>
          <w:rFonts w:ascii="Verdana" w:eastAsia="Verdana" w:hAnsi="Verdana" w:cs="Verdana"/>
          <w:b/>
          <w:szCs w:val="22"/>
          <w:lang w:val="en-GB"/>
        </w:rPr>
      </w:pPr>
    </w:p>
    <w:p w:rsidR="00F363FD" w:rsidRDefault="00F363FD">
      <w:pPr>
        <w:pStyle w:val="Normal0"/>
        <w:spacing w:after="160" w:line="259" w:lineRule="auto"/>
        <w:rPr>
          <w:rFonts w:ascii="Verdana" w:eastAsia="Verdana" w:hAnsi="Verdana" w:cs="Verdana"/>
          <w:b/>
          <w:szCs w:val="22"/>
          <w:lang w:val="en-GB"/>
        </w:rPr>
      </w:pPr>
    </w:p>
    <w:p w:rsidR="00DF2050" w:rsidRDefault="00DF2050">
      <w:pPr>
        <w:pStyle w:val="Normal0"/>
        <w:spacing w:after="160" w:line="259" w:lineRule="auto"/>
        <w:rPr>
          <w:rFonts w:ascii="Verdana" w:eastAsia="Verdana" w:hAnsi="Verdana" w:cs="Verdana"/>
          <w:b/>
          <w:szCs w:val="22"/>
          <w:lang w:val="en-GB"/>
        </w:rPr>
      </w:pPr>
      <w:r>
        <w:rPr>
          <w:rFonts w:ascii="Verdana" w:eastAsia="Verdana" w:hAnsi="Verdana" w:cs="Verdana"/>
          <w:b/>
          <w:szCs w:val="22"/>
          <w:lang w:val="en-GB"/>
        </w:rPr>
        <w:tab/>
      </w:r>
      <w:r>
        <w:rPr>
          <w:rFonts w:ascii="Verdana" w:eastAsia="Verdana" w:hAnsi="Verdana" w:cs="Verdana"/>
          <w:b/>
          <w:szCs w:val="22"/>
          <w:lang w:val="en-GB"/>
        </w:rPr>
        <w:tab/>
      </w:r>
      <w:r>
        <w:rPr>
          <w:rFonts w:ascii="Verdana" w:eastAsia="Verdana" w:hAnsi="Verdana" w:cs="Verdana"/>
          <w:b/>
          <w:szCs w:val="22"/>
          <w:lang w:val="en-GB"/>
        </w:rPr>
        <w:tab/>
      </w:r>
      <w:r>
        <w:rPr>
          <w:rFonts w:ascii="Verdana" w:eastAsia="Verdana" w:hAnsi="Verdana" w:cs="Verdana"/>
          <w:b/>
          <w:szCs w:val="22"/>
          <w:lang w:val="en-GB"/>
        </w:rPr>
        <w:tab/>
      </w:r>
    </w:p>
    <w:p w:rsidR="00CA6653" w:rsidRDefault="00CA6653">
      <w:pPr>
        <w:pStyle w:val="T1TableStyle"/>
        <w:rPr>
          <w:lang w:val="en-GB"/>
        </w:rPr>
      </w:pPr>
    </w:p>
    <w:p w:rsidR="00CA6653" w:rsidRDefault="00CA6653">
      <w:pPr>
        <w:pStyle w:val="Normal0"/>
        <w:spacing w:after="160" w:line="259" w:lineRule="auto"/>
        <w:rPr>
          <w:rFonts w:ascii="Verdana" w:eastAsia="Verdana" w:hAnsi="Verdana" w:cs="Verdana"/>
          <w:b/>
          <w:szCs w:val="22"/>
          <w:lang w:val="en-GB"/>
        </w:rPr>
      </w:pPr>
      <w:r>
        <w:rPr>
          <w:rFonts w:ascii="Verdana" w:eastAsia="Verdana" w:hAnsi="Verdana" w:cs="Verdana"/>
          <w:b/>
          <w:szCs w:val="22"/>
          <w:lang w:val="en-GB"/>
        </w:rPr>
        <w:t>PCC</w:t>
      </w:r>
    </w:p>
    <w:tbl>
      <w:tblPr>
        <w:tblW w:w="0" w:type="auto"/>
        <w:jc w:val="center"/>
        <w:tblLayout w:type="fixed"/>
        <w:tblLook w:val="04A0" w:firstRow="1" w:lastRow="0" w:firstColumn="1" w:lastColumn="0" w:noHBand="0" w:noVBand="1"/>
      </w:tblPr>
      <w:tblGrid>
        <w:gridCol w:w="2835"/>
        <w:gridCol w:w="1230"/>
        <w:gridCol w:w="1125"/>
        <w:gridCol w:w="1335"/>
        <w:gridCol w:w="1080"/>
        <w:gridCol w:w="1080"/>
        <w:gridCol w:w="1230"/>
        <w:gridCol w:w="1335"/>
        <w:gridCol w:w="1335"/>
      </w:tblGrid>
      <w:tr w:rsidR="004D417B" w:rsidTr="00F363FD">
        <w:trPr>
          <w:trHeight w:val="1290"/>
          <w:jc w:val="center"/>
        </w:trPr>
        <w:tc>
          <w:tcPr>
            <w:tcW w:w="2835" w:type="dxa"/>
            <w:shd w:val="clear" w:color="auto" w:fill="auto"/>
            <w:tcMar>
              <w:top w:w="20" w:type="dxa"/>
              <w:left w:w="20" w:type="dxa"/>
              <w:bottom w:w="20" w:type="dxa"/>
              <w:right w:w="20" w:type="dxa"/>
            </w:tcMar>
          </w:tcPr>
          <w:p w:rsidR="00CA6653" w:rsidRDefault="00CA6653" w:rsidP="00F363FD">
            <w:pPr>
              <w:pStyle w:val="T1TableStyle"/>
              <w:tabs>
                <w:tab w:val="left" w:pos="156"/>
              </w:tabs>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General Fund Balance</w:t>
            </w:r>
          </w:p>
        </w:tc>
        <w:tc>
          <w:tcPr>
            <w:tcW w:w="112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Earmarked General Fund Reserves</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General Fund Balance</w:t>
            </w:r>
          </w:p>
        </w:tc>
        <w:tc>
          <w:tcPr>
            <w:tcW w:w="10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Receipts Reserve</w:t>
            </w:r>
          </w:p>
        </w:tc>
        <w:tc>
          <w:tcPr>
            <w:tcW w:w="10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Grants Un-applied Account</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Usable Reserves</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Unusable Reserves</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Reserves</w:t>
            </w:r>
          </w:p>
        </w:tc>
      </w:tr>
      <w:tr w:rsidR="004D417B" w:rsidTr="00817B9D">
        <w:trPr>
          <w:trHeight w:val="69"/>
          <w:jc w:val="center"/>
        </w:trPr>
        <w:tc>
          <w:tcPr>
            <w:tcW w:w="28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F363FD">
        <w:trPr>
          <w:trHeight w:val="300"/>
          <w:jc w:val="center"/>
        </w:trPr>
        <w:tc>
          <w:tcPr>
            <w:tcW w:w="28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Balance at 31 March 2019</w:t>
            </w:r>
          </w:p>
        </w:tc>
        <w:tc>
          <w:tcPr>
            <w:tcW w:w="1230"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CA6653" w:rsidRDefault="00CA6653" w:rsidP="004036C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4036C0">
              <w:rPr>
                <w:rFonts w:ascii="Verdana" w:eastAsia="Verdana" w:hAnsi="Verdana" w:cs="Verdana"/>
                <w:color w:val="000000"/>
                <w:sz w:val="16"/>
                <w:lang w:val="en-GB"/>
              </w:rPr>
              <w:t>6,812</w:t>
            </w:r>
            <w:r>
              <w:rPr>
                <w:rFonts w:ascii="Verdana" w:eastAsia="Verdana" w:hAnsi="Verdana" w:cs="Verdana"/>
                <w:color w:val="000000"/>
                <w:sz w:val="16"/>
                <w:lang w:val="en-GB"/>
              </w:rPr>
              <w:t>)</w:t>
            </w:r>
          </w:p>
        </w:tc>
        <w:tc>
          <w:tcPr>
            <w:tcW w:w="1125" w:type="dxa"/>
            <w:tcBorders>
              <w:bottom w:val="single" w:sz="2" w:space="0" w:color="000000"/>
            </w:tcBorders>
            <w:shd w:val="clear" w:color="auto" w:fill="auto"/>
            <w:tcMar>
              <w:top w:w="20" w:type="dxa"/>
              <w:left w:w="20" w:type="dxa"/>
              <w:bottom w:w="20" w:type="dxa"/>
              <w:right w:w="20" w:type="dxa"/>
            </w:tcMar>
          </w:tcPr>
          <w:p w:rsidR="00CA6653" w:rsidRDefault="00CA6653" w:rsidP="004036C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4036C0">
              <w:rPr>
                <w:rFonts w:ascii="Verdana" w:eastAsia="Verdana" w:hAnsi="Verdana" w:cs="Verdana"/>
                <w:color w:val="000000"/>
                <w:sz w:val="16"/>
                <w:lang w:val="en-GB"/>
              </w:rPr>
              <w:t>10,441</w:t>
            </w:r>
            <w:r>
              <w:rPr>
                <w:rFonts w:ascii="Verdana" w:eastAsia="Verdana" w:hAnsi="Verdana" w:cs="Verdana"/>
                <w:color w:val="000000"/>
                <w:sz w:val="16"/>
                <w:lang w:val="en-GB"/>
              </w:rPr>
              <w:t>)</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rsidP="002E707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4036C0">
              <w:rPr>
                <w:rFonts w:ascii="Verdana" w:eastAsia="Verdana" w:hAnsi="Verdana" w:cs="Verdana"/>
                <w:color w:val="000000"/>
                <w:sz w:val="16"/>
                <w:lang w:val="en-GB"/>
              </w:rPr>
              <w:t>17,25</w:t>
            </w:r>
            <w:r w:rsidR="0014478F">
              <w:rPr>
                <w:rFonts w:ascii="Verdana" w:eastAsia="Verdana" w:hAnsi="Verdana" w:cs="Verdana"/>
                <w:color w:val="000000"/>
                <w:sz w:val="16"/>
                <w:lang w:val="en-GB"/>
              </w:rPr>
              <w:t>3</w:t>
            </w:r>
            <w:r>
              <w:rPr>
                <w:rFonts w:ascii="Verdana" w:eastAsia="Verdana" w:hAnsi="Verdana" w:cs="Verdana"/>
                <w:color w:val="000000"/>
                <w:sz w:val="16"/>
                <w:lang w:val="en-GB"/>
              </w:rPr>
              <w:t>)</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rsidP="00AD506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AD506B">
              <w:rPr>
                <w:rFonts w:ascii="Verdana" w:eastAsia="Verdana" w:hAnsi="Verdana" w:cs="Verdana"/>
                <w:color w:val="000000"/>
                <w:sz w:val="16"/>
                <w:lang w:val="en-GB"/>
              </w:rPr>
              <w:t>3,996</w:t>
            </w:r>
            <w:r>
              <w:rPr>
                <w:rFonts w:ascii="Verdana" w:eastAsia="Verdana" w:hAnsi="Verdana" w:cs="Verdana"/>
                <w:color w:val="000000"/>
                <w:sz w:val="16"/>
                <w:lang w:val="en-GB"/>
              </w:rPr>
              <w:t>)</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rsidP="00AD506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AD506B">
              <w:rPr>
                <w:rFonts w:ascii="Verdana" w:eastAsia="Verdana" w:hAnsi="Verdana" w:cs="Verdana"/>
                <w:color w:val="000000"/>
                <w:sz w:val="16"/>
                <w:lang w:val="en-GB"/>
              </w:rPr>
              <w:t>1,317</w:t>
            </w:r>
            <w:r>
              <w:rPr>
                <w:rFonts w:ascii="Verdana" w:eastAsia="Verdana" w:hAnsi="Verdana" w:cs="Verdana"/>
                <w:color w:val="000000"/>
                <w:sz w:val="16"/>
                <w:lang w:val="en-GB"/>
              </w:rPr>
              <w:t>)</w:t>
            </w:r>
          </w:p>
        </w:tc>
        <w:tc>
          <w:tcPr>
            <w:tcW w:w="1230"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AD506B">
              <w:rPr>
                <w:rFonts w:ascii="Verdana" w:eastAsia="Verdana" w:hAnsi="Verdana" w:cs="Verdana"/>
                <w:b/>
                <w:color w:val="000000"/>
                <w:sz w:val="16"/>
                <w:lang w:val="en-GB"/>
              </w:rPr>
              <w:t>22,56</w:t>
            </w:r>
            <w:r w:rsidR="0014478F">
              <w:rPr>
                <w:rFonts w:ascii="Verdana" w:eastAsia="Verdana" w:hAnsi="Verdana" w:cs="Verdana"/>
                <w:b/>
                <w:color w:val="000000"/>
                <w:sz w:val="16"/>
                <w:lang w:val="en-GB"/>
              </w:rPr>
              <w:t>6</w:t>
            </w:r>
            <w:r>
              <w:rPr>
                <w:rFonts w:ascii="Verdana" w:eastAsia="Verdana" w:hAnsi="Verdana" w:cs="Verdana"/>
                <w:b/>
                <w:color w:val="000000"/>
                <w:sz w:val="16"/>
                <w:lang w:val="en-GB"/>
              </w:rPr>
              <w:t>)</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rsidP="002E707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w:t>
            </w:r>
            <w:r w:rsidR="002E7072">
              <w:rPr>
                <w:rFonts w:ascii="Verdana" w:eastAsia="Verdana" w:hAnsi="Verdana" w:cs="Verdana"/>
                <w:color w:val="000000"/>
                <w:sz w:val="16"/>
                <w:lang w:val="en-GB"/>
              </w:rPr>
              <w:t>0</w:t>
            </w:r>
            <w:r>
              <w:rPr>
                <w:rFonts w:ascii="Verdana" w:eastAsia="Verdana" w:hAnsi="Verdana" w:cs="Verdana"/>
                <w:color w:val="000000"/>
                <w:sz w:val="16"/>
                <w:lang w:val="en-GB"/>
              </w:rPr>
              <w:t>,</w:t>
            </w:r>
            <w:r w:rsidR="00E153C2">
              <w:rPr>
                <w:rFonts w:ascii="Verdana" w:eastAsia="Verdana" w:hAnsi="Verdana" w:cs="Verdana"/>
                <w:color w:val="000000"/>
                <w:sz w:val="16"/>
                <w:lang w:val="en-GB"/>
              </w:rPr>
              <w:t>902</w:t>
            </w:r>
            <w:r>
              <w:rPr>
                <w:rFonts w:ascii="Verdana" w:eastAsia="Verdana" w:hAnsi="Verdana" w:cs="Verdana"/>
                <w:color w:val="000000"/>
                <w:sz w:val="16"/>
                <w:lang w:val="en-GB"/>
              </w:rPr>
              <w:t>)</w:t>
            </w:r>
          </w:p>
        </w:tc>
        <w:tc>
          <w:tcPr>
            <w:tcW w:w="1335"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2E7072">
              <w:rPr>
                <w:rFonts w:ascii="Verdana" w:eastAsia="Verdana" w:hAnsi="Verdana" w:cs="Verdana"/>
                <w:b/>
                <w:color w:val="000000"/>
                <w:sz w:val="16"/>
                <w:lang w:val="en-GB"/>
              </w:rPr>
              <w:t>123,46</w:t>
            </w:r>
            <w:r w:rsidR="0014478F">
              <w:rPr>
                <w:rFonts w:ascii="Verdana" w:eastAsia="Verdana" w:hAnsi="Verdana" w:cs="Verdana"/>
                <w:b/>
                <w:color w:val="000000"/>
                <w:sz w:val="16"/>
                <w:lang w:val="en-GB"/>
              </w:rPr>
              <w:t>8</w:t>
            </w:r>
            <w:r>
              <w:rPr>
                <w:rFonts w:ascii="Verdana" w:eastAsia="Verdana" w:hAnsi="Verdana" w:cs="Verdana"/>
                <w:b/>
                <w:color w:val="000000"/>
                <w:sz w:val="16"/>
                <w:lang w:val="en-GB"/>
              </w:rPr>
              <w:t>)</w:t>
            </w:r>
          </w:p>
        </w:tc>
      </w:tr>
      <w:tr w:rsidR="004D417B" w:rsidTr="00817B9D">
        <w:trPr>
          <w:trHeight w:val="428"/>
          <w:jc w:val="center"/>
        </w:trPr>
        <w:tc>
          <w:tcPr>
            <w:tcW w:w="2835" w:type="dxa"/>
            <w:shd w:val="clear" w:color="auto" w:fill="auto"/>
            <w:tcMar>
              <w:top w:w="20" w:type="dxa"/>
              <w:left w:w="20" w:type="dxa"/>
              <w:bottom w:w="20" w:type="dxa"/>
              <w:right w:w="20" w:type="dxa"/>
            </w:tcMar>
          </w:tcPr>
          <w:p w:rsidR="001C1E6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Movement in reserves </w:t>
            </w:r>
          </w:p>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during 2019/20</w:t>
            </w:r>
          </w:p>
        </w:tc>
        <w:tc>
          <w:tcPr>
            <w:tcW w:w="1230"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1C1E63" w:rsidRDefault="001C1E6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1,41</w:t>
            </w:r>
          </w:p>
          <w:p w:rsidR="00CA6653" w:rsidRDefault="00CA6653" w:rsidP="001C1E63">
            <w:pPr>
              <w:jc w:val="right"/>
              <w:rPr>
                <w:sz w:val="16"/>
                <w:szCs w:val="16"/>
                <w:lang w:val="en-GB"/>
              </w:rPr>
            </w:pPr>
          </w:p>
          <w:p w:rsidR="001C1E63" w:rsidRDefault="001C1E63" w:rsidP="001C1E63">
            <w:pPr>
              <w:jc w:val="right"/>
              <w:rPr>
                <w:sz w:val="16"/>
                <w:szCs w:val="16"/>
                <w:lang w:val="en-GB"/>
              </w:rPr>
            </w:pPr>
          </w:p>
          <w:p w:rsidR="001C1E63" w:rsidRPr="001C1E63" w:rsidRDefault="001C1E63" w:rsidP="001C1E63">
            <w:pPr>
              <w:jc w:val="right"/>
              <w:rPr>
                <w:sz w:val="16"/>
                <w:szCs w:val="16"/>
                <w:lang w:val="en-GB"/>
              </w:rPr>
            </w:pPr>
          </w:p>
        </w:tc>
        <w:tc>
          <w:tcPr>
            <w:tcW w:w="1335"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817B9D">
        <w:trPr>
          <w:trHeight w:val="69"/>
          <w:jc w:val="center"/>
        </w:trPr>
        <w:tc>
          <w:tcPr>
            <w:tcW w:w="283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Surplus or deficit on the provision of services</w:t>
            </w:r>
          </w:p>
        </w:tc>
        <w:tc>
          <w:tcPr>
            <w:tcW w:w="1230" w:type="dxa"/>
            <w:tcBorders>
              <w:left w:val="single" w:sz="2" w:space="0" w:color="000000"/>
            </w:tcBorders>
            <w:shd w:val="clear" w:color="auto" w:fill="auto"/>
            <w:tcMar>
              <w:top w:w="20" w:type="dxa"/>
              <w:left w:w="20" w:type="dxa"/>
              <w:bottom w:w="20" w:type="dxa"/>
              <w:right w:w="20" w:type="dxa"/>
            </w:tcMar>
          </w:tcPr>
          <w:p w:rsidR="00CA6653" w:rsidRDefault="007C58B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w:t>
            </w:r>
            <w:r w:rsidR="00942DCE">
              <w:rPr>
                <w:rFonts w:ascii="Verdana" w:eastAsia="Verdana" w:hAnsi="Verdana" w:cs="Verdana"/>
                <w:color w:val="000000"/>
                <w:sz w:val="16"/>
                <w:lang w:val="en-GB"/>
              </w:rPr>
              <w:t>44</w:t>
            </w:r>
          </w:p>
        </w:tc>
        <w:tc>
          <w:tcPr>
            <w:tcW w:w="11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942DC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844</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rsidR="00CA6653" w:rsidRDefault="00942DC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844</w:t>
            </w:r>
          </w:p>
        </w:tc>
        <w:tc>
          <w:tcPr>
            <w:tcW w:w="1335" w:type="dxa"/>
            <w:shd w:val="clear" w:color="auto" w:fill="auto"/>
            <w:tcMar>
              <w:top w:w="20" w:type="dxa"/>
              <w:left w:w="20" w:type="dxa"/>
              <w:bottom w:w="20" w:type="dxa"/>
              <w:right w:w="20" w:type="dxa"/>
            </w:tcMar>
          </w:tcPr>
          <w:p w:rsidR="00CA6653" w:rsidRPr="00631EEF" w:rsidRDefault="00CA6653" w:rsidP="00804DF0">
            <w:pPr>
              <w:pStyle w:val="T1TableStyle"/>
              <w:jc w:val="right"/>
              <w:rPr>
                <w:sz w:val="16"/>
                <w:szCs w:val="16"/>
                <w:lang w:val="en-GB"/>
              </w:rPr>
            </w:pPr>
          </w:p>
        </w:tc>
        <w:tc>
          <w:tcPr>
            <w:tcW w:w="1335" w:type="dxa"/>
            <w:tcBorders>
              <w:left w:val="single" w:sz="2" w:space="0" w:color="000000"/>
            </w:tcBorders>
            <w:shd w:val="clear" w:color="auto" w:fill="auto"/>
            <w:tcMar>
              <w:top w:w="20" w:type="dxa"/>
              <w:left w:w="20" w:type="dxa"/>
              <w:bottom w:w="20" w:type="dxa"/>
              <w:right w:w="20" w:type="dxa"/>
            </w:tcMar>
          </w:tcPr>
          <w:p w:rsidR="00CA6653" w:rsidRPr="00631EEF" w:rsidRDefault="00E236C2">
            <w:pPr>
              <w:pStyle w:val="T1TableStyle"/>
              <w:jc w:val="right"/>
              <w:rPr>
                <w:rFonts w:ascii="Verdana" w:eastAsia="Verdana" w:hAnsi="Verdana" w:cs="Verdana"/>
                <w:b/>
                <w:color w:val="000000"/>
                <w:sz w:val="16"/>
                <w:szCs w:val="16"/>
                <w:lang w:val="en-GB"/>
              </w:rPr>
            </w:pPr>
            <w:r>
              <w:rPr>
                <w:rFonts w:ascii="Verdana" w:eastAsia="Verdana" w:hAnsi="Verdana" w:cs="Verdana"/>
                <w:b/>
                <w:color w:val="000000"/>
                <w:sz w:val="16"/>
                <w:szCs w:val="16"/>
                <w:lang w:val="en-GB"/>
              </w:rPr>
              <w:t>844</w:t>
            </w:r>
          </w:p>
        </w:tc>
      </w:tr>
      <w:tr w:rsidR="004D417B" w:rsidTr="00F363FD">
        <w:trPr>
          <w:trHeight w:val="420"/>
          <w:jc w:val="center"/>
        </w:trPr>
        <w:tc>
          <w:tcPr>
            <w:tcW w:w="28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Comprehensive Income / Expenditure</w:t>
            </w:r>
          </w:p>
        </w:tc>
        <w:tc>
          <w:tcPr>
            <w:tcW w:w="1230"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F363F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817B9D">
              <w:rPr>
                <w:rFonts w:ascii="Verdana" w:eastAsia="Verdana" w:hAnsi="Verdana" w:cs="Verdana"/>
                <w:color w:val="000000"/>
                <w:sz w:val="16"/>
                <w:lang w:val="en-GB"/>
              </w:rPr>
              <w:t>8,19</w:t>
            </w:r>
            <w:r w:rsidR="008A24D0">
              <w:rPr>
                <w:rFonts w:ascii="Verdana" w:eastAsia="Verdana" w:hAnsi="Verdana" w:cs="Verdana"/>
                <w:color w:val="000000"/>
                <w:sz w:val="16"/>
                <w:lang w:val="en-GB"/>
              </w:rPr>
              <w:t>6</w:t>
            </w:r>
            <w:r>
              <w:rPr>
                <w:rFonts w:ascii="Verdana" w:eastAsia="Verdana" w:hAnsi="Verdana" w:cs="Verdana"/>
                <w:color w:val="000000"/>
                <w:sz w:val="16"/>
                <w:lang w:val="en-GB"/>
              </w:rPr>
              <w:t>)</w:t>
            </w:r>
          </w:p>
        </w:tc>
        <w:tc>
          <w:tcPr>
            <w:tcW w:w="1335"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F363F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817B9D">
              <w:rPr>
                <w:rFonts w:ascii="Verdana" w:eastAsia="Verdana" w:hAnsi="Verdana" w:cs="Verdana"/>
                <w:b/>
                <w:color w:val="000000"/>
                <w:sz w:val="16"/>
                <w:lang w:val="en-GB"/>
              </w:rPr>
              <w:t>8,19</w:t>
            </w:r>
            <w:r w:rsidR="008A24D0">
              <w:rPr>
                <w:rFonts w:ascii="Verdana" w:eastAsia="Verdana" w:hAnsi="Verdana" w:cs="Verdana"/>
                <w:b/>
                <w:color w:val="000000"/>
                <w:sz w:val="16"/>
                <w:lang w:val="en-GB"/>
              </w:rPr>
              <w:t>6</w:t>
            </w:r>
            <w:r>
              <w:rPr>
                <w:rFonts w:ascii="Verdana" w:eastAsia="Verdana" w:hAnsi="Verdana" w:cs="Verdana"/>
                <w:b/>
                <w:color w:val="000000"/>
                <w:sz w:val="16"/>
                <w:lang w:val="en-GB"/>
              </w:rPr>
              <w:t>)</w:t>
            </w:r>
          </w:p>
        </w:tc>
      </w:tr>
      <w:tr w:rsidR="004D417B" w:rsidTr="00F363FD">
        <w:trPr>
          <w:trHeight w:val="420"/>
          <w:jc w:val="center"/>
        </w:trPr>
        <w:tc>
          <w:tcPr>
            <w:tcW w:w="283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Comprehensive Income and Expenditure</w:t>
            </w:r>
          </w:p>
        </w:tc>
        <w:tc>
          <w:tcPr>
            <w:tcW w:w="1230" w:type="dxa"/>
            <w:tcBorders>
              <w:left w:val="single" w:sz="2" w:space="0" w:color="000000"/>
            </w:tcBorders>
            <w:shd w:val="clear" w:color="auto" w:fill="auto"/>
            <w:tcMar>
              <w:top w:w="20" w:type="dxa"/>
              <w:left w:w="20" w:type="dxa"/>
              <w:bottom w:w="20" w:type="dxa"/>
              <w:right w:w="20" w:type="dxa"/>
            </w:tcMar>
          </w:tcPr>
          <w:p w:rsidR="00CA6653" w:rsidRDefault="007C58B6">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w:t>
            </w:r>
            <w:r w:rsidR="00942DCE">
              <w:rPr>
                <w:rFonts w:ascii="Verdana" w:eastAsia="Verdana" w:hAnsi="Verdana" w:cs="Verdana"/>
                <w:b/>
                <w:color w:val="000000"/>
                <w:sz w:val="16"/>
                <w:lang w:val="en-GB"/>
              </w:rPr>
              <w:t>44</w:t>
            </w:r>
          </w:p>
        </w:tc>
        <w:tc>
          <w:tcPr>
            <w:tcW w:w="1125" w:type="dxa"/>
            <w:shd w:val="clear" w:color="auto" w:fill="auto"/>
            <w:tcMar>
              <w:top w:w="20" w:type="dxa"/>
              <w:left w:w="20" w:type="dxa"/>
              <w:bottom w:w="20" w:type="dxa"/>
              <w:right w:w="20" w:type="dxa"/>
            </w:tcMar>
          </w:tcPr>
          <w:p w:rsidR="00CA6653" w:rsidRDefault="00F363F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335" w:type="dxa"/>
            <w:shd w:val="clear" w:color="auto" w:fill="auto"/>
            <w:tcMar>
              <w:top w:w="20" w:type="dxa"/>
              <w:left w:w="20" w:type="dxa"/>
              <w:bottom w:w="20" w:type="dxa"/>
              <w:right w:w="20" w:type="dxa"/>
            </w:tcMar>
          </w:tcPr>
          <w:p w:rsidR="00CA6653" w:rsidRDefault="00942DC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844</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rsidR="00CA6653" w:rsidRDefault="00942DC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844</w:t>
            </w:r>
          </w:p>
        </w:tc>
        <w:tc>
          <w:tcPr>
            <w:tcW w:w="1335" w:type="dxa"/>
            <w:shd w:val="clear" w:color="auto" w:fill="auto"/>
            <w:tcMar>
              <w:top w:w="20" w:type="dxa"/>
              <w:left w:w="20" w:type="dxa"/>
              <w:bottom w:w="20" w:type="dxa"/>
              <w:right w:w="20" w:type="dxa"/>
            </w:tcMar>
          </w:tcPr>
          <w:p w:rsidR="00631EEF" w:rsidRDefault="00F363FD" w:rsidP="00631EE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w:t>
            </w:r>
            <w:r w:rsidR="00817B9D">
              <w:rPr>
                <w:rFonts w:ascii="Verdana" w:eastAsia="Verdana" w:hAnsi="Verdana" w:cs="Verdana"/>
                <w:b/>
                <w:color w:val="000000"/>
                <w:sz w:val="16"/>
                <w:lang w:val="en-GB"/>
              </w:rPr>
              <w:t>19</w:t>
            </w:r>
            <w:r w:rsidR="008A24D0">
              <w:rPr>
                <w:rFonts w:ascii="Verdana" w:eastAsia="Verdana" w:hAnsi="Verdana" w:cs="Verdana"/>
                <w:b/>
                <w:color w:val="000000"/>
                <w:sz w:val="16"/>
                <w:lang w:val="en-GB"/>
              </w:rPr>
              <w:t>6</w:t>
            </w:r>
            <w:r>
              <w:rPr>
                <w:rFonts w:ascii="Verdana" w:eastAsia="Verdana" w:hAnsi="Verdana" w:cs="Verdana"/>
                <w:b/>
                <w:color w:val="000000"/>
                <w:sz w:val="16"/>
                <w:lang w:val="en-GB"/>
              </w:rPr>
              <w:t>)</w:t>
            </w:r>
          </w:p>
          <w:p w:rsidR="00631EEF" w:rsidRDefault="00631EEF" w:rsidP="001C1E63">
            <w:pPr>
              <w:pStyle w:val="T1TableStyle"/>
              <w:jc w:val="right"/>
              <w:rPr>
                <w:rFonts w:ascii="Verdana" w:eastAsia="Verdana" w:hAnsi="Verdana" w:cs="Verdana"/>
                <w:b/>
                <w:color w:val="000000"/>
                <w:sz w:val="16"/>
                <w:lang w:val="en-GB"/>
              </w:rPr>
            </w:pPr>
          </w:p>
        </w:tc>
        <w:tc>
          <w:tcPr>
            <w:tcW w:w="1335" w:type="dxa"/>
            <w:tcBorders>
              <w:left w:val="single" w:sz="2" w:space="0" w:color="000000"/>
            </w:tcBorders>
            <w:shd w:val="clear" w:color="auto" w:fill="auto"/>
            <w:tcMar>
              <w:top w:w="20" w:type="dxa"/>
              <w:left w:w="20" w:type="dxa"/>
              <w:bottom w:w="20" w:type="dxa"/>
              <w:right w:w="20" w:type="dxa"/>
            </w:tcMar>
          </w:tcPr>
          <w:p w:rsidR="00CA6653" w:rsidRDefault="00F363F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7C58B6">
              <w:rPr>
                <w:rFonts w:ascii="Verdana" w:eastAsia="Verdana" w:hAnsi="Verdana" w:cs="Verdana"/>
                <w:b/>
                <w:color w:val="000000"/>
                <w:sz w:val="16"/>
                <w:lang w:val="en-GB"/>
              </w:rPr>
              <w:t>7</w:t>
            </w:r>
            <w:r w:rsidR="00817B9D">
              <w:rPr>
                <w:rFonts w:ascii="Verdana" w:eastAsia="Verdana" w:hAnsi="Verdana" w:cs="Verdana"/>
                <w:b/>
                <w:color w:val="000000"/>
                <w:sz w:val="16"/>
                <w:lang w:val="en-GB"/>
              </w:rPr>
              <w:t>,</w:t>
            </w:r>
            <w:r w:rsidR="007C58B6">
              <w:rPr>
                <w:rFonts w:ascii="Verdana" w:eastAsia="Verdana" w:hAnsi="Verdana" w:cs="Verdana"/>
                <w:b/>
                <w:color w:val="000000"/>
                <w:sz w:val="16"/>
                <w:lang w:val="en-GB"/>
              </w:rPr>
              <w:t>3</w:t>
            </w:r>
            <w:r w:rsidR="00942DCE">
              <w:rPr>
                <w:rFonts w:ascii="Verdana" w:eastAsia="Verdana" w:hAnsi="Verdana" w:cs="Verdana"/>
                <w:b/>
                <w:color w:val="000000"/>
                <w:sz w:val="16"/>
                <w:lang w:val="en-GB"/>
              </w:rPr>
              <w:t>5</w:t>
            </w:r>
            <w:r w:rsidR="008A24D0">
              <w:rPr>
                <w:rFonts w:ascii="Verdana" w:eastAsia="Verdana" w:hAnsi="Verdana" w:cs="Verdana"/>
                <w:b/>
                <w:color w:val="000000"/>
                <w:sz w:val="16"/>
                <w:lang w:val="en-GB"/>
              </w:rPr>
              <w:t>2</w:t>
            </w:r>
            <w:r>
              <w:rPr>
                <w:rFonts w:ascii="Verdana" w:eastAsia="Verdana" w:hAnsi="Verdana" w:cs="Verdana"/>
                <w:b/>
                <w:color w:val="000000"/>
                <w:sz w:val="16"/>
                <w:lang w:val="en-GB"/>
              </w:rPr>
              <w:t>)</w:t>
            </w:r>
          </w:p>
        </w:tc>
      </w:tr>
      <w:tr w:rsidR="004D417B" w:rsidTr="00F363FD">
        <w:trPr>
          <w:trHeight w:val="840"/>
          <w:jc w:val="center"/>
        </w:trPr>
        <w:tc>
          <w:tcPr>
            <w:tcW w:w="2835" w:type="dxa"/>
            <w:tcBorders>
              <w:bottom w:val="single" w:sz="4" w:space="0" w:color="auto"/>
            </w:tcBorders>
            <w:shd w:val="clear" w:color="auto" w:fill="auto"/>
            <w:tcMar>
              <w:top w:w="20" w:type="dxa"/>
              <w:left w:w="20" w:type="dxa"/>
              <w:bottom w:w="20" w:type="dxa"/>
              <w:right w:w="20" w:type="dxa"/>
            </w:tcMar>
          </w:tcPr>
          <w:p w:rsidR="00CA6653" w:rsidRDefault="00CA6653" w:rsidP="0019417B">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between accounting basis and funding basis under regulations</w:t>
            </w:r>
          </w:p>
        </w:tc>
        <w:tc>
          <w:tcPr>
            <w:tcW w:w="1230" w:type="dxa"/>
            <w:tcBorders>
              <w:left w:val="single" w:sz="2" w:space="0" w:color="000000"/>
              <w:bottom w:val="single" w:sz="4" w:space="0" w:color="auto"/>
            </w:tcBorders>
            <w:shd w:val="clear" w:color="auto" w:fill="auto"/>
            <w:tcMar>
              <w:top w:w="20" w:type="dxa"/>
              <w:left w:w="20" w:type="dxa"/>
              <w:bottom w:w="20" w:type="dxa"/>
              <w:right w:w="20" w:type="dxa"/>
            </w:tcMar>
          </w:tcPr>
          <w:p w:rsidR="00CA6653" w:rsidRDefault="004036C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F363FD">
              <w:rPr>
                <w:rFonts w:ascii="Verdana" w:eastAsia="Verdana" w:hAnsi="Verdana" w:cs="Verdana"/>
                <w:color w:val="000000"/>
                <w:sz w:val="16"/>
                <w:lang w:val="en-GB"/>
              </w:rPr>
              <w:t>3,</w:t>
            </w:r>
            <w:r w:rsidR="00942DCE">
              <w:rPr>
                <w:rFonts w:ascii="Verdana" w:eastAsia="Verdana" w:hAnsi="Verdana" w:cs="Verdana"/>
                <w:color w:val="000000"/>
                <w:sz w:val="16"/>
                <w:lang w:val="en-GB"/>
              </w:rPr>
              <w:t>092</w:t>
            </w:r>
            <w:r>
              <w:rPr>
                <w:rFonts w:ascii="Verdana" w:eastAsia="Verdana" w:hAnsi="Verdana" w:cs="Verdana"/>
                <w:color w:val="000000"/>
                <w:sz w:val="16"/>
                <w:lang w:val="en-GB"/>
              </w:rPr>
              <w:t>)</w:t>
            </w:r>
          </w:p>
        </w:tc>
        <w:tc>
          <w:tcPr>
            <w:tcW w:w="1125" w:type="dxa"/>
            <w:tcBorders>
              <w:bottom w:val="single" w:sz="4" w:space="0" w:color="auto"/>
            </w:tcBorders>
            <w:shd w:val="clear" w:color="auto" w:fill="auto"/>
            <w:tcMar>
              <w:top w:w="20" w:type="dxa"/>
              <w:left w:w="20" w:type="dxa"/>
              <w:bottom w:w="20" w:type="dxa"/>
              <w:right w:w="20" w:type="dxa"/>
            </w:tcMar>
          </w:tcPr>
          <w:p w:rsidR="00CA6653" w:rsidRDefault="00CA6653" w:rsidP="0019417B">
            <w:pPr>
              <w:pStyle w:val="T1TableStyle"/>
              <w:jc w:val="right"/>
              <w:rPr>
                <w:rFonts w:ascii="Verdana" w:eastAsia="Verdana" w:hAnsi="Verdana" w:cs="Verdana"/>
                <w:color w:val="000000"/>
                <w:sz w:val="2"/>
                <w:lang w:val="en-GB"/>
              </w:rPr>
            </w:pPr>
          </w:p>
        </w:tc>
        <w:tc>
          <w:tcPr>
            <w:tcW w:w="1335" w:type="dxa"/>
            <w:tcBorders>
              <w:bottom w:val="single" w:sz="4" w:space="0" w:color="auto"/>
            </w:tcBorders>
            <w:shd w:val="clear" w:color="auto" w:fill="auto"/>
            <w:tcMar>
              <w:top w:w="20" w:type="dxa"/>
              <w:left w:w="20" w:type="dxa"/>
              <w:bottom w:w="20" w:type="dxa"/>
              <w:right w:w="20" w:type="dxa"/>
            </w:tcMar>
          </w:tcPr>
          <w:p w:rsidR="00CA6653" w:rsidRDefault="00E236C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w:t>
            </w:r>
            <w:r w:rsidR="00942DCE">
              <w:rPr>
                <w:rFonts w:ascii="Verdana" w:eastAsia="Verdana" w:hAnsi="Verdana" w:cs="Verdana"/>
                <w:color w:val="000000"/>
                <w:sz w:val="16"/>
                <w:lang w:val="en-GB"/>
              </w:rPr>
              <w:t>092</w:t>
            </w:r>
            <w:r>
              <w:rPr>
                <w:rFonts w:ascii="Verdana" w:eastAsia="Verdana" w:hAnsi="Verdana" w:cs="Verdana"/>
                <w:color w:val="000000"/>
                <w:sz w:val="16"/>
                <w:lang w:val="en-GB"/>
              </w:rPr>
              <w:t>)</w:t>
            </w:r>
          </w:p>
        </w:tc>
        <w:tc>
          <w:tcPr>
            <w:tcW w:w="1080" w:type="dxa"/>
            <w:tcBorders>
              <w:bottom w:val="single" w:sz="4" w:space="0" w:color="auto"/>
            </w:tcBorders>
            <w:shd w:val="clear" w:color="auto" w:fill="auto"/>
            <w:tcMar>
              <w:top w:w="20" w:type="dxa"/>
              <w:left w:w="20" w:type="dxa"/>
              <w:bottom w:w="20" w:type="dxa"/>
              <w:right w:w="20" w:type="dxa"/>
            </w:tcMar>
          </w:tcPr>
          <w:p w:rsidR="00CA6653" w:rsidRDefault="00AD506B" w:rsidP="00AD506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3,799</w:t>
            </w:r>
          </w:p>
        </w:tc>
        <w:tc>
          <w:tcPr>
            <w:tcW w:w="1080" w:type="dxa"/>
            <w:tcBorders>
              <w:bottom w:val="single" w:sz="4" w:space="0" w:color="auto"/>
            </w:tcBorders>
            <w:shd w:val="clear" w:color="auto" w:fill="auto"/>
            <w:tcMar>
              <w:top w:w="20" w:type="dxa"/>
              <w:left w:w="20" w:type="dxa"/>
              <w:bottom w:w="20" w:type="dxa"/>
              <w:right w:w="20" w:type="dxa"/>
            </w:tcMar>
          </w:tcPr>
          <w:p w:rsidR="00CA6653" w:rsidRDefault="00AD506B" w:rsidP="00E153C2">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w:t>
            </w:r>
            <w:r w:rsidR="00E153C2">
              <w:rPr>
                <w:rFonts w:ascii="Verdana" w:eastAsia="Verdana" w:hAnsi="Verdana" w:cs="Verdana"/>
                <w:color w:val="000000"/>
                <w:sz w:val="16"/>
                <w:lang w:val="en-GB"/>
              </w:rPr>
              <w:t>29</w:t>
            </w:r>
            <w:r>
              <w:rPr>
                <w:rFonts w:ascii="Verdana" w:eastAsia="Verdana" w:hAnsi="Verdana" w:cs="Verdana"/>
                <w:color w:val="000000"/>
                <w:sz w:val="16"/>
                <w:lang w:val="en-GB"/>
              </w:rPr>
              <w:t>)</w:t>
            </w:r>
          </w:p>
        </w:tc>
        <w:tc>
          <w:tcPr>
            <w:tcW w:w="1230" w:type="dxa"/>
            <w:tcBorders>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7C58B6">
              <w:rPr>
                <w:rFonts w:ascii="Verdana" w:eastAsia="Verdana" w:hAnsi="Verdana" w:cs="Verdana"/>
                <w:b/>
                <w:color w:val="000000"/>
                <w:sz w:val="16"/>
                <w:lang w:val="en-GB"/>
              </w:rPr>
              <w:t>9</w:t>
            </w:r>
            <w:r w:rsidR="00942DCE">
              <w:rPr>
                <w:rFonts w:ascii="Verdana" w:eastAsia="Verdana" w:hAnsi="Verdana" w:cs="Verdana"/>
                <w:b/>
                <w:color w:val="000000"/>
                <w:sz w:val="16"/>
                <w:lang w:val="en-GB"/>
              </w:rPr>
              <w:t>22</w:t>
            </w:r>
            <w:r>
              <w:rPr>
                <w:rFonts w:ascii="Verdana" w:eastAsia="Verdana" w:hAnsi="Verdana" w:cs="Verdana"/>
                <w:b/>
                <w:color w:val="000000"/>
                <w:sz w:val="16"/>
                <w:lang w:val="en-GB"/>
              </w:rPr>
              <w:t>)</w:t>
            </w:r>
          </w:p>
        </w:tc>
        <w:tc>
          <w:tcPr>
            <w:tcW w:w="1335" w:type="dxa"/>
            <w:tcBorders>
              <w:bottom w:val="single" w:sz="4" w:space="0" w:color="auto"/>
            </w:tcBorders>
            <w:shd w:val="clear" w:color="auto" w:fill="auto"/>
            <w:tcMar>
              <w:top w:w="20" w:type="dxa"/>
              <w:left w:w="20" w:type="dxa"/>
              <w:bottom w:w="20" w:type="dxa"/>
              <w:right w:w="20" w:type="dxa"/>
            </w:tcMar>
          </w:tcPr>
          <w:p w:rsidR="00CA6653" w:rsidRDefault="00942DC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922</w:t>
            </w:r>
          </w:p>
        </w:tc>
        <w:tc>
          <w:tcPr>
            <w:tcW w:w="1335" w:type="dxa"/>
            <w:tcBorders>
              <w:left w:val="single" w:sz="2" w:space="0" w:color="000000"/>
              <w:bottom w:val="single" w:sz="4" w:space="0" w:color="auto"/>
            </w:tcBorders>
            <w:shd w:val="clear" w:color="auto" w:fill="auto"/>
            <w:tcMar>
              <w:top w:w="20" w:type="dxa"/>
              <w:left w:w="20" w:type="dxa"/>
              <w:bottom w:w="20" w:type="dxa"/>
              <w:right w:w="20" w:type="dxa"/>
            </w:tcMar>
          </w:tcPr>
          <w:p w:rsidR="00CA6653" w:rsidRDefault="00817B9D" w:rsidP="00836C0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4D417B" w:rsidTr="00F363FD">
        <w:trPr>
          <w:trHeight w:val="660"/>
          <w:jc w:val="center"/>
        </w:trPr>
        <w:tc>
          <w:tcPr>
            <w:tcW w:w="2835"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Net Increase or Decrease before Transfers to Earmarked Reserves</w:t>
            </w:r>
          </w:p>
        </w:tc>
        <w:tc>
          <w:tcPr>
            <w:tcW w:w="1230" w:type="dxa"/>
            <w:tcBorders>
              <w:top w:val="single" w:sz="4" w:space="0" w:color="auto"/>
              <w:left w:val="single" w:sz="2" w:space="0" w:color="000000"/>
            </w:tcBorders>
            <w:shd w:val="clear" w:color="auto" w:fill="auto"/>
            <w:tcMar>
              <w:top w:w="20" w:type="dxa"/>
              <w:left w:w="20" w:type="dxa"/>
              <w:bottom w:w="20" w:type="dxa"/>
              <w:right w:w="20" w:type="dxa"/>
            </w:tcMar>
          </w:tcPr>
          <w:p w:rsidR="00CA6653" w:rsidRDefault="004036C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CA6653">
              <w:rPr>
                <w:rFonts w:ascii="Verdana" w:eastAsia="Verdana" w:hAnsi="Verdana" w:cs="Verdana"/>
                <w:b/>
                <w:color w:val="000000"/>
                <w:sz w:val="16"/>
                <w:lang w:val="en-GB"/>
              </w:rPr>
              <w:t>,</w:t>
            </w:r>
            <w:r w:rsidR="0014478F">
              <w:rPr>
                <w:rFonts w:ascii="Verdana" w:eastAsia="Verdana" w:hAnsi="Verdana" w:cs="Verdana"/>
                <w:b/>
                <w:color w:val="000000"/>
                <w:sz w:val="16"/>
                <w:lang w:val="en-GB"/>
              </w:rPr>
              <w:t>248</w:t>
            </w:r>
            <w:r>
              <w:rPr>
                <w:rFonts w:ascii="Verdana" w:eastAsia="Verdana" w:hAnsi="Verdana" w:cs="Verdana"/>
                <w:b/>
                <w:color w:val="000000"/>
                <w:sz w:val="16"/>
                <w:lang w:val="en-GB"/>
              </w:rPr>
              <w:t>)</w:t>
            </w:r>
          </w:p>
        </w:tc>
        <w:tc>
          <w:tcPr>
            <w:tcW w:w="1125"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335"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AD506B">
              <w:rPr>
                <w:rFonts w:ascii="Verdana" w:eastAsia="Verdana" w:hAnsi="Verdana" w:cs="Verdana"/>
                <w:b/>
                <w:color w:val="000000"/>
                <w:sz w:val="16"/>
                <w:lang w:val="en-GB"/>
              </w:rPr>
              <w:t>2,</w:t>
            </w:r>
            <w:r w:rsidR="0014478F">
              <w:rPr>
                <w:rFonts w:ascii="Verdana" w:eastAsia="Verdana" w:hAnsi="Verdana" w:cs="Verdana"/>
                <w:b/>
                <w:color w:val="000000"/>
                <w:sz w:val="16"/>
                <w:lang w:val="en-GB"/>
              </w:rPr>
              <w:t>248</w:t>
            </w:r>
            <w:r>
              <w:rPr>
                <w:rFonts w:ascii="Verdana" w:eastAsia="Verdana" w:hAnsi="Verdana" w:cs="Verdana"/>
                <w:b/>
                <w:color w:val="000000"/>
                <w:sz w:val="16"/>
                <w:lang w:val="en-GB"/>
              </w:rPr>
              <w:t>)</w:t>
            </w:r>
          </w:p>
        </w:tc>
        <w:tc>
          <w:tcPr>
            <w:tcW w:w="1080" w:type="dxa"/>
            <w:tcBorders>
              <w:top w:val="single" w:sz="4" w:space="0" w:color="auto"/>
            </w:tcBorders>
            <w:shd w:val="clear" w:color="auto" w:fill="auto"/>
            <w:tcMar>
              <w:top w:w="20" w:type="dxa"/>
              <w:left w:w="20" w:type="dxa"/>
              <w:bottom w:w="20" w:type="dxa"/>
              <w:right w:w="20" w:type="dxa"/>
            </w:tcMar>
          </w:tcPr>
          <w:p w:rsidR="00CA6653" w:rsidRDefault="00E153C2">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3,799</w:t>
            </w:r>
          </w:p>
        </w:tc>
        <w:tc>
          <w:tcPr>
            <w:tcW w:w="1080" w:type="dxa"/>
            <w:tcBorders>
              <w:top w:val="single" w:sz="4" w:space="0" w:color="auto"/>
            </w:tcBorders>
            <w:shd w:val="clear" w:color="auto" w:fill="auto"/>
            <w:tcMar>
              <w:top w:w="20" w:type="dxa"/>
              <w:left w:w="20" w:type="dxa"/>
              <w:bottom w:w="20" w:type="dxa"/>
              <w:right w:w="20" w:type="dxa"/>
            </w:tcMar>
          </w:tcPr>
          <w:p w:rsidR="00CA6653" w:rsidRDefault="00E153C2" w:rsidP="00E153C2">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(1,629)</w:t>
            </w:r>
          </w:p>
        </w:tc>
        <w:tc>
          <w:tcPr>
            <w:tcW w:w="1230" w:type="dxa"/>
            <w:tcBorders>
              <w:top w:val="single" w:sz="4" w:space="0" w:color="auto"/>
              <w:left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14478F">
              <w:rPr>
                <w:rFonts w:ascii="Verdana" w:eastAsia="Verdana" w:hAnsi="Verdana" w:cs="Verdana"/>
                <w:b/>
                <w:color w:val="000000"/>
                <w:sz w:val="16"/>
                <w:lang w:val="en-GB"/>
              </w:rPr>
              <w:t>78</w:t>
            </w:r>
            <w:r>
              <w:rPr>
                <w:rFonts w:ascii="Verdana" w:eastAsia="Verdana" w:hAnsi="Verdana" w:cs="Verdana"/>
                <w:b/>
                <w:color w:val="000000"/>
                <w:sz w:val="16"/>
                <w:lang w:val="en-GB"/>
              </w:rPr>
              <w:t>)</w:t>
            </w:r>
          </w:p>
        </w:tc>
        <w:tc>
          <w:tcPr>
            <w:tcW w:w="1335"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7C58B6">
              <w:rPr>
                <w:rFonts w:ascii="Verdana" w:eastAsia="Verdana" w:hAnsi="Verdana" w:cs="Verdana"/>
                <w:b/>
                <w:color w:val="000000"/>
                <w:sz w:val="16"/>
                <w:lang w:val="en-GB"/>
              </w:rPr>
              <w:t>7</w:t>
            </w:r>
            <w:r w:rsidR="00817B9D">
              <w:rPr>
                <w:rFonts w:ascii="Verdana" w:eastAsia="Verdana" w:hAnsi="Verdana" w:cs="Verdana"/>
                <w:b/>
                <w:color w:val="000000"/>
                <w:sz w:val="16"/>
                <w:lang w:val="en-GB"/>
              </w:rPr>
              <w:t>,</w:t>
            </w:r>
            <w:r w:rsidR="007C58B6">
              <w:rPr>
                <w:rFonts w:ascii="Verdana" w:eastAsia="Verdana" w:hAnsi="Verdana" w:cs="Verdana"/>
                <w:b/>
                <w:color w:val="000000"/>
                <w:sz w:val="16"/>
                <w:lang w:val="en-GB"/>
              </w:rPr>
              <w:t>2</w:t>
            </w:r>
            <w:r w:rsidR="00942DCE">
              <w:rPr>
                <w:rFonts w:ascii="Verdana" w:eastAsia="Verdana" w:hAnsi="Verdana" w:cs="Verdana"/>
                <w:b/>
                <w:color w:val="000000"/>
                <w:sz w:val="16"/>
                <w:lang w:val="en-GB"/>
              </w:rPr>
              <w:t>7</w:t>
            </w:r>
            <w:r w:rsidR="008A24D0">
              <w:rPr>
                <w:rFonts w:ascii="Verdana" w:eastAsia="Verdana" w:hAnsi="Verdana" w:cs="Verdana"/>
                <w:b/>
                <w:color w:val="000000"/>
                <w:sz w:val="16"/>
                <w:lang w:val="en-GB"/>
              </w:rPr>
              <w:t>4</w:t>
            </w:r>
            <w:r>
              <w:rPr>
                <w:rFonts w:ascii="Verdana" w:eastAsia="Verdana" w:hAnsi="Verdana" w:cs="Verdana"/>
                <w:b/>
                <w:color w:val="000000"/>
                <w:sz w:val="16"/>
                <w:lang w:val="en-GB"/>
              </w:rPr>
              <w:t>)</w:t>
            </w:r>
          </w:p>
        </w:tc>
        <w:tc>
          <w:tcPr>
            <w:tcW w:w="1335" w:type="dxa"/>
            <w:tcBorders>
              <w:top w:val="single" w:sz="4" w:space="0" w:color="auto"/>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7C58B6">
              <w:rPr>
                <w:rFonts w:ascii="Verdana" w:eastAsia="Verdana" w:hAnsi="Verdana" w:cs="Verdana"/>
                <w:b/>
                <w:color w:val="000000"/>
                <w:sz w:val="16"/>
                <w:lang w:val="en-GB"/>
              </w:rPr>
              <w:t>7</w:t>
            </w:r>
            <w:r w:rsidR="00817B9D">
              <w:rPr>
                <w:rFonts w:ascii="Verdana" w:eastAsia="Verdana" w:hAnsi="Verdana" w:cs="Verdana"/>
                <w:b/>
                <w:color w:val="000000"/>
                <w:sz w:val="16"/>
                <w:lang w:val="en-GB"/>
              </w:rPr>
              <w:t>,</w:t>
            </w:r>
            <w:r w:rsidR="007C58B6">
              <w:rPr>
                <w:rFonts w:ascii="Verdana" w:eastAsia="Verdana" w:hAnsi="Verdana" w:cs="Verdana"/>
                <w:b/>
                <w:color w:val="000000"/>
                <w:sz w:val="16"/>
                <w:lang w:val="en-GB"/>
              </w:rPr>
              <w:t>3</w:t>
            </w:r>
            <w:r w:rsidR="00942DCE">
              <w:rPr>
                <w:rFonts w:ascii="Verdana" w:eastAsia="Verdana" w:hAnsi="Verdana" w:cs="Verdana"/>
                <w:b/>
                <w:color w:val="000000"/>
                <w:sz w:val="16"/>
                <w:lang w:val="en-GB"/>
              </w:rPr>
              <w:t>5</w:t>
            </w:r>
            <w:r w:rsidR="008A24D0">
              <w:rPr>
                <w:rFonts w:ascii="Verdana" w:eastAsia="Verdana" w:hAnsi="Verdana" w:cs="Verdana"/>
                <w:b/>
                <w:color w:val="000000"/>
                <w:sz w:val="16"/>
                <w:lang w:val="en-GB"/>
              </w:rPr>
              <w:t>2</w:t>
            </w:r>
            <w:r>
              <w:rPr>
                <w:rFonts w:ascii="Verdana" w:eastAsia="Verdana" w:hAnsi="Verdana" w:cs="Verdana"/>
                <w:b/>
                <w:color w:val="000000"/>
                <w:sz w:val="16"/>
                <w:lang w:val="en-GB"/>
              </w:rPr>
              <w:t>)</w:t>
            </w:r>
          </w:p>
        </w:tc>
      </w:tr>
      <w:tr w:rsidR="004D417B" w:rsidTr="00A200D5">
        <w:trPr>
          <w:trHeight w:val="1060"/>
          <w:jc w:val="center"/>
        </w:trPr>
        <w:tc>
          <w:tcPr>
            <w:tcW w:w="28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Transfers to / from Earmarked Reserves</w:t>
            </w:r>
          </w:p>
          <w:p w:rsidR="00F363FD" w:rsidRDefault="00F363FD">
            <w:pPr>
              <w:pStyle w:val="T1TableStyle"/>
              <w:rPr>
                <w:rFonts w:ascii="Verdana" w:eastAsia="Verdana" w:hAnsi="Verdana" w:cs="Verdana"/>
                <w:color w:val="000000"/>
                <w:sz w:val="16"/>
                <w:lang w:val="en-GB"/>
              </w:rPr>
            </w:pPr>
          </w:p>
          <w:p w:rsidR="00A714AB" w:rsidRDefault="004036C0" w:rsidP="00F363FD">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Transfer  Chief Constable Reserve to General Fund Balance</w:t>
            </w:r>
          </w:p>
          <w:p w:rsidR="00A714AB" w:rsidRDefault="00A714AB" w:rsidP="00F363FD">
            <w:pPr>
              <w:pStyle w:val="T1TableStyle"/>
              <w:rPr>
                <w:rFonts w:ascii="Verdana" w:eastAsia="Verdana" w:hAnsi="Verdana" w:cs="Verdana"/>
                <w:color w:val="000000"/>
                <w:sz w:val="16"/>
                <w:lang w:val="en-GB"/>
              </w:rPr>
            </w:pPr>
          </w:p>
        </w:tc>
        <w:tc>
          <w:tcPr>
            <w:tcW w:w="1230"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4036C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CA6653">
              <w:rPr>
                <w:rFonts w:ascii="Verdana" w:eastAsia="Verdana" w:hAnsi="Verdana" w:cs="Verdana"/>
                <w:color w:val="000000"/>
                <w:sz w:val="16"/>
                <w:lang w:val="en-GB"/>
              </w:rPr>
              <w:t>,</w:t>
            </w:r>
            <w:r>
              <w:rPr>
                <w:rFonts w:ascii="Verdana" w:eastAsia="Verdana" w:hAnsi="Verdana" w:cs="Verdana"/>
                <w:color w:val="000000"/>
                <w:sz w:val="16"/>
                <w:lang w:val="en-GB"/>
              </w:rPr>
              <w:t>011</w:t>
            </w:r>
          </w:p>
          <w:p w:rsidR="00F363FD" w:rsidRDefault="00F363FD">
            <w:pPr>
              <w:pStyle w:val="T1TableStyle"/>
              <w:jc w:val="right"/>
              <w:rPr>
                <w:rFonts w:ascii="Verdana" w:eastAsia="Verdana" w:hAnsi="Verdana" w:cs="Verdana"/>
                <w:color w:val="000000"/>
                <w:sz w:val="16"/>
                <w:lang w:val="en-GB"/>
              </w:rPr>
            </w:pPr>
          </w:p>
          <w:p w:rsidR="004036C0" w:rsidRDefault="004036C0">
            <w:pPr>
              <w:pStyle w:val="T1TableStyle"/>
              <w:jc w:val="right"/>
              <w:rPr>
                <w:rFonts w:ascii="Verdana" w:eastAsia="Verdana" w:hAnsi="Verdana" w:cs="Verdana"/>
                <w:color w:val="000000"/>
                <w:sz w:val="16"/>
                <w:lang w:val="en-GB"/>
              </w:rPr>
            </w:pPr>
          </w:p>
          <w:p w:rsidR="004036C0" w:rsidRDefault="004036C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(1,071)</w:t>
            </w:r>
          </w:p>
          <w:p w:rsidR="00F363FD" w:rsidRDefault="00F363FD">
            <w:pPr>
              <w:pStyle w:val="T1TableStyle"/>
              <w:jc w:val="right"/>
              <w:rPr>
                <w:rFonts w:ascii="Verdana" w:eastAsia="Verdana" w:hAnsi="Verdana" w:cs="Verdana"/>
                <w:color w:val="000000"/>
                <w:sz w:val="16"/>
                <w:lang w:val="en-GB"/>
              </w:rPr>
            </w:pPr>
          </w:p>
        </w:tc>
        <w:tc>
          <w:tcPr>
            <w:tcW w:w="1125" w:type="dxa"/>
            <w:tcBorders>
              <w:bottom w:val="single" w:sz="2" w:space="0" w:color="000000"/>
            </w:tcBorders>
            <w:shd w:val="clear" w:color="auto" w:fill="auto"/>
            <w:tcMar>
              <w:top w:w="20" w:type="dxa"/>
              <w:left w:w="20" w:type="dxa"/>
              <w:bottom w:w="20" w:type="dxa"/>
              <w:right w:w="20" w:type="dxa"/>
            </w:tcMar>
          </w:tcPr>
          <w:p w:rsidR="00CA6653" w:rsidRDefault="004036C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CA6653">
              <w:rPr>
                <w:rFonts w:ascii="Verdana" w:eastAsia="Verdana" w:hAnsi="Verdana" w:cs="Verdana"/>
                <w:color w:val="000000"/>
                <w:sz w:val="16"/>
                <w:lang w:val="en-GB"/>
              </w:rPr>
              <w:t>,</w:t>
            </w:r>
            <w:r>
              <w:rPr>
                <w:rFonts w:ascii="Verdana" w:eastAsia="Verdana" w:hAnsi="Verdana" w:cs="Verdana"/>
                <w:color w:val="000000"/>
                <w:sz w:val="16"/>
                <w:lang w:val="en-GB"/>
              </w:rPr>
              <w:t>011</w:t>
            </w:r>
            <w:r w:rsidR="00CA6653">
              <w:rPr>
                <w:rFonts w:ascii="Verdana" w:eastAsia="Verdana" w:hAnsi="Verdana" w:cs="Verdana"/>
                <w:color w:val="000000"/>
                <w:sz w:val="16"/>
                <w:lang w:val="en-GB"/>
              </w:rPr>
              <w:t>)</w:t>
            </w:r>
          </w:p>
          <w:p w:rsidR="00F363FD" w:rsidRDefault="00F363FD">
            <w:pPr>
              <w:pStyle w:val="T1TableStyle"/>
              <w:jc w:val="right"/>
              <w:rPr>
                <w:rFonts w:ascii="Verdana" w:eastAsia="Verdana" w:hAnsi="Verdana" w:cs="Verdana"/>
                <w:color w:val="000000"/>
                <w:sz w:val="16"/>
                <w:lang w:val="en-GB"/>
              </w:rPr>
            </w:pPr>
          </w:p>
          <w:p w:rsidR="004036C0" w:rsidRDefault="004036C0">
            <w:pPr>
              <w:pStyle w:val="T1TableStyle"/>
              <w:jc w:val="right"/>
              <w:rPr>
                <w:rFonts w:ascii="Verdana" w:eastAsia="Verdana" w:hAnsi="Verdana" w:cs="Verdana"/>
                <w:color w:val="000000"/>
                <w:sz w:val="16"/>
                <w:lang w:val="en-GB"/>
              </w:rPr>
            </w:pPr>
          </w:p>
          <w:p w:rsidR="004036C0" w:rsidRDefault="004036C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1,071</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p w:rsidR="00F363FD" w:rsidRDefault="00F363FD">
            <w:pPr>
              <w:pStyle w:val="T1TableStyle"/>
              <w:jc w:val="right"/>
              <w:rPr>
                <w:rFonts w:ascii="Verdana" w:eastAsia="Verdana" w:hAnsi="Verdana" w:cs="Verdana"/>
                <w:color w:val="000000"/>
                <w:sz w:val="16"/>
                <w:lang w:val="en-GB"/>
              </w:rPr>
            </w:pPr>
          </w:p>
          <w:p w:rsidR="004036C0" w:rsidRDefault="004036C0">
            <w:pPr>
              <w:pStyle w:val="T1TableStyle"/>
              <w:jc w:val="right"/>
              <w:rPr>
                <w:rFonts w:ascii="Verdana" w:eastAsia="Verdana" w:hAnsi="Verdana" w:cs="Verdana"/>
                <w:color w:val="000000"/>
                <w:sz w:val="16"/>
                <w:lang w:val="en-GB"/>
              </w:rPr>
            </w:pPr>
          </w:p>
          <w:p w:rsidR="004036C0" w:rsidRDefault="004036C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p w:rsidR="00F363FD" w:rsidRDefault="00F363FD">
            <w:pPr>
              <w:pStyle w:val="T1TableStyle"/>
              <w:jc w:val="right"/>
              <w:rPr>
                <w:rFonts w:ascii="Verdana" w:eastAsia="Verdana" w:hAnsi="Verdana" w:cs="Verdana"/>
                <w:b/>
                <w:color w:val="000000"/>
                <w:sz w:val="16"/>
                <w:lang w:val="en-GB"/>
              </w:rPr>
            </w:pPr>
          </w:p>
          <w:p w:rsidR="00AD506B" w:rsidRDefault="00AD506B">
            <w:pPr>
              <w:pStyle w:val="T1TableStyle"/>
              <w:jc w:val="right"/>
              <w:rPr>
                <w:rFonts w:ascii="Verdana" w:eastAsia="Verdana" w:hAnsi="Verdana" w:cs="Verdana"/>
                <w:b/>
                <w:color w:val="000000"/>
                <w:sz w:val="16"/>
                <w:lang w:val="en-GB"/>
              </w:rPr>
            </w:pPr>
          </w:p>
          <w:p w:rsidR="00AD506B" w:rsidRDefault="00AD506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p w:rsidR="00F363FD" w:rsidRDefault="00F363FD">
            <w:pPr>
              <w:pStyle w:val="T1TableStyle"/>
              <w:jc w:val="right"/>
              <w:rPr>
                <w:rFonts w:ascii="Verdana" w:eastAsia="Verdana" w:hAnsi="Verdana" w:cs="Verdana"/>
                <w:color w:val="000000"/>
                <w:sz w:val="16"/>
                <w:lang w:val="en-GB"/>
              </w:rPr>
            </w:pPr>
          </w:p>
          <w:p w:rsidR="00686E4A" w:rsidRDefault="00686E4A">
            <w:pPr>
              <w:pStyle w:val="T1TableStyle"/>
              <w:jc w:val="right"/>
              <w:rPr>
                <w:rFonts w:ascii="Verdana" w:eastAsia="Verdana" w:hAnsi="Verdana" w:cs="Verdana"/>
                <w:color w:val="000000"/>
                <w:sz w:val="16"/>
                <w:lang w:val="en-GB"/>
              </w:rPr>
            </w:pPr>
          </w:p>
          <w:p w:rsidR="001C1E63" w:rsidRDefault="00686E4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p w:rsidR="001C1E63" w:rsidRDefault="001C1E63" w:rsidP="00DE2BBC">
            <w:pPr>
              <w:pStyle w:val="T1TableStyle"/>
              <w:jc w:val="center"/>
              <w:rPr>
                <w:rFonts w:ascii="Verdana" w:eastAsia="Verdana" w:hAnsi="Verdana" w:cs="Verdana"/>
                <w:color w:val="000000"/>
                <w:sz w:val="16"/>
                <w:lang w:val="en-GB"/>
              </w:rPr>
            </w:pPr>
          </w:p>
          <w:p w:rsidR="00A714AB" w:rsidRDefault="00A714AB" w:rsidP="00A714AB">
            <w:pPr>
              <w:pStyle w:val="T1TableStyle"/>
              <w:jc w:val="right"/>
              <w:rPr>
                <w:rFonts w:ascii="Verdana" w:eastAsia="Verdana" w:hAnsi="Verdana" w:cs="Verdana"/>
                <w:color w:val="000000"/>
                <w:sz w:val="16"/>
                <w:lang w:val="en-GB"/>
              </w:rPr>
            </w:pPr>
          </w:p>
        </w:tc>
        <w:tc>
          <w:tcPr>
            <w:tcW w:w="1335"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p w:rsidR="00F363FD" w:rsidRDefault="00F363FD">
            <w:pPr>
              <w:pStyle w:val="T1TableStyle"/>
              <w:jc w:val="right"/>
              <w:rPr>
                <w:rFonts w:ascii="Verdana" w:eastAsia="Verdana" w:hAnsi="Verdana" w:cs="Verdana"/>
                <w:b/>
                <w:color w:val="000000"/>
                <w:sz w:val="16"/>
                <w:lang w:val="en-GB"/>
              </w:rPr>
            </w:pPr>
          </w:p>
          <w:p w:rsidR="00686E4A" w:rsidRDefault="00686E4A">
            <w:pPr>
              <w:pStyle w:val="T1TableStyle"/>
              <w:jc w:val="right"/>
              <w:rPr>
                <w:rFonts w:ascii="Verdana" w:eastAsia="Verdana" w:hAnsi="Verdana" w:cs="Verdana"/>
                <w:b/>
                <w:color w:val="000000"/>
                <w:sz w:val="16"/>
                <w:lang w:val="en-GB"/>
              </w:rPr>
            </w:pPr>
          </w:p>
          <w:p w:rsidR="00686E4A" w:rsidRDefault="00686E4A">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p w:rsidR="00A714AB" w:rsidRDefault="00A714AB">
            <w:pPr>
              <w:pStyle w:val="T1TableStyle"/>
              <w:jc w:val="right"/>
              <w:rPr>
                <w:rFonts w:ascii="Verdana" w:eastAsia="Verdana" w:hAnsi="Verdana" w:cs="Verdana"/>
                <w:b/>
                <w:color w:val="000000"/>
                <w:sz w:val="16"/>
                <w:lang w:val="en-GB"/>
              </w:rPr>
            </w:pPr>
          </w:p>
        </w:tc>
      </w:tr>
      <w:tr w:rsidR="004D417B" w:rsidTr="00F363FD">
        <w:trPr>
          <w:trHeight w:val="420"/>
          <w:jc w:val="center"/>
        </w:trPr>
        <w:tc>
          <w:tcPr>
            <w:tcW w:w="283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Increase or Decrease in 2019/20</w:t>
            </w:r>
          </w:p>
        </w:tc>
        <w:tc>
          <w:tcPr>
            <w:tcW w:w="1230"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4036C0">
              <w:rPr>
                <w:rFonts w:ascii="Verdana" w:eastAsia="Verdana" w:hAnsi="Verdana" w:cs="Verdana"/>
                <w:b/>
                <w:color w:val="000000"/>
                <w:sz w:val="16"/>
                <w:lang w:val="en-GB"/>
              </w:rPr>
              <w:t>1,3</w:t>
            </w:r>
            <w:r w:rsidR="0014478F">
              <w:rPr>
                <w:rFonts w:ascii="Verdana" w:eastAsia="Verdana" w:hAnsi="Verdana" w:cs="Verdana"/>
                <w:b/>
                <w:color w:val="000000"/>
                <w:sz w:val="16"/>
                <w:lang w:val="en-GB"/>
              </w:rPr>
              <w:t>08</w:t>
            </w:r>
            <w:r>
              <w:rPr>
                <w:rFonts w:ascii="Verdana" w:eastAsia="Verdana" w:hAnsi="Verdana" w:cs="Verdana"/>
                <w:b/>
                <w:color w:val="000000"/>
                <w:sz w:val="16"/>
                <w:lang w:val="en-GB"/>
              </w:rPr>
              <w:t>)</w:t>
            </w:r>
          </w:p>
        </w:tc>
        <w:tc>
          <w:tcPr>
            <w:tcW w:w="112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rsidP="004036C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4036C0">
              <w:rPr>
                <w:rFonts w:ascii="Verdana" w:eastAsia="Verdana" w:hAnsi="Verdana" w:cs="Verdana"/>
                <w:b/>
                <w:color w:val="000000"/>
                <w:sz w:val="16"/>
                <w:lang w:val="en-GB"/>
              </w:rPr>
              <w:t>940</w:t>
            </w:r>
            <w:r>
              <w:rPr>
                <w:rFonts w:ascii="Verdana" w:eastAsia="Verdana" w:hAnsi="Verdana" w:cs="Verdana"/>
                <w:b/>
                <w:color w:val="000000"/>
                <w:sz w:val="16"/>
                <w:lang w:val="en-GB"/>
              </w:rPr>
              <w:t>)</w:t>
            </w:r>
          </w:p>
        </w:tc>
        <w:tc>
          <w:tcPr>
            <w:tcW w:w="133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4036C0">
              <w:rPr>
                <w:rFonts w:ascii="Verdana" w:eastAsia="Verdana" w:hAnsi="Verdana" w:cs="Verdana"/>
                <w:b/>
                <w:color w:val="000000"/>
                <w:sz w:val="16"/>
                <w:lang w:val="en-GB"/>
              </w:rPr>
              <w:t>2,</w:t>
            </w:r>
            <w:r w:rsidR="0014478F">
              <w:rPr>
                <w:rFonts w:ascii="Verdana" w:eastAsia="Verdana" w:hAnsi="Verdana" w:cs="Verdana"/>
                <w:b/>
                <w:color w:val="000000"/>
                <w:sz w:val="16"/>
                <w:lang w:val="en-GB"/>
              </w:rPr>
              <w:t>248</w:t>
            </w:r>
            <w:r>
              <w:rPr>
                <w:rFonts w:ascii="Verdana" w:eastAsia="Verdana" w:hAnsi="Verdana" w:cs="Verdana"/>
                <w:b/>
                <w:color w:val="000000"/>
                <w:sz w:val="16"/>
                <w:lang w:val="en-GB"/>
              </w:rPr>
              <w:t>)</w:t>
            </w:r>
          </w:p>
        </w:tc>
        <w:tc>
          <w:tcPr>
            <w:tcW w:w="1080"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AD506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3,799</w:t>
            </w:r>
          </w:p>
        </w:tc>
        <w:tc>
          <w:tcPr>
            <w:tcW w:w="1080"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AD506B" w:rsidP="00E153C2">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(1,6</w:t>
            </w:r>
            <w:r w:rsidR="00E153C2">
              <w:rPr>
                <w:rFonts w:ascii="Verdana" w:eastAsia="Verdana" w:hAnsi="Verdana" w:cs="Verdana"/>
                <w:b/>
                <w:color w:val="000000"/>
                <w:sz w:val="16"/>
                <w:lang w:val="en-GB"/>
              </w:rPr>
              <w:t>29</w:t>
            </w:r>
            <w:r>
              <w:rPr>
                <w:rFonts w:ascii="Verdana" w:eastAsia="Verdana" w:hAnsi="Verdana" w:cs="Verdana"/>
                <w:b/>
                <w:color w:val="000000"/>
                <w:sz w:val="16"/>
                <w:lang w:val="en-GB"/>
              </w:rPr>
              <w:t>)</w:t>
            </w:r>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14478F">
              <w:rPr>
                <w:rFonts w:ascii="Verdana" w:eastAsia="Verdana" w:hAnsi="Verdana" w:cs="Verdana"/>
                <w:b/>
                <w:color w:val="000000"/>
                <w:sz w:val="16"/>
                <w:lang w:val="en-GB"/>
              </w:rPr>
              <w:t>78)</w:t>
            </w:r>
          </w:p>
        </w:tc>
        <w:tc>
          <w:tcPr>
            <w:tcW w:w="133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rsidP="00A714A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7C58B6">
              <w:rPr>
                <w:rFonts w:ascii="Verdana" w:eastAsia="Verdana" w:hAnsi="Verdana" w:cs="Verdana"/>
                <w:b/>
                <w:color w:val="000000"/>
                <w:sz w:val="16"/>
                <w:lang w:val="en-GB"/>
              </w:rPr>
              <w:t>7</w:t>
            </w:r>
            <w:r w:rsidR="00817B9D">
              <w:rPr>
                <w:rFonts w:ascii="Verdana" w:eastAsia="Verdana" w:hAnsi="Verdana" w:cs="Verdana"/>
                <w:b/>
                <w:color w:val="000000"/>
                <w:sz w:val="16"/>
                <w:lang w:val="en-GB"/>
              </w:rPr>
              <w:t>,</w:t>
            </w:r>
            <w:r w:rsidR="007C58B6">
              <w:rPr>
                <w:rFonts w:ascii="Verdana" w:eastAsia="Verdana" w:hAnsi="Verdana" w:cs="Verdana"/>
                <w:b/>
                <w:color w:val="000000"/>
                <w:sz w:val="16"/>
                <w:lang w:val="en-GB"/>
              </w:rPr>
              <w:t>2</w:t>
            </w:r>
            <w:r w:rsidR="00942DCE">
              <w:rPr>
                <w:rFonts w:ascii="Verdana" w:eastAsia="Verdana" w:hAnsi="Verdana" w:cs="Verdana"/>
                <w:b/>
                <w:color w:val="000000"/>
                <w:sz w:val="16"/>
                <w:lang w:val="en-GB"/>
              </w:rPr>
              <w:t>7</w:t>
            </w:r>
            <w:r w:rsidR="00A714AB">
              <w:rPr>
                <w:rFonts w:ascii="Verdana" w:eastAsia="Verdana" w:hAnsi="Verdana" w:cs="Verdana"/>
                <w:b/>
                <w:color w:val="000000"/>
                <w:sz w:val="16"/>
                <w:lang w:val="en-GB"/>
              </w:rPr>
              <w:t>4</w:t>
            </w:r>
            <w:r w:rsidR="003F2AC3">
              <w:rPr>
                <w:rFonts w:ascii="Verdana" w:eastAsia="Verdana" w:hAnsi="Verdana" w:cs="Verdana"/>
                <w:b/>
                <w:color w:val="000000"/>
                <w:sz w:val="16"/>
                <w:lang w:val="en-GB"/>
              </w:rPr>
              <w:t>)</w:t>
            </w:r>
          </w:p>
        </w:tc>
        <w:tc>
          <w:tcPr>
            <w:tcW w:w="1335"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CA6653" w:rsidRDefault="00CA6653" w:rsidP="00A714A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7C58B6">
              <w:rPr>
                <w:rFonts w:ascii="Verdana" w:eastAsia="Verdana" w:hAnsi="Verdana" w:cs="Verdana"/>
                <w:b/>
                <w:color w:val="000000"/>
                <w:sz w:val="16"/>
                <w:lang w:val="en-GB"/>
              </w:rPr>
              <w:t>7</w:t>
            </w:r>
            <w:r w:rsidR="00817B9D">
              <w:rPr>
                <w:rFonts w:ascii="Verdana" w:eastAsia="Verdana" w:hAnsi="Verdana" w:cs="Verdana"/>
                <w:b/>
                <w:color w:val="000000"/>
                <w:sz w:val="16"/>
                <w:lang w:val="en-GB"/>
              </w:rPr>
              <w:t>,</w:t>
            </w:r>
            <w:r w:rsidR="007C58B6">
              <w:rPr>
                <w:rFonts w:ascii="Verdana" w:eastAsia="Verdana" w:hAnsi="Verdana" w:cs="Verdana"/>
                <w:b/>
                <w:color w:val="000000"/>
                <w:sz w:val="16"/>
                <w:lang w:val="en-GB"/>
              </w:rPr>
              <w:t>3</w:t>
            </w:r>
            <w:r w:rsidR="00942DCE">
              <w:rPr>
                <w:rFonts w:ascii="Verdana" w:eastAsia="Verdana" w:hAnsi="Verdana" w:cs="Verdana"/>
                <w:b/>
                <w:color w:val="000000"/>
                <w:sz w:val="16"/>
                <w:lang w:val="en-GB"/>
              </w:rPr>
              <w:t>5</w:t>
            </w:r>
            <w:r w:rsidR="00A714AB">
              <w:rPr>
                <w:rFonts w:ascii="Verdana" w:eastAsia="Verdana" w:hAnsi="Verdana" w:cs="Verdana"/>
                <w:b/>
                <w:color w:val="000000"/>
                <w:sz w:val="16"/>
                <w:lang w:val="en-GB"/>
              </w:rPr>
              <w:t>2</w:t>
            </w:r>
            <w:r>
              <w:rPr>
                <w:rFonts w:ascii="Verdana" w:eastAsia="Verdana" w:hAnsi="Verdana" w:cs="Verdana"/>
                <w:b/>
                <w:color w:val="000000"/>
                <w:sz w:val="16"/>
                <w:lang w:val="en-GB"/>
              </w:rPr>
              <w:t>)</w:t>
            </w:r>
          </w:p>
        </w:tc>
      </w:tr>
      <w:tr w:rsidR="004D417B" w:rsidTr="00F363FD">
        <w:trPr>
          <w:trHeight w:val="300"/>
          <w:jc w:val="center"/>
        </w:trPr>
        <w:tc>
          <w:tcPr>
            <w:tcW w:w="28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Balance at 31 March 2020</w:t>
            </w:r>
          </w:p>
        </w:tc>
        <w:tc>
          <w:tcPr>
            <w:tcW w:w="1230"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4036C0">
              <w:rPr>
                <w:rFonts w:ascii="Verdana" w:eastAsia="Verdana" w:hAnsi="Verdana" w:cs="Verdana"/>
                <w:b/>
                <w:color w:val="000000"/>
                <w:sz w:val="16"/>
                <w:lang w:val="en-GB"/>
              </w:rPr>
              <w:t>8,</w:t>
            </w:r>
            <w:r w:rsidR="0014478F">
              <w:rPr>
                <w:rFonts w:ascii="Verdana" w:eastAsia="Verdana" w:hAnsi="Verdana" w:cs="Verdana"/>
                <w:b/>
                <w:color w:val="000000"/>
                <w:sz w:val="16"/>
                <w:lang w:val="en-GB"/>
              </w:rPr>
              <w:t>120</w:t>
            </w:r>
            <w:r>
              <w:rPr>
                <w:rFonts w:ascii="Verdana" w:eastAsia="Verdana" w:hAnsi="Verdana" w:cs="Verdana"/>
                <w:b/>
                <w:color w:val="000000"/>
                <w:sz w:val="16"/>
                <w:lang w:val="en-GB"/>
              </w:rPr>
              <w:t>)</w:t>
            </w:r>
          </w:p>
        </w:tc>
        <w:tc>
          <w:tcPr>
            <w:tcW w:w="112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rsidP="004036C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4036C0">
              <w:rPr>
                <w:rFonts w:ascii="Verdana" w:eastAsia="Verdana" w:hAnsi="Verdana" w:cs="Verdana"/>
                <w:b/>
                <w:color w:val="000000"/>
                <w:sz w:val="16"/>
                <w:lang w:val="en-GB"/>
              </w:rPr>
              <w:t>11,381</w:t>
            </w:r>
            <w:r>
              <w:rPr>
                <w:rFonts w:ascii="Verdana" w:eastAsia="Verdana" w:hAnsi="Verdana" w:cs="Verdana"/>
                <w:b/>
                <w:color w:val="000000"/>
                <w:sz w:val="16"/>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4036C0">
              <w:rPr>
                <w:rFonts w:ascii="Verdana" w:eastAsia="Verdana" w:hAnsi="Verdana" w:cs="Verdana"/>
                <w:b/>
                <w:color w:val="000000"/>
                <w:sz w:val="16"/>
                <w:lang w:val="en-GB"/>
              </w:rPr>
              <w:t>19,5</w:t>
            </w:r>
            <w:r w:rsidR="0014478F">
              <w:rPr>
                <w:rFonts w:ascii="Verdana" w:eastAsia="Verdana" w:hAnsi="Verdana" w:cs="Verdana"/>
                <w:b/>
                <w:color w:val="000000"/>
                <w:sz w:val="16"/>
                <w:lang w:val="en-GB"/>
              </w:rPr>
              <w:t>0</w:t>
            </w:r>
            <w:r w:rsidR="004036C0">
              <w:rPr>
                <w:rFonts w:ascii="Verdana" w:eastAsia="Verdana" w:hAnsi="Verdana" w:cs="Verdana"/>
                <w:b/>
                <w:color w:val="000000"/>
                <w:sz w:val="16"/>
                <w:lang w:val="en-GB"/>
              </w:rPr>
              <w:t>1</w:t>
            </w:r>
            <w:r>
              <w:rPr>
                <w:rFonts w:ascii="Verdana" w:eastAsia="Verdana" w:hAnsi="Verdana" w:cs="Verdana"/>
                <w:b/>
                <w:color w:val="000000"/>
                <w:sz w:val="16"/>
                <w:lang w:val="en-GB"/>
              </w:rPr>
              <w:t>)</w:t>
            </w:r>
          </w:p>
        </w:tc>
        <w:tc>
          <w:tcPr>
            <w:tcW w:w="10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rsidP="00AD506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AD506B">
              <w:rPr>
                <w:rFonts w:ascii="Verdana" w:eastAsia="Verdana" w:hAnsi="Verdana" w:cs="Verdana"/>
                <w:b/>
                <w:color w:val="000000"/>
                <w:sz w:val="16"/>
                <w:lang w:val="en-GB"/>
              </w:rPr>
              <w:t>197</w:t>
            </w:r>
            <w:r>
              <w:rPr>
                <w:rFonts w:ascii="Verdana" w:eastAsia="Verdana" w:hAnsi="Verdana" w:cs="Verdana"/>
                <w:b/>
                <w:color w:val="000000"/>
                <w:sz w:val="16"/>
                <w:lang w:val="en-GB"/>
              </w:rPr>
              <w:t>)</w:t>
            </w:r>
          </w:p>
        </w:tc>
        <w:tc>
          <w:tcPr>
            <w:tcW w:w="10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rsidP="00AD506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AD506B">
              <w:rPr>
                <w:rFonts w:ascii="Verdana" w:eastAsia="Verdana" w:hAnsi="Verdana" w:cs="Verdana"/>
                <w:b/>
                <w:color w:val="000000"/>
                <w:sz w:val="16"/>
                <w:lang w:val="en-GB"/>
              </w:rPr>
              <w:t>946</w:t>
            </w:r>
            <w:r>
              <w:rPr>
                <w:rFonts w:ascii="Verdana" w:eastAsia="Verdana" w:hAnsi="Verdana" w:cs="Verdana"/>
                <w:b/>
                <w:color w:val="000000"/>
                <w:sz w:val="16"/>
                <w:lang w:val="en-GB"/>
              </w:rPr>
              <w:t>)</w:t>
            </w:r>
          </w:p>
        </w:tc>
        <w:tc>
          <w:tcPr>
            <w:tcW w:w="1230" w:type="dxa"/>
            <w:tcBorders>
              <w:top w:val="single" w:sz="2" w:space="0" w:color="000000"/>
              <w:left w:val="single" w:sz="2" w:space="0" w:color="000000"/>
              <w:bottom w:val="single" w:sz="1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E153C2">
              <w:rPr>
                <w:rFonts w:ascii="Verdana" w:eastAsia="Verdana" w:hAnsi="Verdana" w:cs="Verdana"/>
                <w:b/>
                <w:color w:val="000000"/>
                <w:sz w:val="16"/>
                <w:lang w:val="en-GB"/>
              </w:rPr>
              <w:t>22,6</w:t>
            </w:r>
            <w:r w:rsidR="0014478F">
              <w:rPr>
                <w:rFonts w:ascii="Verdana" w:eastAsia="Verdana" w:hAnsi="Verdana" w:cs="Verdana"/>
                <w:b/>
                <w:color w:val="000000"/>
                <w:sz w:val="16"/>
                <w:lang w:val="en-GB"/>
              </w:rPr>
              <w:t>4</w:t>
            </w:r>
            <w:r w:rsidR="00E153C2">
              <w:rPr>
                <w:rFonts w:ascii="Verdana" w:eastAsia="Verdana" w:hAnsi="Verdana" w:cs="Verdana"/>
                <w:b/>
                <w:color w:val="000000"/>
                <w:sz w:val="16"/>
                <w:lang w:val="en-GB"/>
              </w:rPr>
              <w:t>4</w:t>
            </w:r>
            <w:r>
              <w:rPr>
                <w:rFonts w:ascii="Verdana" w:eastAsia="Verdana" w:hAnsi="Verdana" w:cs="Verdana"/>
                <w:b/>
                <w:color w:val="000000"/>
                <w:sz w:val="16"/>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w:t>
            </w:r>
            <w:r w:rsidR="007C58B6">
              <w:rPr>
                <w:rFonts w:ascii="Verdana" w:eastAsia="Verdana" w:hAnsi="Verdana" w:cs="Verdana"/>
                <w:b/>
                <w:color w:val="000000"/>
                <w:sz w:val="16"/>
                <w:lang w:val="en-GB"/>
              </w:rPr>
              <w:t>8</w:t>
            </w:r>
            <w:r w:rsidR="009A1E2C">
              <w:rPr>
                <w:rFonts w:ascii="Verdana" w:eastAsia="Verdana" w:hAnsi="Verdana" w:cs="Verdana"/>
                <w:b/>
                <w:color w:val="000000"/>
                <w:sz w:val="16"/>
                <w:lang w:val="en-GB"/>
              </w:rPr>
              <w:t>,</w:t>
            </w:r>
            <w:r w:rsidR="007C58B6">
              <w:rPr>
                <w:rFonts w:ascii="Verdana" w:eastAsia="Verdana" w:hAnsi="Verdana" w:cs="Verdana"/>
                <w:b/>
                <w:color w:val="000000"/>
                <w:sz w:val="16"/>
                <w:lang w:val="en-GB"/>
              </w:rPr>
              <w:t>1</w:t>
            </w:r>
            <w:r w:rsidR="00942DCE">
              <w:rPr>
                <w:rFonts w:ascii="Verdana" w:eastAsia="Verdana" w:hAnsi="Verdana" w:cs="Verdana"/>
                <w:b/>
                <w:color w:val="000000"/>
                <w:sz w:val="16"/>
                <w:lang w:val="en-GB"/>
              </w:rPr>
              <w:t>76</w:t>
            </w:r>
            <w:r>
              <w:rPr>
                <w:rFonts w:ascii="Verdana" w:eastAsia="Verdana" w:hAnsi="Verdana" w:cs="Verdana"/>
                <w:b/>
                <w:color w:val="000000"/>
                <w:sz w:val="16"/>
                <w:lang w:val="en-GB"/>
              </w:rPr>
              <w:t>)</w:t>
            </w:r>
          </w:p>
        </w:tc>
        <w:tc>
          <w:tcPr>
            <w:tcW w:w="1335"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CA6653" w:rsidRDefault="00F363F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(130</w:t>
            </w:r>
            <w:r w:rsidR="00CA6653">
              <w:rPr>
                <w:rFonts w:ascii="Verdana" w:eastAsia="Verdana" w:hAnsi="Verdana" w:cs="Verdana"/>
                <w:b/>
                <w:color w:val="000000"/>
                <w:sz w:val="16"/>
                <w:lang w:val="en-GB"/>
              </w:rPr>
              <w:t>,</w:t>
            </w:r>
            <w:r w:rsidR="007C58B6">
              <w:rPr>
                <w:rFonts w:ascii="Verdana" w:eastAsia="Verdana" w:hAnsi="Verdana" w:cs="Verdana"/>
                <w:b/>
                <w:color w:val="000000"/>
                <w:sz w:val="16"/>
                <w:lang w:val="en-GB"/>
              </w:rPr>
              <w:t>8</w:t>
            </w:r>
            <w:r w:rsidR="00942DCE">
              <w:rPr>
                <w:rFonts w:ascii="Verdana" w:eastAsia="Verdana" w:hAnsi="Verdana" w:cs="Verdana"/>
                <w:b/>
                <w:color w:val="000000"/>
                <w:sz w:val="16"/>
                <w:lang w:val="en-GB"/>
              </w:rPr>
              <w:t>20</w:t>
            </w:r>
            <w:r w:rsidR="00CA6653">
              <w:rPr>
                <w:rFonts w:ascii="Verdana" w:eastAsia="Verdana" w:hAnsi="Verdana" w:cs="Verdana"/>
                <w:b/>
                <w:color w:val="000000"/>
                <w:sz w:val="16"/>
                <w:lang w:val="en-GB"/>
              </w:rPr>
              <w:t>)</w:t>
            </w:r>
          </w:p>
        </w:tc>
      </w:tr>
      <w:tr w:rsidR="004D417B" w:rsidTr="00F363FD">
        <w:trPr>
          <w:trHeight w:val="1290"/>
          <w:jc w:val="center"/>
        </w:trPr>
        <w:tc>
          <w:tcPr>
            <w:tcW w:w="28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General Fund Balance</w:t>
            </w:r>
          </w:p>
        </w:tc>
        <w:tc>
          <w:tcPr>
            <w:tcW w:w="112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Earmarked General Fund Reserves</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General Fund Balance</w:t>
            </w:r>
          </w:p>
        </w:tc>
        <w:tc>
          <w:tcPr>
            <w:tcW w:w="10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Receipts Reserve</w:t>
            </w:r>
          </w:p>
        </w:tc>
        <w:tc>
          <w:tcPr>
            <w:tcW w:w="10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Grants Un-applied Account</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Usable Reserves</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Unusable Reserves</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Total Reserves</w:t>
            </w:r>
          </w:p>
        </w:tc>
      </w:tr>
      <w:tr w:rsidR="004D417B" w:rsidTr="00F363FD">
        <w:trPr>
          <w:trHeight w:val="300"/>
          <w:jc w:val="center"/>
        </w:trPr>
        <w:tc>
          <w:tcPr>
            <w:tcW w:w="28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F363FD">
        <w:trPr>
          <w:trHeight w:val="300"/>
          <w:jc w:val="center"/>
        </w:trPr>
        <w:tc>
          <w:tcPr>
            <w:tcW w:w="28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Balance at 31 March 2018</w:t>
            </w:r>
          </w:p>
        </w:tc>
        <w:tc>
          <w:tcPr>
            <w:tcW w:w="1230"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(6,147)</w:t>
            </w:r>
          </w:p>
        </w:tc>
        <w:tc>
          <w:tcPr>
            <w:tcW w:w="11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(6,907)</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(13,054)</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(8,806)</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(1,602)</w:t>
            </w:r>
          </w:p>
        </w:tc>
        <w:tc>
          <w:tcPr>
            <w:tcW w:w="1230"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(23,462)</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(97,003)</w:t>
            </w:r>
          </w:p>
        </w:tc>
        <w:tc>
          <w:tcPr>
            <w:tcW w:w="1335"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(120,465)</w:t>
            </w:r>
          </w:p>
        </w:tc>
      </w:tr>
      <w:tr w:rsidR="004D417B" w:rsidTr="00F363FD">
        <w:trPr>
          <w:trHeight w:val="300"/>
          <w:jc w:val="center"/>
        </w:trPr>
        <w:tc>
          <w:tcPr>
            <w:tcW w:w="283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Revised opening balance</w:t>
            </w:r>
          </w:p>
        </w:tc>
        <w:tc>
          <w:tcPr>
            <w:tcW w:w="1230"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(6,147)</w:t>
            </w:r>
          </w:p>
        </w:tc>
        <w:tc>
          <w:tcPr>
            <w:tcW w:w="11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(6,907)</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(13,054)</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(8,806)</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(1,602)</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(23,462)</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(97,003)</w:t>
            </w:r>
          </w:p>
        </w:tc>
        <w:tc>
          <w:tcPr>
            <w:tcW w:w="1335"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(120,465)</w:t>
            </w:r>
          </w:p>
        </w:tc>
      </w:tr>
      <w:tr w:rsidR="004D417B" w:rsidTr="00F363FD">
        <w:trPr>
          <w:trHeight w:val="420"/>
          <w:jc w:val="center"/>
        </w:trPr>
        <w:tc>
          <w:tcPr>
            <w:tcW w:w="283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Movement in reserves during 2018/19</w:t>
            </w:r>
          </w:p>
        </w:tc>
        <w:tc>
          <w:tcPr>
            <w:tcW w:w="1230"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F363FD">
        <w:trPr>
          <w:trHeight w:val="420"/>
          <w:jc w:val="center"/>
        </w:trPr>
        <w:tc>
          <w:tcPr>
            <w:tcW w:w="283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Surplus or deficit on the provision of services</w:t>
            </w:r>
          </w:p>
        </w:tc>
        <w:tc>
          <w:tcPr>
            <w:tcW w:w="1230"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2,254</w:t>
            </w:r>
          </w:p>
        </w:tc>
        <w:tc>
          <w:tcPr>
            <w:tcW w:w="11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2,254</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2,254</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2,254</w:t>
            </w:r>
          </w:p>
        </w:tc>
      </w:tr>
      <w:tr w:rsidR="004D417B" w:rsidTr="00F363FD">
        <w:trPr>
          <w:trHeight w:val="420"/>
          <w:jc w:val="center"/>
        </w:trPr>
        <w:tc>
          <w:tcPr>
            <w:tcW w:w="28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Comprehensive Income / Expenditure</w:t>
            </w:r>
          </w:p>
        </w:tc>
        <w:tc>
          <w:tcPr>
            <w:tcW w:w="1230"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(5,256)</w:t>
            </w:r>
          </w:p>
        </w:tc>
        <w:tc>
          <w:tcPr>
            <w:tcW w:w="1335"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(5,256)</w:t>
            </w:r>
          </w:p>
        </w:tc>
      </w:tr>
      <w:tr w:rsidR="004D417B" w:rsidTr="00F363FD">
        <w:trPr>
          <w:trHeight w:val="420"/>
          <w:jc w:val="center"/>
        </w:trPr>
        <w:tc>
          <w:tcPr>
            <w:tcW w:w="283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Comprehensive Income and Expenditure</w:t>
            </w:r>
          </w:p>
        </w:tc>
        <w:tc>
          <w:tcPr>
            <w:tcW w:w="1230"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2,254</w:t>
            </w:r>
          </w:p>
        </w:tc>
        <w:tc>
          <w:tcPr>
            <w:tcW w:w="11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2,254</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tcBorders>
              <w:left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2,254</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(5,256)</w:t>
            </w:r>
          </w:p>
        </w:tc>
        <w:tc>
          <w:tcPr>
            <w:tcW w:w="1335" w:type="dxa"/>
            <w:tcBorders>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(3,002)</w:t>
            </w:r>
          </w:p>
        </w:tc>
      </w:tr>
      <w:tr w:rsidR="004D417B" w:rsidTr="00F363FD">
        <w:trPr>
          <w:trHeight w:val="840"/>
          <w:jc w:val="center"/>
        </w:trPr>
        <w:tc>
          <w:tcPr>
            <w:tcW w:w="2835" w:type="dxa"/>
            <w:tcBorders>
              <w:bottom w:val="single" w:sz="4" w:space="0" w:color="auto"/>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between accounting basis and funding basis under regulations</w:t>
            </w:r>
          </w:p>
        </w:tc>
        <w:tc>
          <w:tcPr>
            <w:tcW w:w="1230" w:type="dxa"/>
            <w:tcBorders>
              <w:left w:val="single" w:sz="2" w:space="0" w:color="000000"/>
              <w:bottom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(6,452)</w:t>
            </w:r>
          </w:p>
        </w:tc>
        <w:tc>
          <w:tcPr>
            <w:tcW w:w="1125" w:type="dxa"/>
            <w:tcBorders>
              <w:bottom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tcBorders>
              <w:bottom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(6,452)</w:t>
            </w:r>
          </w:p>
        </w:tc>
        <w:tc>
          <w:tcPr>
            <w:tcW w:w="1080" w:type="dxa"/>
            <w:tcBorders>
              <w:bottom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4,810</w:t>
            </w:r>
          </w:p>
        </w:tc>
        <w:tc>
          <w:tcPr>
            <w:tcW w:w="1080" w:type="dxa"/>
            <w:tcBorders>
              <w:bottom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285</w:t>
            </w:r>
          </w:p>
        </w:tc>
        <w:tc>
          <w:tcPr>
            <w:tcW w:w="1230" w:type="dxa"/>
            <w:tcBorders>
              <w:left w:val="single" w:sz="2" w:space="0" w:color="000000"/>
              <w:bottom w:val="single" w:sz="4" w:space="0" w:color="auto"/>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(1,357)</w:t>
            </w:r>
          </w:p>
        </w:tc>
        <w:tc>
          <w:tcPr>
            <w:tcW w:w="1335" w:type="dxa"/>
            <w:tcBorders>
              <w:bottom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1,357</w:t>
            </w:r>
          </w:p>
        </w:tc>
        <w:tc>
          <w:tcPr>
            <w:tcW w:w="1335" w:type="dxa"/>
            <w:tcBorders>
              <w:left w:val="single" w:sz="2" w:space="0" w:color="000000"/>
              <w:bottom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4D417B" w:rsidTr="00F363FD">
        <w:trPr>
          <w:trHeight w:val="660"/>
          <w:jc w:val="center"/>
        </w:trPr>
        <w:tc>
          <w:tcPr>
            <w:tcW w:w="2835"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Net Increase or Decrease before Transfers to Earmarked Reserves</w:t>
            </w:r>
          </w:p>
        </w:tc>
        <w:tc>
          <w:tcPr>
            <w:tcW w:w="1230" w:type="dxa"/>
            <w:tcBorders>
              <w:top w:val="single" w:sz="4" w:space="0" w:color="auto"/>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(4,198)</w:t>
            </w:r>
          </w:p>
        </w:tc>
        <w:tc>
          <w:tcPr>
            <w:tcW w:w="1125"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335"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(4,198)</w:t>
            </w:r>
          </w:p>
        </w:tc>
        <w:tc>
          <w:tcPr>
            <w:tcW w:w="1080"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4,810</w:t>
            </w:r>
          </w:p>
        </w:tc>
        <w:tc>
          <w:tcPr>
            <w:tcW w:w="1080"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285</w:t>
            </w:r>
          </w:p>
        </w:tc>
        <w:tc>
          <w:tcPr>
            <w:tcW w:w="1230" w:type="dxa"/>
            <w:tcBorders>
              <w:top w:val="single" w:sz="4" w:space="0" w:color="auto"/>
              <w:left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897</w:t>
            </w:r>
          </w:p>
        </w:tc>
        <w:tc>
          <w:tcPr>
            <w:tcW w:w="1335" w:type="dxa"/>
            <w:tcBorders>
              <w:top w:val="single" w:sz="4" w:space="0" w:color="auto"/>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(3,899)</w:t>
            </w:r>
          </w:p>
        </w:tc>
        <w:tc>
          <w:tcPr>
            <w:tcW w:w="1335" w:type="dxa"/>
            <w:tcBorders>
              <w:top w:val="single" w:sz="4" w:space="0" w:color="auto"/>
              <w:lef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(3,002)</w:t>
            </w:r>
          </w:p>
        </w:tc>
      </w:tr>
      <w:tr w:rsidR="004D417B" w:rsidTr="00F363FD">
        <w:trPr>
          <w:trHeight w:val="420"/>
          <w:jc w:val="center"/>
        </w:trPr>
        <w:tc>
          <w:tcPr>
            <w:tcW w:w="28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Transfers to / from Earmarked Reserves</w:t>
            </w:r>
          </w:p>
        </w:tc>
        <w:tc>
          <w:tcPr>
            <w:tcW w:w="1230"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3,534</w:t>
            </w:r>
          </w:p>
        </w:tc>
        <w:tc>
          <w:tcPr>
            <w:tcW w:w="11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(3,534)</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tcBorders>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tcBorders>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4D417B" w:rsidTr="00F363FD">
        <w:trPr>
          <w:trHeight w:val="420"/>
          <w:jc w:val="center"/>
        </w:trPr>
        <w:tc>
          <w:tcPr>
            <w:tcW w:w="283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Increase or Decrease in 2018/19</w:t>
            </w:r>
          </w:p>
        </w:tc>
        <w:tc>
          <w:tcPr>
            <w:tcW w:w="1230"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(665)</w:t>
            </w:r>
          </w:p>
        </w:tc>
        <w:tc>
          <w:tcPr>
            <w:tcW w:w="112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(3,534)</w:t>
            </w:r>
          </w:p>
        </w:tc>
        <w:tc>
          <w:tcPr>
            <w:tcW w:w="133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(4,198)</w:t>
            </w:r>
          </w:p>
        </w:tc>
        <w:tc>
          <w:tcPr>
            <w:tcW w:w="1080"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4,810</w:t>
            </w:r>
          </w:p>
        </w:tc>
        <w:tc>
          <w:tcPr>
            <w:tcW w:w="1080"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285</w:t>
            </w:r>
          </w:p>
        </w:tc>
        <w:tc>
          <w:tcPr>
            <w:tcW w:w="123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897</w:t>
            </w:r>
          </w:p>
        </w:tc>
        <w:tc>
          <w:tcPr>
            <w:tcW w:w="133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(3,899)</w:t>
            </w:r>
          </w:p>
        </w:tc>
        <w:tc>
          <w:tcPr>
            <w:tcW w:w="1335" w:type="dxa"/>
            <w:tcBorders>
              <w:top w:val="single" w:sz="2" w:space="0" w:color="000000"/>
              <w:left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(3,002)</w:t>
            </w:r>
          </w:p>
        </w:tc>
      </w:tr>
      <w:tr w:rsidR="004D417B" w:rsidTr="00F363FD">
        <w:trPr>
          <w:trHeight w:val="300"/>
          <w:jc w:val="center"/>
        </w:trPr>
        <w:tc>
          <w:tcPr>
            <w:tcW w:w="28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Balance at 31 March 2019</w:t>
            </w:r>
          </w:p>
        </w:tc>
        <w:tc>
          <w:tcPr>
            <w:tcW w:w="1230"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(6,812)</w:t>
            </w:r>
          </w:p>
        </w:tc>
        <w:tc>
          <w:tcPr>
            <w:tcW w:w="112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(10,441)</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(17,252)</w:t>
            </w:r>
          </w:p>
        </w:tc>
        <w:tc>
          <w:tcPr>
            <w:tcW w:w="10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(3,996)</w:t>
            </w:r>
          </w:p>
        </w:tc>
        <w:tc>
          <w:tcPr>
            <w:tcW w:w="10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(1,317)</w:t>
            </w:r>
          </w:p>
        </w:tc>
        <w:tc>
          <w:tcPr>
            <w:tcW w:w="1230" w:type="dxa"/>
            <w:tcBorders>
              <w:top w:val="single" w:sz="2" w:space="0" w:color="000000"/>
              <w:left w:val="single" w:sz="2" w:space="0" w:color="000000"/>
              <w:bottom w:val="single" w:sz="12" w:space="0" w:color="000000"/>
              <w:right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(22,565)</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(100,902)</w:t>
            </w:r>
          </w:p>
        </w:tc>
        <w:tc>
          <w:tcPr>
            <w:tcW w:w="1335" w:type="dxa"/>
            <w:tcBorders>
              <w:top w:val="single" w:sz="2" w:space="0" w:color="000000"/>
              <w:left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(123,467)</w:t>
            </w:r>
          </w:p>
        </w:tc>
      </w:tr>
      <w:tr w:rsidR="004D417B" w:rsidTr="00F363FD">
        <w:trPr>
          <w:trHeight w:hRule="exact" w:val="135"/>
          <w:jc w:val="center"/>
        </w:trPr>
        <w:tc>
          <w:tcPr>
            <w:tcW w:w="28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0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vAlign w:val="cente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bl>
    <w:p w:rsidR="00CA6653" w:rsidRDefault="00CA6653">
      <w:pPr>
        <w:pStyle w:val="T1TableStyle"/>
        <w:rPr>
          <w:lang w:val="en-GB"/>
        </w:rPr>
      </w:pPr>
    </w:p>
    <w:p w:rsidR="00CA6653" w:rsidRPr="00F81266" w:rsidRDefault="00CA6653" w:rsidP="00CA6653">
      <w:pPr>
        <w:pStyle w:val="Normal0"/>
        <w:spacing w:after="160" w:line="259" w:lineRule="auto"/>
        <w:rPr>
          <w:rFonts w:ascii="Verdana" w:hAnsi="Verdana"/>
          <w:sz w:val="22"/>
          <w:szCs w:val="22"/>
          <w:lang w:val="pt-BR"/>
        </w:rPr>
        <w:sectPr w:rsidR="00CA6653" w:rsidRPr="00F81266" w:rsidSect="00F43C93">
          <w:pgSz w:w="16840" w:h="11900" w:orient="landscape"/>
          <w:pgMar w:top="993" w:right="1440" w:bottom="1440" w:left="1440" w:header="708" w:footer="708" w:gutter="0"/>
          <w:cols w:space="708"/>
          <w:docGrid w:linePitch="360"/>
        </w:sectPr>
      </w:pPr>
    </w:p>
    <w:p w:rsidR="00CA6653" w:rsidRDefault="00CA6653" w:rsidP="00A31A9E">
      <w:pPr>
        <w:pStyle w:val="Heading1"/>
      </w:pPr>
      <w:bookmarkStart w:id="9" w:name="_Toc55900400"/>
      <w:r>
        <w:t>Comprehensive Income and Expenditure Statement</w:t>
      </w:r>
      <w:bookmarkEnd w:id="9"/>
      <w:r>
        <w:t xml:space="preserve"> </w:t>
      </w:r>
    </w:p>
    <w:p w:rsidR="0019417B" w:rsidRPr="0019417B" w:rsidRDefault="0019417B" w:rsidP="0019417B">
      <w:pPr>
        <w:pStyle w:val="T1TableStyle"/>
        <w:jc w:val="both"/>
        <w:rPr>
          <w:rFonts w:ascii="Verdana" w:hAnsi="Verdana"/>
          <w:sz w:val="22"/>
          <w:szCs w:val="22"/>
          <w:lang w:val="en-GB"/>
        </w:rPr>
      </w:pPr>
      <w:r>
        <w:rPr>
          <w:rFonts w:ascii="Verdana" w:eastAsia="Verdana" w:hAnsi="Verdana" w:cs="Verdana"/>
          <w:sz w:val="22"/>
          <w:szCs w:val="22"/>
          <w:lang w:val="en-GB"/>
        </w:rPr>
        <w:t>This Comprehensive Income and Expenditure Statement (CIES) shows the consolidated accounting cost in the year of providing services in accordance with generally accepted accounting practices, rather than the amount to be funded from taxation. Police and Crime Commissioners raise taxation to cover expenditure in accordance with regulations; this is different from the accounting cost. The adjustments between accounting basis and funding basis under regulations are shown in the Movement in Reserves Statement.</w:t>
      </w:r>
    </w:p>
    <w:p w:rsidR="0019417B" w:rsidRDefault="0019417B">
      <w:pPr>
        <w:pStyle w:val="Normal0"/>
        <w:spacing w:after="160"/>
        <w:rPr>
          <w:rFonts w:ascii="Verdana" w:eastAsia="Verdana" w:hAnsi="Verdana" w:cs="Verdana"/>
          <w:b/>
          <w:szCs w:val="22"/>
          <w:lang w:val="en-GB"/>
        </w:rPr>
      </w:pPr>
    </w:p>
    <w:p w:rsidR="00CA6653" w:rsidRDefault="00CA6653">
      <w:pPr>
        <w:pStyle w:val="Normal0"/>
        <w:spacing w:after="160"/>
        <w:rPr>
          <w:rFonts w:ascii="Verdana" w:eastAsia="Verdana" w:hAnsi="Verdana" w:cs="Verdana"/>
          <w:b/>
          <w:szCs w:val="22"/>
          <w:lang w:val="en-GB"/>
        </w:rPr>
      </w:pPr>
      <w:r>
        <w:rPr>
          <w:rFonts w:ascii="Verdana" w:eastAsia="Verdana" w:hAnsi="Verdana" w:cs="Verdana"/>
          <w:b/>
          <w:szCs w:val="22"/>
          <w:lang w:val="en-GB"/>
        </w:rPr>
        <w:t>Group</w:t>
      </w:r>
    </w:p>
    <w:tbl>
      <w:tblPr>
        <w:tblW w:w="0" w:type="auto"/>
        <w:jc w:val="center"/>
        <w:tblLayout w:type="fixed"/>
        <w:tblLook w:val="04A0" w:firstRow="1" w:lastRow="0" w:firstColumn="1" w:lastColumn="0" w:noHBand="0" w:noVBand="1"/>
      </w:tblPr>
      <w:tblGrid>
        <w:gridCol w:w="1230"/>
        <w:gridCol w:w="1335"/>
        <w:gridCol w:w="1230"/>
        <w:gridCol w:w="600"/>
        <w:gridCol w:w="2280"/>
        <w:gridCol w:w="1230"/>
        <w:gridCol w:w="1335"/>
        <w:gridCol w:w="1230"/>
      </w:tblGrid>
      <w:tr w:rsidR="004D417B" w:rsidTr="00412EE1">
        <w:trPr>
          <w:trHeight w:val="255"/>
          <w:jc w:val="center"/>
        </w:trPr>
        <w:tc>
          <w:tcPr>
            <w:tcW w:w="3795" w:type="dxa"/>
            <w:gridSpan w:val="3"/>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2018/19</w:t>
            </w:r>
          </w:p>
        </w:tc>
        <w:tc>
          <w:tcPr>
            <w:tcW w:w="600" w:type="dxa"/>
            <w:shd w:val="clear" w:color="auto" w:fill="auto"/>
            <w:tcMar>
              <w:top w:w="20" w:type="dxa"/>
              <w:left w:w="20" w:type="dxa"/>
              <w:bottom w:w="20" w:type="dxa"/>
              <w:right w:w="20" w:type="dxa"/>
            </w:tcMar>
            <w:vAlign w:val="bottom"/>
          </w:tcPr>
          <w:p w:rsidR="00CA6653" w:rsidRDefault="00CA6653">
            <w:pPr>
              <w:pStyle w:val="T1TableStyle"/>
              <w:jc w:val="center"/>
              <w:rPr>
                <w:rFonts w:ascii="Calibri" w:eastAsia="Calibri" w:hAnsi="Calibri" w:cs="Calibri"/>
                <w:b/>
                <w:color w:val="000000"/>
                <w:sz w:val="2"/>
                <w:lang w:val="en-GB"/>
              </w:rPr>
            </w:pPr>
            <w:r>
              <w:rPr>
                <w:rFonts w:ascii="Calibri" w:eastAsia="Calibri" w:hAnsi="Calibri" w:cs="Calibri"/>
                <w:b/>
                <w:color w:val="000000"/>
                <w:sz w:val="2"/>
                <w:lang w:val="en-GB"/>
              </w:rPr>
              <w:t xml:space="preserve"> </w:t>
            </w:r>
          </w:p>
        </w:tc>
        <w:tc>
          <w:tcPr>
            <w:tcW w:w="22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95" w:type="dxa"/>
            <w:gridSpan w:val="3"/>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w:t>
            </w:r>
          </w:p>
        </w:tc>
      </w:tr>
      <w:tr w:rsidR="004D417B" w:rsidTr="00412EE1">
        <w:trPr>
          <w:trHeight w:val="255"/>
          <w:jc w:val="center"/>
        </w:trPr>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Expenditure</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Income</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Net</w:t>
            </w:r>
          </w:p>
        </w:tc>
        <w:tc>
          <w:tcPr>
            <w:tcW w:w="600"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2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Expenditure</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Income</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Net</w:t>
            </w:r>
          </w:p>
        </w:tc>
      </w:tr>
      <w:tr w:rsidR="004D417B" w:rsidTr="00412EE1">
        <w:trPr>
          <w:trHeight w:val="255"/>
          <w:jc w:val="center"/>
        </w:trPr>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600" w:type="dxa"/>
            <w:tcBorders>
              <w:bottom w:val="single" w:sz="2" w:space="0" w:color="000000"/>
            </w:tcBorders>
            <w:shd w:val="clear" w:color="auto" w:fill="auto"/>
            <w:tcMar>
              <w:top w:w="20" w:type="dxa"/>
              <w:left w:w="20" w:type="dxa"/>
              <w:bottom w:w="20" w:type="dxa"/>
              <w:right w:w="20" w:type="dxa"/>
            </w:tcMar>
            <w:vAlign w:val="bottom"/>
          </w:tcPr>
          <w:p w:rsidR="00CA6653" w:rsidRPr="00A200D5" w:rsidRDefault="00CA6653">
            <w:pPr>
              <w:pStyle w:val="T1TableStyle"/>
              <w:jc w:val="center"/>
              <w:rPr>
                <w:rFonts w:ascii="Verdana" w:eastAsia="Verdana" w:hAnsi="Verdana" w:cs="Verdana"/>
                <w:b/>
                <w:i/>
                <w:color w:val="595959" w:themeColor="text1" w:themeTint="A6"/>
                <w:sz w:val="16"/>
                <w:lang w:val="en-GB"/>
              </w:rPr>
            </w:pPr>
            <w:r w:rsidRPr="00A200D5">
              <w:rPr>
                <w:rFonts w:ascii="Verdana" w:eastAsia="Verdana" w:hAnsi="Verdana" w:cs="Verdana"/>
                <w:b/>
                <w:i/>
                <w:color w:val="595959" w:themeColor="text1" w:themeTint="A6"/>
                <w:sz w:val="16"/>
                <w:lang w:val="en-GB"/>
              </w:rPr>
              <w:t>Notes</w:t>
            </w:r>
          </w:p>
        </w:tc>
        <w:tc>
          <w:tcPr>
            <w:tcW w:w="228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209,450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209,450</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Calibri" w:eastAsia="Calibri" w:hAnsi="Calibri" w:cs="Calibri"/>
                <w:i/>
                <w:color w:val="595959" w:themeColor="text1" w:themeTint="A6"/>
                <w:sz w:val="2"/>
                <w:lang w:val="en-GB"/>
              </w:rPr>
            </w:pPr>
            <w:r w:rsidRPr="00A200D5">
              <w:rPr>
                <w:rFonts w:ascii="Calibri" w:eastAsia="Calibri" w:hAnsi="Calibri" w:cs="Calibri"/>
                <w:i/>
                <w:color w:val="595959" w:themeColor="text1" w:themeTint="A6"/>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Police Payroll</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8D30CF">
              <w:rPr>
                <w:rFonts w:ascii="Verdana" w:eastAsia="Verdana" w:hAnsi="Verdana" w:cs="Verdana"/>
                <w:color w:val="000000"/>
                <w:sz w:val="16"/>
                <w:lang w:val="en-GB"/>
              </w:rPr>
              <w:t>30</w:t>
            </w:r>
            <w:r>
              <w:rPr>
                <w:rFonts w:ascii="Verdana" w:eastAsia="Verdana" w:hAnsi="Verdana" w:cs="Verdana"/>
                <w:color w:val="000000"/>
                <w:sz w:val="16"/>
                <w:lang w:val="en-GB"/>
              </w:rPr>
              <w:t>,</w:t>
            </w:r>
            <w:r w:rsidR="00F61F1C">
              <w:rPr>
                <w:rFonts w:ascii="Verdana" w:eastAsia="Verdana" w:hAnsi="Verdana" w:cs="Verdana"/>
                <w:color w:val="000000"/>
                <w:sz w:val="16"/>
                <w:lang w:val="en-GB"/>
              </w:rPr>
              <w:t>232</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8D30CF">
              <w:rPr>
                <w:rFonts w:ascii="Verdana" w:eastAsia="Verdana" w:hAnsi="Verdana" w:cs="Verdana"/>
                <w:color w:val="000000"/>
                <w:sz w:val="16"/>
                <w:lang w:val="en-GB"/>
              </w:rPr>
              <w:t>30</w:t>
            </w:r>
            <w:r>
              <w:rPr>
                <w:rFonts w:ascii="Verdana" w:eastAsia="Verdana" w:hAnsi="Verdana" w:cs="Verdana"/>
                <w:color w:val="000000"/>
                <w:sz w:val="16"/>
                <w:lang w:val="en-GB"/>
              </w:rPr>
              <w:t>,</w:t>
            </w:r>
            <w:r w:rsidR="00F61F1C">
              <w:rPr>
                <w:rFonts w:ascii="Verdana" w:eastAsia="Verdana" w:hAnsi="Verdana" w:cs="Verdana"/>
                <w:color w:val="000000"/>
                <w:sz w:val="16"/>
                <w:lang w:val="en-GB"/>
              </w:rPr>
              <w:t>232</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4,270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4,270</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Calibri" w:eastAsia="Calibri" w:hAnsi="Calibri" w:cs="Calibri"/>
                <w:i/>
                <w:color w:val="595959" w:themeColor="text1" w:themeTint="A6"/>
                <w:sz w:val="2"/>
                <w:lang w:val="en-GB"/>
              </w:rPr>
            </w:pPr>
            <w:r w:rsidRPr="00A200D5">
              <w:rPr>
                <w:rFonts w:ascii="Calibri" w:eastAsia="Calibri" w:hAnsi="Calibri" w:cs="Calibri"/>
                <w:i/>
                <w:color w:val="595959" w:themeColor="text1" w:themeTint="A6"/>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Police Overtime</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5,37</w:t>
            </w:r>
            <w:r w:rsidR="003A3D7A">
              <w:rPr>
                <w:rFonts w:ascii="Verdana" w:eastAsia="Verdana" w:hAnsi="Verdana" w:cs="Verdana"/>
                <w:color w:val="000000"/>
                <w:sz w:val="16"/>
                <w:lang w:val="en-GB"/>
              </w:rPr>
              <w:t>7</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5,37</w:t>
            </w:r>
            <w:r w:rsidR="003A3D7A">
              <w:rPr>
                <w:rFonts w:ascii="Verdana" w:eastAsia="Verdana" w:hAnsi="Verdana" w:cs="Verdana"/>
                <w:color w:val="000000"/>
                <w:sz w:val="16"/>
                <w:lang w:val="en-GB"/>
              </w:rPr>
              <w:t>7</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73,455</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73,455</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Calibri" w:eastAsia="Calibri" w:hAnsi="Calibri" w:cs="Calibri"/>
                <w:i/>
                <w:color w:val="595959" w:themeColor="text1" w:themeTint="A6"/>
                <w:sz w:val="2"/>
                <w:lang w:val="en-GB"/>
              </w:rPr>
            </w:pPr>
            <w:r w:rsidRPr="00A200D5">
              <w:rPr>
                <w:rFonts w:ascii="Calibri" w:eastAsia="Calibri" w:hAnsi="Calibri" w:cs="Calibri"/>
                <w:i/>
                <w:color w:val="595959" w:themeColor="text1" w:themeTint="A6"/>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Staff Payroll</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w:t>
            </w:r>
            <w:r w:rsidR="008D30CF">
              <w:rPr>
                <w:rFonts w:ascii="Verdana" w:eastAsia="Verdana" w:hAnsi="Verdana" w:cs="Verdana"/>
                <w:color w:val="000000"/>
                <w:sz w:val="16"/>
                <w:lang w:val="en-GB"/>
              </w:rPr>
              <w:t>6</w:t>
            </w:r>
            <w:r>
              <w:rPr>
                <w:rFonts w:ascii="Verdana" w:eastAsia="Verdana" w:hAnsi="Verdana" w:cs="Verdana"/>
                <w:color w:val="000000"/>
                <w:sz w:val="16"/>
                <w:lang w:val="en-GB"/>
              </w:rPr>
              <w:t>,</w:t>
            </w:r>
            <w:r w:rsidR="00F61F1C">
              <w:rPr>
                <w:rFonts w:ascii="Verdana" w:eastAsia="Verdana" w:hAnsi="Verdana" w:cs="Verdana"/>
                <w:color w:val="000000"/>
                <w:sz w:val="16"/>
                <w:lang w:val="en-GB"/>
              </w:rPr>
              <w:t>76</w:t>
            </w:r>
            <w:r w:rsidR="003A3D7A">
              <w:rPr>
                <w:rFonts w:ascii="Verdana" w:eastAsia="Verdana" w:hAnsi="Verdana" w:cs="Verdana"/>
                <w:color w:val="000000"/>
                <w:sz w:val="16"/>
                <w:lang w:val="en-GB"/>
              </w:rPr>
              <w:t>2</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w:t>
            </w:r>
            <w:r w:rsidR="008D30CF">
              <w:rPr>
                <w:rFonts w:ascii="Verdana" w:eastAsia="Verdana" w:hAnsi="Verdana" w:cs="Verdana"/>
                <w:color w:val="000000"/>
                <w:sz w:val="16"/>
                <w:lang w:val="en-GB"/>
              </w:rPr>
              <w:t>6</w:t>
            </w:r>
            <w:r>
              <w:rPr>
                <w:rFonts w:ascii="Verdana" w:eastAsia="Verdana" w:hAnsi="Verdana" w:cs="Verdana"/>
                <w:color w:val="000000"/>
                <w:sz w:val="16"/>
                <w:lang w:val="en-GB"/>
              </w:rPr>
              <w:t>,</w:t>
            </w:r>
            <w:r w:rsidR="00F61F1C">
              <w:rPr>
                <w:rFonts w:ascii="Verdana" w:eastAsia="Verdana" w:hAnsi="Verdana" w:cs="Verdana"/>
                <w:color w:val="000000"/>
                <w:sz w:val="16"/>
                <w:lang w:val="en-GB"/>
              </w:rPr>
              <w:t>76</w:t>
            </w:r>
            <w:r w:rsidR="003A3D7A">
              <w:rPr>
                <w:rFonts w:ascii="Verdana" w:eastAsia="Verdana" w:hAnsi="Verdana" w:cs="Verdana"/>
                <w:color w:val="000000"/>
                <w:sz w:val="16"/>
                <w:lang w:val="en-GB"/>
              </w:rPr>
              <w:t>2</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1,454</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1,454</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Calibri" w:eastAsia="Calibri" w:hAnsi="Calibri" w:cs="Calibri"/>
                <w:i/>
                <w:color w:val="595959" w:themeColor="text1" w:themeTint="A6"/>
                <w:sz w:val="2"/>
                <w:lang w:val="en-GB"/>
              </w:rPr>
            </w:pPr>
            <w:r w:rsidRPr="00A200D5">
              <w:rPr>
                <w:rFonts w:ascii="Calibri" w:eastAsia="Calibri" w:hAnsi="Calibri" w:cs="Calibri"/>
                <w:i/>
                <w:color w:val="595959" w:themeColor="text1" w:themeTint="A6"/>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Staff Overtime</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1,71</w:t>
            </w:r>
            <w:r w:rsidR="00D46ACF">
              <w:rPr>
                <w:rFonts w:ascii="Verdana" w:eastAsia="Verdana" w:hAnsi="Verdana" w:cs="Verdana"/>
                <w:color w:val="000000"/>
                <w:sz w:val="16"/>
                <w:lang w:val="en-GB"/>
              </w:rPr>
              <w:t>7</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1,71</w:t>
            </w:r>
            <w:r w:rsidR="00D46ACF">
              <w:rPr>
                <w:rFonts w:ascii="Verdana" w:eastAsia="Verdana" w:hAnsi="Verdana" w:cs="Verdana"/>
                <w:color w:val="000000"/>
                <w:sz w:val="16"/>
                <w:lang w:val="en-GB"/>
              </w:rPr>
              <w:t>7</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1,048</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1,048</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Calibri" w:eastAsia="Calibri" w:hAnsi="Calibri" w:cs="Calibri"/>
                <w:i/>
                <w:color w:val="595959" w:themeColor="text1" w:themeTint="A6"/>
                <w:sz w:val="2"/>
                <w:lang w:val="en-GB"/>
              </w:rPr>
            </w:pPr>
            <w:r w:rsidRPr="00A200D5">
              <w:rPr>
                <w:rFonts w:ascii="Calibri" w:eastAsia="Calibri" w:hAnsi="Calibri" w:cs="Calibri"/>
                <w:i/>
                <w:color w:val="595959" w:themeColor="text1" w:themeTint="A6"/>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Agency</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2,014</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2,014</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1,170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1,170</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i/>
                <w:color w:val="595959" w:themeColor="text1" w:themeTint="A6"/>
                <w:sz w:val="2"/>
                <w:lang w:val="en-GB"/>
              </w:rPr>
            </w:pPr>
            <w:r w:rsidRPr="00A200D5">
              <w:rPr>
                <w:rFonts w:ascii="Verdana" w:eastAsia="Verdana" w:hAnsi="Verdana" w:cs="Verdana"/>
                <w:i/>
                <w:color w:val="595959" w:themeColor="text1" w:themeTint="A6"/>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Training</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1,148</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1,148</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1,814</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1,814</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i/>
                <w:color w:val="595959" w:themeColor="text1" w:themeTint="A6"/>
                <w:sz w:val="2"/>
                <w:lang w:val="en-GB"/>
              </w:rPr>
            </w:pPr>
            <w:r w:rsidRPr="00A200D5">
              <w:rPr>
                <w:rFonts w:ascii="Verdana" w:eastAsia="Verdana" w:hAnsi="Verdana" w:cs="Verdana"/>
                <w:i/>
                <w:color w:val="595959" w:themeColor="text1" w:themeTint="A6"/>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Payroll Costs</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1,75</w:t>
            </w:r>
            <w:r w:rsidR="003A3D7A">
              <w:rPr>
                <w:rFonts w:ascii="Verdana" w:eastAsia="Verdana" w:hAnsi="Verdana" w:cs="Verdana"/>
                <w:color w:val="000000"/>
                <w:sz w:val="16"/>
                <w:lang w:val="en-GB"/>
              </w:rPr>
              <w:t>2</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1,75</w:t>
            </w:r>
            <w:r w:rsidR="003A3D7A">
              <w:rPr>
                <w:rFonts w:ascii="Verdana" w:eastAsia="Verdana" w:hAnsi="Verdana" w:cs="Verdana"/>
                <w:color w:val="000000"/>
                <w:sz w:val="16"/>
                <w:lang w:val="en-GB"/>
              </w:rPr>
              <w:t>2</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9,774</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9,774</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i/>
                <w:color w:val="595959" w:themeColor="text1" w:themeTint="A6"/>
                <w:sz w:val="2"/>
                <w:lang w:val="en-GB"/>
              </w:rPr>
            </w:pPr>
            <w:r w:rsidRPr="00A200D5">
              <w:rPr>
                <w:rFonts w:ascii="Verdana" w:eastAsia="Verdana" w:hAnsi="Verdana" w:cs="Verdana"/>
                <w:i/>
                <w:color w:val="595959" w:themeColor="text1" w:themeTint="A6"/>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Premises</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12,695</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12,695</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28,741</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28,741</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i/>
                <w:color w:val="595959" w:themeColor="text1" w:themeTint="A6"/>
                <w:sz w:val="16"/>
                <w:szCs w:val="16"/>
                <w:lang w:val="en-GB"/>
              </w:rPr>
            </w:pPr>
            <w:r w:rsidRPr="00A200D5">
              <w:rPr>
                <w:rFonts w:ascii="Verdana" w:eastAsia="Verdana" w:hAnsi="Verdana" w:cs="Verdana"/>
                <w:i/>
                <w:color w:val="595959" w:themeColor="text1" w:themeTint="A6"/>
                <w:sz w:val="16"/>
                <w:szCs w:val="16"/>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Supplies and Services</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475E99">
              <w:rPr>
                <w:rFonts w:ascii="Verdana" w:eastAsia="Verdana" w:hAnsi="Verdana" w:cs="Verdana"/>
                <w:color w:val="000000"/>
                <w:sz w:val="16"/>
                <w:lang w:val="en-GB"/>
              </w:rPr>
              <w:t>8</w:t>
            </w:r>
            <w:r>
              <w:rPr>
                <w:rFonts w:ascii="Verdana" w:eastAsia="Verdana" w:hAnsi="Verdana" w:cs="Verdana"/>
                <w:color w:val="000000"/>
                <w:sz w:val="16"/>
                <w:lang w:val="en-GB"/>
              </w:rPr>
              <w:t>,</w:t>
            </w:r>
            <w:r w:rsidR="00475E99">
              <w:rPr>
                <w:rFonts w:ascii="Verdana" w:eastAsia="Verdana" w:hAnsi="Verdana" w:cs="Verdana"/>
                <w:color w:val="000000"/>
                <w:sz w:val="16"/>
                <w:lang w:val="en-GB"/>
              </w:rPr>
              <w:t>917</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475E99">
              <w:rPr>
                <w:rFonts w:ascii="Verdana" w:eastAsia="Verdana" w:hAnsi="Verdana" w:cs="Verdana"/>
                <w:color w:val="000000"/>
                <w:sz w:val="16"/>
                <w:lang w:val="en-GB"/>
              </w:rPr>
              <w:t>8</w:t>
            </w:r>
            <w:r>
              <w:rPr>
                <w:rFonts w:ascii="Verdana" w:eastAsia="Verdana" w:hAnsi="Verdana" w:cs="Verdana"/>
                <w:color w:val="000000"/>
                <w:sz w:val="16"/>
                <w:lang w:val="en-GB"/>
              </w:rPr>
              <w:t>,</w:t>
            </w:r>
            <w:r w:rsidR="00475E99">
              <w:rPr>
                <w:rFonts w:ascii="Verdana" w:eastAsia="Verdana" w:hAnsi="Verdana" w:cs="Verdana"/>
                <w:color w:val="000000"/>
                <w:sz w:val="16"/>
                <w:lang w:val="en-GB"/>
              </w:rPr>
              <w:t>917</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4,475</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4,475</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i/>
                <w:color w:val="595959" w:themeColor="text1" w:themeTint="A6"/>
                <w:sz w:val="16"/>
                <w:szCs w:val="16"/>
                <w:lang w:val="en-GB"/>
              </w:rPr>
            </w:pPr>
            <w:r w:rsidRPr="00A200D5">
              <w:rPr>
                <w:rFonts w:ascii="Verdana" w:eastAsia="Verdana" w:hAnsi="Verdana" w:cs="Verdana"/>
                <w:i/>
                <w:color w:val="595959" w:themeColor="text1" w:themeTint="A6"/>
                <w:sz w:val="16"/>
                <w:szCs w:val="16"/>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Transport</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5,288</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5,288</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8,879</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8,879</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i/>
                <w:color w:val="595959" w:themeColor="text1" w:themeTint="A6"/>
                <w:sz w:val="16"/>
                <w:szCs w:val="16"/>
                <w:lang w:val="en-GB"/>
              </w:rPr>
            </w:pPr>
            <w:r w:rsidRPr="00A200D5">
              <w:rPr>
                <w:rFonts w:ascii="Verdana" w:eastAsia="Verdana" w:hAnsi="Verdana" w:cs="Verdana"/>
                <w:i/>
                <w:color w:val="595959" w:themeColor="text1" w:themeTint="A6"/>
                <w:sz w:val="16"/>
                <w:szCs w:val="16"/>
                <w:lang w:val="en-GB"/>
              </w:rPr>
              <w:t xml:space="preserve"> </w:t>
            </w:r>
            <w:r w:rsidR="00EA30F0">
              <w:rPr>
                <w:rFonts w:ascii="Verdana" w:eastAsia="Verdana" w:hAnsi="Verdana" w:cs="Verdana"/>
                <w:i/>
                <w:color w:val="595959" w:themeColor="text1" w:themeTint="A6"/>
                <w:sz w:val="16"/>
                <w:szCs w:val="16"/>
                <w:lang w:val="en-GB"/>
              </w:rPr>
              <w:t>*</w:t>
            </w:r>
          </w:p>
        </w:tc>
        <w:tc>
          <w:tcPr>
            <w:tcW w:w="2280" w:type="dxa"/>
            <w:shd w:val="clear" w:color="auto" w:fill="auto"/>
            <w:tcMar>
              <w:top w:w="20" w:type="dxa"/>
              <w:left w:w="20" w:type="dxa"/>
              <w:bottom w:w="20" w:type="dxa"/>
              <w:right w:w="20" w:type="dxa"/>
            </w:tcMar>
          </w:tcPr>
          <w:p w:rsidR="00CA6653" w:rsidRDefault="00CA6653" w:rsidP="00DD3E49">
            <w:pPr>
              <w:pStyle w:val="T1TableStyle"/>
              <w:rPr>
                <w:rFonts w:ascii="Verdana" w:eastAsia="Verdana" w:hAnsi="Verdana" w:cs="Verdana"/>
                <w:color w:val="000000"/>
                <w:sz w:val="16"/>
                <w:lang w:val="en-GB"/>
              </w:rPr>
            </w:pPr>
            <w:r>
              <w:rPr>
                <w:rFonts w:ascii="Verdana" w:eastAsia="Verdana" w:hAnsi="Verdana" w:cs="Verdana"/>
                <w:color w:val="000000"/>
                <w:sz w:val="16"/>
                <w:lang w:val="en-GB"/>
              </w:rPr>
              <w:t>Depreciation</w:t>
            </w:r>
            <w:r w:rsidR="00DD3E49">
              <w:rPr>
                <w:rFonts w:ascii="Verdana" w:eastAsia="Verdana" w:hAnsi="Verdana" w:cs="Verdana"/>
                <w:color w:val="000000"/>
                <w:sz w:val="16"/>
                <w:lang w:val="en-GB"/>
              </w:rPr>
              <w:t>/Amortisation</w:t>
            </w:r>
            <w:r w:rsidR="00545CF1">
              <w:rPr>
                <w:rFonts w:ascii="Verdana" w:eastAsia="Verdana" w:hAnsi="Verdana" w:cs="Verdana"/>
                <w:color w:val="000000"/>
                <w:sz w:val="16"/>
                <w:lang w:val="en-GB"/>
              </w:rPr>
              <w:t xml:space="preserve"> (Proxy)</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11,19</w:t>
            </w:r>
            <w:r w:rsidR="00475E99">
              <w:rPr>
                <w:rFonts w:ascii="Verdana" w:eastAsia="Verdana" w:hAnsi="Verdana" w:cs="Verdana"/>
                <w:color w:val="000000"/>
                <w:sz w:val="16"/>
                <w:lang w:val="en-GB"/>
              </w:rPr>
              <w:t>6</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11,19</w:t>
            </w:r>
            <w:r w:rsidR="00475E99">
              <w:rPr>
                <w:rFonts w:ascii="Verdana" w:eastAsia="Verdana" w:hAnsi="Verdana" w:cs="Verdana"/>
                <w:color w:val="000000"/>
                <w:sz w:val="16"/>
                <w:lang w:val="en-GB"/>
              </w:rPr>
              <w:t>6</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(13,228)</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(13,228)</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i/>
                <w:color w:val="595959" w:themeColor="text1" w:themeTint="A6"/>
                <w:sz w:val="16"/>
                <w:szCs w:val="16"/>
                <w:lang w:val="en-GB"/>
              </w:rPr>
            </w:pPr>
            <w:r w:rsidRPr="00A200D5">
              <w:rPr>
                <w:rFonts w:ascii="Verdana" w:eastAsia="Verdana" w:hAnsi="Verdana" w:cs="Verdana"/>
                <w:i/>
                <w:color w:val="595959" w:themeColor="text1" w:themeTint="A6"/>
                <w:sz w:val="16"/>
                <w:szCs w:val="16"/>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Income</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w:t>
            </w:r>
            <w:r w:rsidR="00475E99">
              <w:rPr>
                <w:rFonts w:ascii="Verdana" w:eastAsia="Verdana" w:hAnsi="Verdana" w:cs="Verdana"/>
                <w:color w:val="000000"/>
                <w:sz w:val="16"/>
                <w:lang w:val="en-GB"/>
              </w:rPr>
              <w:t>144</w:t>
            </w:r>
            <w:r>
              <w:rPr>
                <w:rFonts w:ascii="Verdana" w:eastAsia="Verdana" w:hAnsi="Verdana" w:cs="Verdana"/>
                <w:color w:val="000000"/>
                <w:sz w:val="16"/>
                <w:lang w:val="en-GB"/>
              </w:rPr>
              <w:t>)</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w:t>
            </w:r>
            <w:r w:rsidR="00475E99">
              <w:rPr>
                <w:rFonts w:ascii="Verdana" w:eastAsia="Verdana" w:hAnsi="Verdana" w:cs="Verdana"/>
                <w:color w:val="000000"/>
                <w:sz w:val="16"/>
                <w:lang w:val="en-GB"/>
              </w:rPr>
              <w:t>144</w:t>
            </w:r>
            <w:r>
              <w:rPr>
                <w:rFonts w:ascii="Verdana" w:eastAsia="Verdana" w:hAnsi="Verdana" w:cs="Verdana"/>
                <w:color w:val="000000"/>
                <w:sz w:val="16"/>
                <w:lang w:val="en-GB"/>
              </w:rPr>
              <w:t>)</w:t>
            </w:r>
          </w:p>
        </w:tc>
      </w:tr>
      <w:tr w:rsidR="009E19C5" w:rsidTr="00412EE1">
        <w:trPr>
          <w:trHeight w:val="255"/>
          <w:jc w:val="center"/>
        </w:trPr>
        <w:tc>
          <w:tcPr>
            <w:tcW w:w="1230" w:type="dxa"/>
            <w:shd w:val="clear" w:color="auto" w:fill="auto"/>
            <w:tcMar>
              <w:top w:w="20" w:type="dxa"/>
              <w:left w:w="20" w:type="dxa"/>
              <w:bottom w:w="20" w:type="dxa"/>
              <w:right w:w="20" w:type="dxa"/>
            </w:tcMar>
          </w:tcPr>
          <w:p w:rsidR="009E19C5" w:rsidRDefault="009E19C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1335" w:type="dxa"/>
            <w:shd w:val="clear" w:color="auto" w:fill="auto"/>
            <w:tcMar>
              <w:top w:w="20" w:type="dxa"/>
              <w:left w:w="20" w:type="dxa"/>
              <w:bottom w:w="20" w:type="dxa"/>
              <w:right w:w="20" w:type="dxa"/>
            </w:tcMar>
          </w:tcPr>
          <w:p w:rsidR="009E19C5" w:rsidRDefault="009E19C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9E19C5" w:rsidRDefault="009E19C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600" w:type="dxa"/>
            <w:shd w:val="clear" w:color="auto" w:fill="auto"/>
            <w:tcMar>
              <w:top w:w="20" w:type="dxa"/>
              <w:left w:w="20" w:type="dxa"/>
              <w:bottom w:w="20" w:type="dxa"/>
              <w:right w:w="20" w:type="dxa"/>
            </w:tcMar>
          </w:tcPr>
          <w:p w:rsidR="009E19C5" w:rsidRPr="00A200D5" w:rsidRDefault="009E19C5">
            <w:pPr>
              <w:pStyle w:val="T1TableStyle"/>
              <w:jc w:val="center"/>
              <w:rPr>
                <w:rFonts w:ascii="Verdana" w:eastAsia="Verdana" w:hAnsi="Verdana" w:cs="Verdana"/>
                <w:i/>
                <w:color w:val="595959" w:themeColor="text1" w:themeTint="A6"/>
                <w:sz w:val="16"/>
                <w:szCs w:val="16"/>
                <w:lang w:val="en-GB"/>
              </w:rPr>
            </w:pPr>
          </w:p>
        </w:tc>
        <w:tc>
          <w:tcPr>
            <w:tcW w:w="2280" w:type="dxa"/>
            <w:shd w:val="clear" w:color="auto" w:fill="auto"/>
            <w:tcMar>
              <w:top w:w="20" w:type="dxa"/>
              <w:left w:w="20" w:type="dxa"/>
              <w:bottom w:w="20" w:type="dxa"/>
              <w:right w:w="20" w:type="dxa"/>
            </w:tcMar>
          </w:tcPr>
          <w:p w:rsidR="009E19C5" w:rsidRDefault="009E19C5" w:rsidP="0019417B">
            <w:pPr>
              <w:pStyle w:val="T1TableStyle"/>
              <w:rPr>
                <w:rFonts w:ascii="Verdana" w:eastAsia="Verdana" w:hAnsi="Verdana" w:cs="Verdana"/>
                <w:color w:val="000000"/>
                <w:sz w:val="16"/>
                <w:lang w:val="en-GB"/>
              </w:rPr>
            </w:pPr>
            <w:r>
              <w:rPr>
                <w:rFonts w:ascii="Verdana" w:eastAsia="Verdana" w:hAnsi="Verdana" w:cs="Verdana"/>
                <w:color w:val="000000"/>
                <w:sz w:val="16"/>
                <w:lang w:val="en-GB"/>
              </w:rPr>
              <w:t>Roun</w:t>
            </w:r>
            <w:r w:rsidR="0019417B">
              <w:rPr>
                <w:rFonts w:ascii="Verdana" w:eastAsia="Verdana" w:hAnsi="Verdana" w:cs="Verdana"/>
                <w:color w:val="000000"/>
                <w:sz w:val="16"/>
                <w:lang w:val="en-GB"/>
              </w:rPr>
              <w:t>d</w:t>
            </w:r>
            <w:r>
              <w:rPr>
                <w:rFonts w:ascii="Verdana" w:eastAsia="Verdana" w:hAnsi="Verdana" w:cs="Verdana"/>
                <w:color w:val="000000"/>
                <w:sz w:val="16"/>
                <w:lang w:val="en-GB"/>
              </w:rPr>
              <w:t>ing</w:t>
            </w:r>
          </w:p>
        </w:tc>
        <w:tc>
          <w:tcPr>
            <w:tcW w:w="1230" w:type="dxa"/>
            <w:shd w:val="clear" w:color="auto" w:fill="auto"/>
            <w:tcMar>
              <w:top w:w="20" w:type="dxa"/>
              <w:left w:w="20" w:type="dxa"/>
              <w:bottom w:w="20" w:type="dxa"/>
              <w:right w:w="20" w:type="dxa"/>
            </w:tcMar>
          </w:tcPr>
          <w:p w:rsidR="009E19C5" w:rsidRDefault="003A3D7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9E19C5" w:rsidRDefault="000708D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9E19C5" w:rsidRDefault="003A3D7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4D417B" w:rsidTr="00412EE1">
        <w:trPr>
          <w:trHeight w:val="25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344,529</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(13,228)</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331,301</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r w:rsidRPr="00A200D5">
              <w:rPr>
                <w:rFonts w:ascii="Verdana" w:eastAsia="Verdana" w:hAnsi="Verdana" w:cs="Verdana"/>
                <w:b/>
                <w:i/>
                <w:color w:val="595959" w:themeColor="text1" w:themeTint="A6"/>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Cost of Services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8D30C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277</w:t>
            </w:r>
            <w:r w:rsidR="00CA6653">
              <w:rPr>
                <w:rFonts w:ascii="Verdana" w:eastAsia="Verdana" w:hAnsi="Verdana" w:cs="Verdana"/>
                <w:b/>
                <w:color w:val="000000"/>
                <w:sz w:val="16"/>
                <w:lang w:val="en-GB"/>
              </w:rPr>
              <w:t>,</w:t>
            </w:r>
            <w:r>
              <w:rPr>
                <w:rFonts w:ascii="Verdana" w:eastAsia="Verdana" w:hAnsi="Verdana" w:cs="Verdana"/>
                <w:b/>
                <w:color w:val="000000"/>
                <w:sz w:val="16"/>
                <w:lang w:val="en-GB"/>
              </w:rPr>
              <w:t>0</w:t>
            </w:r>
            <w:r w:rsidR="00F61F1C">
              <w:rPr>
                <w:rFonts w:ascii="Verdana" w:eastAsia="Verdana" w:hAnsi="Verdana" w:cs="Verdana"/>
                <w:b/>
                <w:color w:val="000000"/>
                <w:sz w:val="16"/>
                <w:lang w:val="en-GB"/>
              </w:rPr>
              <w:t>9</w:t>
            </w:r>
            <w:r w:rsidR="008A24D0">
              <w:rPr>
                <w:rFonts w:ascii="Verdana" w:eastAsia="Verdana" w:hAnsi="Verdana" w:cs="Verdana"/>
                <w:b/>
                <w:color w:val="000000"/>
                <w:sz w:val="16"/>
                <w:lang w:val="en-GB"/>
              </w:rPr>
              <w:t>8</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w:t>
            </w:r>
            <w:r w:rsidR="00E3522B">
              <w:rPr>
                <w:rFonts w:ascii="Verdana" w:eastAsia="Verdana" w:hAnsi="Verdana" w:cs="Verdana"/>
                <w:b/>
                <w:color w:val="000000"/>
                <w:sz w:val="16"/>
                <w:lang w:val="en-GB"/>
              </w:rPr>
              <w:t>144</w:t>
            </w:r>
            <w:r>
              <w:rPr>
                <w:rFonts w:ascii="Verdana" w:eastAsia="Verdana" w:hAnsi="Verdana" w:cs="Verdana"/>
                <w:b/>
                <w:color w:val="000000"/>
                <w:sz w:val="16"/>
                <w:lang w:val="en-GB"/>
              </w:rPr>
              <w:t>)</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870EA6">
              <w:rPr>
                <w:rFonts w:ascii="Verdana" w:eastAsia="Verdana" w:hAnsi="Verdana" w:cs="Verdana"/>
                <w:b/>
                <w:color w:val="000000"/>
                <w:sz w:val="16"/>
                <w:lang w:val="en-GB"/>
              </w:rPr>
              <w:t>62</w:t>
            </w:r>
            <w:r>
              <w:rPr>
                <w:rFonts w:ascii="Verdana" w:eastAsia="Verdana" w:hAnsi="Verdana" w:cs="Verdana"/>
                <w:b/>
                <w:color w:val="000000"/>
                <w:sz w:val="16"/>
                <w:lang w:val="en-GB"/>
              </w:rPr>
              <w:t>,</w:t>
            </w:r>
            <w:r w:rsidR="00F61F1C">
              <w:rPr>
                <w:rFonts w:ascii="Verdana" w:eastAsia="Verdana" w:hAnsi="Verdana" w:cs="Verdana"/>
                <w:b/>
                <w:color w:val="000000"/>
                <w:sz w:val="16"/>
                <w:lang w:val="en-GB"/>
              </w:rPr>
              <w:t>95</w:t>
            </w:r>
            <w:r w:rsidR="008A24D0">
              <w:rPr>
                <w:rFonts w:ascii="Verdana" w:eastAsia="Verdana" w:hAnsi="Verdana" w:cs="Verdana"/>
                <w:b/>
                <w:color w:val="000000"/>
                <w:sz w:val="16"/>
                <w:lang w:val="en-GB"/>
              </w:rPr>
              <w:t>4</w:t>
            </w:r>
          </w:p>
        </w:tc>
      </w:tr>
      <w:tr w:rsidR="004D417B" w:rsidTr="00412EE1">
        <w:trPr>
          <w:trHeight w:val="510"/>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344,529</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(13,228)</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331,301</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r w:rsidRPr="00A200D5">
              <w:rPr>
                <w:rFonts w:ascii="Verdana" w:eastAsia="Verdana" w:hAnsi="Verdana" w:cs="Verdana"/>
                <w:b/>
                <w:i/>
                <w:color w:val="595959" w:themeColor="text1" w:themeTint="A6"/>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Net Cost of Services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8D30C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277</w:t>
            </w:r>
            <w:r w:rsidR="00CA6653">
              <w:rPr>
                <w:rFonts w:ascii="Verdana" w:eastAsia="Verdana" w:hAnsi="Verdana" w:cs="Verdana"/>
                <w:b/>
                <w:color w:val="000000"/>
                <w:sz w:val="16"/>
                <w:lang w:val="en-GB"/>
              </w:rPr>
              <w:t>,</w:t>
            </w:r>
            <w:r>
              <w:rPr>
                <w:rFonts w:ascii="Verdana" w:eastAsia="Verdana" w:hAnsi="Verdana" w:cs="Verdana"/>
                <w:b/>
                <w:color w:val="000000"/>
                <w:sz w:val="16"/>
                <w:lang w:val="en-GB"/>
              </w:rPr>
              <w:t>0</w:t>
            </w:r>
            <w:r w:rsidR="00F61F1C">
              <w:rPr>
                <w:rFonts w:ascii="Verdana" w:eastAsia="Verdana" w:hAnsi="Verdana" w:cs="Verdana"/>
                <w:b/>
                <w:color w:val="000000"/>
                <w:sz w:val="16"/>
                <w:lang w:val="en-GB"/>
              </w:rPr>
              <w:t>9</w:t>
            </w:r>
            <w:r w:rsidR="008A24D0">
              <w:rPr>
                <w:rFonts w:ascii="Verdana" w:eastAsia="Verdana" w:hAnsi="Verdana" w:cs="Verdana"/>
                <w:b/>
                <w:color w:val="000000"/>
                <w:sz w:val="16"/>
                <w:lang w:val="en-GB"/>
              </w:rPr>
              <w:t>8</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w:t>
            </w:r>
            <w:r w:rsidR="00E3522B">
              <w:rPr>
                <w:rFonts w:ascii="Verdana" w:eastAsia="Verdana" w:hAnsi="Verdana" w:cs="Verdana"/>
                <w:b/>
                <w:color w:val="000000"/>
                <w:sz w:val="16"/>
                <w:lang w:val="en-GB"/>
              </w:rPr>
              <w:t>144</w:t>
            </w:r>
            <w:r>
              <w:rPr>
                <w:rFonts w:ascii="Verdana" w:eastAsia="Verdana" w:hAnsi="Verdana" w:cs="Verdana"/>
                <w:b/>
                <w:color w:val="000000"/>
                <w:sz w:val="16"/>
                <w:lang w:val="en-GB"/>
              </w:rPr>
              <w:t>)</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870EA6">
              <w:rPr>
                <w:rFonts w:ascii="Verdana" w:eastAsia="Verdana" w:hAnsi="Verdana" w:cs="Verdana"/>
                <w:b/>
                <w:color w:val="000000"/>
                <w:sz w:val="16"/>
                <w:lang w:val="en-GB"/>
              </w:rPr>
              <w:t>62</w:t>
            </w:r>
            <w:r>
              <w:rPr>
                <w:rFonts w:ascii="Verdana" w:eastAsia="Verdana" w:hAnsi="Verdana" w:cs="Verdana"/>
                <w:b/>
                <w:color w:val="000000"/>
                <w:sz w:val="16"/>
                <w:lang w:val="en-GB"/>
              </w:rPr>
              <w:t>,</w:t>
            </w:r>
            <w:r w:rsidR="00F61F1C">
              <w:rPr>
                <w:rFonts w:ascii="Verdana" w:eastAsia="Verdana" w:hAnsi="Verdana" w:cs="Verdana"/>
                <w:b/>
                <w:color w:val="000000"/>
                <w:sz w:val="16"/>
                <w:lang w:val="en-GB"/>
              </w:rPr>
              <w:t>95</w:t>
            </w:r>
            <w:r w:rsidR="008A24D0">
              <w:rPr>
                <w:rFonts w:ascii="Verdana" w:eastAsia="Verdana" w:hAnsi="Verdana" w:cs="Verdana"/>
                <w:b/>
                <w:color w:val="000000"/>
                <w:sz w:val="16"/>
                <w:lang w:val="en-GB"/>
              </w:rPr>
              <w:t>4</w:t>
            </w:r>
          </w:p>
        </w:tc>
      </w:tr>
      <w:tr w:rsidR="004D417B" w:rsidTr="00412EE1">
        <w:trPr>
          <w:trHeight w:hRule="exact" w:val="135"/>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Calibri" w:eastAsia="Calibri" w:hAnsi="Calibri" w:cs="Calibri"/>
                <w:i/>
                <w:color w:val="595959" w:themeColor="text1" w:themeTint="A6"/>
                <w:sz w:val="16"/>
                <w:szCs w:val="16"/>
                <w:lang w:val="en-GB"/>
              </w:rPr>
            </w:pPr>
            <w:r w:rsidRPr="00A200D5">
              <w:rPr>
                <w:rFonts w:ascii="Calibri" w:eastAsia="Calibri" w:hAnsi="Calibri" w:cs="Calibri"/>
                <w:i/>
                <w:color w:val="595959" w:themeColor="text1" w:themeTint="A6"/>
                <w:sz w:val="16"/>
                <w:szCs w:val="16"/>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731</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731</w:t>
            </w:r>
          </w:p>
        </w:tc>
        <w:tc>
          <w:tcPr>
            <w:tcW w:w="600" w:type="dxa"/>
            <w:shd w:val="clear" w:color="auto" w:fill="auto"/>
            <w:tcMar>
              <w:top w:w="20" w:type="dxa"/>
              <w:left w:w="20" w:type="dxa"/>
              <w:bottom w:w="20" w:type="dxa"/>
              <w:right w:w="20" w:type="dxa"/>
            </w:tcMar>
          </w:tcPr>
          <w:p w:rsidR="00CA6653" w:rsidRPr="00A200D5" w:rsidRDefault="009F7C92">
            <w:pPr>
              <w:pStyle w:val="T1TableStyle"/>
              <w:jc w:val="center"/>
              <w:rPr>
                <w:rFonts w:ascii="Verdana" w:eastAsia="Verdana" w:hAnsi="Verdana" w:cs="Verdana"/>
                <w:i/>
                <w:color w:val="595959" w:themeColor="text1" w:themeTint="A6"/>
                <w:sz w:val="16"/>
                <w:szCs w:val="16"/>
                <w:lang w:val="en-GB"/>
              </w:rPr>
            </w:pPr>
            <w:r w:rsidRPr="00A200D5">
              <w:rPr>
                <w:rFonts w:ascii="Verdana" w:eastAsia="Verdana" w:hAnsi="Verdana" w:cs="Verdana"/>
                <w:i/>
                <w:color w:val="595959" w:themeColor="text1" w:themeTint="A6"/>
                <w:sz w:val="16"/>
                <w:szCs w:val="16"/>
                <w:lang w:val="en-GB"/>
              </w:rPr>
              <w:t>34</w:t>
            </w:r>
            <w:r w:rsidR="00CA6653" w:rsidRPr="00A200D5">
              <w:rPr>
                <w:rFonts w:ascii="Verdana" w:eastAsia="Verdana" w:hAnsi="Verdana" w:cs="Verdana"/>
                <w:i/>
                <w:color w:val="595959" w:themeColor="text1" w:themeTint="A6"/>
                <w:sz w:val="16"/>
                <w:szCs w:val="16"/>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Operating Expenditure</w:t>
            </w:r>
          </w:p>
        </w:tc>
        <w:tc>
          <w:tcPr>
            <w:tcW w:w="1230" w:type="dxa"/>
            <w:shd w:val="clear" w:color="auto" w:fill="auto"/>
            <w:tcMar>
              <w:top w:w="20" w:type="dxa"/>
              <w:left w:w="20" w:type="dxa"/>
              <w:bottom w:w="20" w:type="dxa"/>
              <w:right w:w="20" w:type="dxa"/>
            </w:tcMar>
          </w:tcPr>
          <w:p w:rsidR="00CA6653" w:rsidRDefault="00E372F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508</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E372F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508</w:t>
            </w:r>
          </w:p>
        </w:tc>
      </w:tr>
      <w:tr w:rsidR="004D417B" w:rsidTr="00412EE1">
        <w:trPr>
          <w:trHeight w:val="420"/>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57,184</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(7,870)</w:t>
            </w:r>
          </w:p>
        </w:tc>
        <w:tc>
          <w:tcPr>
            <w:tcW w:w="1230" w:type="dxa"/>
            <w:shd w:val="clear" w:color="auto" w:fill="auto"/>
            <w:tcMar>
              <w:top w:w="20" w:type="dxa"/>
              <w:left w:w="20" w:type="dxa"/>
              <w:bottom w:w="20" w:type="dxa"/>
              <w:right w:w="20" w:type="dxa"/>
            </w:tcMar>
          </w:tcPr>
          <w:p w:rsidR="00CA6653" w:rsidRDefault="009E19C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49,314</w:t>
            </w:r>
          </w:p>
        </w:tc>
        <w:tc>
          <w:tcPr>
            <w:tcW w:w="600" w:type="dxa"/>
            <w:shd w:val="clear" w:color="auto" w:fill="auto"/>
            <w:tcMar>
              <w:top w:w="20" w:type="dxa"/>
              <w:left w:w="20" w:type="dxa"/>
              <w:bottom w:w="20" w:type="dxa"/>
              <w:right w:w="20" w:type="dxa"/>
            </w:tcMar>
          </w:tcPr>
          <w:p w:rsidR="00CA6653" w:rsidRPr="00A200D5" w:rsidRDefault="009F7C92">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33</w:t>
            </w:r>
            <w:r w:rsidR="00CA6653" w:rsidRPr="00A200D5">
              <w:rPr>
                <w:rFonts w:ascii="Verdana" w:eastAsia="Verdana" w:hAnsi="Verdana" w:cs="Verdana"/>
                <w:i/>
                <w:color w:val="595959" w:themeColor="text1" w:themeTint="A6"/>
                <w:sz w:val="16"/>
                <w:szCs w:val="16"/>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Financing and Investment Income and Expenditure</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w:t>
            </w:r>
            <w:r w:rsidR="00E3522B">
              <w:rPr>
                <w:rFonts w:ascii="Verdana" w:eastAsia="Verdana" w:hAnsi="Verdana" w:cs="Verdana"/>
                <w:color w:val="000000"/>
                <w:sz w:val="16"/>
                <w:lang w:val="en-GB"/>
              </w:rPr>
              <w:t>1</w:t>
            </w:r>
            <w:r>
              <w:rPr>
                <w:rFonts w:ascii="Verdana" w:eastAsia="Verdana" w:hAnsi="Verdana" w:cs="Verdana"/>
                <w:color w:val="000000"/>
                <w:sz w:val="16"/>
                <w:lang w:val="en-GB"/>
              </w:rPr>
              <w:t>,</w:t>
            </w:r>
            <w:r w:rsidR="00F61F1C">
              <w:rPr>
                <w:rFonts w:ascii="Verdana" w:eastAsia="Verdana" w:hAnsi="Verdana" w:cs="Verdana"/>
                <w:color w:val="000000"/>
                <w:sz w:val="16"/>
                <w:lang w:val="en-GB"/>
              </w:rPr>
              <w:t>04</w:t>
            </w:r>
            <w:r w:rsidR="00E3522B">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w:t>
            </w:r>
            <w:r w:rsidR="00E3522B">
              <w:rPr>
                <w:rFonts w:ascii="Verdana" w:eastAsia="Verdana" w:hAnsi="Verdana" w:cs="Verdana"/>
                <w:color w:val="000000"/>
                <w:sz w:val="16"/>
                <w:lang w:val="en-GB"/>
              </w:rPr>
              <w:t>809</w:t>
            </w:r>
            <w:r>
              <w:rPr>
                <w:rFonts w:ascii="Verdana" w:eastAsia="Verdana" w:hAnsi="Verdana" w:cs="Verdana"/>
                <w:color w:val="000000"/>
                <w:sz w:val="16"/>
                <w:lang w:val="en-GB"/>
              </w:rPr>
              <w:t>)</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w:t>
            </w:r>
            <w:r w:rsidR="00F61F1C">
              <w:rPr>
                <w:rFonts w:ascii="Verdana" w:eastAsia="Verdana" w:hAnsi="Verdana" w:cs="Verdana"/>
                <w:color w:val="000000"/>
                <w:sz w:val="16"/>
                <w:lang w:val="en-GB"/>
              </w:rPr>
              <w:t>23</w:t>
            </w:r>
            <w:r w:rsidR="00E3522B">
              <w:rPr>
                <w:rFonts w:ascii="Verdana" w:eastAsia="Verdana" w:hAnsi="Verdana" w:cs="Verdana"/>
                <w:color w:val="000000"/>
                <w:sz w:val="16"/>
                <w:lang w:val="en-GB"/>
              </w:rPr>
              <w:t>1</w:t>
            </w:r>
          </w:p>
        </w:tc>
      </w:tr>
      <w:tr w:rsidR="004D417B" w:rsidTr="00412EE1">
        <w:trPr>
          <w:trHeight w:val="420"/>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(237,702)</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(237,702)</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i/>
                <w:color w:val="595959" w:themeColor="text1" w:themeTint="A6"/>
                <w:sz w:val="16"/>
                <w:szCs w:val="16"/>
                <w:lang w:val="en-GB"/>
              </w:rPr>
            </w:pPr>
            <w:r w:rsidRPr="00A200D5">
              <w:rPr>
                <w:rFonts w:ascii="Verdana" w:eastAsia="Verdana" w:hAnsi="Verdana" w:cs="Verdana"/>
                <w:i/>
                <w:color w:val="595959" w:themeColor="text1" w:themeTint="A6"/>
                <w:sz w:val="16"/>
                <w:szCs w:val="16"/>
                <w:lang w:val="en-GB"/>
              </w:rPr>
              <w:t xml:space="preserve"> </w:t>
            </w:r>
            <w:r w:rsidR="009F7C92">
              <w:rPr>
                <w:rFonts w:ascii="Verdana" w:eastAsia="Verdana" w:hAnsi="Verdana" w:cs="Verdana"/>
                <w:i/>
                <w:color w:val="595959" w:themeColor="text1" w:themeTint="A6"/>
                <w:sz w:val="16"/>
                <w:szCs w:val="16"/>
                <w:lang w:val="en-GB"/>
              </w:rPr>
              <w:t>8</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Taxation and Non Specific Grant Income</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(252,</w:t>
            </w:r>
            <w:r w:rsidR="001125BF">
              <w:rPr>
                <w:rFonts w:ascii="Verdana" w:eastAsia="Verdana" w:hAnsi="Verdana" w:cs="Verdana"/>
                <w:color w:val="000000"/>
                <w:sz w:val="16"/>
                <w:lang w:val="en-GB"/>
              </w:rPr>
              <w:t>817</w:t>
            </w:r>
            <w:r>
              <w:rPr>
                <w:rFonts w:ascii="Verdana" w:eastAsia="Verdana" w:hAnsi="Verdana" w:cs="Verdana"/>
                <w:color w:val="000000"/>
                <w:sz w:val="16"/>
                <w:lang w:val="en-GB"/>
              </w:rPr>
              <w:t>)</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(252,</w:t>
            </w:r>
            <w:r w:rsidR="001125BF">
              <w:rPr>
                <w:rFonts w:ascii="Verdana" w:eastAsia="Verdana" w:hAnsi="Verdana" w:cs="Verdana"/>
                <w:color w:val="000000"/>
                <w:sz w:val="16"/>
                <w:lang w:val="en-GB"/>
              </w:rPr>
              <w:t>817</w:t>
            </w:r>
            <w:r>
              <w:rPr>
                <w:rFonts w:ascii="Verdana" w:eastAsia="Verdana" w:hAnsi="Verdana" w:cs="Verdana"/>
                <w:color w:val="000000"/>
                <w:sz w:val="16"/>
                <w:lang w:val="en-GB"/>
              </w:rPr>
              <w:t>)</w:t>
            </w:r>
          </w:p>
        </w:tc>
      </w:tr>
      <w:tr w:rsidR="004D417B" w:rsidTr="00412EE1">
        <w:trPr>
          <w:trHeight w:val="43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402,444</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(258,800)</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143,644</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r w:rsidRPr="00A200D5">
              <w:rPr>
                <w:rFonts w:ascii="Verdana" w:eastAsia="Verdana" w:hAnsi="Verdana" w:cs="Verdana"/>
                <w:b/>
                <w:i/>
                <w:color w:val="595959" w:themeColor="text1" w:themeTint="A6"/>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Surplus or Deficit on Provision of Services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w:t>
            </w:r>
            <w:r w:rsidR="00870EA6">
              <w:rPr>
                <w:rFonts w:ascii="Verdana" w:eastAsia="Verdana" w:hAnsi="Verdana" w:cs="Verdana"/>
                <w:b/>
                <w:color w:val="000000"/>
                <w:sz w:val="16"/>
                <w:lang w:val="en-GB"/>
              </w:rPr>
              <w:t>38</w:t>
            </w:r>
            <w:r>
              <w:rPr>
                <w:rFonts w:ascii="Verdana" w:eastAsia="Verdana" w:hAnsi="Verdana" w:cs="Verdana"/>
                <w:b/>
                <w:color w:val="000000"/>
                <w:sz w:val="16"/>
                <w:lang w:val="en-GB"/>
              </w:rPr>
              <w:t>,</w:t>
            </w:r>
            <w:r w:rsidR="00870EA6">
              <w:rPr>
                <w:rFonts w:ascii="Verdana" w:eastAsia="Verdana" w:hAnsi="Verdana" w:cs="Verdana"/>
                <w:b/>
                <w:color w:val="000000"/>
                <w:sz w:val="16"/>
                <w:lang w:val="en-GB"/>
              </w:rPr>
              <w:t>6</w:t>
            </w:r>
            <w:r w:rsidR="00E3522B">
              <w:rPr>
                <w:rFonts w:ascii="Verdana" w:eastAsia="Verdana" w:hAnsi="Verdana" w:cs="Verdana"/>
                <w:b/>
                <w:color w:val="000000"/>
                <w:sz w:val="16"/>
                <w:lang w:val="en-GB"/>
              </w:rPr>
              <w:t>4</w:t>
            </w:r>
            <w:r w:rsidR="008A24D0">
              <w:rPr>
                <w:rFonts w:ascii="Verdana" w:eastAsia="Verdana" w:hAnsi="Verdana" w:cs="Verdana"/>
                <w:b/>
                <w:color w:val="000000"/>
                <w:sz w:val="16"/>
                <w:lang w:val="en-GB"/>
              </w:rPr>
              <w:t>6</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(274,</w:t>
            </w:r>
            <w:r w:rsidR="001125BF">
              <w:rPr>
                <w:rFonts w:ascii="Verdana" w:eastAsia="Verdana" w:hAnsi="Verdana" w:cs="Verdana"/>
                <w:b/>
                <w:color w:val="000000"/>
                <w:sz w:val="16"/>
                <w:lang w:val="en-GB"/>
              </w:rPr>
              <w:t>770</w:t>
            </w:r>
            <w:r>
              <w:rPr>
                <w:rFonts w:ascii="Verdana" w:eastAsia="Verdana" w:hAnsi="Verdana" w:cs="Verdana"/>
                <w:b/>
                <w:color w:val="000000"/>
                <w:sz w:val="16"/>
                <w:lang w:val="en-GB"/>
              </w:rPr>
              <w:t>)</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870EA6">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w:t>
            </w:r>
            <w:r w:rsidR="00E372FC">
              <w:rPr>
                <w:rFonts w:ascii="Verdana" w:eastAsia="Verdana" w:hAnsi="Verdana" w:cs="Verdana"/>
                <w:b/>
                <w:color w:val="000000"/>
                <w:sz w:val="16"/>
                <w:lang w:val="en-GB"/>
              </w:rPr>
              <w:t>,</w:t>
            </w:r>
            <w:r>
              <w:rPr>
                <w:rFonts w:ascii="Verdana" w:eastAsia="Verdana" w:hAnsi="Verdana" w:cs="Verdana"/>
                <w:b/>
                <w:color w:val="000000"/>
                <w:sz w:val="16"/>
                <w:lang w:val="en-GB"/>
              </w:rPr>
              <w:t>8</w:t>
            </w:r>
            <w:r w:rsidR="001125BF">
              <w:rPr>
                <w:rFonts w:ascii="Verdana" w:eastAsia="Verdana" w:hAnsi="Verdana" w:cs="Verdana"/>
                <w:b/>
                <w:color w:val="000000"/>
                <w:sz w:val="16"/>
                <w:lang w:val="en-GB"/>
              </w:rPr>
              <w:t>7</w:t>
            </w:r>
            <w:r w:rsidR="008A24D0">
              <w:rPr>
                <w:rFonts w:ascii="Verdana" w:eastAsia="Verdana" w:hAnsi="Verdana" w:cs="Verdana"/>
                <w:b/>
                <w:color w:val="000000"/>
                <w:sz w:val="16"/>
                <w:lang w:val="en-GB"/>
              </w:rPr>
              <w:t>6</w:t>
            </w:r>
          </w:p>
        </w:tc>
      </w:tr>
      <w:tr w:rsidR="004D417B" w:rsidTr="00412EE1">
        <w:trPr>
          <w:trHeight w:hRule="exact" w:val="195"/>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600" w:type="dxa"/>
            <w:shd w:val="clear" w:color="auto" w:fill="auto"/>
            <w:tcMar>
              <w:top w:w="20" w:type="dxa"/>
              <w:left w:w="20" w:type="dxa"/>
              <w:bottom w:w="20" w:type="dxa"/>
              <w:right w:w="20" w:type="dxa"/>
            </w:tcMar>
            <w:vAlign w:val="bottom"/>
          </w:tcPr>
          <w:p w:rsidR="00CA6653" w:rsidRPr="00A200D5" w:rsidRDefault="00CA6653">
            <w:pPr>
              <w:pStyle w:val="T1TableStyle"/>
              <w:jc w:val="center"/>
              <w:rPr>
                <w:rFonts w:ascii="Calibri" w:eastAsia="Calibri" w:hAnsi="Calibri" w:cs="Calibri"/>
                <w:i/>
                <w:color w:val="595959" w:themeColor="text1" w:themeTint="A6"/>
                <w:sz w:val="16"/>
                <w:szCs w:val="16"/>
                <w:lang w:val="en-GB"/>
              </w:rPr>
            </w:pPr>
            <w:r w:rsidRPr="00A200D5">
              <w:rPr>
                <w:rFonts w:ascii="Calibri" w:eastAsia="Calibri" w:hAnsi="Calibri" w:cs="Calibri"/>
                <w:i/>
                <w:color w:val="595959" w:themeColor="text1" w:themeTint="A6"/>
                <w:sz w:val="16"/>
                <w:szCs w:val="16"/>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r>
      <w:tr w:rsidR="004D417B" w:rsidTr="00412EE1">
        <w:trPr>
          <w:trHeight w:val="63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(5,256)</w:t>
            </w:r>
          </w:p>
        </w:tc>
        <w:tc>
          <w:tcPr>
            <w:tcW w:w="600" w:type="dxa"/>
            <w:shd w:val="clear" w:color="auto" w:fill="auto"/>
            <w:tcMar>
              <w:top w:w="20" w:type="dxa"/>
              <w:left w:w="20" w:type="dxa"/>
              <w:bottom w:w="20" w:type="dxa"/>
              <w:right w:w="20" w:type="dxa"/>
            </w:tcMar>
          </w:tcPr>
          <w:p w:rsidR="00CA6653" w:rsidRPr="00A200D5" w:rsidRDefault="009F7C92">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11</w:t>
            </w:r>
            <w:r w:rsidR="00CA6653" w:rsidRPr="00A200D5">
              <w:rPr>
                <w:rFonts w:ascii="Verdana" w:eastAsia="Verdana" w:hAnsi="Verdana" w:cs="Verdana"/>
                <w:i/>
                <w:color w:val="595959" w:themeColor="text1" w:themeTint="A6"/>
                <w:sz w:val="16"/>
                <w:szCs w:val="16"/>
                <w:lang w:val="en-GB"/>
              </w:rPr>
              <w:t xml:space="preserve"> </w:t>
            </w:r>
          </w:p>
        </w:tc>
        <w:tc>
          <w:tcPr>
            <w:tcW w:w="2280" w:type="dxa"/>
            <w:shd w:val="clear" w:color="auto" w:fill="auto"/>
            <w:tcMar>
              <w:top w:w="20" w:type="dxa"/>
              <w:left w:w="20" w:type="dxa"/>
              <w:bottom w:w="20" w:type="dxa"/>
              <w:right w:w="20" w:type="dxa"/>
            </w:tcMar>
          </w:tcPr>
          <w:p w:rsidR="00CA6653" w:rsidRDefault="00EA30F0">
            <w:pPr>
              <w:pStyle w:val="T1TableStyle"/>
              <w:rPr>
                <w:rFonts w:ascii="Verdana" w:eastAsia="Verdana" w:hAnsi="Verdana" w:cs="Verdana"/>
                <w:color w:val="000000"/>
                <w:sz w:val="16"/>
                <w:lang w:val="en-GB"/>
              </w:rPr>
            </w:pPr>
            <w:r>
              <w:rPr>
                <w:rFonts w:ascii="Verdana" w:eastAsia="Verdana" w:hAnsi="Verdana" w:cs="Verdana"/>
                <w:color w:val="000000"/>
                <w:sz w:val="16"/>
                <w:lang w:val="en-GB"/>
              </w:rPr>
              <w:t>(</w:t>
            </w:r>
            <w:r w:rsidR="00CA6653">
              <w:rPr>
                <w:rFonts w:ascii="Verdana" w:eastAsia="Verdana" w:hAnsi="Verdana" w:cs="Verdana"/>
                <w:color w:val="000000"/>
                <w:sz w:val="16"/>
                <w:lang w:val="en-GB"/>
              </w:rPr>
              <w:t>Surplus</w:t>
            </w:r>
            <w:r>
              <w:rPr>
                <w:rFonts w:ascii="Verdana" w:eastAsia="Verdana" w:hAnsi="Verdana" w:cs="Verdana"/>
                <w:color w:val="000000"/>
                <w:sz w:val="16"/>
                <w:lang w:val="en-GB"/>
              </w:rPr>
              <w:t>)</w:t>
            </w:r>
            <w:r w:rsidR="00CA6653">
              <w:rPr>
                <w:rFonts w:ascii="Verdana" w:eastAsia="Verdana" w:hAnsi="Verdana" w:cs="Verdana"/>
                <w:color w:val="000000"/>
                <w:sz w:val="16"/>
                <w:lang w:val="en-GB"/>
              </w:rPr>
              <w:t xml:space="preserve"> or deficit on revaluation of Property, Plant and Equipment</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rsidP="00E372F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E372FC">
              <w:rPr>
                <w:rFonts w:ascii="Verdana" w:eastAsia="Verdana" w:hAnsi="Verdana" w:cs="Verdana"/>
                <w:color w:val="000000"/>
                <w:sz w:val="16"/>
                <w:lang w:val="en-GB"/>
              </w:rPr>
              <w:t>9,459</w:t>
            </w:r>
            <w:r>
              <w:rPr>
                <w:rFonts w:ascii="Verdana" w:eastAsia="Verdana" w:hAnsi="Verdana" w:cs="Verdana"/>
                <w:color w:val="000000"/>
                <w:sz w:val="16"/>
                <w:lang w:val="en-GB"/>
              </w:rPr>
              <w:t>)</w:t>
            </w:r>
          </w:p>
        </w:tc>
      </w:tr>
      <w:tr w:rsidR="004D417B" w:rsidTr="00412EE1">
        <w:trPr>
          <w:trHeight w:val="63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87,620</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i/>
                <w:color w:val="595959" w:themeColor="text1" w:themeTint="A6"/>
                <w:sz w:val="16"/>
                <w:szCs w:val="16"/>
                <w:lang w:val="en-GB"/>
              </w:rPr>
            </w:pPr>
            <w:r w:rsidRPr="00A200D5">
              <w:rPr>
                <w:rFonts w:ascii="Verdana" w:eastAsia="Verdana" w:hAnsi="Verdana" w:cs="Verdana"/>
                <w:i/>
                <w:color w:val="595959" w:themeColor="text1" w:themeTint="A6"/>
                <w:sz w:val="16"/>
                <w:szCs w:val="16"/>
                <w:lang w:val="en-GB"/>
              </w:rPr>
              <w:t xml:space="preserve"> </w:t>
            </w:r>
            <w:r w:rsidR="009F7C92">
              <w:rPr>
                <w:rFonts w:ascii="Verdana" w:eastAsia="Verdana" w:hAnsi="Verdana" w:cs="Verdana"/>
                <w:i/>
                <w:color w:val="595959" w:themeColor="text1" w:themeTint="A6"/>
                <w:sz w:val="16"/>
                <w:szCs w:val="16"/>
                <w:lang w:val="en-GB"/>
              </w:rPr>
              <w:t>26</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Re</w:t>
            </w:r>
            <w:r w:rsidR="0019417B">
              <w:rPr>
                <w:rFonts w:ascii="Verdana" w:eastAsia="Verdana" w:hAnsi="Verdana" w:cs="Verdana"/>
                <w:color w:val="000000"/>
                <w:sz w:val="16"/>
                <w:lang w:val="en-GB"/>
              </w:rPr>
              <w:t>-</w:t>
            </w:r>
            <w:r>
              <w:rPr>
                <w:rFonts w:ascii="Verdana" w:eastAsia="Verdana" w:hAnsi="Verdana" w:cs="Verdana"/>
                <w:color w:val="000000"/>
                <w:sz w:val="16"/>
                <w:lang w:val="en-GB"/>
              </w:rPr>
              <w:t>measurement of the net defined benefit liability / asset</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rsidP="008E6F5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(191,</w:t>
            </w:r>
            <w:r w:rsidR="008E6F5A">
              <w:rPr>
                <w:rFonts w:ascii="Verdana" w:eastAsia="Verdana" w:hAnsi="Verdana" w:cs="Verdana"/>
                <w:color w:val="000000"/>
                <w:sz w:val="16"/>
                <w:lang w:val="en-GB"/>
              </w:rPr>
              <w:t>999</w:t>
            </w:r>
            <w:r>
              <w:rPr>
                <w:rFonts w:ascii="Verdana" w:eastAsia="Verdana" w:hAnsi="Verdana" w:cs="Verdana"/>
                <w:color w:val="000000"/>
                <w:sz w:val="16"/>
                <w:lang w:val="en-GB"/>
              </w:rPr>
              <w:t>)</w:t>
            </w:r>
          </w:p>
        </w:tc>
      </w:tr>
      <w:tr w:rsidR="004D417B" w:rsidTr="00412EE1">
        <w:trPr>
          <w:trHeight w:val="42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82,364</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r w:rsidRPr="00A200D5">
              <w:rPr>
                <w:rFonts w:ascii="Verdana" w:eastAsia="Verdana" w:hAnsi="Verdana" w:cs="Verdana"/>
                <w:b/>
                <w:i/>
                <w:color w:val="595959" w:themeColor="text1" w:themeTint="A6"/>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Other Comprehensive Income and Expenditure</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E372FC" w:rsidP="006127E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w:t>
            </w:r>
            <w:r w:rsidR="00E84101">
              <w:rPr>
                <w:rFonts w:ascii="Verdana" w:eastAsia="Verdana" w:hAnsi="Verdana" w:cs="Verdana"/>
                <w:b/>
                <w:color w:val="000000"/>
                <w:sz w:val="16"/>
                <w:lang w:val="en-GB"/>
              </w:rPr>
              <w:t>1</w:t>
            </w:r>
            <w:r>
              <w:rPr>
                <w:rFonts w:ascii="Verdana" w:eastAsia="Verdana" w:hAnsi="Verdana" w:cs="Verdana"/>
                <w:b/>
                <w:color w:val="000000"/>
                <w:sz w:val="16"/>
                <w:lang w:val="en-GB"/>
              </w:rPr>
              <w:t>,</w:t>
            </w:r>
            <w:r w:rsidR="006127EB">
              <w:rPr>
                <w:rFonts w:ascii="Verdana" w:eastAsia="Verdana" w:hAnsi="Verdana" w:cs="Verdana"/>
                <w:b/>
                <w:color w:val="000000"/>
                <w:sz w:val="16"/>
                <w:lang w:val="en-GB"/>
              </w:rPr>
              <w:t>458</w:t>
            </w:r>
            <w:r w:rsidR="00CA6653">
              <w:rPr>
                <w:rFonts w:ascii="Verdana" w:eastAsia="Verdana" w:hAnsi="Verdana" w:cs="Verdana"/>
                <w:b/>
                <w:color w:val="000000"/>
                <w:sz w:val="16"/>
                <w:lang w:val="en-GB"/>
              </w:rPr>
              <w:t>)</w:t>
            </w:r>
          </w:p>
        </w:tc>
      </w:tr>
      <w:tr w:rsidR="004D417B" w:rsidTr="00412EE1">
        <w:trPr>
          <w:trHeight w:hRule="exact" w:val="27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600" w:type="dxa"/>
            <w:shd w:val="clear" w:color="auto" w:fill="auto"/>
            <w:tcMar>
              <w:top w:w="20" w:type="dxa"/>
              <w:left w:w="20" w:type="dxa"/>
              <w:bottom w:w="20" w:type="dxa"/>
              <w:right w:w="20" w:type="dxa"/>
            </w:tcMar>
          </w:tcPr>
          <w:p w:rsidR="00CA6653" w:rsidRPr="00A200D5" w:rsidRDefault="00CA6653">
            <w:pPr>
              <w:pStyle w:val="T1TableStyle"/>
              <w:jc w:val="center"/>
              <w:rPr>
                <w:rFonts w:ascii="Calibri" w:eastAsia="Calibri" w:hAnsi="Calibri" w:cs="Calibri"/>
                <w:i/>
                <w:color w:val="595959" w:themeColor="text1" w:themeTint="A6"/>
                <w:sz w:val="16"/>
                <w:szCs w:val="16"/>
                <w:lang w:val="en-GB"/>
              </w:rPr>
            </w:pPr>
            <w:r w:rsidRPr="00A200D5">
              <w:rPr>
                <w:rFonts w:ascii="Calibri" w:eastAsia="Calibri" w:hAnsi="Calibri" w:cs="Calibri"/>
                <w:i/>
                <w:color w:val="595959" w:themeColor="text1" w:themeTint="A6"/>
                <w:sz w:val="16"/>
                <w:szCs w:val="16"/>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r>
      <w:tr w:rsidR="004D417B" w:rsidTr="00412EE1">
        <w:trPr>
          <w:trHeight w:val="42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rsidP="009E19C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226,00</w:t>
            </w:r>
            <w:r w:rsidR="009E19C5">
              <w:rPr>
                <w:rFonts w:ascii="Verdana" w:eastAsia="Verdana" w:hAnsi="Verdana" w:cs="Verdana"/>
                <w:b/>
                <w:color w:val="000000"/>
                <w:sz w:val="16"/>
                <w:lang w:val="en-GB"/>
              </w:rPr>
              <w:t>8</w:t>
            </w:r>
          </w:p>
        </w:tc>
        <w:tc>
          <w:tcPr>
            <w:tcW w:w="60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r w:rsidRPr="00A200D5">
              <w:rPr>
                <w:rFonts w:ascii="Verdana" w:eastAsia="Verdana" w:hAnsi="Verdana" w:cs="Verdana"/>
                <w:b/>
                <w:i/>
                <w:color w:val="595959" w:themeColor="text1" w:themeTint="A6"/>
                <w:sz w:val="16"/>
                <w:szCs w:val="16"/>
                <w:lang w:val="en-GB"/>
              </w:rPr>
              <w:t xml:space="preserve"> </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Comprehensive Income and Expenditure</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E372FC" w:rsidP="006127E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870EA6">
              <w:rPr>
                <w:rFonts w:ascii="Verdana" w:eastAsia="Verdana" w:hAnsi="Verdana" w:cs="Verdana"/>
                <w:b/>
                <w:color w:val="000000"/>
                <w:sz w:val="16"/>
                <w:lang w:val="en-GB"/>
              </w:rPr>
              <w:t>137</w:t>
            </w:r>
            <w:r>
              <w:rPr>
                <w:rFonts w:ascii="Verdana" w:eastAsia="Verdana" w:hAnsi="Verdana" w:cs="Verdana"/>
                <w:b/>
                <w:color w:val="000000"/>
                <w:sz w:val="16"/>
                <w:lang w:val="en-GB"/>
              </w:rPr>
              <w:t>,</w:t>
            </w:r>
            <w:r w:rsidR="006127EB">
              <w:rPr>
                <w:rFonts w:ascii="Verdana" w:eastAsia="Verdana" w:hAnsi="Verdana" w:cs="Verdana"/>
                <w:b/>
                <w:color w:val="000000"/>
                <w:sz w:val="16"/>
                <w:lang w:val="en-GB"/>
              </w:rPr>
              <w:t>58</w:t>
            </w:r>
            <w:r w:rsidR="008A24D0">
              <w:rPr>
                <w:rFonts w:ascii="Verdana" w:eastAsia="Verdana" w:hAnsi="Verdana" w:cs="Verdana"/>
                <w:b/>
                <w:color w:val="000000"/>
                <w:sz w:val="16"/>
                <w:lang w:val="en-GB"/>
              </w:rPr>
              <w:t>2</w:t>
            </w:r>
            <w:r w:rsidR="00CA6653">
              <w:rPr>
                <w:rFonts w:ascii="Verdana" w:eastAsia="Verdana" w:hAnsi="Verdana" w:cs="Verdana"/>
                <w:b/>
                <w:color w:val="000000"/>
                <w:sz w:val="16"/>
                <w:lang w:val="en-GB"/>
              </w:rPr>
              <w:t>)</w:t>
            </w:r>
          </w:p>
        </w:tc>
      </w:tr>
    </w:tbl>
    <w:p w:rsidR="00CA6653" w:rsidRDefault="00CA6653">
      <w:pPr>
        <w:pStyle w:val="T1TableStyle"/>
        <w:rPr>
          <w:lang w:val="en-GB"/>
        </w:rPr>
      </w:pPr>
    </w:p>
    <w:p w:rsidR="00061733" w:rsidRPr="00A200D5" w:rsidRDefault="00EA30F0">
      <w:pPr>
        <w:pStyle w:val="T1TableStyle"/>
        <w:rPr>
          <w:rFonts w:ascii="Verdana" w:hAnsi="Verdana"/>
          <w:sz w:val="16"/>
          <w:szCs w:val="16"/>
          <w:lang w:val="en-GB"/>
        </w:rPr>
      </w:pPr>
      <w:r w:rsidRPr="00A200D5">
        <w:rPr>
          <w:rFonts w:ascii="Verdana" w:hAnsi="Verdana"/>
          <w:sz w:val="16"/>
          <w:szCs w:val="16"/>
          <w:lang w:val="en-GB"/>
        </w:rPr>
        <w:t>*</w:t>
      </w:r>
      <w:r w:rsidR="004106FF" w:rsidRPr="00A200D5">
        <w:rPr>
          <w:rFonts w:ascii="Verdana" w:hAnsi="Verdana"/>
          <w:sz w:val="16"/>
          <w:szCs w:val="16"/>
          <w:lang w:val="en-GB"/>
        </w:rPr>
        <w:t xml:space="preserve"> </w:t>
      </w:r>
      <w:r w:rsidR="002027A0" w:rsidRPr="00A200D5">
        <w:rPr>
          <w:rFonts w:ascii="Verdana" w:hAnsi="Verdana"/>
          <w:sz w:val="16"/>
          <w:szCs w:val="16"/>
          <w:lang w:val="en-GB"/>
        </w:rPr>
        <w:t xml:space="preserve">The </w:t>
      </w:r>
      <w:r w:rsidR="004106FF" w:rsidRPr="00A200D5">
        <w:rPr>
          <w:rFonts w:ascii="Verdana" w:hAnsi="Verdana"/>
          <w:sz w:val="16"/>
          <w:szCs w:val="16"/>
          <w:lang w:val="en-GB"/>
        </w:rPr>
        <w:t>Depreciation/Amortisation figure in 2019/2020 includes a figure of £2.0</w:t>
      </w:r>
      <w:r w:rsidR="00870EA6">
        <w:rPr>
          <w:rFonts w:ascii="Verdana" w:hAnsi="Verdana"/>
          <w:sz w:val="16"/>
          <w:szCs w:val="16"/>
          <w:lang w:val="en-GB"/>
        </w:rPr>
        <w:t>8</w:t>
      </w:r>
      <w:r w:rsidR="00800618">
        <w:rPr>
          <w:rFonts w:ascii="Verdana" w:hAnsi="Verdana"/>
          <w:sz w:val="16"/>
          <w:szCs w:val="16"/>
          <w:lang w:val="en-GB"/>
        </w:rPr>
        <w:t>1</w:t>
      </w:r>
      <w:r w:rsidR="004106FF" w:rsidRPr="00A200D5">
        <w:rPr>
          <w:rFonts w:ascii="Verdana" w:hAnsi="Verdana"/>
          <w:sz w:val="16"/>
          <w:szCs w:val="16"/>
          <w:lang w:val="en-GB"/>
        </w:rPr>
        <w:t xml:space="preserve">m for downward PPE Revaluations </w:t>
      </w:r>
    </w:p>
    <w:p w:rsidR="00061733" w:rsidRDefault="00061733">
      <w:pPr>
        <w:pStyle w:val="T1TableStyle"/>
        <w:rPr>
          <w:lang w:val="en-GB"/>
        </w:rPr>
      </w:pPr>
    </w:p>
    <w:p w:rsidR="00061733" w:rsidRPr="0019417B" w:rsidRDefault="00061733">
      <w:pPr>
        <w:pStyle w:val="T1TableStyle"/>
        <w:rPr>
          <w:rFonts w:ascii="Verdana" w:hAnsi="Verdana"/>
          <w:sz w:val="22"/>
          <w:szCs w:val="22"/>
          <w:lang w:val="en-GB"/>
        </w:rPr>
      </w:pPr>
    </w:p>
    <w:p w:rsidR="00061733" w:rsidRPr="0019417B" w:rsidRDefault="003654CB">
      <w:pPr>
        <w:pStyle w:val="T1TableStyle"/>
        <w:rPr>
          <w:rFonts w:ascii="Verdana" w:hAnsi="Verdana"/>
          <w:sz w:val="22"/>
          <w:szCs w:val="22"/>
          <w:lang w:val="en-GB"/>
        </w:rPr>
      </w:pPr>
      <w:r>
        <w:rPr>
          <w:rFonts w:ascii="Verdana" w:hAnsi="Verdana"/>
          <w:sz w:val="22"/>
          <w:szCs w:val="22"/>
          <w:lang w:val="en-GB"/>
        </w:rPr>
        <w:t xml:space="preserve">  </w:t>
      </w:r>
    </w:p>
    <w:p w:rsidR="00CA6653" w:rsidRDefault="002C1805">
      <w:pPr>
        <w:pStyle w:val="Normal0"/>
        <w:spacing w:after="160"/>
        <w:rPr>
          <w:rFonts w:ascii="Verdana" w:eastAsia="Verdana" w:hAnsi="Verdana" w:cs="Verdana"/>
          <w:b/>
          <w:szCs w:val="22"/>
          <w:lang w:val="en-GB"/>
        </w:rPr>
      </w:pPr>
      <w:r>
        <w:rPr>
          <w:rFonts w:ascii="Verdana" w:eastAsia="Verdana" w:hAnsi="Verdana" w:cs="Verdana"/>
          <w:b/>
          <w:szCs w:val="22"/>
          <w:lang w:val="en-GB"/>
        </w:rPr>
        <w:t>PCC</w:t>
      </w:r>
    </w:p>
    <w:tbl>
      <w:tblPr>
        <w:tblW w:w="0" w:type="auto"/>
        <w:jc w:val="center"/>
        <w:tblLayout w:type="fixed"/>
        <w:tblLook w:val="04A0" w:firstRow="1" w:lastRow="0" w:firstColumn="1" w:lastColumn="0" w:noHBand="0" w:noVBand="1"/>
      </w:tblPr>
      <w:tblGrid>
        <w:gridCol w:w="1230"/>
        <w:gridCol w:w="1335"/>
        <w:gridCol w:w="1230"/>
        <w:gridCol w:w="2280"/>
        <w:gridCol w:w="1230"/>
        <w:gridCol w:w="1335"/>
        <w:gridCol w:w="1230"/>
      </w:tblGrid>
      <w:tr w:rsidR="004D417B" w:rsidTr="00412EE1">
        <w:trPr>
          <w:trHeight w:val="255"/>
          <w:jc w:val="center"/>
        </w:trPr>
        <w:tc>
          <w:tcPr>
            <w:tcW w:w="3795" w:type="dxa"/>
            <w:gridSpan w:val="3"/>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2018/19</w:t>
            </w:r>
          </w:p>
        </w:tc>
        <w:tc>
          <w:tcPr>
            <w:tcW w:w="22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95" w:type="dxa"/>
            <w:gridSpan w:val="3"/>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w:t>
            </w:r>
          </w:p>
        </w:tc>
      </w:tr>
      <w:tr w:rsidR="004D417B" w:rsidTr="00412EE1">
        <w:trPr>
          <w:trHeight w:val="255"/>
          <w:jc w:val="center"/>
        </w:trPr>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Expenditure</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Income</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Net</w:t>
            </w:r>
          </w:p>
        </w:tc>
        <w:tc>
          <w:tcPr>
            <w:tcW w:w="22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Expenditure</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Income</w:t>
            </w:r>
          </w:p>
        </w:tc>
        <w:tc>
          <w:tcPr>
            <w:tcW w:w="123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Net</w:t>
            </w:r>
          </w:p>
        </w:tc>
      </w:tr>
      <w:tr w:rsidR="00AF5246" w:rsidTr="00412EE1">
        <w:trPr>
          <w:trHeight w:val="255"/>
          <w:jc w:val="center"/>
        </w:trPr>
        <w:tc>
          <w:tcPr>
            <w:tcW w:w="1230" w:type="dxa"/>
            <w:shd w:val="clear" w:color="auto" w:fill="auto"/>
            <w:tcMar>
              <w:top w:w="20" w:type="dxa"/>
              <w:left w:w="20" w:type="dxa"/>
              <w:bottom w:w="20" w:type="dxa"/>
              <w:right w:w="20" w:type="dxa"/>
            </w:tcMar>
            <w:vAlign w:val="bottom"/>
          </w:tcPr>
          <w:p w:rsidR="00AF5246" w:rsidRDefault="00AF5246">
            <w:pPr>
              <w:pStyle w:val="T1TableStyle"/>
              <w:jc w:val="center"/>
              <w:rPr>
                <w:rFonts w:ascii="Verdana" w:eastAsia="Verdana" w:hAnsi="Verdana" w:cs="Verdana"/>
                <w:b/>
                <w:color w:val="000000"/>
                <w:sz w:val="16"/>
                <w:lang w:val="en-GB"/>
              </w:rPr>
            </w:pPr>
          </w:p>
        </w:tc>
        <w:tc>
          <w:tcPr>
            <w:tcW w:w="1335" w:type="dxa"/>
            <w:shd w:val="clear" w:color="auto" w:fill="auto"/>
            <w:tcMar>
              <w:top w:w="20" w:type="dxa"/>
              <w:left w:w="20" w:type="dxa"/>
              <w:bottom w:w="20" w:type="dxa"/>
              <w:right w:w="20" w:type="dxa"/>
            </w:tcMar>
            <w:vAlign w:val="bottom"/>
          </w:tcPr>
          <w:p w:rsidR="00AF5246" w:rsidRDefault="00AF5246">
            <w:pPr>
              <w:pStyle w:val="T1TableStyle"/>
              <w:jc w:val="center"/>
              <w:rPr>
                <w:rFonts w:ascii="Verdana" w:eastAsia="Verdana" w:hAnsi="Verdana" w:cs="Verdana"/>
                <w:b/>
                <w:color w:val="000000"/>
                <w:sz w:val="16"/>
                <w:lang w:val="en-GB"/>
              </w:rPr>
            </w:pPr>
          </w:p>
        </w:tc>
        <w:tc>
          <w:tcPr>
            <w:tcW w:w="1230" w:type="dxa"/>
            <w:shd w:val="clear" w:color="auto" w:fill="auto"/>
            <w:tcMar>
              <w:top w:w="20" w:type="dxa"/>
              <w:left w:w="20" w:type="dxa"/>
              <w:bottom w:w="20" w:type="dxa"/>
              <w:right w:w="20" w:type="dxa"/>
            </w:tcMar>
            <w:vAlign w:val="bottom"/>
          </w:tcPr>
          <w:p w:rsidR="00AF5246" w:rsidRDefault="00AF5246">
            <w:pPr>
              <w:pStyle w:val="T1TableStyle"/>
              <w:jc w:val="center"/>
              <w:rPr>
                <w:rFonts w:ascii="Verdana" w:eastAsia="Verdana" w:hAnsi="Verdana" w:cs="Verdana"/>
                <w:b/>
                <w:color w:val="000000"/>
                <w:sz w:val="16"/>
                <w:lang w:val="en-GB"/>
              </w:rPr>
            </w:pPr>
          </w:p>
        </w:tc>
        <w:tc>
          <w:tcPr>
            <w:tcW w:w="2280" w:type="dxa"/>
            <w:shd w:val="clear" w:color="auto" w:fill="auto"/>
            <w:tcMar>
              <w:top w:w="20" w:type="dxa"/>
              <w:left w:w="20" w:type="dxa"/>
              <w:bottom w:w="20" w:type="dxa"/>
              <w:right w:w="20" w:type="dxa"/>
            </w:tcMar>
            <w:vAlign w:val="bottom"/>
          </w:tcPr>
          <w:p w:rsidR="00AF5246" w:rsidRDefault="00AF5246">
            <w:pPr>
              <w:pStyle w:val="T1TableStyle"/>
              <w:jc w:val="center"/>
              <w:rPr>
                <w:rFonts w:ascii="Verdana" w:eastAsia="Verdana" w:hAnsi="Verdana" w:cs="Verdana"/>
                <w:b/>
                <w:color w:val="000000"/>
                <w:sz w:val="2"/>
                <w:lang w:val="en-GB"/>
              </w:rPr>
            </w:pPr>
          </w:p>
        </w:tc>
        <w:tc>
          <w:tcPr>
            <w:tcW w:w="1230" w:type="dxa"/>
            <w:shd w:val="clear" w:color="auto" w:fill="auto"/>
            <w:tcMar>
              <w:top w:w="20" w:type="dxa"/>
              <w:left w:w="20" w:type="dxa"/>
              <w:bottom w:w="20" w:type="dxa"/>
              <w:right w:w="20" w:type="dxa"/>
            </w:tcMar>
            <w:vAlign w:val="bottom"/>
          </w:tcPr>
          <w:p w:rsidR="00AF5246" w:rsidRDefault="00AF5246">
            <w:pPr>
              <w:pStyle w:val="T1TableStyle"/>
              <w:jc w:val="center"/>
              <w:rPr>
                <w:rFonts w:ascii="Verdana" w:eastAsia="Verdana" w:hAnsi="Verdana" w:cs="Verdana"/>
                <w:b/>
                <w:color w:val="000000"/>
                <w:sz w:val="16"/>
                <w:lang w:val="en-GB"/>
              </w:rPr>
            </w:pPr>
          </w:p>
        </w:tc>
        <w:tc>
          <w:tcPr>
            <w:tcW w:w="1335" w:type="dxa"/>
            <w:shd w:val="clear" w:color="auto" w:fill="auto"/>
            <w:tcMar>
              <w:top w:w="20" w:type="dxa"/>
              <w:left w:w="20" w:type="dxa"/>
              <w:bottom w:w="20" w:type="dxa"/>
              <w:right w:w="20" w:type="dxa"/>
            </w:tcMar>
            <w:vAlign w:val="bottom"/>
          </w:tcPr>
          <w:p w:rsidR="00AF5246" w:rsidRDefault="00AF5246">
            <w:pPr>
              <w:pStyle w:val="T1TableStyle"/>
              <w:jc w:val="center"/>
              <w:rPr>
                <w:rFonts w:ascii="Verdana" w:eastAsia="Verdana" w:hAnsi="Verdana" w:cs="Verdana"/>
                <w:b/>
                <w:color w:val="000000"/>
                <w:sz w:val="16"/>
                <w:lang w:val="en-GB"/>
              </w:rPr>
            </w:pPr>
          </w:p>
        </w:tc>
        <w:tc>
          <w:tcPr>
            <w:tcW w:w="1230" w:type="dxa"/>
            <w:shd w:val="clear" w:color="auto" w:fill="auto"/>
            <w:tcMar>
              <w:top w:w="20" w:type="dxa"/>
              <w:left w:w="20" w:type="dxa"/>
              <w:bottom w:w="20" w:type="dxa"/>
              <w:right w:w="20" w:type="dxa"/>
            </w:tcMar>
            <w:vAlign w:val="bottom"/>
          </w:tcPr>
          <w:p w:rsidR="00AF5246" w:rsidRDefault="00AF5246">
            <w:pPr>
              <w:pStyle w:val="T1TableStyle"/>
              <w:jc w:val="center"/>
              <w:rPr>
                <w:rFonts w:ascii="Verdana" w:eastAsia="Verdana" w:hAnsi="Verdana" w:cs="Verdana"/>
                <w:b/>
                <w:color w:val="000000"/>
                <w:sz w:val="16"/>
                <w:lang w:val="en-GB"/>
              </w:rPr>
            </w:pPr>
          </w:p>
        </w:tc>
      </w:tr>
      <w:tr w:rsidR="004D417B" w:rsidTr="00412EE1">
        <w:trPr>
          <w:trHeight w:val="255"/>
          <w:jc w:val="center"/>
        </w:trPr>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228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812</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812</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Staff Payroll</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w:t>
            </w:r>
            <w:r w:rsidR="00D12FDA">
              <w:rPr>
                <w:rFonts w:ascii="Verdana" w:eastAsia="Verdana" w:hAnsi="Verdana" w:cs="Verdana"/>
                <w:color w:val="000000"/>
                <w:sz w:val="16"/>
                <w:lang w:val="en-GB"/>
              </w:rPr>
              <w:t>65</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D12FD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965</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Staff Overtime</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22</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22</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Training</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Payroll Costs</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Premises</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2,444</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2,444</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Supplies and Services</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311F48">
              <w:rPr>
                <w:rFonts w:ascii="Verdana" w:eastAsia="Verdana" w:hAnsi="Verdana" w:cs="Verdana"/>
                <w:color w:val="000000"/>
                <w:sz w:val="16"/>
                <w:lang w:val="en-GB"/>
              </w:rPr>
              <w:t>041</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311F48">
              <w:rPr>
                <w:rFonts w:ascii="Verdana" w:eastAsia="Verdana" w:hAnsi="Verdana" w:cs="Verdana"/>
                <w:color w:val="000000"/>
                <w:sz w:val="16"/>
                <w:lang w:val="en-GB"/>
              </w:rPr>
              <w:t>041</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Transport</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15</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15</w:t>
            </w:r>
          </w:p>
        </w:tc>
      </w:tr>
      <w:tr w:rsidR="004D417B" w:rsidTr="00A200D5">
        <w:trPr>
          <w:trHeight w:val="879"/>
          <w:jc w:val="center"/>
        </w:trPr>
        <w:tc>
          <w:tcPr>
            <w:tcW w:w="1230" w:type="dxa"/>
            <w:shd w:val="clear" w:color="auto" w:fill="auto"/>
            <w:tcMar>
              <w:top w:w="20" w:type="dxa"/>
              <w:left w:w="20" w:type="dxa"/>
              <w:bottom w:w="20" w:type="dxa"/>
              <w:right w:w="20" w:type="dxa"/>
            </w:tcMar>
          </w:tcPr>
          <w:p w:rsidR="00261050" w:rsidRPr="006625E6" w:rsidRDefault="00CA6653">
            <w:pPr>
              <w:pStyle w:val="T1TableStyle"/>
              <w:jc w:val="right"/>
              <w:rPr>
                <w:rFonts w:ascii="Verdana" w:eastAsia="Verdana" w:hAnsi="Verdana" w:cs="Verdana"/>
                <w:color w:val="000000"/>
                <w:sz w:val="16"/>
                <w:szCs w:val="16"/>
                <w:lang w:val="en-GB"/>
              </w:rPr>
            </w:pPr>
            <w:r w:rsidRPr="006625E6">
              <w:rPr>
                <w:rFonts w:ascii="Verdana" w:eastAsia="Verdana" w:hAnsi="Verdana" w:cs="Verdana"/>
                <w:color w:val="000000"/>
                <w:sz w:val="16"/>
                <w:szCs w:val="16"/>
                <w:lang w:val="en-GB"/>
              </w:rPr>
              <w:t>0</w:t>
            </w:r>
          </w:p>
          <w:p w:rsidR="00261050" w:rsidRPr="00A200D5" w:rsidRDefault="00261050" w:rsidP="00261050">
            <w:pPr>
              <w:rPr>
                <w:sz w:val="16"/>
                <w:szCs w:val="16"/>
                <w:lang w:val="en-GB"/>
              </w:rPr>
            </w:pPr>
          </w:p>
          <w:p w:rsidR="0092331C" w:rsidRDefault="00261050" w:rsidP="00A200D5">
            <w:pPr>
              <w:tabs>
                <w:tab w:val="left" w:pos="881"/>
              </w:tabs>
              <w:rPr>
                <w:sz w:val="16"/>
                <w:szCs w:val="16"/>
                <w:lang w:val="en-GB"/>
              </w:rPr>
            </w:pPr>
            <w:r w:rsidRPr="00A200D5">
              <w:rPr>
                <w:sz w:val="16"/>
                <w:szCs w:val="16"/>
                <w:lang w:val="en-GB"/>
              </w:rPr>
              <w:t xml:space="preserve">  </w:t>
            </w:r>
            <w:r w:rsidR="003654CB">
              <w:rPr>
                <w:sz w:val="16"/>
                <w:szCs w:val="16"/>
                <w:lang w:val="en-GB"/>
              </w:rPr>
              <w:t xml:space="preserve">     </w:t>
            </w:r>
            <w:r w:rsidRPr="00A200D5">
              <w:rPr>
                <w:sz w:val="16"/>
                <w:szCs w:val="16"/>
                <w:lang w:val="en-GB"/>
              </w:rPr>
              <w:t xml:space="preserve">    11</w:t>
            </w:r>
            <w:r w:rsidR="002C1805">
              <w:rPr>
                <w:sz w:val="16"/>
                <w:szCs w:val="16"/>
                <w:lang w:val="en-GB"/>
              </w:rPr>
              <w:t>,</w:t>
            </w:r>
            <w:r w:rsidRPr="00A200D5">
              <w:rPr>
                <w:sz w:val="16"/>
                <w:szCs w:val="16"/>
                <w:lang w:val="en-GB"/>
              </w:rPr>
              <w:t>860</w:t>
            </w:r>
            <w:r w:rsidRPr="00A200D5">
              <w:rPr>
                <w:sz w:val="16"/>
                <w:szCs w:val="16"/>
                <w:lang w:val="en-GB"/>
              </w:rPr>
              <w:tab/>
              <w:t xml:space="preserve">    </w:t>
            </w:r>
          </w:p>
          <w:p w:rsidR="0092331C" w:rsidRDefault="0092331C" w:rsidP="00A200D5">
            <w:pPr>
              <w:tabs>
                <w:tab w:val="left" w:pos="881"/>
              </w:tabs>
              <w:rPr>
                <w:sz w:val="16"/>
                <w:szCs w:val="16"/>
                <w:lang w:val="en-GB"/>
              </w:rPr>
            </w:pPr>
          </w:p>
          <w:p w:rsidR="0092331C" w:rsidRDefault="0092331C" w:rsidP="00A200D5">
            <w:pPr>
              <w:tabs>
                <w:tab w:val="left" w:pos="881"/>
              </w:tabs>
              <w:rPr>
                <w:sz w:val="16"/>
                <w:szCs w:val="16"/>
                <w:lang w:val="en-GB"/>
              </w:rPr>
            </w:pPr>
          </w:p>
          <w:p w:rsidR="00CA6653" w:rsidRPr="00A200D5" w:rsidRDefault="0092331C" w:rsidP="00A200D5">
            <w:pPr>
              <w:tabs>
                <w:tab w:val="left" w:pos="881"/>
              </w:tabs>
              <w:jc w:val="right"/>
              <w:rPr>
                <w:sz w:val="16"/>
                <w:szCs w:val="16"/>
                <w:lang w:val="en-GB"/>
              </w:rPr>
            </w:pPr>
            <w:r>
              <w:rPr>
                <w:sz w:val="16"/>
                <w:szCs w:val="16"/>
                <w:lang w:val="en-GB"/>
              </w:rPr>
              <w:t>0</w:t>
            </w:r>
            <w:r w:rsidR="00261050" w:rsidRPr="00A200D5">
              <w:rPr>
                <w:sz w:val="16"/>
                <w:szCs w:val="16"/>
                <w:lang w:val="en-GB"/>
              </w:rPr>
              <w:t xml:space="preserve">        </w:t>
            </w:r>
          </w:p>
        </w:tc>
        <w:tc>
          <w:tcPr>
            <w:tcW w:w="1335" w:type="dxa"/>
            <w:shd w:val="clear" w:color="auto" w:fill="auto"/>
            <w:tcMar>
              <w:top w:w="20" w:type="dxa"/>
              <w:left w:w="20" w:type="dxa"/>
              <w:bottom w:w="20" w:type="dxa"/>
              <w:right w:w="20" w:type="dxa"/>
            </w:tcMar>
          </w:tcPr>
          <w:p w:rsidR="00261050" w:rsidRPr="006625E6" w:rsidRDefault="00CA6653">
            <w:pPr>
              <w:pStyle w:val="T1TableStyle"/>
              <w:jc w:val="right"/>
              <w:rPr>
                <w:rFonts w:ascii="Verdana" w:eastAsia="Verdana" w:hAnsi="Verdana" w:cs="Verdana"/>
                <w:color w:val="000000"/>
                <w:sz w:val="16"/>
                <w:szCs w:val="16"/>
                <w:lang w:val="en-GB"/>
              </w:rPr>
            </w:pPr>
            <w:r w:rsidRPr="006625E6">
              <w:rPr>
                <w:rFonts w:ascii="Verdana" w:eastAsia="Verdana" w:hAnsi="Verdana" w:cs="Verdana"/>
                <w:color w:val="000000"/>
                <w:sz w:val="16"/>
                <w:szCs w:val="16"/>
                <w:lang w:val="en-GB"/>
              </w:rPr>
              <w:t>(1,367)</w:t>
            </w:r>
          </w:p>
          <w:p w:rsidR="00261050" w:rsidRPr="00A200D5" w:rsidRDefault="00261050" w:rsidP="00261050">
            <w:pPr>
              <w:rPr>
                <w:sz w:val="16"/>
                <w:szCs w:val="16"/>
                <w:lang w:val="en-GB"/>
              </w:rPr>
            </w:pPr>
          </w:p>
          <w:p w:rsidR="00CA6653" w:rsidRDefault="00261050" w:rsidP="00A200D5">
            <w:pPr>
              <w:jc w:val="center"/>
              <w:rPr>
                <w:sz w:val="16"/>
                <w:szCs w:val="16"/>
                <w:lang w:val="en-GB"/>
              </w:rPr>
            </w:pPr>
            <w:r w:rsidRPr="00A200D5">
              <w:rPr>
                <w:sz w:val="16"/>
                <w:szCs w:val="16"/>
                <w:lang w:val="en-GB"/>
              </w:rPr>
              <w:t xml:space="preserve">   </w:t>
            </w:r>
            <w:r w:rsidR="003654CB">
              <w:rPr>
                <w:sz w:val="16"/>
                <w:szCs w:val="16"/>
                <w:lang w:val="en-GB"/>
              </w:rPr>
              <w:t xml:space="preserve">     </w:t>
            </w:r>
            <w:r w:rsidRPr="00A200D5">
              <w:rPr>
                <w:sz w:val="16"/>
                <w:szCs w:val="16"/>
                <w:lang w:val="en-GB"/>
              </w:rPr>
              <w:t xml:space="preserve">  (11</w:t>
            </w:r>
            <w:r w:rsidR="002C1805">
              <w:rPr>
                <w:sz w:val="16"/>
                <w:szCs w:val="16"/>
                <w:lang w:val="en-GB"/>
              </w:rPr>
              <w:t>,</w:t>
            </w:r>
            <w:r w:rsidRPr="00A200D5">
              <w:rPr>
                <w:sz w:val="16"/>
                <w:szCs w:val="16"/>
                <w:lang w:val="en-GB"/>
              </w:rPr>
              <w:t>860)</w:t>
            </w:r>
          </w:p>
          <w:p w:rsidR="0092331C" w:rsidRDefault="0092331C" w:rsidP="00A200D5">
            <w:pPr>
              <w:jc w:val="center"/>
              <w:rPr>
                <w:sz w:val="16"/>
                <w:szCs w:val="16"/>
                <w:lang w:val="en-GB"/>
              </w:rPr>
            </w:pPr>
          </w:p>
          <w:p w:rsidR="0092331C" w:rsidRDefault="0092331C" w:rsidP="00A200D5">
            <w:pPr>
              <w:jc w:val="center"/>
              <w:rPr>
                <w:sz w:val="16"/>
                <w:szCs w:val="16"/>
                <w:lang w:val="en-GB"/>
              </w:rPr>
            </w:pPr>
          </w:p>
          <w:p w:rsidR="0092331C" w:rsidRDefault="0092331C" w:rsidP="00A200D5">
            <w:pPr>
              <w:jc w:val="center"/>
              <w:rPr>
                <w:sz w:val="16"/>
                <w:szCs w:val="16"/>
                <w:lang w:val="en-GB"/>
              </w:rPr>
            </w:pPr>
          </w:p>
          <w:p w:rsidR="0092331C" w:rsidRPr="00A200D5" w:rsidRDefault="0092331C" w:rsidP="00A200D5">
            <w:pPr>
              <w:jc w:val="right"/>
              <w:rPr>
                <w:sz w:val="16"/>
                <w:szCs w:val="16"/>
                <w:lang w:val="en-GB"/>
              </w:rPr>
            </w:pPr>
            <w:r>
              <w:rPr>
                <w:sz w:val="16"/>
                <w:szCs w:val="16"/>
                <w:lang w:val="en-GB"/>
              </w:rPr>
              <w:t>0</w:t>
            </w:r>
          </w:p>
        </w:tc>
        <w:tc>
          <w:tcPr>
            <w:tcW w:w="1230" w:type="dxa"/>
            <w:shd w:val="clear" w:color="auto" w:fill="auto"/>
            <w:tcMar>
              <w:top w:w="20" w:type="dxa"/>
              <w:left w:w="20" w:type="dxa"/>
              <w:bottom w:w="20" w:type="dxa"/>
              <w:right w:w="20" w:type="dxa"/>
            </w:tcMar>
          </w:tcPr>
          <w:p w:rsidR="00261050" w:rsidRPr="006625E6" w:rsidRDefault="00CA6653">
            <w:pPr>
              <w:pStyle w:val="T1TableStyle"/>
              <w:jc w:val="right"/>
              <w:rPr>
                <w:rFonts w:ascii="Verdana" w:eastAsia="Verdana" w:hAnsi="Verdana" w:cs="Verdana"/>
                <w:color w:val="000000"/>
                <w:sz w:val="16"/>
                <w:szCs w:val="16"/>
                <w:lang w:val="en-GB"/>
              </w:rPr>
            </w:pPr>
            <w:r w:rsidRPr="006625E6">
              <w:rPr>
                <w:rFonts w:ascii="Verdana" w:eastAsia="Verdana" w:hAnsi="Verdana" w:cs="Verdana"/>
                <w:color w:val="000000"/>
                <w:sz w:val="16"/>
                <w:szCs w:val="16"/>
                <w:lang w:val="en-GB"/>
              </w:rPr>
              <w:t>(1,367)</w:t>
            </w:r>
          </w:p>
          <w:p w:rsidR="00261050" w:rsidRPr="00A200D5" w:rsidRDefault="00261050" w:rsidP="00261050">
            <w:pPr>
              <w:rPr>
                <w:sz w:val="16"/>
                <w:szCs w:val="16"/>
                <w:lang w:val="en-GB"/>
              </w:rPr>
            </w:pPr>
          </w:p>
          <w:p w:rsidR="00CA6653" w:rsidRDefault="00261050" w:rsidP="00A200D5">
            <w:pPr>
              <w:tabs>
                <w:tab w:val="left" w:pos="974"/>
              </w:tabs>
              <w:rPr>
                <w:sz w:val="16"/>
                <w:szCs w:val="16"/>
                <w:lang w:val="en-GB"/>
              </w:rPr>
            </w:pPr>
            <w:r w:rsidRPr="00A200D5">
              <w:rPr>
                <w:sz w:val="16"/>
                <w:szCs w:val="16"/>
                <w:lang w:val="en-GB"/>
              </w:rPr>
              <w:t xml:space="preserve">     </w:t>
            </w:r>
            <w:r w:rsidRPr="00A200D5">
              <w:rPr>
                <w:sz w:val="16"/>
                <w:szCs w:val="16"/>
                <w:lang w:val="en-GB"/>
              </w:rPr>
              <w:tab/>
              <w:t>0</w:t>
            </w:r>
          </w:p>
          <w:p w:rsidR="0092331C" w:rsidRDefault="0092331C" w:rsidP="00A200D5">
            <w:pPr>
              <w:tabs>
                <w:tab w:val="left" w:pos="974"/>
              </w:tabs>
              <w:rPr>
                <w:sz w:val="16"/>
                <w:szCs w:val="16"/>
                <w:lang w:val="en-GB"/>
              </w:rPr>
            </w:pPr>
          </w:p>
          <w:p w:rsidR="0092331C" w:rsidRDefault="0092331C" w:rsidP="00A200D5">
            <w:pPr>
              <w:tabs>
                <w:tab w:val="left" w:pos="974"/>
              </w:tabs>
              <w:rPr>
                <w:sz w:val="16"/>
                <w:szCs w:val="16"/>
                <w:lang w:val="en-GB"/>
              </w:rPr>
            </w:pPr>
          </w:p>
          <w:p w:rsidR="0092331C" w:rsidRDefault="0092331C" w:rsidP="00A200D5">
            <w:pPr>
              <w:tabs>
                <w:tab w:val="left" w:pos="974"/>
              </w:tabs>
              <w:rPr>
                <w:sz w:val="16"/>
                <w:szCs w:val="16"/>
                <w:lang w:val="en-GB"/>
              </w:rPr>
            </w:pPr>
          </w:p>
          <w:p w:rsidR="0092331C" w:rsidRPr="00A200D5" w:rsidRDefault="0092331C" w:rsidP="00A200D5">
            <w:pPr>
              <w:tabs>
                <w:tab w:val="left" w:pos="974"/>
              </w:tabs>
              <w:jc w:val="right"/>
              <w:rPr>
                <w:sz w:val="16"/>
                <w:szCs w:val="16"/>
                <w:lang w:val="en-GB"/>
              </w:rPr>
            </w:pPr>
            <w:r>
              <w:rPr>
                <w:sz w:val="16"/>
                <w:szCs w:val="16"/>
                <w:lang w:val="en-GB"/>
              </w:rPr>
              <w:t>0</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Income</w:t>
            </w:r>
          </w:p>
          <w:p w:rsidR="00261050" w:rsidRDefault="00261050">
            <w:pPr>
              <w:pStyle w:val="T1TableStyle"/>
              <w:rPr>
                <w:rFonts w:ascii="Verdana" w:eastAsia="Verdana" w:hAnsi="Verdana" w:cs="Verdana"/>
                <w:color w:val="000000"/>
                <w:sz w:val="16"/>
                <w:lang w:val="en-GB"/>
              </w:rPr>
            </w:pPr>
          </w:p>
          <w:p w:rsidR="00261050" w:rsidRDefault="00261050">
            <w:pPr>
              <w:pStyle w:val="T1TableStyle"/>
              <w:rPr>
                <w:rFonts w:ascii="Verdana" w:eastAsia="Verdana" w:hAnsi="Verdana" w:cs="Verdana"/>
                <w:color w:val="000000"/>
                <w:sz w:val="16"/>
                <w:lang w:val="en-GB"/>
              </w:rPr>
            </w:pPr>
            <w:r>
              <w:rPr>
                <w:rFonts w:ascii="Verdana" w:eastAsia="Verdana" w:hAnsi="Verdana" w:cs="Verdana"/>
                <w:color w:val="000000"/>
                <w:sz w:val="16"/>
                <w:lang w:val="en-GB"/>
              </w:rPr>
              <w:t>Income for Services provided by the Chief Constable</w:t>
            </w:r>
          </w:p>
          <w:p w:rsidR="0092331C" w:rsidRDefault="0092331C">
            <w:pPr>
              <w:pStyle w:val="T1TableStyle"/>
              <w:rPr>
                <w:rFonts w:ascii="Verdana" w:eastAsia="Verdana" w:hAnsi="Verdana" w:cs="Verdana"/>
                <w:color w:val="000000"/>
                <w:sz w:val="16"/>
                <w:lang w:val="en-GB"/>
              </w:rPr>
            </w:pPr>
          </w:p>
          <w:p w:rsidR="00261050" w:rsidRDefault="0092331C">
            <w:pPr>
              <w:pStyle w:val="T1TableStyle"/>
              <w:rPr>
                <w:rFonts w:ascii="Verdana" w:eastAsia="Verdana" w:hAnsi="Verdana" w:cs="Verdana"/>
                <w:color w:val="000000"/>
                <w:sz w:val="16"/>
                <w:lang w:val="en-GB"/>
              </w:rPr>
            </w:pPr>
            <w:r>
              <w:rPr>
                <w:rFonts w:ascii="Verdana" w:eastAsia="Verdana" w:hAnsi="Verdana" w:cs="Verdana"/>
                <w:color w:val="000000"/>
                <w:sz w:val="16"/>
                <w:lang w:val="en-GB"/>
              </w:rPr>
              <w:t>Rounding</w:t>
            </w:r>
          </w:p>
        </w:tc>
        <w:tc>
          <w:tcPr>
            <w:tcW w:w="1230" w:type="dxa"/>
            <w:shd w:val="clear" w:color="auto" w:fill="auto"/>
            <w:tcMar>
              <w:top w:w="20" w:type="dxa"/>
              <w:left w:w="20" w:type="dxa"/>
              <w:bottom w:w="20" w:type="dxa"/>
              <w:right w:w="20" w:type="dxa"/>
            </w:tcMar>
          </w:tcPr>
          <w:p w:rsidR="00261050" w:rsidRPr="006625E6" w:rsidRDefault="00CA6653">
            <w:pPr>
              <w:pStyle w:val="T1TableStyle"/>
              <w:jc w:val="right"/>
              <w:rPr>
                <w:rFonts w:ascii="Verdana" w:eastAsia="Verdana" w:hAnsi="Verdana" w:cs="Verdana"/>
                <w:color w:val="000000"/>
                <w:sz w:val="16"/>
                <w:szCs w:val="16"/>
                <w:lang w:val="en-GB"/>
              </w:rPr>
            </w:pPr>
            <w:r w:rsidRPr="006625E6">
              <w:rPr>
                <w:rFonts w:ascii="Verdana" w:eastAsia="Verdana" w:hAnsi="Verdana" w:cs="Verdana"/>
                <w:color w:val="000000"/>
                <w:sz w:val="16"/>
                <w:szCs w:val="16"/>
                <w:lang w:val="en-GB"/>
              </w:rPr>
              <w:t>0</w:t>
            </w:r>
          </w:p>
          <w:p w:rsidR="002C1805" w:rsidRDefault="002C1805" w:rsidP="00A200D5">
            <w:pPr>
              <w:tabs>
                <w:tab w:val="left" w:pos="932"/>
              </w:tabs>
              <w:rPr>
                <w:sz w:val="16"/>
                <w:szCs w:val="16"/>
                <w:lang w:val="en-GB"/>
              </w:rPr>
            </w:pPr>
          </w:p>
          <w:p w:rsidR="00CA6653" w:rsidRDefault="00261050" w:rsidP="00A200D5">
            <w:pPr>
              <w:tabs>
                <w:tab w:val="left" w:pos="932"/>
              </w:tabs>
              <w:rPr>
                <w:sz w:val="16"/>
                <w:szCs w:val="16"/>
                <w:lang w:val="en-GB"/>
              </w:rPr>
            </w:pPr>
            <w:r w:rsidRPr="00A200D5">
              <w:rPr>
                <w:sz w:val="16"/>
                <w:szCs w:val="16"/>
                <w:lang w:val="en-GB"/>
              </w:rPr>
              <w:t xml:space="preserve">  </w:t>
            </w:r>
            <w:r>
              <w:rPr>
                <w:sz w:val="16"/>
                <w:szCs w:val="16"/>
                <w:lang w:val="en-GB"/>
              </w:rPr>
              <w:t xml:space="preserve">      </w:t>
            </w:r>
            <w:r w:rsidRPr="00A200D5">
              <w:rPr>
                <w:sz w:val="16"/>
                <w:szCs w:val="16"/>
                <w:lang w:val="en-GB"/>
              </w:rPr>
              <w:t xml:space="preserve">  13</w:t>
            </w:r>
            <w:r w:rsidR="002C1805">
              <w:rPr>
                <w:sz w:val="16"/>
                <w:szCs w:val="16"/>
                <w:lang w:val="en-GB"/>
              </w:rPr>
              <w:t>,</w:t>
            </w:r>
            <w:r w:rsidRPr="00A200D5">
              <w:rPr>
                <w:sz w:val="16"/>
                <w:szCs w:val="16"/>
                <w:lang w:val="en-GB"/>
              </w:rPr>
              <w:t>233</w:t>
            </w:r>
            <w:r w:rsidRPr="00A200D5">
              <w:rPr>
                <w:sz w:val="16"/>
                <w:szCs w:val="16"/>
                <w:lang w:val="en-GB"/>
              </w:rPr>
              <w:tab/>
            </w:r>
          </w:p>
          <w:p w:rsidR="0092331C" w:rsidRDefault="0092331C" w:rsidP="00A200D5">
            <w:pPr>
              <w:tabs>
                <w:tab w:val="left" w:pos="932"/>
              </w:tabs>
              <w:rPr>
                <w:sz w:val="16"/>
                <w:szCs w:val="16"/>
                <w:lang w:val="en-GB"/>
              </w:rPr>
            </w:pPr>
          </w:p>
          <w:p w:rsidR="0092331C" w:rsidRDefault="0092331C" w:rsidP="00A200D5">
            <w:pPr>
              <w:tabs>
                <w:tab w:val="left" w:pos="932"/>
              </w:tabs>
              <w:rPr>
                <w:sz w:val="16"/>
                <w:szCs w:val="16"/>
                <w:lang w:val="en-GB"/>
              </w:rPr>
            </w:pPr>
          </w:p>
          <w:p w:rsidR="0092331C" w:rsidRPr="00A200D5" w:rsidRDefault="0092331C" w:rsidP="00A200D5">
            <w:pPr>
              <w:tabs>
                <w:tab w:val="left" w:pos="932"/>
              </w:tabs>
              <w:jc w:val="right"/>
              <w:rPr>
                <w:sz w:val="16"/>
                <w:szCs w:val="16"/>
                <w:lang w:val="en-GB"/>
              </w:rPr>
            </w:pPr>
            <w:r>
              <w:rPr>
                <w:sz w:val="16"/>
                <w:szCs w:val="16"/>
                <w:lang w:val="en-GB"/>
              </w:rPr>
              <w:t>1</w:t>
            </w:r>
          </w:p>
        </w:tc>
        <w:tc>
          <w:tcPr>
            <w:tcW w:w="1335" w:type="dxa"/>
            <w:shd w:val="clear" w:color="auto" w:fill="auto"/>
            <w:tcMar>
              <w:top w:w="20" w:type="dxa"/>
              <w:left w:w="20" w:type="dxa"/>
              <w:bottom w:w="20" w:type="dxa"/>
              <w:right w:w="20" w:type="dxa"/>
            </w:tcMar>
          </w:tcPr>
          <w:p w:rsidR="00261050" w:rsidRPr="006625E6" w:rsidRDefault="00CA6653">
            <w:pPr>
              <w:pStyle w:val="T1TableStyle"/>
              <w:jc w:val="right"/>
              <w:rPr>
                <w:rFonts w:ascii="Verdana" w:eastAsia="Verdana" w:hAnsi="Verdana" w:cs="Verdana"/>
                <w:color w:val="000000"/>
                <w:sz w:val="16"/>
                <w:szCs w:val="16"/>
                <w:lang w:val="en-GB"/>
              </w:rPr>
            </w:pPr>
            <w:r w:rsidRPr="006625E6">
              <w:rPr>
                <w:rFonts w:ascii="Verdana" w:eastAsia="Verdana" w:hAnsi="Verdana" w:cs="Verdana"/>
                <w:color w:val="000000"/>
                <w:sz w:val="16"/>
                <w:szCs w:val="16"/>
                <w:lang w:val="en-GB"/>
              </w:rPr>
              <w:t>(</w:t>
            </w:r>
            <w:r w:rsidR="00311F48" w:rsidRPr="006625E6">
              <w:rPr>
                <w:rFonts w:ascii="Verdana" w:eastAsia="Verdana" w:hAnsi="Verdana" w:cs="Verdana"/>
                <w:color w:val="000000"/>
                <w:sz w:val="16"/>
                <w:szCs w:val="16"/>
                <w:lang w:val="en-GB"/>
              </w:rPr>
              <w:t>911</w:t>
            </w:r>
            <w:r w:rsidRPr="006625E6">
              <w:rPr>
                <w:rFonts w:ascii="Verdana" w:eastAsia="Verdana" w:hAnsi="Verdana" w:cs="Verdana"/>
                <w:color w:val="000000"/>
                <w:sz w:val="16"/>
                <w:szCs w:val="16"/>
                <w:lang w:val="en-GB"/>
              </w:rPr>
              <w:t>)</w:t>
            </w:r>
          </w:p>
          <w:p w:rsidR="00261050" w:rsidRPr="00A200D5" w:rsidRDefault="00261050" w:rsidP="00261050">
            <w:pPr>
              <w:rPr>
                <w:sz w:val="16"/>
                <w:szCs w:val="16"/>
                <w:lang w:val="en-GB"/>
              </w:rPr>
            </w:pPr>
          </w:p>
          <w:p w:rsidR="00CA6653" w:rsidRPr="00A200D5" w:rsidRDefault="00261050" w:rsidP="00A200D5">
            <w:pPr>
              <w:jc w:val="center"/>
              <w:rPr>
                <w:sz w:val="16"/>
                <w:szCs w:val="16"/>
                <w:lang w:val="en-GB"/>
              </w:rPr>
            </w:pPr>
            <w:r>
              <w:rPr>
                <w:sz w:val="16"/>
                <w:szCs w:val="16"/>
                <w:lang w:val="en-GB"/>
              </w:rPr>
              <w:t xml:space="preserve">          </w:t>
            </w:r>
            <w:r w:rsidRPr="00A200D5">
              <w:rPr>
                <w:sz w:val="16"/>
                <w:szCs w:val="16"/>
                <w:lang w:val="en-GB"/>
              </w:rPr>
              <w:t>(13</w:t>
            </w:r>
            <w:r w:rsidR="002C1805">
              <w:rPr>
                <w:sz w:val="16"/>
                <w:szCs w:val="16"/>
                <w:lang w:val="en-GB"/>
              </w:rPr>
              <w:t>,</w:t>
            </w:r>
            <w:r w:rsidRPr="00A200D5">
              <w:rPr>
                <w:sz w:val="16"/>
                <w:szCs w:val="16"/>
                <w:lang w:val="en-GB"/>
              </w:rPr>
              <w:t>233)</w:t>
            </w:r>
          </w:p>
        </w:tc>
        <w:tc>
          <w:tcPr>
            <w:tcW w:w="1230" w:type="dxa"/>
            <w:shd w:val="clear" w:color="auto" w:fill="auto"/>
            <w:tcMar>
              <w:top w:w="20" w:type="dxa"/>
              <w:left w:w="20" w:type="dxa"/>
              <w:bottom w:w="20" w:type="dxa"/>
              <w:right w:w="20" w:type="dxa"/>
            </w:tcMar>
          </w:tcPr>
          <w:p w:rsidR="00261050" w:rsidRPr="006625E6" w:rsidRDefault="00CA6653">
            <w:pPr>
              <w:pStyle w:val="T1TableStyle"/>
              <w:jc w:val="right"/>
              <w:rPr>
                <w:rFonts w:ascii="Verdana" w:eastAsia="Verdana" w:hAnsi="Verdana" w:cs="Verdana"/>
                <w:color w:val="000000"/>
                <w:sz w:val="16"/>
                <w:szCs w:val="16"/>
                <w:lang w:val="en-GB"/>
              </w:rPr>
            </w:pPr>
            <w:r w:rsidRPr="006625E6">
              <w:rPr>
                <w:rFonts w:ascii="Verdana" w:eastAsia="Verdana" w:hAnsi="Verdana" w:cs="Verdana"/>
                <w:color w:val="000000"/>
                <w:sz w:val="16"/>
                <w:szCs w:val="16"/>
                <w:lang w:val="en-GB"/>
              </w:rPr>
              <w:t>(9</w:t>
            </w:r>
            <w:r w:rsidR="00311F48" w:rsidRPr="006625E6">
              <w:rPr>
                <w:rFonts w:ascii="Verdana" w:eastAsia="Verdana" w:hAnsi="Verdana" w:cs="Verdana"/>
                <w:color w:val="000000"/>
                <w:sz w:val="16"/>
                <w:szCs w:val="16"/>
                <w:lang w:val="en-GB"/>
              </w:rPr>
              <w:t>11</w:t>
            </w:r>
            <w:r w:rsidRPr="006625E6">
              <w:rPr>
                <w:rFonts w:ascii="Verdana" w:eastAsia="Verdana" w:hAnsi="Verdana" w:cs="Verdana"/>
                <w:color w:val="000000"/>
                <w:sz w:val="16"/>
                <w:szCs w:val="16"/>
                <w:lang w:val="en-GB"/>
              </w:rPr>
              <w:t>)</w:t>
            </w:r>
          </w:p>
          <w:p w:rsidR="0092331C" w:rsidRDefault="0092331C" w:rsidP="00261050">
            <w:pPr>
              <w:rPr>
                <w:sz w:val="16"/>
                <w:szCs w:val="16"/>
                <w:lang w:val="en-GB"/>
              </w:rPr>
            </w:pPr>
          </w:p>
          <w:p w:rsidR="0092331C" w:rsidRDefault="0092331C" w:rsidP="00261050">
            <w:pPr>
              <w:rPr>
                <w:sz w:val="16"/>
                <w:szCs w:val="16"/>
                <w:lang w:val="en-GB"/>
              </w:rPr>
            </w:pPr>
          </w:p>
          <w:p w:rsidR="0092331C" w:rsidRDefault="0092331C" w:rsidP="00261050">
            <w:pPr>
              <w:rPr>
                <w:sz w:val="16"/>
                <w:szCs w:val="16"/>
                <w:lang w:val="en-GB"/>
              </w:rPr>
            </w:pPr>
          </w:p>
          <w:p w:rsidR="0092331C" w:rsidRDefault="0092331C" w:rsidP="00261050">
            <w:pPr>
              <w:rPr>
                <w:sz w:val="16"/>
                <w:szCs w:val="16"/>
                <w:lang w:val="en-GB"/>
              </w:rPr>
            </w:pPr>
          </w:p>
          <w:p w:rsidR="0092331C" w:rsidRPr="00A200D5" w:rsidRDefault="0092331C" w:rsidP="00261050">
            <w:pPr>
              <w:rPr>
                <w:sz w:val="16"/>
                <w:szCs w:val="16"/>
                <w:lang w:val="en-GB"/>
              </w:rPr>
            </w:pPr>
          </w:p>
          <w:p w:rsidR="00CA6653" w:rsidRPr="00A200D5" w:rsidRDefault="0092331C" w:rsidP="00A200D5">
            <w:pPr>
              <w:tabs>
                <w:tab w:val="left" w:pos="1046"/>
              </w:tabs>
              <w:jc w:val="both"/>
              <w:rPr>
                <w:sz w:val="16"/>
                <w:szCs w:val="16"/>
                <w:lang w:val="en-GB"/>
              </w:rPr>
            </w:pPr>
            <w:r>
              <w:rPr>
                <w:sz w:val="16"/>
                <w:szCs w:val="16"/>
                <w:lang w:val="en-GB"/>
              </w:rPr>
              <w:t xml:space="preserve"> </w:t>
            </w:r>
            <w:r w:rsidR="00261050" w:rsidRPr="00A200D5">
              <w:rPr>
                <w:sz w:val="16"/>
                <w:szCs w:val="16"/>
                <w:lang w:val="en-GB"/>
              </w:rPr>
              <w:tab/>
            </w:r>
            <w:r>
              <w:rPr>
                <w:sz w:val="16"/>
                <w:szCs w:val="16"/>
                <w:lang w:val="en-GB"/>
              </w:rPr>
              <w:t>1</w:t>
            </w:r>
          </w:p>
        </w:tc>
      </w:tr>
      <w:tr w:rsidR="004D417B" w:rsidTr="00412EE1">
        <w:trPr>
          <w:trHeight w:val="25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55152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15</w:t>
            </w:r>
            <w:r w:rsidR="00CA6653">
              <w:rPr>
                <w:rFonts w:ascii="Verdana" w:eastAsia="Verdana" w:hAnsi="Verdana" w:cs="Verdana"/>
                <w:b/>
                <w:color w:val="000000"/>
                <w:sz w:val="16"/>
                <w:lang w:val="en-GB"/>
              </w:rPr>
              <w:t>,</w:t>
            </w:r>
            <w:r>
              <w:rPr>
                <w:rFonts w:ascii="Verdana" w:eastAsia="Verdana" w:hAnsi="Verdana" w:cs="Verdana"/>
                <w:b/>
                <w:color w:val="000000"/>
                <w:sz w:val="16"/>
                <w:lang w:val="en-GB"/>
              </w:rPr>
              <w:t>21</w:t>
            </w:r>
            <w:r w:rsidR="00CA6653">
              <w:rPr>
                <w:rFonts w:ascii="Verdana" w:eastAsia="Verdana" w:hAnsi="Verdana" w:cs="Verdana"/>
                <w:b/>
                <w:color w:val="000000"/>
                <w:sz w:val="16"/>
                <w:lang w:val="en-GB"/>
              </w:rPr>
              <w:t>5</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r w:rsidR="00551525">
              <w:rPr>
                <w:rFonts w:ascii="Verdana" w:eastAsia="Verdana" w:hAnsi="Verdana" w:cs="Verdana"/>
                <w:b/>
                <w:color w:val="000000"/>
                <w:sz w:val="16"/>
                <w:lang w:val="en-GB"/>
              </w:rPr>
              <w:t>3</w:t>
            </w:r>
            <w:r>
              <w:rPr>
                <w:rFonts w:ascii="Verdana" w:eastAsia="Verdana" w:hAnsi="Verdana" w:cs="Verdana"/>
                <w:b/>
                <w:color w:val="000000"/>
                <w:sz w:val="16"/>
                <w:lang w:val="en-GB"/>
              </w:rPr>
              <w:t>,</w:t>
            </w:r>
            <w:r w:rsidR="004C5F0F">
              <w:rPr>
                <w:rFonts w:ascii="Verdana" w:eastAsia="Verdana" w:hAnsi="Verdana" w:cs="Verdana"/>
                <w:b/>
                <w:color w:val="000000"/>
                <w:sz w:val="16"/>
                <w:lang w:val="en-GB"/>
              </w:rPr>
              <w:t>22</w:t>
            </w:r>
            <w:r>
              <w:rPr>
                <w:rFonts w:ascii="Verdana" w:eastAsia="Verdana" w:hAnsi="Verdana" w:cs="Verdana"/>
                <w:b/>
                <w:color w:val="000000"/>
                <w:sz w:val="16"/>
                <w:lang w:val="en-GB"/>
              </w:rPr>
              <w:t>7)</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1,988</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Cost of Services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D2301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16</w:t>
            </w:r>
            <w:r w:rsidR="00CA6653">
              <w:rPr>
                <w:rFonts w:ascii="Verdana" w:eastAsia="Verdana" w:hAnsi="Verdana" w:cs="Verdana"/>
                <w:b/>
                <w:color w:val="000000"/>
                <w:sz w:val="16"/>
                <w:lang w:val="en-GB"/>
              </w:rPr>
              <w:t>,</w:t>
            </w:r>
            <w:r>
              <w:rPr>
                <w:rFonts w:ascii="Verdana" w:eastAsia="Verdana" w:hAnsi="Verdana" w:cs="Verdana"/>
                <w:b/>
                <w:color w:val="000000"/>
                <w:sz w:val="16"/>
                <w:lang w:val="en-GB"/>
              </w:rPr>
              <w:t>3</w:t>
            </w:r>
            <w:r w:rsidR="00D12FDA">
              <w:rPr>
                <w:rFonts w:ascii="Verdana" w:eastAsia="Verdana" w:hAnsi="Verdana" w:cs="Verdana"/>
                <w:b/>
                <w:color w:val="000000"/>
                <w:sz w:val="16"/>
                <w:lang w:val="en-GB"/>
              </w:rPr>
              <w:t>4</w:t>
            </w:r>
            <w:r w:rsidR="0092331C">
              <w:rPr>
                <w:rFonts w:ascii="Verdana" w:eastAsia="Verdana" w:hAnsi="Verdana" w:cs="Verdana"/>
                <w:b/>
                <w:color w:val="000000"/>
                <w:sz w:val="16"/>
                <w:lang w:val="en-GB"/>
              </w:rPr>
              <w:t>9</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D23013">
              <w:rPr>
                <w:rFonts w:ascii="Verdana" w:eastAsia="Verdana" w:hAnsi="Verdana" w:cs="Verdana"/>
                <w:b/>
                <w:color w:val="000000"/>
                <w:sz w:val="16"/>
                <w:lang w:val="en-GB"/>
              </w:rPr>
              <w:t>14,</w:t>
            </w:r>
            <w:r w:rsidR="00311F48">
              <w:rPr>
                <w:rFonts w:ascii="Verdana" w:eastAsia="Verdana" w:hAnsi="Verdana" w:cs="Verdana"/>
                <w:b/>
                <w:color w:val="000000"/>
                <w:sz w:val="16"/>
                <w:lang w:val="en-GB"/>
              </w:rPr>
              <w:t>1</w:t>
            </w:r>
            <w:r w:rsidR="00D23013">
              <w:rPr>
                <w:rFonts w:ascii="Verdana" w:eastAsia="Verdana" w:hAnsi="Verdana" w:cs="Verdana"/>
                <w:b/>
                <w:color w:val="000000"/>
                <w:sz w:val="16"/>
                <w:lang w:val="en-GB"/>
              </w:rPr>
              <w:t>44</w:t>
            </w:r>
            <w:r>
              <w:rPr>
                <w:rFonts w:ascii="Verdana" w:eastAsia="Verdana" w:hAnsi="Verdana" w:cs="Verdana"/>
                <w:b/>
                <w:color w:val="000000"/>
                <w:sz w:val="16"/>
                <w:lang w:val="en-GB"/>
              </w:rPr>
              <w:t>)</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w:t>
            </w:r>
            <w:r w:rsidR="00D12FDA">
              <w:rPr>
                <w:rFonts w:ascii="Verdana" w:eastAsia="Verdana" w:hAnsi="Verdana" w:cs="Verdana"/>
                <w:b/>
                <w:color w:val="000000"/>
                <w:sz w:val="16"/>
                <w:lang w:val="en-GB"/>
              </w:rPr>
              <w:t>0</w:t>
            </w:r>
            <w:r w:rsidR="0092331C">
              <w:rPr>
                <w:rFonts w:ascii="Verdana" w:eastAsia="Verdana" w:hAnsi="Verdana" w:cs="Verdana"/>
                <w:b/>
                <w:color w:val="000000"/>
                <w:sz w:val="16"/>
                <w:lang w:val="en-GB"/>
              </w:rPr>
              <w:t>5</w:t>
            </w:r>
          </w:p>
        </w:tc>
      </w:tr>
      <w:tr w:rsidR="004D417B"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237,835</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237,835</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Intra-Group Funding Transfer</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251,349</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251,349</w:t>
            </w:r>
          </w:p>
        </w:tc>
      </w:tr>
      <w:tr w:rsidR="004D417B" w:rsidRPr="00A714AB" w:rsidTr="00412EE1">
        <w:trPr>
          <w:trHeight w:val="510"/>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4C5F0F">
              <w:rPr>
                <w:rFonts w:ascii="Verdana" w:eastAsia="Verdana" w:hAnsi="Verdana" w:cs="Verdana"/>
                <w:b/>
                <w:color w:val="000000"/>
                <w:sz w:val="16"/>
                <w:lang w:val="en-GB"/>
              </w:rPr>
              <w:t>53</w:t>
            </w:r>
            <w:r>
              <w:rPr>
                <w:rFonts w:ascii="Verdana" w:eastAsia="Verdana" w:hAnsi="Verdana" w:cs="Verdana"/>
                <w:b/>
                <w:color w:val="000000"/>
                <w:sz w:val="16"/>
                <w:lang w:val="en-GB"/>
              </w:rPr>
              <w:t>,</w:t>
            </w:r>
            <w:r w:rsidR="004C5F0F">
              <w:rPr>
                <w:rFonts w:ascii="Verdana" w:eastAsia="Verdana" w:hAnsi="Verdana" w:cs="Verdana"/>
                <w:b/>
                <w:color w:val="000000"/>
                <w:sz w:val="16"/>
                <w:lang w:val="en-GB"/>
              </w:rPr>
              <w:t>050</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r w:rsidR="004C5F0F">
              <w:rPr>
                <w:rFonts w:ascii="Verdana" w:eastAsia="Verdana" w:hAnsi="Verdana" w:cs="Verdana"/>
                <w:b/>
                <w:color w:val="000000"/>
                <w:sz w:val="16"/>
                <w:lang w:val="en-GB"/>
              </w:rPr>
              <w:t>3</w:t>
            </w:r>
            <w:r>
              <w:rPr>
                <w:rFonts w:ascii="Verdana" w:eastAsia="Verdana" w:hAnsi="Verdana" w:cs="Verdana"/>
                <w:b/>
                <w:color w:val="000000"/>
                <w:sz w:val="16"/>
                <w:lang w:val="en-GB"/>
              </w:rPr>
              <w:t>,</w:t>
            </w:r>
            <w:r w:rsidR="004C5F0F">
              <w:rPr>
                <w:rFonts w:ascii="Verdana" w:eastAsia="Verdana" w:hAnsi="Verdana" w:cs="Verdana"/>
                <w:b/>
                <w:color w:val="000000"/>
                <w:sz w:val="16"/>
                <w:lang w:val="en-GB"/>
              </w:rPr>
              <w:t>22</w:t>
            </w:r>
            <w:r>
              <w:rPr>
                <w:rFonts w:ascii="Verdana" w:eastAsia="Verdana" w:hAnsi="Verdana" w:cs="Verdana"/>
                <w:b/>
                <w:color w:val="000000"/>
                <w:sz w:val="16"/>
                <w:lang w:val="en-GB"/>
              </w:rPr>
              <w:t>7)</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239,822</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Net Cost of Services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A714AB" w:rsidRDefault="00CA6653">
            <w:pPr>
              <w:pStyle w:val="T1TableStyle"/>
              <w:jc w:val="right"/>
              <w:rPr>
                <w:rFonts w:ascii="Verdana" w:eastAsia="Verdana" w:hAnsi="Verdana" w:cs="Verdana"/>
                <w:b/>
                <w:color w:val="000000"/>
                <w:sz w:val="16"/>
                <w:lang w:val="en-GB"/>
              </w:rPr>
            </w:pPr>
            <w:r w:rsidRPr="00A714AB">
              <w:rPr>
                <w:rFonts w:ascii="Verdana" w:eastAsia="Verdana" w:hAnsi="Verdana" w:cs="Verdana"/>
                <w:b/>
                <w:color w:val="000000"/>
                <w:sz w:val="16"/>
                <w:lang w:val="en-GB"/>
              </w:rPr>
              <w:t>2</w:t>
            </w:r>
            <w:r w:rsidR="00D23013" w:rsidRPr="00A714AB">
              <w:rPr>
                <w:rFonts w:ascii="Verdana" w:eastAsia="Verdana" w:hAnsi="Verdana" w:cs="Verdana"/>
                <w:b/>
                <w:color w:val="000000"/>
                <w:sz w:val="16"/>
                <w:lang w:val="en-GB"/>
              </w:rPr>
              <w:t>67</w:t>
            </w:r>
            <w:r w:rsidRPr="00A714AB">
              <w:rPr>
                <w:rFonts w:ascii="Verdana" w:eastAsia="Verdana" w:hAnsi="Verdana" w:cs="Verdana"/>
                <w:b/>
                <w:color w:val="000000"/>
                <w:sz w:val="16"/>
                <w:lang w:val="en-GB"/>
              </w:rPr>
              <w:t>,</w:t>
            </w:r>
            <w:r w:rsidR="00A714AB" w:rsidRPr="00A714AB">
              <w:rPr>
                <w:rFonts w:ascii="Verdana" w:eastAsia="Verdana" w:hAnsi="Verdana" w:cs="Verdana"/>
                <w:b/>
                <w:color w:val="000000"/>
                <w:sz w:val="16"/>
                <w:lang w:val="en-GB"/>
              </w:rPr>
              <w:t>69</w:t>
            </w:r>
            <w:r w:rsidR="0092331C">
              <w:rPr>
                <w:rFonts w:ascii="Verdana" w:eastAsia="Verdana" w:hAnsi="Verdana" w:cs="Verdana"/>
                <w:b/>
                <w:color w:val="000000"/>
                <w:sz w:val="16"/>
                <w:lang w:val="en-GB"/>
              </w:rPr>
              <w:t>8</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A714AB" w:rsidRDefault="00CA6653">
            <w:pPr>
              <w:pStyle w:val="T1TableStyle"/>
              <w:jc w:val="right"/>
              <w:rPr>
                <w:rFonts w:ascii="Verdana" w:eastAsia="Verdana" w:hAnsi="Verdana" w:cs="Verdana"/>
                <w:b/>
                <w:color w:val="000000"/>
                <w:sz w:val="16"/>
                <w:lang w:val="en-GB"/>
              </w:rPr>
            </w:pPr>
            <w:r w:rsidRPr="00A714AB">
              <w:rPr>
                <w:rFonts w:ascii="Verdana" w:eastAsia="Verdana" w:hAnsi="Verdana" w:cs="Verdana"/>
                <w:b/>
                <w:color w:val="000000"/>
                <w:sz w:val="16"/>
                <w:lang w:val="en-GB"/>
              </w:rPr>
              <w:t>(</w:t>
            </w:r>
            <w:r w:rsidR="00D23013" w:rsidRPr="00A714AB">
              <w:rPr>
                <w:rFonts w:ascii="Verdana" w:eastAsia="Verdana" w:hAnsi="Verdana" w:cs="Verdana"/>
                <w:b/>
                <w:color w:val="000000"/>
                <w:sz w:val="16"/>
                <w:lang w:val="en-GB"/>
              </w:rPr>
              <w:t>14,</w:t>
            </w:r>
            <w:r w:rsidR="00311F48" w:rsidRPr="00A714AB">
              <w:rPr>
                <w:rFonts w:ascii="Verdana" w:eastAsia="Verdana" w:hAnsi="Verdana" w:cs="Verdana"/>
                <w:b/>
                <w:color w:val="000000"/>
                <w:sz w:val="16"/>
                <w:lang w:val="en-GB"/>
              </w:rPr>
              <w:t>1</w:t>
            </w:r>
            <w:r w:rsidR="00D23013" w:rsidRPr="00A714AB">
              <w:rPr>
                <w:rFonts w:ascii="Verdana" w:eastAsia="Verdana" w:hAnsi="Verdana" w:cs="Verdana"/>
                <w:b/>
                <w:color w:val="000000"/>
                <w:sz w:val="16"/>
                <w:lang w:val="en-GB"/>
              </w:rPr>
              <w:t>44</w:t>
            </w:r>
            <w:r w:rsidRPr="00A714AB">
              <w:rPr>
                <w:rFonts w:ascii="Verdana" w:eastAsia="Verdana" w:hAnsi="Verdana" w:cs="Verdana"/>
                <w:b/>
                <w:color w:val="000000"/>
                <w:sz w:val="16"/>
                <w:lang w:val="en-GB"/>
              </w:rPr>
              <w:t>)</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A714AB" w:rsidRDefault="00CA6653">
            <w:pPr>
              <w:pStyle w:val="T1TableStyle"/>
              <w:jc w:val="right"/>
              <w:rPr>
                <w:rFonts w:ascii="Verdana" w:eastAsia="Verdana" w:hAnsi="Verdana" w:cs="Verdana"/>
                <w:b/>
                <w:color w:val="000000"/>
                <w:sz w:val="16"/>
                <w:lang w:val="en-GB"/>
              </w:rPr>
            </w:pPr>
            <w:r w:rsidRPr="00A714AB">
              <w:rPr>
                <w:rFonts w:ascii="Verdana" w:eastAsia="Verdana" w:hAnsi="Verdana" w:cs="Verdana"/>
                <w:b/>
                <w:color w:val="000000"/>
                <w:sz w:val="16"/>
                <w:lang w:val="en-GB"/>
              </w:rPr>
              <w:t>253,5</w:t>
            </w:r>
            <w:r w:rsidR="00A714AB">
              <w:rPr>
                <w:rFonts w:ascii="Verdana" w:eastAsia="Verdana" w:hAnsi="Verdana" w:cs="Verdana"/>
                <w:b/>
                <w:color w:val="000000"/>
                <w:sz w:val="16"/>
                <w:lang w:val="en-GB"/>
              </w:rPr>
              <w:t>5</w:t>
            </w:r>
            <w:r w:rsidR="0092331C">
              <w:rPr>
                <w:rFonts w:ascii="Verdana" w:eastAsia="Verdana" w:hAnsi="Verdana" w:cs="Verdana"/>
                <w:b/>
                <w:color w:val="000000"/>
                <w:sz w:val="16"/>
                <w:lang w:val="en-GB"/>
              </w:rPr>
              <w:t>4</w:t>
            </w:r>
          </w:p>
        </w:tc>
      </w:tr>
      <w:tr w:rsidR="004D417B" w:rsidRPr="00F02926" w:rsidTr="00412EE1">
        <w:trPr>
          <w:trHeight w:hRule="exact" w:val="135"/>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F02926" w:rsidRDefault="00CA6653">
            <w:pPr>
              <w:pStyle w:val="T1TableStyle"/>
              <w:jc w:val="center"/>
              <w:rPr>
                <w:rFonts w:ascii="Verdana" w:eastAsia="Verdana" w:hAnsi="Verdana" w:cs="Verdana"/>
                <w:color w:val="000000"/>
                <w:sz w:val="2"/>
                <w:lang w:val="en-GB"/>
              </w:rPr>
            </w:pPr>
            <w:r w:rsidRPr="00F02926">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F02926" w:rsidRDefault="00CA6653">
            <w:pPr>
              <w:pStyle w:val="T1TableStyle"/>
              <w:jc w:val="center"/>
              <w:rPr>
                <w:rFonts w:ascii="Verdana" w:eastAsia="Verdana" w:hAnsi="Verdana" w:cs="Verdana"/>
                <w:color w:val="000000"/>
                <w:sz w:val="2"/>
                <w:lang w:val="en-GB"/>
              </w:rPr>
            </w:pPr>
            <w:r w:rsidRPr="00F02926">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F02926" w:rsidRDefault="00CA6653">
            <w:pPr>
              <w:pStyle w:val="T1TableStyle"/>
              <w:jc w:val="center"/>
              <w:rPr>
                <w:rFonts w:ascii="Verdana" w:eastAsia="Verdana" w:hAnsi="Verdana" w:cs="Verdana"/>
                <w:color w:val="000000"/>
                <w:sz w:val="2"/>
                <w:lang w:val="en-GB"/>
              </w:rPr>
            </w:pPr>
            <w:r w:rsidRPr="00F02926">
              <w:rPr>
                <w:rFonts w:ascii="Verdana" w:eastAsia="Verdana" w:hAnsi="Verdana" w:cs="Verdana"/>
                <w:color w:val="000000"/>
                <w:sz w:val="2"/>
                <w:lang w:val="en-GB"/>
              </w:rPr>
              <w:t xml:space="preserve"> </w:t>
            </w:r>
          </w:p>
        </w:tc>
      </w:tr>
      <w:tr w:rsidR="004D417B" w:rsidRPr="00F02926" w:rsidTr="00412EE1">
        <w:trPr>
          <w:trHeight w:val="255"/>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276</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276</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Operating Expenditure</w:t>
            </w:r>
          </w:p>
        </w:tc>
        <w:tc>
          <w:tcPr>
            <w:tcW w:w="1230" w:type="dxa"/>
            <w:shd w:val="clear" w:color="auto" w:fill="auto"/>
            <w:tcMar>
              <w:top w:w="20" w:type="dxa"/>
              <w:left w:w="20" w:type="dxa"/>
              <w:bottom w:w="20" w:type="dxa"/>
              <w:right w:w="20" w:type="dxa"/>
            </w:tcMar>
          </w:tcPr>
          <w:p w:rsidR="00CA6653" w:rsidRPr="00F02926" w:rsidRDefault="009E19C5">
            <w:pPr>
              <w:pStyle w:val="T1TableStyle"/>
              <w:jc w:val="right"/>
              <w:rPr>
                <w:rFonts w:ascii="Verdana" w:eastAsia="Verdana" w:hAnsi="Verdana" w:cs="Verdana"/>
                <w:color w:val="000000"/>
                <w:sz w:val="16"/>
                <w:lang w:val="en-GB"/>
              </w:rPr>
            </w:pPr>
            <w:r w:rsidRPr="00F02926">
              <w:rPr>
                <w:rFonts w:ascii="Verdana" w:eastAsia="Verdana" w:hAnsi="Verdana" w:cs="Verdana"/>
                <w:color w:val="000000"/>
                <w:sz w:val="16"/>
                <w:lang w:val="en-GB"/>
              </w:rPr>
              <w:t>(14)</w:t>
            </w:r>
          </w:p>
        </w:tc>
        <w:tc>
          <w:tcPr>
            <w:tcW w:w="1335" w:type="dxa"/>
            <w:shd w:val="clear" w:color="auto" w:fill="auto"/>
            <w:tcMar>
              <w:top w:w="20" w:type="dxa"/>
              <w:left w:w="20" w:type="dxa"/>
              <w:bottom w:w="20" w:type="dxa"/>
              <w:right w:w="20" w:type="dxa"/>
            </w:tcMar>
          </w:tcPr>
          <w:p w:rsidR="00CA6653" w:rsidRPr="00F02926" w:rsidRDefault="00CA6653">
            <w:pPr>
              <w:pStyle w:val="T1TableStyle"/>
              <w:jc w:val="right"/>
              <w:rPr>
                <w:rFonts w:ascii="Verdana" w:eastAsia="Verdana" w:hAnsi="Verdana" w:cs="Verdana"/>
                <w:color w:val="000000"/>
                <w:sz w:val="16"/>
                <w:lang w:val="en-GB"/>
              </w:rPr>
            </w:pPr>
            <w:r w:rsidRPr="00F02926">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F02926" w:rsidRDefault="009E19C5">
            <w:pPr>
              <w:pStyle w:val="T1TableStyle"/>
              <w:jc w:val="right"/>
              <w:rPr>
                <w:rFonts w:ascii="Verdana" w:eastAsia="Verdana" w:hAnsi="Verdana" w:cs="Verdana"/>
                <w:color w:val="000000"/>
                <w:sz w:val="16"/>
                <w:lang w:val="en-GB"/>
              </w:rPr>
            </w:pPr>
            <w:r w:rsidRPr="00F02926">
              <w:rPr>
                <w:rFonts w:ascii="Verdana" w:eastAsia="Verdana" w:hAnsi="Verdana" w:cs="Verdana"/>
                <w:color w:val="000000"/>
                <w:sz w:val="16"/>
                <w:lang w:val="en-GB"/>
              </w:rPr>
              <w:t>(14)</w:t>
            </w:r>
          </w:p>
        </w:tc>
      </w:tr>
      <w:tr w:rsidR="004D417B" w:rsidRPr="00F02926" w:rsidTr="00412EE1">
        <w:trPr>
          <w:trHeight w:val="420"/>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(213)</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(142)</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Financing and Investment Income and Expenditure</w:t>
            </w:r>
          </w:p>
        </w:tc>
        <w:tc>
          <w:tcPr>
            <w:tcW w:w="1230" w:type="dxa"/>
            <w:shd w:val="clear" w:color="auto" w:fill="auto"/>
            <w:tcMar>
              <w:top w:w="20" w:type="dxa"/>
              <w:left w:w="20" w:type="dxa"/>
              <w:bottom w:w="20" w:type="dxa"/>
              <w:right w:w="20" w:type="dxa"/>
            </w:tcMar>
          </w:tcPr>
          <w:p w:rsidR="00CA6653" w:rsidRPr="00F02926" w:rsidRDefault="00CA6653">
            <w:pPr>
              <w:pStyle w:val="T1TableStyle"/>
              <w:jc w:val="right"/>
              <w:rPr>
                <w:rFonts w:ascii="Verdana" w:eastAsia="Verdana" w:hAnsi="Verdana" w:cs="Verdana"/>
                <w:color w:val="000000"/>
                <w:sz w:val="16"/>
                <w:lang w:val="en-GB"/>
              </w:rPr>
            </w:pPr>
            <w:r w:rsidRPr="00F02926">
              <w:rPr>
                <w:rFonts w:ascii="Verdana" w:eastAsia="Verdana" w:hAnsi="Verdana" w:cs="Verdana"/>
                <w:color w:val="000000"/>
                <w:sz w:val="16"/>
                <w:lang w:val="en-GB"/>
              </w:rPr>
              <w:t>397</w:t>
            </w:r>
          </w:p>
        </w:tc>
        <w:tc>
          <w:tcPr>
            <w:tcW w:w="1335" w:type="dxa"/>
            <w:shd w:val="clear" w:color="auto" w:fill="auto"/>
            <w:tcMar>
              <w:top w:w="20" w:type="dxa"/>
              <w:left w:w="20" w:type="dxa"/>
              <w:bottom w:w="20" w:type="dxa"/>
              <w:right w:w="20" w:type="dxa"/>
            </w:tcMar>
          </w:tcPr>
          <w:p w:rsidR="00CA6653" w:rsidRPr="00F02926" w:rsidRDefault="00CA6653">
            <w:pPr>
              <w:pStyle w:val="T1TableStyle"/>
              <w:jc w:val="right"/>
              <w:rPr>
                <w:rFonts w:ascii="Verdana" w:eastAsia="Verdana" w:hAnsi="Verdana" w:cs="Verdana"/>
                <w:color w:val="000000"/>
                <w:sz w:val="16"/>
                <w:lang w:val="en-GB"/>
              </w:rPr>
            </w:pPr>
            <w:r w:rsidRPr="00F02926">
              <w:rPr>
                <w:rFonts w:ascii="Verdana" w:eastAsia="Verdana" w:hAnsi="Verdana" w:cs="Verdana"/>
                <w:color w:val="000000"/>
                <w:sz w:val="16"/>
                <w:lang w:val="en-GB"/>
              </w:rPr>
              <w:t>(275)</w:t>
            </w:r>
          </w:p>
        </w:tc>
        <w:tc>
          <w:tcPr>
            <w:tcW w:w="1230" w:type="dxa"/>
            <w:shd w:val="clear" w:color="auto" w:fill="auto"/>
            <w:tcMar>
              <w:top w:w="20" w:type="dxa"/>
              <w:left w:w="20" w:type="dxa"/>
              <w:bottom w:w="20" w:type="dxa"/>
              <w:right w:w="20" w:type="dxa"/>
            </w:tcMar>
          </w:tcPr>
          <w:p w:rsidR="00CA6653" w:rsidRPr="00F02926" w:rsidRDefault="00CA6653">
            <w:pPr>
              <w:pStyle w:val="T1TableStyle"/>
              <w:jc w:val="right"/>
              <w:rPr>
                <w:rFonts w:ascii="Verdana" w:eastAsia="Verdana" w:hAnsi="Verdana" w:cs="Verdana"/>
                <w:color w:val="000000"/>
                <w:sz w:val="16"/>
                <w:lang w:val="en-GB"/>
              </w:rPr>
            </w:pPr>
            <w:r w:rsidRPr="00F02926">
              <w:rPr>
                <w:rFonts w:ascii="Verdana" w:eastAsia="Verdana" w:hAnsi="Verdana" w:cs="Verdana"/>
                <w:color w:val="000000"/>
                <w:sz w:val="16"/>
                <w:lang w:val="en-GB"/>
              </w:rPr>
              <w:t>122</w:t>
            </w:r>
          </w:p>
        </w:tc>
      </w:tr>
      <w:tr w:rsidR="004D417B" w:rsidRPr="00F02926" w:rsidTr="00412EE1">
        <w:trPr>
          <w:trHeight w:val="420"/>
          <w:jc w:val="center"/>
        </w:trPr>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(237,702)</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(237,702)</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Taxation and Non Specific Grant Income</w:t>
            </w:r>
          </w:p>
        </w:tc>
        <w:tc>
          <w:tcPr>
            <w:tcW w:w="1230" w:type="dxa"/>
            <w:shd w:val="clear" w:color="auto" w:fill="auto"/>
            <w:tcMar>
              <w:top w:w="20" w:type="dxa"/>
              <w:left w:w="20" w:type="dxa"/>
              <w:bottom w:w="20" w:type="dxa"/>
              <w:right w:w="20" w:type="dxa"/>
            </w:tcMar>
          </w:tcPr>
          <w:p w:rsidR="00CA6653" w:rsidRPr="00F02926" w:rsidRDefault="00CA6653">
            <w:pPr>
              <w:pStyle w:val="T1TableStyle"/>
              <w:jc w:val="right"/>
              <w:rPr>
                <w:rFonts w:ascii="Verdana" w:eastAsia="Verdana" w:hAnsi="Verdana" w:cs="Verdana"/>
                <w:color w:val="000000"/>
                <w:sz w:val="16"/>
                <w:lang w:val="en-GB"/>
              </w:rPr>
            </w:pPr>
            <w:r w:rsidRPr="00F02926">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F02926" w:rsidRDefault="00CA6653">
            <w:pPr>
              <w:pStyle w:val="T1TableStyle"/>
              <w:jc w:val="right"/>
              <w:rPr>
                <w:rFonts w:ascii="Verdana" w:eastAsia="Verdana" w:hAnsi="Verdana" w:cs="Verdana"/>
                <w:color w:val="000000"/>
                <w:sz w:val="16"/>
                <w:lang w:val="en-GB"/>
              </w:rPr>
            </w:pPr>
            <w:r w:rsidRPr="00F02926">
              <w:rPr>
                <w:rFonts w:ascii="Verdana" w:eastAsia="Verdana" w:hAnsi="Verdana" w:cs="Verdana"/>
                <w:color w:val="000000"/>
                <w:sz w:val="16"/>
                <w:lang w:val="en-GB"/>
              </w:rPr>
              <w:t>(</w:t>
            </w:r>
            <w:r w:rsidR="00F02926" w:rsidRPr="00F02926">
              <w:rPr>
                <w:rFonts w:ascii="Verdana" w:eastAsia="Verdana" w:hAnsi="Verdana" w:cs="Verdana"/>
                <w:color w:val="000000"/>
                <w:sz w:val="16"/>
                <w:lang w:val="en-GB"/>
              </w:rPr>
              <w:t>252,</w:t>
            </w:r>
            <w:r w:rsidR="005F41D5">
              <w:rPr>
                <w:rFonts w:ascii="Verdana" w:eastAsia="Verdana" w:hAnsi="Verdana" w:cs="Verdana"/>
                <w:color w:val="000000"/>
                <w:sz w:val="16"/>
                <w:lang w:val="en-GB"/>
              </w:rPr>
              <w:t>817</w:t>
            </w:r>
            <w:r w:rsidRPr="00F02926">
              <w:rPr>
                <w:rFonts w:ascii="Verdana" w:eastAsia="Verdana" w:hAnsi="Verdana" w:cs="Verdana"/>
                <w:color w:val="000000"/>
                <w:sz w:val="16"/>
                <w:lang w:val="en-GB"/>
              </w:rPr>
              <w:t>)</w:t>
            </w:r>
          </w:p>
        </w:tc>
        <w:tc>
          <w:tcPr>
            <w:tcW w:w="1230" w:type="dxa"/>
            <w:shd w:val="clear" w:color="auto" w:fill="auto"/>
            <w:tcMar>
              <w:top w:w="20" w:type="dxa"/>
              <w:left w:w="20" w:type="dxa"/>
              <w:bottom w:w="20" w:type="dxa"/>
              <w:right w:w="20" w:type="dxa"/>
            </w:tcMar>
          </w:tcPr>
          <w:p w:rsidR="00CA6653" w:rsidRPr="00F02926" w:rsidRDefault="00CA6653">
            <w:pPr>
              <w:pStyle w:val="T1TableStyle"/>
              <w:jc w:val="right"/>
              <w:rPr>
                <w:rFonts w:ascii="Verdana" w:eastAsia="Verdana" w:hAnsi="Verdana" w:cs="Verdana"/>
                <w:color w:val="000000"/>
                <w:sz w:val="16"/>
                <w:lang w:val="en-GB"/>
              </w:rPr>
            </w:pPr>
            <w:r w:rsidRPr="00F02926">
              <w:rPr>
                <w:rFonts w:ascii="Verdana" w:eastAsia="Verdana" w:hAnsi="Verdana" w:cs="Verdana"/>
                <w:color w:val="000000"/>
                <w:sz w:val="16"/>
                <w:lang w:val="en-GB"/>
              </w:rPr>
              <w:t>(25</w:t>
            </w:r>
            <w:r w:rsidR="00F02926" w:rsidRPr="00F02926">
              <w:rPr>
                <w:rFonts w:ascii="Verdana" w:eastAsia="Verdana" w:hAnsi="Verdana" w:cs="Verdana"/>
                <w:color w:val="000000"/>
                <w:sz w:val="16"/>
                <w:lang w:val="en-GB"/>
              </w:rPr>
              <w:t>2</w:t>
            </w:r>
            <w:r w:rsidRPr="00F02926">
              <w:rPr>
                <w:rFonts w:ascii="Verdana" w:eastAsia="Verdana" w:hAnsi="Verdana" w:cs="Verdana"/>
                <w:color w:val="000000"/>
                <w:sz w:val="16"/>
                <w:lang w:val="en-GB"/>
              </w:rPr>
              <w:t>,</w:t>
            </w:r>
            <w:r w:rsidR="005F41D5">
              <w:rPr>
                <w:rFonts w:ascii="Verdana" w:eastAsia="Verdana" w:hAnsi="Verdana" w:cs="Verdana"/>
                <w:color w:val="000000"/>
                <w:sz w:val="16"/>
                <w:lang w:val="en-GB"/>
              </w:rPr>
              <w:t>817</w:t>
            </w:r>
            <w:r w:rsidRPr="00F02926">
              <w:rPr>
                <w:rFonts w:ascii="Verdana" w:eastAsia="Verdana" w:hAnsi="Verdana" w:cs="Verdana"/>
                <w:color w:val="000000"/>
                <w:sz w:val="16"/>
                <w:lang w:val="en-GB"/>
              </w:rPr>
              <w:t>)</w:t>
            </w:r>
          </w:p>
        </w:tc>
      </w:tr>
      <w:tr w:rsidR="004D417B" w:rsidRPr="00F02926" w:rsidTr="00412EE1">
        <w:trPr>
          <w:trHeight w:val="43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4C5F0F">
              <w:rPr>
                <w:rFonts w:ascii="Verdana" w:eastAsia="Verdana" w:hAnsi="Verdana" w:cs="Verdana"/>
                <w:b/>
                <w:color w:val="000000"/>
                <w:sz w:val="16"/>
                <w:lang w:val="en-GB"/>
              </w:rPr>
              <w:t>53</w:t>
            </w:r>
            <w:r>
              <w:rPr>
                <w:rFonts w:ascii="Verdana" w:eastAsia="Verdana" w:hAnsi="Verdana" w:cs="Verdana"/>
                <w:b/>
                <w:color w:val="000000"/>
                <w:sz w:val="16"/>
                <w:lang w:val="en-GB"/>
              </w:rPr>
              <w:t>,</w:t>
            </w:r>
            <w:r w:rsidR="004C5F0F">
              <w:rPr>
                <w:rFonts w:ascii="Verdana" w:eastAsia="Verdana" w:hAnsi="Verdana" w:cs="Verdana"/>
                <w:b/>
                <w:color w:val="000000"/>
                <w:sz w:val="16"/>
                <w:lang w:val="en-GB"/>
              </w:rPr>
              <w:t>39</w:t>
            </w:r>
            <w:r>
              <w:rPr>
                <w:rFonts w:ascii="Verdana" w:eastAsia="Verdana" w:hAnsi="Verdana" w:cs="Verdana"/>
                <w:b/>
                <w:color w:val="000000"/>
                <w:sz w:val="16"/>
                <w:lang w:val="en-GB"/>
              </w:rPr>
              <w:t>6</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4C5F0F">
              <w:rPr>
                <w:rFonts w:ascii="Verdana" w:eastAsia="Verdana" w:hAnsi="Verdana" w:cs="Verdana"/>
                <w:b/>
                <w:color w:val="000000"/>
                <w:sz w:val="16"/>
                <w:lang w:val="en-GB"/>
              </w:rPr>
              <w:t>51</w:t>
            </w:r>
            <w:r>
              <w:rPr>
                <w:rFonts w:ascii="Verdana" w:eastAsia="Verdana" w:hAnsi="Verdana" w:cs="Verdana"/>
                <w:b/>
                <w:color w:val="000000"/>
                <w:sz w:val="16"/>
                <w:lang w:val="en-GB"/>
              </w:rPr>
              <w:t>,</w:t>
            </w:r>
            <w:r w:rsidR="004C5F0F">
              <w:rPr>
                <w:rFonts w:ascii="Verdana" w:eastAsia="Verdana" w:hAnsi="Verdana" w:cs="Verdana"/>
                <w:b/>
                <w:color w:val="000000"/>
                <w:sz w:val="16"/>
                <w:lang w:val="en-GB"/>
              </w:rPr>
              <w:t>14</w:t>
            </w:r>
            <w:r>
              <w:rPr>
                <w:rFonts w:ascii="Verdana" w:eastAsia="Verdana" w:hAnsi="Verdana" w:cs="Verdana"/>
                <w:b/>
                <w:color w:val="000000"/>
                <w:sz w:val="16"/>
                <w:lang w:val="en-GB"/>
              </w:rPr>
              <w:t>2)</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2,254</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Surplus or Deficit on Provision of Services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F02926" w:rsidRDefault="00CA6653">
            <w:pPr>
              <w:pStyle w:val="T1TableStyle"/>
              <w:jc w:val="right"/>
              <w:rPr>
                <w:rFonts w:ascii="Verdana" w:eastAsia="Verdana" w:hAnsi="Verdana" w:cs="Verdana"/>
                <w:b/>
                <w:color w:val="000000"/>
                <w:sz w:val="16"/>
                <w:lang w:val="en-GB"/>
              </w:rPr>
            </w:pPr>
            <w:r w:rsidRPr="00F02926">
              <w:rPr>
                <w:rFonts w:ascii="Verdana" w:eastAsia="Verdana" w:hAnsi="Verdana" w:cs="Verdana"/>
                <w:b/>
                <w:color w:val="000000"/>
                <w:sz w:val="16"/>
                <w:lang w:val="en-GB"/>
              </w:rPr>
              <w:t>2</w:t>
            </w:r>
            <w:r w:rsidR="00D23013">
              <w:rPr>
                <w:rFonts w:ascii="Verdana" w:eastAsia="Verdana" w:hAnsi="Verdana" w:cs="Verdana"/>
                <w:b/>
                <w:color w:val="000000"/>
                <w:sz w:val="16"/>
                <w:lang w:val="en-GB"/>
              </w:rPr>
              <w:t>68</w:t>
            </w:r>
            <w:r w:rsidRPr="00F02926">
              <w:rPr>
                <w:rFonts w:ascii="Verdana" w:eastAsia="Verdana" w:hAnsi="Verdana" w:cs="Verdana"/>
                <w:b/>
                <w:color w:val="000000"/>
                <w:sz w:val="16"/>
                <w:lang w:val="en-GB"/>
              </w:rPr>
              <w:t>,</w:t>
            </w:r>
            <w:r w:rsidR="00D23013">
              <w:rPr>
                <w:rFonts w:ascii="Verdana" w:eastAsia="Verdana" w:hAnsi="Verdana" w:cs="Verdana"/>
                <w:b/>
                <w:color w:val="000000"/>
                <w:sz w:val="16"/>
                <w:lang w:val="en-GB"/>
              </w:rPr>
              <w:t>08</w:t>
            </w:r>
            <w:r w:rsidR="0092331C">
              <w:rPr>
                <w:rFonts w:ascii="Verdana" w:eastAsia="Verdana" w:hAnsi="Verdana" w:cs="Verdana"/>
                <w:b/>
                <w:color w:val="000000"/>
                <w:sz w:val="16"/>
                <w:lang w:val="en-GB"/>
              </w:rPr>
              <w:t>1</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F02926" w:rsidRDefault="00CA6653">
            <w:pPr>
              <w:pStyle w:val="T1TableStyle"/>
              <w:jc w:val="right"/>
              <w:rPr>
                <w:rFonts w:ascii="Verdana" w:eastAsia="Verdana" w:hAnsi="Verdana" w:cs="Verdana"/>
                <w:b/>
                <w:color w:val="000000"/>
                <w:sz w:val="16"/>
                <w:lang w:val="en-GB"/>
              </w:rPr>
            </w:pPr>
            <w:r w:rsidRPr="00F02926">
              <w:rPr>
                <w:rFonts w:ascii="Verdana" w:eastAsia="Verdana" w:hAnsi="Verdana" w:cs="Verdana"/>
                <w:b/>
                <w:color w:val="000000"/>
                <w:sz w:val="16"/>
                <w:lang w:val="en-GB"/>
              </w:rPr>
              <w:t>(2</w:t>
            </w:r>
            <w:r w:rsidR="00D23013">
              <w:rPr>
                <w:rFonts w:ascii="Verdana" w:eastAsia="Verdana" w:hAnsi="Verdana" w:cs="Verdana"/>
                <w:b/>
                <w:color w:val="000000"/>
                <w:sz w:val="16"/>
                <w:lang w:val="en-GB"/>
              </w:rPr>
              <w:t>67</w:t>
            </w:r>
            <w:r w:rsidRPr="00F02926">
              <w:rPr>
                <w:rFonts w:ascii="Verdana" w:eastAsia="Verdana" w:hAnsi="Verdana" w:cs="Verdana"/>
                <w:b/>
                <w:color w:val="000000"/>
                <w:sz w:val="16"/>
                <w:lang w:val="en-GB"/>
              </w:rPr>
              <w:t>,</w:t>
            </w:r>
            <w:r w:rsidR="00D23013">
              <w:rPr>
                <w:rFonts w:ascii="Verdana" w:eastAsia="Verdana" w:hAnsi="Verdana" w:cs="Verdana"/>
                <w:b/>
                <w:color w:val="000000"/>
                <w:sz w:val="16"/>
                <w:lang w:val="en-GB"/>
              </w:rPr>
              <w:t>2</w:t>
            </w:r>
            <w:r w:rsidR="005F41D5">
              <w:rPr>
                <w:rFonts w:ascii="Verdana" w:eastAsia="Verdana" w:hAnsi="Verdana" w:cs="Verdana"/>
                <w:b/>
                <w:color w:val="000000"/>
                <w:sz w:val="16"/>
                <w:lang w:val="en-GB"/>
              </w:rPr>
              <w:t>3</w:t>
            </w:r>
            <w:r w:rsidR="00D23013">
              <w:rPr>
                <w:rFonts w:ascii="Verdana" w:eastAsia="Verdana" w:hAnsi="Verdana" w:cs="Verdana"/>
                <w:b/>
                <w:color w:val="000000"/>
                <w:sz w:val="16"/>
                <w:lang w:val="en-GB"/>
              </w:rPr>
              <w:t>6</w:t>
            </w:r>
            <w:r w:rsidRPr="00F02926">
              <w:rPr>
                <w:rFonts w:ascii="Verdana" w:eastAsia="Verdana" w:hAnsi="Verdana" w:cs="Verdana"/>
                <w:b/>
                <w:color w:val="000000"/>
                <w:sz w:val="16"/>
                <w:lang w:val="en-GB"/>
              </w:rPr>
              <w:t>)</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F02926" w:rsidRDefault="005F41D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w:t>
            </w:r>
            <w:r w:rsidR="00D12FDA">
              <w:rPr>
                <w:rFonts w:ascii="Verdana" w:eastAsia="Verdana" w:hAnsi="Verdana" w:cs="Verdana"/>
                <w:b/>
                <w:color w:val="000000"/>
                <w:sz w:val="16"/>
                <w:lang w:val="en-GB"/>
              </w:rPr>
              <w:t>4</w:t>
            </w:r>
            <w:r w:rsidR="0092331C">
              <w:rPr>
                <w:rFonts w:ascii="Verdana" w:eastAsia="Verdana" w:hAnsi="Verdana" w:cs="Verdana"/>
                <w:b/>
                <w:color w:val="000000"/>
                <w:sz w:val="16"/>
                <w:lang w:val="en-GB"/>
              </w:rPr>
              <w:t>5</w:t>
            </w:r>
          </w:p>
        </w:tc>
      </w:tr>
      <w:tr w:rsidR="004D417B" w:rsidTr="00412EE1">
        <w:trPr>
          <w:trHeight w:hRule="exact" w:val="195"/>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Pr="00462E6D" w:rsidRDefault="00CA6653">
            <w:pPr>
              <w:pStyle w:val="T1TableStyle"/>
              <w:jc w:val="center"/>
              <w:rPr>
                <w:rFonts w:ascii="Calibri" w:eastAsia="Calibri" w:hAnsi="Calibri" w:cs="Calibri"/>
                <w:color w:val="000000"/>
                <w:sz w:val="2"/>
                <w:highlight w:val="yellow"/>
                <w:lang w:val="en-GB"/>
              </w:rPr>
            </w:pPr>
            <w:r w:rsidRPr="00462E6D">
              <w:rPr>
                <w:rFonts w:ascii="Calibri" w:eastAsia="Calibri" w:hAnsi="Calibri" w:cs="Calibri"/>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462E6D" w:rsidRDefault="00CA6653">
            <w:pPr>
              <w:pStyle w:val="T1TableStyle"/>
              <w:jc w:val="center"/>
              <w:rPr>
                <w:rFonts w:ascii="Calibri" w:eastAsia="Calibri" w:hAnsi="Calibri" w:cs="Calibri"/>
                <w:color w:val="000000"/>
                <w:sz w:val="2"/>
                <w:highlight w:val="yellow"/>
                <w:lang w:val="en-GB"/>
              </w:rPr>
            </w:pPr>
            <w:r w:rsidRPr="00462E6D">
              <w:rPr>
                <w:rFonts w:ascii="Calibri" w:eastAsia="Calibri" w:hAnsi="Calibri" w:cs="Calibri"/>
                <w:color w:val="000000"/>
                <w:sz w:val="2"/>
                <w:highlight w:val="yellow"/>
                <w:lang w:val="en-GB"/>
              </w:rPr>
              <w:t xml:space="preserve"> </w:t>
            </w:r>
          </w:p>
        </w:tc>
        <w:tc>
          <w:tcPr>
            <w:tcW w:w="1230" w:type="dxa"/>
            <w:shd w:val="clear" w:color="auto" w:fill="auto"/>
            <w:tcMar>
              <w:top w:w="20" w:type="dxa"/>
              <w:left w:w="20" w:type="dxa"/>
              <w:bottom w:w="20" w:type="dxa"/>
              <w:right w:w="20" w:type="dxa"/>
            </w:tcMar>
          </w:tcPr>
          <w:p w:rsidR="00CA6653" w:rsidRPr="00462E6D" w:rsidRDefault="00CA6653">
            <w:pPr>
              <w:pStyle w:val="T1TableStyle"/>
              <w:jc w:val="center"/>
              <w:rPr>
                <w:rFonts w:ascii="Calibri" w:eastAsia="Calibri" w:hAnsi="Calibri" w:cs="Calibri"/>
                <w:color w:val="000000"/>
                <w:sz w:val="2"/>
                <w:highlight w:val="yellow"/>
                <w:lang w:val="en-GB"/>
              </w:rPr>
            </w:pPr>
            <w:r w:rsidRPr="00462E6D">
              <w:rPr>
                <w:rFonts w:ascii="Calibri" w:eastAsia="Calibri" w:hAnsi="Calibri" w:cs="Calibri"/>
                <w:color w:val="000000"/>
                <w:sz w:val="2"/>
                <w:highlight w:val="yellow"/>
                <w:lang w:val="en-GB"/>
              </w:rPr>
              <w:t xml:space="preserve"> </w:t>
            </w:r>
          </w:p>
        </w:tc>
      </w:tr>
      <w:tr w:rsidR="004D417B" w:rsidTr="00412EE1">
        <w:trPr>
          <w:trHeight w:val="63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(5,256)</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Surplus or deficit on revaluation of Property, Plant and Equipment</w:t>
            </w:r>
          </w:p>
        </w:tc>
        <w:tc>
          <w:tcPr>
            <w:tcW w:w="1230" w:type="dxa"/>
            <w:shd w:val="clear" w:color="auto" w:fill="auto"/>
            <w:tcMar>
              <w:top w:w="20" w:type="dxa"/>
              <w:left w:w="20" w:type="dxa"/>
              <w:bottom w:w="20" w:type="dxa"/>
              <w:right w:w="20" w:type="dxa"/>
            </w:tcMar>
          </w:tcPr>
          <w:p w:rsidR="00CA6653" w:rsidRPr="00462E6D" w:rsidRDefault="00CA6653">
            <w:pPr>
              <w:pStyle w:val="T1TableStyle"/>
              <w:jc w:val="center"/>
              <w:rPr>
                <w:rFonts w:ascii="Verdana" w:eastAsia="Verdana" w:hAnsi="Verdana" w:cs="Verdana"/>
                <w:color w:val="000000"/>
                <w:sz w:val="2"/>
                <w:highlight w:val="yellow"/>
                <w:lang w:val="en-GB"/>
              </w:rPr>
            </w:pPr>
            <w:r w:rsidRPr="00462E6D">
              <w:rPr>
                <w:rFonts w:ascii="Verdana" w:eastAsia="Verdana" w:hAnsi="Verdana" w:cs="Verdana"/>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462E6D" w:rsidRDefault="00CA6653">
            <w:pPr>
              <w:pStyle w:val="T1TableStyle"/>
              <w:jc w:val="center"/>
              <w:rPr>
                <w:rFonts w:ascii="Verdana" w:eastAsia="Verdana" w:hAnsi="Verdana" w:cs="Verdana"/>
                <w:color w:val="000000"/>
                <w:sz w:val="2"/>
                <w:highlight w:val="yellow"/>
                <w:lang w:val="en-GB"/>
              </w:rPr>
            </w:pPr>
            <w:r w:rsidRPr="00462E6D">
              <w:rPr>
                <w:rFonts w:ascii="Verdana" w:eastAsia="Verdana" w:hAnsi="Verdana" w:cs="Verdana"/>
                <w:color w:val="000000"/>
                <w:sz w:val="2"/>
                <w:highlight w:val="yellow"/>
                <w:lang w:val="en-GB"/>
              </w:rPr>
              <w:t xml:space="preserve"> </w:t>
            </w:r>
          </w:p>
        </w:tc>
        <w:tc>
          <w:tcPr>
            <w:tcW w:w="1230" w:type="dxa"/>
            <w:shd w:val="clear" w:color="auto" w:fill="auto"/>
            <w:tcMar>
              <w:top w:w="20" w:type="dxa"/>
              <w:left w:w="20" w:type="dxa"/>
              <w:bottom w:w="20" w:type="dxa"/>
              <w:right w:w="20" w:type="dxa"/>
            </w:tcMar>
          </w:tcPr>
          <w:p w:rsidR="00CA6653" w:rsidRPr="00E372FC" w:rsidRDefault="00CA6653" w:rsidP="00E372FC">
            <w:pPr>
              <w:pStyle w:val="T1TableStyle"/>
              <w:jc w:val="right"/>
              <w:rPr>
                <w:rFonts w:ascii="Verdana" w:eastAsia="Verdana" w:hAnsi="Verdana" w:cs="Verdana"/>
                <w:color w:val="000000"/>
                <w:sz w:val="16"/>
                <w:lang w:val="en-GB"/>
              </w:rPr>
            </w:pPr>
            <w:r w:rsidRPr="00E372FC">
              <w:rPr>
                <w:rFonts w:ascii="Verdana" w:eastAsia="Verdana" w:hAnsi="Verdana" w:cs="Verdana"/>
                <w:color w:val="000000"/>
                <w:sz w:val="16"/>
                <w:lang w:val="en-GB"/>
              </w:rPr>
              <w:t>(</w:t>
            </w:r>
            <w:r w:rsidR="00E372FC" w:rsidRPr="00E372FC">
              <w:rPr>
                <w:rFonts w:ascii="Verdana" w:eastAsia="Verdana" w:hAnsi="Verdana" w:cs="Verdana"/>
                <w:color w:val="000000"/>
                <w:sz w:val="16"/>
                <w:lang w:val="en-GB"/>
              </w:rPr>
              <w:t>9,459</w:t>
            </w:r>
            <w:r w:rsidRPr="00E372FC">
              <w:rPr>
                <w:rFonts w:ascii="Verdana" w:eastAsia="Verdana" w:hAnsi="Verdana" w:cs="Verdana"/>
                <w:color w:val="000000"/>
                <w:sz w:val="16"/>
                <w:lang w:val="en-GB"/>
              </w:rPr>
              <w:t>)</w:t>
            </w:r>
          </w:p>
        </w:tc>
      </w:tr>
      <w:tr w:rsidR="004D417B" w:rsidTr="00412EE1">
        <w:trPr>
          <w:trHeight w:val="63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228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Re</w:t>
            </w:r>
            <w:r w:rsidR="0019417B">
              <w:rPr>
                <w:rFonts w:ascii="Verdana" w:eastAsia="Verdana" w:hAnsi="Verdana" w:cs="Verdana"/>
                <w:color w:val="000000"/>
                <w:sz w:val="16"/>
                <w:lang w:val="en-GB"/>
              </w:rPr>
              <w:t>-</w:t>
            </w:r>
            <w:r>
              <w:rPr>
                <w:rFonts w:ascii="Verdana" w:eastAsia="Verdana" w:hAnsi="Verdana" w:cs="Verdana"/>
                <w:color w:val="000000"/>
                <w:sz w:val="16"/>
                <w:lang w:val="en-GB"/>
              </w:rPr>
              <w:t>measurement of the net defined benefit liability / asset</w:t>
            </w:r>
          </w:p>
        </w:tc>
        <w:tc>
          <w:tcPr>
            <w:tcW w:w="1230" w:type="dxa"/>
            <w:shd w:val="clear" w:color="auto" w:fill="auto"/>
            <w:tcMar>
              <w:top w:w="20" w:type="dxa"/>
              <w:left w:w="20" w:type="dxa"/>
              <w:bottom w:w="20" w:type="dxa"/>
              <w:right w:w="20" w:type="dxa"/>
            </w:tcMar>
          </w:tcPr>
          <w:p w:rsidR="00CA6653" w:rsidRPr="00462E6D" w:rsidRDefault="00CA6653">
            <w:pPr>
              <w:pStyle w:val="T1TableStyle"/>
              <w:jc w:val="center"/>
              <w:rPr>
                <w:rFonts w:ascii="Verdana" w:eastAsia="Verdana" w:hAnsi="Verdana" w:cs="Verdana"/>
                <w:color w:val="000000"/>
                <w:sz w:val="2"/>
                <w:highlight w:val="yellow"/>
                <w:lang w:val="en-GB"/>
              </w:rPr>
            </w:pPr>
            <w:r w:rsidRPr="00462E6D">
              <w:rPr>
                <w:rFonts w:ascii="Verdana" w:eastAsia="Verdana" w:hAnsi="Verdana" w:cs="Verdana"/>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462E6D" w:rsidRDefault="00CA6653">
            <w:pPr>
              <w:pStyle w:val="T1TableStyle"/>
              <w:jc w:val="center"/>
              <w:rPr>
                <w:rFonts w:ascii="Verdana" w:eastAsia="Verdana" w:hAnsi="Verdana" w:cs="Verdana"/>
                <w:color w:val="000000"/>
                <w:sz w:val="2"/>
                <w:highlight w:val="yellow"/>
                <w:lang w:val="en-GB"/>
              </w:rPr>
            </w:pPr>
            <w:r w:rsidRPr="00462E6D">
              <w:rPr>
                <w:rFonts w:ascii="Verdana" w:eastAsia="Verdana" w:hAnsi="Verdana" w:cs="Verdana"/>
                <w:color w:val="000000"/>
                <w:sz w:val="2"/>
                <w:highlight w:val="yellow"/>
                <w:lang w:val="en-GB"/>
              </w:rPr>
              <w:t xml:space="preserve"> </w:t>
            </w:r>
          </w:p>
        </w:tc>
        <w:tc>
          <w:tcPr>
            <w:tcW w:w="1230" w:type="dxa"/>
            <w:shd w:val="clear" w:color="auto" w:fill="auto"/>
            <w:tcMar>
              <w:top w:w="20" w:type="dxa"/>
              <w:left w:w="20" w:type="dxa"/>
              <w:bottom w:w="20" w:type="dxa"/>
              <w:right w:w="20" w:type="dxa"/>
            </w:tcMar>
          </w:tcPr>
          <w:p w:rsidR="00CA6653" w:rsidRPr="00E372FC" w:rsidRDefault="00A714AB" w:rsidP="00A714A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1,262</w:t>
            </w:r>
          </w:p>
        </w:tc>
      </w:tr>
      <w:tr w:rsidR="004D417B" w:rsidTr="00412EE1">
        <w:trPr>
          <w:trHeight w:val="42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(5,256)</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Other Comprehensive Income and Expenditure</w:t>
            </w:r>
          </w:p>
        </w:tc>
        <w:tc>
          <w:tcPr>
            <w:tcW w:w="1230" w:type="dxa"/>
            <w:shd w:val="clear" w:color="auto" w:fill="auto"/>
            <w:tcMar>
              <w:top w:w="20" w:type="dxa"/>
              <w:left w:w="20" w:type="dxa"/>
              <w:bottom w:w="20" w:type="dxa"/>
              <w:right w:w="20" w:type="dxa"/>
            </w:tcMar>
          </w:tcPr>
          <w:p w:rsidR="00CA6653" w:rsidRPr="00462E6D" w:rsidRDefault="00CA6653">
            <w:pPr>
              <w:pStyle w:val="T1TableStyle"/>
              <w:jc w:val="center"/>
              <w:rPr>
                <w:rFonts w:ascii="Calibri" w:eastAsia="Calibri" w:hAnsi="Calibri" w:cs="Calibri"/>
                <w:color w:val="000000"/>
                <w:sz w:val="2"/>
                <w:highlight w:val="yellow"/>
                <w:lang w:val="en-GB"/>
              </w:rPr>
            </w:pPr>
            <w:r w:rsidRPr="00462E6D">
              <w:rPr>
                <w:rFonts w:ascii="Calibri" w:eastAsia="Calibri" w:hAnsi="Calibri" w:cs="Calibri"/>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462E6D" w:rsidRDefault="00CA6653">
            <w:pPr>
              <w:pStyle w:val="T1TableStyle"/>
              <w:jc w:val="center"/>
              <w:rPr>
                <w:rFonts w:ascii="Calibri" w:eastAsia="Calibri" w:hAnsi="Calibri" w:cs="Calibri"/>
                <w:color w:val="000000"/>
                <w:sz w:val="2"/>
                <w:highlight w:val="yellow"/>
                <w:lang w:val="en-GB"/>
              </w:rPr>
            </w:pPr>
            <w:r w:rsidRPr="00462E6D">
              <w:rPr>
                <w:rFonts w:ascii="Calibri" w:eastAsia="Calibri" w:hAnsi="Calibri" w:cs="Calibri"/>
                <w:color w:val="000000"/>
                <w:sz w:val="2"/>
                <w:highlight w:val="yellow"/>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E372FC" w:rsidRDefault="00E372FC">
            <w:pPr>
              <w:pStyle w:val="T1TableStyle"/>
              <w:jc w:val="right"/>
              <w:rPr>
                <w:rFonts w:ascii="Verdana" w:eastAsia="Verdana" w:hAnsi="Verdana" w:cs="Verdana"/>
                <w:b/>
                <w:color w:val="000000"/>
                <w:sz w:val="16"/>
                <w:lang w:val="en-GB"/>
              </w:rPr>
            </w:pPr>
            <w:r w:rsidRPr="00E372FC">
              <w:rPr>
                <w:rFonts w:ascii="Verdana" w:eastAsia="Verdana" w:hAnsi="Verdana" w:cs="Verdana"/>
                <w:b/>
                <w:color w:val="000000"/>
                <w:sz w:val="16"/>
                <w:lang w:val="en-GB"/>
              </w:rPr>
              <w:t>(</w:t>
            </w:r>
            <w:r w:rsidR="00A714AB">
              <w:rPr>
                <w:rFonts w:ascii="Verdana" w:eastAsia="Verdana" w:hAnsi="Verdana" w:cs="Verdana"/>
                <w:b/>
                <w:color w:val="000000"/>
                <w:sz w:val="16"/>
                <w:lang w:val="en-GB"/>
              </w:rPr>
              <w:t>8,197</w:t>
            </w:r>
            <w:r w:rsidR="00CA6653" w:rsidRPr="00E372FC">
              <w:rPr>
                <w:rFonts w:ascii="Verdana" w:eastAsia="Verdana" w:hAnsi="Verdana" w:cs="Verdana"/>
                <w:b/>
                <w:color w:val="000000"/>
                <w:sz w:val="16"/>
                <w:lang w:val="en-GB"/>
              </w:rPr>
              <w:t>)</w:t>
            </w:r>
          </w:p>
        </w:tc>
      </w:tr>
      <w:tr w:rsidR="004D417B" w:rsidTr="00412EE1">
        <w:trPr>
          <w:trHeight w:hRule="exact" w:val="27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228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shd w:val="clear" w:color="auto" w:fill="auto"/>
            <w:tcMar>
              <w:top w:w="20" w:type="dxa"/>
              <w:left w:w="20" w:type="dxa"/>
              <w:bottom w:w="20" w:type="dxa"/>
              <w:right w:w="20" w:type="dxa"/>
            </w:tcMar>
          </w:tcPr>
          <w:p w:rsidR="00CA6653" w:rsidRPr="00462E6D" w:rsidRDefault="00CA6653">
            <w:pPr>
              <w:pStyle w:val="T1TableStyle"/>
              <w:jc w:val="center"/>
              <w:rPr>
                <w:rFonts w:ascii="Calibri" w:eastAsia="Calibri" w:hAnsi="Calibri" w:cs="Calibri"/>
                <w:color w:val="000000"/>
                <w:sz w:val="2"/>
                <w:highlight w:val="yellow"/>
                <w:lang w:val="en-GB"/>
              </w:rPr>
            </w:pPr>
            <w:r w:rsidRPr="00462E6D">
              <w:rPr>
                <w:rFonts w:ascii="Calibri" w:eastAsia="Calibri" w:hAnsi="Calibri" w:cs="Calibri"/>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462E6D" w:rsidRDefault="00CA6653">
            <w:pPr>
              <w:pStyle w:val="T1TableStyle"/>
              <w:jc w:val="center"/>
              <w:rPr>
                <w:rFonts w:ascii="Calibri" w:eastAsia="Calibri" w:hAnsi="Calibri" w:cs="Calibri"/>
                <w:color w:val="000000"/>
                <w:sz w:val="2"/>
                <w:highlight w:val="yellow"/>
                <w:lang w:val="en-GB"/>
              </w:rPr>
            </w:pPr>
            <w:r w:rsidRPr="00462E6D">
              <w:rPr>
                <w:rFonts w:ascii="Calibri" w:eastAsia="Calibri" w:hAnsi="Calibri" w:cs="Calibri"/>
                <w:color w:val="000000"/>
                <w:sz w:val="2"/>
                <w:highlight w:val="yellow"/>
                <w:lang w:val="en-GB"/>
              </w:rPr>
              <w:t xml:space="preserve"> </w:t>
            </w:r>
          </w:p>
        </w:tc>
        <w:tc>
          <w:tcPr>
            <w:tcW w:w="1230" w:type="dxa"/>
            <w:shd w:val="clear" w:color="auto" w:fill="auto"/>
            <w:tcMar>
              <w:top w:w="20" w:type="dxa"/>
              <w:left w:w="20" w:type="dxa"/>
              <w:bottom w:w="20" w:type="dxa"/>
              <w:right w:w="20" w:type="dxa"/>
            </w:tcMar>
          </w:tcPr>
          <w:p w:rsidR="00CA6653" w:rsidRPr="00E372FC" w:rsidRDefault="00CA6653">
            <w:pPr>
              <w:pStyle w:val="T1TableStyle"/>
              <w:jc w:val="center"/>
              <w:rPr>
                <w:rFonts w:ascii="Calibri" w:eastAsia="Calibri" w:hAnsi="Calibri" w:cs="Calibri"/>
                <w:color w:val="000000"/>
                <w:sz w:val="2"/>
                <w:lang w:val="en-GB"/>
              </w:rPr>
            </w:pPr>
            <w:r w:rsidRPr="00E372FC">
              <w:rPr>
                <w:rFonts w:ascii="Calibri" w:eastAsia="Calibri" w:hAnsi="Calibri" w:cs="Calibri"/>
                <w:color w:val="000000"/>
                <w:sz w:val="2"/>
                <w:lang w:val="en-GB"/>
              </w:rPr>
              <w:t xml:space="preserve"> </w:t>
            </w:r>
          </w:p>
        </w:tc>
      </w:tr>
      <w:tr w:rsidR="004D417B" w:rsidTr="00412EE1">
        <w:trPr>
          <w:trHeight w:val="420"/>
          <w:jc w:val="center"/>
        </w:trPr>
        <w:tc>
          <w:tcPr>
            <w:tcW w:w="123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(3,002)</w:t>
            </w:r>
          </w:p>
        </w:tc>
        <w:tc>
          <w:tcPr>
            <w:tcW w:w="22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Comprehensive Income and Expenditure</w:t>
            </w:r>
          </w:p>
        </w:tc>
        <w:tc>
          <w:tcPr>
            <w:tcW w:w="1230" w:type="dxa"/>
            <w:shd w:val="clear" w:color="auto" w:fill="auto"/>
            <w:tcMar>
              <w:top w:w="20" w:type="dxa"/>
              <w:left w:w="20" w:type="dxa"/>
              <w:bottom w:w="20" w:type="dxa"/>
              <w:right w:w="20" w:type="dxa"/>
            </w:tcMar>
          </w:tcPr>
          <w:p w:rsidR="00CA6653" w:rsidRPr="00462E6D" w:rsidRDefault="00CA6653">
            <w:pPr>
              <w:pStyle w:val="T1TableStyle"/>
              <w:jc w:val="center"/>
              <w:rPr>
                <w:rFonts w:ascii="Calibri" w:eastAsia="Calibri" w:hAnsi="Calibri" w:cs="Calibri"/>
                <w:color w:val="000000"/>
                <w:sz w:val="2"/>
                <w:highlight w:val="yellow"/>
                <w:lang w:val="en-GB"/>
              </w:rPr>
            </w:pPr>
            <w:r w:rsidRPr="00462E6D">
              <w:rPr>
                <w:rFonts w:ascii="Calibri" w:eastAsia="Calibri" w:hAnsi="Calibri" w:cs="Calibri"/>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462E6D" w:rsidRDefault="00CA6653">
            <w:pPr>
              <w:pStyle w:val="T1TableStyle"/>
              <w:jc w:val="center"/>
              <w:rPr>
                <w:rFonts w:ascii="Calibri" w:eastAsia="Calibri" w:hAnsi="Calibri" w:cs="Calibri"/>
                <w:color w:val="000000"/>
                <w:sz w:val="2"/>
                <w:highlight w:val="yellow"/>
                <w:lang w:val="en-GB"/>
              </w:rPr>
            </w:pPr>
            <w:r w:rsidRPr="00462E6D">
              <w:rPr>
                <w:rFonts w:ascii="Calibri" w:eastAsia="Calibri" w:hAnsi="Calibri" w:cs="Calibri"/>
                <w:color w:val="000000"/>
                <w:sz w:val="2"/>
                <w:highlight w:val="yellow"/>
                <w:lang w:val="en-GB"/>
              </w:rPr>
              <w:t xml:space="preserve"> </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E372FC" w:rsidRDefault="00E372FC">
            <w:pPr>
              <w:pStyle w:val="T1TableStyle"/>
              <w:jc w:val="right"/>
              <w:rPr>
                <w:rFonts w:ascii="Verdana" w:eastAsia="Verdana" w:hAnsi="Verdana" w:cs="Verdana"/>
                <w:b/>
                <w:color w:val="000000"/>
                <w:sz w:val="16"/>
                <w:lang w:val="en-GB"/>
              </w:rPr>
            </w:pPr>
            <w:r w:rsidRPr="00E372FC">
              <w:rPr>
                <w:rFonts w:ascii="Verdana" w:eastAsia="Verdana" w:hAnsi="Verdana" w:cs="Verdana"/>
                <w:b/>
                <w:color w:val="000000"/>
                <w:sz w:val="16"/>
                <w:lang w:val="en-GB"/>
              </w:rPr>
              <w:t>(</w:t>
            </w:r>
            <w:r w:rsidR="00A714AB">
              <w:rPr>
                <w:rFonts w:ascii="Verdana" w:eastAsia="Verdana" w:hAnsi="Verdana" w:cs="Verdana"/>
                <w:b/>
                <w:color w:val="000000"/>
                <w:sz w:val="16"/>
                <w:lang w:val="en-GB"/>
              </w:rPr>
              <w:t>7,35</w:t>
            </w:r>
            <w:r w:rsidR="0092331C">
              <w:rPr>
                <w:rFonts w:ascii="Verdana" w:eastAsia="Verdana" w:hAnsi="Verdana" w:cs="Verdana"/>
                <w:b/>
                <w:color w:val="000000"/>
                <w:sz w:val="16"/>
                <w:lang w:val="en-GB"/>
              </w:rPr>
              <w:t>2</w:t>
            </w:r>
            <w:r w:rsidR="00CA6653" w:rsidRPr="00E372FC">
              <w:rPr>
                <w:rFonts w:ascii="Verdana" w:eastAsia="Verdana" w:hAnsi="Verdana" w:cs="Verdana"/>
                <w:b/>
                <w:color w:val="000000"/>
                <w:sz w:val="16"/>
                <w:lang w:val="en-GB"/>
              </w:rPr>
              <w:t>)</w:t>
            </w:r>
          </w:p>
        </w:tc>
      </w:tr>
    </w:tbl>
    <w:p w:rsidR="00CA6653" w:rsidRDefault="00CA6653">
      <w:pPr>
        <w:pStyle w:val="T1TableStyle"/>
        <w:rPr>
          <w:lang w:val="en-GB"/>
        </w:rPr>
      </w:pPr>
    </w:p>
    <w:p w:rsidR="00CA6653" w:rsidRDefault="00CA6653" w:rsidP="00CA6653">
      <w:pPr>
        <w:pStyle w:val="Normal0"/>
        <w:spacing w:after="160"/>
        <w:rPr>
          <w:rFonts w:ascii="Verdana" w:hAnsi="Verdana"/>
          <w:sz w:val="22"/>
          <w:szCs w:val="22"/>
          <w:lang w:val="en-GB"/>
        </w:rPr>
        <w:sectPr w:rsidR="00CA6653" w:rsidSect="00CA6653">
          <w:pgSz w:w="11900" w:h="16840"/>
          <w:pgMar w:top="720" w:right="720" w:bottom="720" w:left="720" w:header="708" w:footer="708" w:gutter="0"/>
          <w:cols w:space="708"/>
          <w:docGrid w:linePitch="360"/>
        </w:sectPr>
      </w:pPr>
    </w:p>
    <w:p w:rsidR="00CA6653" w:rsidRDefault="00CA6653" w:rsidP="00A31A9E">
      <w:pPr>
        <w:pStyle w:val="Heading1"/>
      </w:pPr>
      <w:bookmarkStart w:id="10" w:name="_Toc55900401"/>
      <w:r>
        <w:t>Balance Sheet</w:t>
      </w:r>
      <w:bookmarkEnd w:id="10"/>
      <w:r>
        <w:t xml:space="preserve"> </w:t>
      </w:r>
    </w:p>
    <w:p w:rsidR="0019417B" w:rsidRDefault="0019417B" w:rsidP="00A200D5">
      <w:pPr>
        <w:jc w:val="both"/>
        <w:rPr>
          <w:lang w:val="en-GB"/>
        </w:rPr>
      </w:pPr>
      <w:r>
        <w:rPr>
          <w:lang w:val="en-GB"/>
        </w:rPr>
        <w:t>The Balance Sheet shows the value as at the Balance Sheet date of the assets and liabilities recognised by the Police and Crime Commissioner. The net assets of the Police and Crime Commissioner (assets less liabilities) are matched by the reserves held by the Police and Crime Commissioner.</w:t>
      </w:r>
    </w:p>
    <w:p w:rsidR="009C625F" w:rsidRPr="0019417B" w:rsidRDefault="009C625F" w:rsidP="000D6EF8">
      <w:pPr>
        <w:rPr>
          <w:lang w:val="pt-BR"/>
        </w:rPr>
      </w:pPr>
    </w:p>
    <w:tbl>
      <w:tblPr>
        <w:tblW w:w="5000" w:type="pct"/>
        <w:jc w:val="center"/>
        <w:tblLook w:val="04A0" w:firstRow="1" w:lastRow="0" w:firstColumn="1" w:lastColumn="0" w:noHBand="0" w:noVBand="1"/>
      </w:tblPr>
      <w:tblGrid>
        <w:gridCol w:w="1624"/>
        <w:gridCol w:w="1624"/>
        <w:gridCol w:w="201"/>
        <w:gridCol w:w="716"/>
        <w:gridCol w:w="2804"/>
        <w:gridCol w:w="1624"/>
        <w:gridCol w:w="1867"/>
      </w:tblGrid>
      <w:tr w:rsidR="004D417B" w:rsidTr="00A200D5">
        <w:trPr>
          <w:trHeight w:val="257"/>
          <w:jc w:val="center"/>
        </w:trPr>
        <w:tc>
          <w:tcPr>
            <w:tcW w:w="1586" w:type="pct"/>
            <w:gridSpan w:val="2"/>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57"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585" w:type="pct"/>
            <w:gridSpan w:val="2"/>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PCC</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Group</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57"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PCC</w:t>
            </w:r>
          </w:p>
        </w:tc>
        <w:tc>
          <w:tcPr>
            <w:tcW w:w="792"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Group</w:t>
            </w:r>
          </w:p>
        </w:tc>
      </w:tr>
      <w:tr w:rsidR="004D417B" w:rsidTr="00A200D5">
        <w:trPr>
          <w:trHeight w:val="257"/>
          <w:jc w:val="center"/>
        </w:trPr>
        <w:tc>
          <w:tcPr>
            <w:tcW w:w="793" w:type="pct"/>
            <w:tcBorders>
              <w:bottom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793" w:type="pct"/>
            <w:tcBorders>
              <w:bottom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3" w:type="pct"/>
            <w:tcBorders>
              <w:bottom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tcBorders>
              <w:bottom w:val="single" w:sz="2" w:space="0" w:color="000000"/>
            </w:tcBorders>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lang w:val="en-GB"/>
              </w:rPr>
            </w:pPr>
            <w:r w:rsidRPr="00A200D5">
              <w:rPr>
                <w:rFonts w:ascii="Verdana" w:eastAsia="Verdana" w:hAnsi="Verdana" w:cs="Verdana"/>
                <w:b/>
                <w:i/>
                <w:color w:val="595959" w:themeColor="text1" w:themeTint="A6"/>
                <w:sz w:val="16"/>
                <w:lang w:val="en-GB"/>
              </w:rPr>
              <w:t>Note</w:t>
            </w:r>
          </w:p>
        </w:tc>
        <w:tc>
          <w:tcPr>
            <w:tcW w:w="1357" w:type="pct"/>
            <w:tcBorders>
              <w:bottom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793" w:type="pct"/>
            <w:tcBorders>
              <w:bottom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792" w:type="pct"/>
            <w:tcBorders>
              <w:bottom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F74B84" w:rsidTr="00A200D5">
        <w:trPr>
          <w:trHeight w:val="257"/>
          <w:jc w:val="center"/>
        </w:trPr>
        <w:tc>
          <w:tcPr>
            <w:tcW w:w="793"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124,417</w:t>
            </w:r>
          </w:p>
        </w:tc>
        <w:tc>
          <w:tcPr>
            <w:tcW w:w="793" w:type="pct"/>
            <w:shd w:val="clear" w:color="auto" w:fill="auto"/>
            <w:tcMar>
              <w:top w:w="20" w:type="dxa"/>
              <w:left w:w="20" w:type="dxa"/>
              <w:bottom w:w="20" w:type="dxa"/>
              <w:right w:w="20" w:type="dxa"/>
            </w:tcMar>
            <w:vAlign w:val="center"/>
          </w:tcPr>
          <w:p w:rsidR="00F74B84" w:rsidRDefault="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124,41</w:t>
            </w:r>
            <w:r w:rsidR="007E0EF6">
              <w:rPr>
                <w:rFonts w:ascii="Verdana" w:eastAsia="Verdana" w:hAnsi="Verdana" w:cs="Verdana"/>
                <w:color w:val="000000"/>
                <w:sz w:val="16"/>
                <w:lang w:val="en-GB"/>
              </w:rPr>
              <w:t>7</w:t>
            </w:r>
          </w:p>
        </w:tc>
        <w:tc>
          <w:tcPr>
            <w:tcW w:w="113" w:type="pct"/>
            <w:shd w:val="clear" w:color="auto" w:fill="auto"/>
            <w:tcMar>
              <w:top w:w="20" w:type="dxa"/>
              <w:left w:w="20" w:type="dxa"/>
              <w:bottom w:w="20" w:type="dxa"/>
              <w:right w:w="20" w:type="dxa"/>
            </w:tcMar>
            <w:vAlign w:val="center"/>
          </w:tcPr>
          <w:p w:rsidR="00F74B84" w:rsidRDefault="00F74B84" w:rsidP="00F74B84">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F74B84" w:rsidRPr="00A200D5" w:rsidRDefault="000E6C5C">
            <w:pPr>
              <w:pStyle w:val="T1TableStyle"/>
              <w:jc w:val="center"/>
              <w:rPr>
                <w:rFonts w:ascii="Verdana" w:eastAsia="Verdana" w:hAnsi="Verdana" w:cs="Verdana"/>
                <w:i/>
                <w:color w:val="595959" w:themeColor="text1" w:themeTint="A6"/>
                <w:sz w:val="16"/>
                <w:szCs w:val="16"/>
                <w:lang w:val="en-GB"/>
              </w:rPr>
            </w:pPr>
            <w:r w:rsidRPr="00A200D5">
              <w:rPr>
                <w:rFonts w:ascii="Verdana" w:eastAsia="Verdana" w:hAnsi="Verdana" w:cs="Verdana"/>
                <w:i/>
                <w:color w:val="595959" w:themeColor="text1" w:themeTint="A6"/>
                <w:sz w:val="16"/>
                <w:szCs w:val="16"/>
                <w:lang w:val="en-GB"/>
              </w:rPr>
              <w:t>11</w:t>
            </w:r>
          </w:p>
        </w:tc>
        <w:tc>
          <w:tcPr>
            <w:tcW w:w="1357" w:type="pct"/>
            <w:shd w:val="clear" w:color="auto" w:fill="auto"/>
            <w:tcMar>
              <w:top w:w="20" w:type="dxa"/>
              <w:left w:w="20" w:type="dxa"/>
              <w:bottom w:w="20" w:type="dxa"/>
              <w:right w:w="20" w:type="dxa"/>
            </w:tcMar>
            <w:vAlign w:val="center"/>
          </w:tcPr>
          <w:p w:rsidR="00F74B84" w:rsidRDefault="00F74B84" w:rsidP="00F74B84">
            <w:pPr>
              <w:pStyle w:val="T1TableStyle"/>
              <w:rPr>
                <w:rFonts w:ascii="Verdana" w:eastAsia="Verdana" w:hAnsi="Verdana" w:cs="Verdana"/>
                <w:color w:val="000000"/>
                <w:sz w:val="16"/>
                <w:lang w:val="en-GB"/>
              </w:rPr>
            </w:pPr>
            <w:r>
              <w:rPr>
                <w:rFonts w:ascii="Verdana" w:eastAsia="Verdana" w:hAnsi="Verdana" w:cs="Verdana"/>
                <w:color w:val="000000"/>
                <w:sz w:val="16"/>
                <w:lang w:val="en-GB"/>
              </w:rPr>
              <w:t>Property, Plant and Equipment</w:t>
            </w:r>
          </w:p>
        </w:tc>
        <w:tc>
          <w:tcPr>
            <w:tcW w:w="793" w:type="pct"/>
            <w:shd w:val="clear" w:color="auto" w:fill="auto"/>
            <w:tcMar>
              <w:top w:w="20" w:type="dxa"/>
              <w:left w:w="20" w:type="dxa"/>
              <w:bottom w:w="20" w:type="dxa"/>
              <w:right w:w="20" w:type="dxa"/>
            </w:tcMar>
            <w:vAlign w:val="center"/>
          </w:tcPr>
          <w:p w:rsidR="00F74B84" w:rsidRDefault="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9F3B64">
              <w:rPr>
                <w:rFonts w:ascii="Verdana" w:eastAsia="Verdana" w:hAnsi="Verdana" w:cs="Verdana"/>
                <w:color w:val="000000"/>
                <w:sz w:val="16"/>
                <w:lang w:val="en-GB"/>
              </w:rPr>
              <w:t>29</w:t>
            </w:r>
            <w:r>
              <w:rPr>
                <w:rFonts w:ascii="Verdana" w:eastAsia="Verdana" w:hAnsi="Verdana" w:cs="Verdana"/>
                <w:color w:val="000000"/>
                <w:sz w:val="16"/>
                <w:lang w:val="en-GB"/>
              </w:rPr>
              <w:t>,</w:t>
            </w:r>
            <w:r w:rsidR="009F3B64">
              <w:rPr>
                <w:rFonts w:ascii="Verdana" w:eastAsia="Verdana" w:hAnsi="Verdana" w:cs="Verdana"/>
                <w:color w:val="000000"/>
                <w:sz w:val="16"/>
                <w:lang w:val="en-GB"/>
              </w:rPr>
              <w:t>529</w:t>
            </w:r>
          </w:p>
        </w:tc>
        <w:tc>
          <w:tcPr>
            <w:tcW w:w="792" w:type="pct"/>
            <w:shd w:val="clear" w:color="auto" w:fill="auto"/>
            <w:tcMar>
              <w:top w:w="20" w:type="dxa"/>
              <w:left w:w="20" w:type="dxa"/>
              <w:bottom w:w="20" w:type="dxa"/>
              <w:right w:w="20" w:type="dxa"/>
            </w:tcMar>
            <w:vAlign w:val="center"/>
          </w:tcPr>
          <w:p w:rsidR="00F74B84" w:rsidRDefault="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9F3B64">
              <w:rPr>
                <w:rFonts w:ascii="Verdana" w:eastAsia="Verdana" w:hAnsi="Verdana" w:cs="Verdana"/>
                <w:color w:val="000000"/>
                <w:sz w:val="16"/>
                <w:lang w:val="en-GB"/>
              </w:rPr>
              <w:t>29</w:t>
            </w:r>
            <w:r>
              <w:rPr>
                <w:rFonts w:ascii="Verdana" w:eastAsia="Verdana" w:hAnsi="Verdana" w:cs="Verdana"/>
                <w:color w:val="000000"/>
                <w:sz w:val="16"/>
                <w:lang w:val="en-GB"/>
              </w:rPr>
              <w:t>,</w:t>
            </w:r>
            <w:r w:rsidR="009F3B64">
              <w:rPr>
                <w:rFonts w:ascii="Verdana" w:eastAsia="Verdana" w:hAnsi="Verdana" w:cs="Verdana"/>
                <w:color w:val="000000"/>
                <w:sz w:val="16"/>
                <w:lang w:val="en-GB"/>
              </w:rPr>
              <w:t>529</w:t>
            </w:r>
          </w:p>
        </w:tc>
      </w:tr>
      <w:tr w:rsidR="00F74B84" w:rsidTr="00A200D5">
        <w:trPr>
          <w:trHeight w:val="257"/>
          <w:jc w:val="center"/>
        </w:trPr>
        <w:tc>
          <w:tcPr>
            <w:tcW w:w="793"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793"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3" w:type="pct"/>
            <w:shd w:val="clear" w:color="auto" w:fill="auto"/>
            <w:tcMar>
              <w:top w:w="20" w:type="dxa"/>
              <w:left w:w="20" w:type="dxa"/>
              <w:bottom w:w="20" w:type="dxa"/>
              <w:right w:w="20" w:type="dxa"/>
            </w:tcMar>
            <w:vAlign w:val="center"/>
          </w:tcPr>
          <w:p w:rsidR="00F74B84" w:rsidRDefault="00F74B84" w:rsidP="00F74B84">
            <w:pPr>
              <w:pStyle w:val="T1TableStyle"/>
              <w:jc w:val="center"/>
              <w:rPr>
                <w:rFonts w:ascii="Verdana" w:eastAsia="Verdana" w:hAnsi="Verdana" w:cs="Verdana"/>
                <w:color w:val="000000"/>
                <w:sz w:val="2"/>
                <w:lang w:val="en-GB"/>
              </w:rPr>
            </w:pPr>
          </w:p>
        </w:tc>
        <w:tc>
          <w:tcPr>
            <w:tcW w:w="359" w:type="pct"/>
            <w:shd w:val="clear" w:color="auto" w:fill="auto"/>
            <w:tcMar>
              <w:top w:w="20" w:type="dxa"/>
              <w:left w:w="20" w:type="dxa"/>
              <w:bottom w:w="20" w:type="dxa"/>
              <w:right w:w="20" w:type="dxa"/>
            </w:tcMar>
            <w:vAlign w:val="center"/>
          </w:tcPr>
          <w:p w:rsidR="00F74B84" w:rsidRPr="00A200D5" w:rsidRDefault="000E6C5C">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16</w:t>
            </w:r>
          </w:p>
        </w:tc>
        <w:tc>
          <w:tcPr>
            <w:tcW w:w="1357" w:type="pct"/>
            <w:shd w:val="clear" w:color="auto" w:fill="auto"/>
            <w:tcMar>
              <w:top w:w="20" w:type="dxa"/>
              <w:left w:w="20" w:type="dxa"/>
              <w:bottom w:w="20" w:type="dxa"/>
              <w:right w:w="20" w:type="dxa"/>
            </w:tcMar>
            <w:vAlign w:val="center"/>
          </w:tcPr>
          <w:p w:rsidR="00F74B84" w:rsidRDefault="00F74B84" w:rsidP="00F74B84">
            <w:pPr>
              <w:pStyle w:val="T1TableStyle"/>
              <w:rPr>
                <w:rFonts w:ascii="Verdana" w:eastAsia="Verdana" w:hAnsi="Verdana" w:cs="Verdana"/>
                <w:color w:val="000000"/>
                <w:sz w:val="16"/>
                <w:lang w:val="en-GB"/>
              </w:rPr>
            </w:pPr>
            <w:r>
              <w:rPr>
                <w:rFonts w:ascii="Verdana" w:eastAsia="Verdana" w:hAnsi="Verdana" w:cs="Verdana"/>
                <w:color w:val="000000"/>
                <w:sz w:val="16"/>
                <w:lang w:val="en-GB"/>
              </w:rPr>
              <w:t>Investment Property</w:t>
            </w:r>
          </w:p>
        </w:tc>
        <w:tc>
          <w:tcPr>
            <w:tcW w:w="793"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1,355</w:t>
            </w:r>
          </w:p>
        </w:tc>
        <w:tc>
          <w:tcPr>
            <w:tcW w:w="792"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1,355</w:t>
            </w:r>
          </w:p>
        </w:tc>
      </w:tr>
      <w:tr w:rsidR="00F74B84" w:rsidTr="00A200D5">
        <w:trPr>
          <w:trHeight w:val="257"/>
          <w:jc w:val="center"/>
        </w:trPr>
        <w:tc>
          <w:tcPr>
            <w:tcW w:w="793" w:type="pct"/>
            <w:shd w:val="clear" w:color="auto" w:fill="auto"/>
            <w:tcMar>
              <w:top w:w="20" w:type="dxa"/>
              <w:left w:w="20" w:type="dxa"/>
              <w:bottom w:w="20" w:type="dxa"/>
              <w:right w:w="20" w:type="dxa"/>
            </w:tcMar>
            <w:vAlign w:val="center"/>
          </w:tcPr>
          <w:p w:rsidR="00F74B84" w:rsidRDefault="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3,54</w:t>
            </w:r>
            <w:r w:rsidR="007E0EF6">
              <w:rPr>
                <w:rFonts w:ascii="Verdana" w:eastAsia="Verdana" w:hAnsi="Verdana" w:cs="Verdana"/>
                <w:color w:val="000000"/>
                <w:sz w:val="16"/>
                <w:lang w:val="en-GB"/>
              </w:rPr>
              <w:t>4</w:t>
            </w:r>
          </w:p>
        </w:tc>
        <w:tc>
          <w:tcPr>
            <w:tcW w:w="793"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3,544</w:t>
            </w:r>
          </w:p>
        </w:tc>
        <w:tc>
          <w:tcPr>
            <w:tcW w:w="113" w:type="pct"/>
            <w:shd w:val="clear" w:color="auto" w:fill="auto"/>
            <w:tcMar>
              <w:top w:w="20" w:type="dxa"/>
              <w:left w:w="20" w:type="dxa"/>
              <w:bottom w:w="20" w:type="dxa"/>
              <w:right w:w="20" w:type="dxa"/>
            </w:tcMar>
            <w:vAlign w:val="center"/>
          </w:tcPr>
          <w:p w:rsidR="00F74B84" w:rsidRDefault="00F74B84" w:rsidP="00F74B84">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F74B84" w:rsidRPr="00A200D5" w:rsidRDefault="000E6C5C">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12</w:t>
            </w:r>
          </w:p>
        </w:tc>
        <w:tc>
          <w:tcPr>
            <w:tcW w:w="1357" w:type="pct"/>
            <w:shd w:val="clear" w:color="auto" w:fill="auto"/>
            <w:tcMar>
              <w:top w:w="20" w:type="dxa"/>
              <w:left w:w="20" w:type="dxa"/>
              <w:bottom w:w="20" w:type="dxa"/>
              <w:right w:w="20" w:type="dxa"/>
            </w:tcMar>
            <w:vAlign w:val="center"/>
          </w:tcPr>
          <w:p w:rsidR="00F74B84" w:rsidRDefault="00F74B84" w:rsidP="00F74B84">
            <w:pPr>
              <w:pStyle w:val="T1TableStyle"/>
              <w:rPr>
                <w:rFonts w:ascii="Verdana" w:eastAsia="Verdana" w:hAnsi="Verdana" w:cs="Verdana"/>
                <w:color w:val="000000"/>
                <w:sz w:val="16"/>
                <w:lang w:val="en-GB"/>
              </w:rPr>
            </w:pPr>
            <w:r>
              <w:rPr>
                <w:rFonts w:ascii="Verdana" w:eastAsia="Verdana" w:hAnsi="Verdana" w:cs="Verdana"/>
                <w:color w:val="000000"/>
                <w:sz w:val="16"/>
                <w:lang w:val="en-GB"/>
              </w:rPr>
              <w:t>Intangible Assets</w:t>
            </w:r>
          </w:p>
        </w:tc>
        <w:tc>
          <w:tcPr>
            <w:tcW w:w="793" w:type="pct"/>
            <w:shd w:val="clear" w:color="auto" w:fill="auto"/>
            <w:tcMar>
              <w:top w:w="20" w:type="dxa"/>
              <w:left w:w="20" w:type="dxa"/>
              <w:bottom w:w="20" w:type="dxa"/>
              <w:right w:w="20" w:type="dxa"/>
            </w:tcMar>
            <w:vAlign w:val="center"/>
          </w:tcPr>
          <w:p w:rsidR="00F74B84" w:rsidRDefault="009F3B6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w:t>
            </w:r>
            <w:r w:rsidR="006E5554">
              <w:rPr>
                <w:rFonts w:ascii="Verdana" w:eastAsia="Verdana" w:hAnsi="Verdana" w:cs="Verdana"/>
                <w:color w:val="000000"/>
                <w:sz w:val="16"/>
                <w:lang w:val="en-GB"/>
              </w:rPr>
              <w:t>,</w:t>
            </w:r>
            <w:r>
              <w:rPr>
                <w:rFonts w:ascii="Verdana" w:eastAsia="Verdana" w:hAnsi="Verdana" w:cs="Verdana"/>
                <w:color w:val="000000"/>
                <w:sz w:val="16"/>
                <w:lang w:val="en-GB"/>
              </w:rPr>
              <w:t>614</w:t>
            </w:r>
          </w:p>
        </w:tc>
        <w:tc>
          <w:tcPr>
            <w:tcW w:w="792" w:type="pct"/>
            <w:shd w:val="clear" w:color="auto" w:fill="auto"/>
            <w:tcMar>
              <w:top w:w="20" w:type="dxa"/>
              <w:left w:w="20" w:type="dxa"/>
              <w:bottom w:w="20" w:type="dxa"/>
              <w:right w:w="20" w:type="dxa"/>
            </w:tcMar>
            <w:vAlign w:val="center"/>
          </w:tcPr>
          <w:p w:rsidR="00F74B84" w:rsidRDefault="009F3B6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w:t>
            </w:r>
            <w:r w:rsidR="00F74B84">
              <w:rPr>
                <w:rFonts w:ascii="Verdana" w:eastAsia="Verdana" w:hAnsi="Verdana" w:cs="Verdana"/>
                <w:color w:val="000000"/>
                <w:sz w:val="16"/>
                <w:lang w:val="en-GB"/>
              </w:rPr>
              <w:t>,</w:t>
            </w:r>
            <w:r>
              <w:rPr>
                <w:rFonts w:ascii="Verdana" w:eastAsia="Verdana" w:hAnsi="Verdana" w:cs="Verdana"/>
                <w:color w:val="000000"/>
                <w:sz w:val="16"/>
                <w:lang w:val="en-GB"/>
              </w:rPr>
              <w:t>614</w:t>
            </w:r>
          </w:p>
        </w:tc>
      </w:tr>
      <w:tr w:rsidR="00F74B84" w:rsidTr="00A200D5">
        <w:trPr>
          <w:trHeight w:val="257"/>
          <w:jc w:val="center"/>
        </w:trPr>
        <w:tc>
          <w:tcPr>
            <w:tcW w:w="793"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864</w:t>
            </w:r>
          </w:p>
        </w:tc>
        <w:tc>
          <w:tcPr>
            <w:tcW w:w="793"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864</w:t>
            </w:r>
          </w:p>
        </w:tc>
        <w:tc>
          <w:tcPr>
            <w:tcW w:w="113" w:type="pct"/>
            <w:shd w:val="clear" w:color="auto" w:fill="auto"/>
            <w:tcMar>
              <w:top w:w="20" w:type="dxa"/>
              <w:left w:w="20" w:type="dxa"/>
              <w:bottom w:w="20" w:type="dxa"/>
              <w:right w:w="20" w:type="dxa"/>
            </w:tcMar>
            <w:vAlign w:val="center"/>
          </w:tcPr>
          <w:p w:rsidR="00F74B84" w:rsidRDefault="00F74B84" w:rsidP="00F74B84">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F74B84" w:rsidRPr="00A200D5" w:rsidRDefault="00F74B84">
            <w:pPr>
              <w:pStyle w:val="T1TableStyle"/>
              <w:jc w:val="center"/>
              <w:rPr>
                <w:rFonts w:ascii="Verdana" w:eastAsia="Verdana" w:hAnsi="Verdana" w:cs="Verdana"/>
                <w:i/>
                <w:color w:val="595959" w:themeColor="text1" w:themeTint="A6"/>
                <w:sz w:val="16"/>
                <w:szCs w:val="16"/>
                <w:lang w:val="en-GB"/>
              </w:rPr>
            </w:pPr>
          </w:p>
        </w:tc>
        <w:tc>
          <w:tcPr>
            <w:tcW w:w="1357" w:type="pct"/>
            <w:shd w:val="clear" w:color="auto" w:fill="auto"/>
            <w:tcMar>
              <w:top w:w="20" w:type="dxa"/>
              <w:left w:w="20" w:type="dxa"/>
              <w:bottom w:w="20" w:type="dxa"/>
              <w:right w:w="20" w:type="dxa"/>
            </w:tcMar>
            <w:vAlign w:val="center"/>
          </w:tcPr>
          <w:p w:rsidR="00F74B84" w:rsidRDefault="00F74B84" w:rsidP="00F74B84">
            <w:pPr>
              <w:pStyle w:val="T1TableStyle"/>
              <w:rPr>
                <w:rFonts w:ascii="Verdana" w:eastAsia="Verdana" w:hAnsi="Verdana" w:cs="Verdana"/>
                <w:color w:val="000000"/>
                <w:sz w:val="16"/>
                <w:lang w:val="en-GB"/>
              </w:rPr>
            </w:pPr>
            <w:r>
              <w:rPr>
                <w:rFonts w:ascii="Verdana" w:eastAsia="Verdana" w:hAnsi="Verdana" w:cs="Verdana"/>
                <w:color w:val="000000"/>
                <w:sz w:val="16"/>
                <w:lang w:val="en-GB"/>
              </w:rPr>
              <w:t>Long-Term Debtors</w:t>
            </w:r>
          </w:p>
        </w:tc>
        <w:tc>
          <w:tcPr>
            <w:tcW w:w="793"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586</w:t>
            </w:r>
          </w:p>
        </w:tc>
        <w:tc>
          <w:tcPr>
            <w:tcW w:w="792" w:type="pct"/>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586</w:t>
            </w:r>
          </w:p>
        </w:tc>
      </w:tr>
      <w:tr w:rsidR="00F74B84" w:rsidTr="00A200D5">
        <w:trPr>
          <w:trHeight w:val="257"/>
          <w:jc w:val="center"/>
        </w:trPr>
        <w:tc>
          <w:tcPr>
            <w:tcW w:w="793" w:type="pct"/>
            <w:tcBorders>
              <w:top w:val="single" w:sz="2" w:space="0" w:color="000000"/>
            </w:tcBorders>
            <w:shd w:val="clear" w:color="auto" w:fill="auto"/>
            <w:tcMar>
              <w:top w:w="20" w:type="dxa"/>
              <w:left w:w="20" w:type="dxa"/>
              <w:bottom w:w="20" w:type="dxa"/>
              <w:right w:w="20" w:type="dxa"/>
            </w:tcMar>
            <w:vAlign w:val="center"/>
          </w:tcPr>
          <w:p w:rsidR="00F74B84" w:rsidRDefault="00F74B84" w:rsidP="00F74B8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128,825</w:t>
            </w:r>
          </w:p>
        </w:tc>
        <w:tc>
          <w:tcPr>
            <w:tcW w:w="793" w:type="pct"/>
            <w:tcBorders>
              <w:top w:val="single" w:sz="2" w:space="0" w:color="000000"/>
            </w:tcBorders>
            <w:shd w:val="clear" w:color="auto" w:fill="auto"/>
            <w:tcMar>
              <w:top w:w="20" w:type="dxa"/>
              <w:left w:w="20" w:type="dxa"/>
              <w:bottom w:w="20" w:type="dxa"/>
              <w:right w:w="20" w:type="dxa"/>
            </w:tcMar>
            <w:vAlign w:val="center"/>
          </w:tcPr>
          <w:p w:rsidR="00F74B84" w:rsidRDefault="00F74B8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128,82</w:t>
            </w:r>
            <w:r w:rsidR="007E0EF6">
              <w:rPr>
                <w:rFonts w:ascii="Verdana" w:eastAsia="Verdana" w:hAnsi="Verdana" w:cs="Verdana"/>
                <w:b/>
                <w:color w:val="000000"/>
                <w:sz w:val="16"/>
                <w:lang w:val="en-GB"/>
              </w:rPr>
              <w:t>5</w:t>
            </w:r>
          </w:p>
        </w:tc>
        <w:tc>
          <w:tcPr>
            <w:tcW w:w="113" w:type="pct"/>
            <w:tcBorders>
              <w:top w:val="single" w:sz="2" w:space="0" w:color="000000"/>
            </w:tcBorders>
            <w:shd w:val="clear" w:color="auto" w:fill="auto"/>
            <w:tcMar>
              <w:top w:w="20" w:type="dxa"/>
              <w:left w:w="20" w:type="dxa"/>
              <w:bottom w:w="20" w:type="dxa"/>
              <w:right w:w="20" w:type="dxa"/>
            </w:tcMar>
            <w:vAlign w:val="center"/>
          </w:tcPr>
          <w:p w:rsidR="00F74B84" w:rsidRDefault="00F74B84" w:rsidP="00F74B84">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tcBorders>
              <w:top w:val="single" w:sz="2" w:space="0" w:color="000000"/>
            </w:tcBorders>
            <w:shd w:val="clear" w:color="auto" w:fill="auto"/>
            <w:tcMar>
              <w:top w:w="20" w:type="dxa"/>
              <w:left w:w="20" w:type="dxa"/>
              <w:bottom w:w="20" w:type="dxa"/>
              <w:right w:w="20" w:type="dxa"/>
            </w:tcMar>
            <w:vAlign w:val="center"/>
          </w:tcPr>
          <w:p w:rsidR="00F74B84" w:rsidRPr="00A200D5" w:rsidRDefault="00F74B84">
            <w:pPr>
              <w:pStyle w:val="T1TableStyle"/>
              <w:jc w:val="center"/>
              <w:rPr>
                <w:rFonts w:ascii="Verdana" w:eastAsia="Verdana" w:hAnsi="Verdana" w:cs="Verdana"/>
                <w:b/>
                <w:i/>
                <w:color w:val="595959" w:themeColor="text1" w:themeTint="A6"/>
                <w:sz w:val="16"/>
                <w:szCs w:val="16"/>
                <w:lang w:val="en-GB"/>
              </w:rPr>
            </w:pPr>
          </w:p>
        </w:tc>
        <w:tc>
          <w:tcPr>
            <w:tcW w:w="1357" w:type="pct"/>
            <w:tcBorders>
              <w:top w:val="single" w:sz="2" w:space="0" w:color="000000"/>
            </w:tcBorders>
            <w:shd w:val="clear" w:color="auto" w:fill="auto"/>
            <w:tcMar>
              <w:top w:w="20" w:type="dxa"/>
              <w:left w:w="20" w:type="dxa"/>
              <w:bottom w:w="20" w:type="dxa"/>
              <w:right w:w="20" w:type="dxa"/>
            </w:tcMar>
            <w:vAlign w:val="center"/>
          </w:tcPr>
          <w:p w:rsidR="00F74B84" w:rsidRDefault="00F74B84" w:rsidP="00F74B84">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Long Term Assets</w:t>
            </w:r>
          </w:p>
        </w:tc>
        <w:tc>
          <w:tcPr>
            <w:tcW w:w="793" w:type="pct"/>
            <w:tcBorders>
              <w:top w:val="single" w:sz="2" w:space="0" w:color="000000"/>
            </w:tcBorders>
            <w:shd w:val="clear" w:color="auto" w:fill="auto"/>
            <w:tcMar>
              <w:top w:w="20" w:type="dxa"/>
              <w:left w:w="20" w:type="dxa"/>
              <w:bottom w:w="20" w:type="dxa"/>
              <w:right w:w="20" w:type="dxa"/>
            </w:tcMar>
            <w:vAlign w:val="center"/>
          </w:tcPr>
          <w:p w:rsidR="00F74B84" w:rsidRDefault="00F74B8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135,08</w:t>
            </w:r>
            <w:r w:rsidR="008C3F5F">
              <w:rPr>
                <w:rFonts w:ascii="Verdana" w:eastAsia="Verdana" w:hAnsi="Verdana" w:cs="Verdana"/>
                <w:b/>
                <w:color w:val="000000"/>
                <w:sz w:val="16"/>
                <w:lang w:val="en-GB"/>
              </w:rPr>
              <w:t>4</w:t>
            </w:r>
          </w:p>
        </w:tc>
        <w:tc>
          <w:tcPr>
            <w:tcW w:w="792" w:type="pct"/>
            <w:tcBorders>
              <w:top w:val="single" w:sz="2" w:space="0" w:color="000000"/>
            </w:tcBorders>
            <w:shd w:val="clear" w:color="auto" w:fill="auto"/>
            <w:tcMar>
              <w:top w:w="20" w:type="dxa"/>
              <w:left w:w="20" w:type="dxa"/>
              <w:bottom w:w="20" w:type="dxa"/>
              <w:right w:w="20" w:type="dxa"/>
            </w:tcMar>
            <w:vAlign w:val="center"/>
          </w:tcPr>
          <w:p w:rsidR="00F74B84" w:rsidRDefault="00F74B8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135,08</w:t>
            </w:r>
            <w:r w:rsidR="008C3F5F">
              <w:rPr>
                <w:rFonts w:ascii="Verdana" w:eastAsia="Verdana" w:hAnsi="Verdana" w:cs="Verdana"/>
                <w:b/>
                <w:color w:val="000000"/>
                <w:sz w:val="16"/>
                <w:lang w:val="en-GB"/>
              </w:rPr>
              <w:t>4</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i/>
                <w:color w:val="595959" w:themeColor="text1" w:themeTint="A6"/>
                <w:sz w:val="16"/>
                <w:szCs w:val="16"/>
                <w:lang w:val="en-GB"/>
              </w:rPr>
            </w:pPr>
          </w:p>
        </w:tc>
        <w:tc>
          <w:tcPr>
            <w:tcW w:w="1357"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792"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0E6C5C">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15</w:t>
            </w: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Assets Held for Sale</w:t>
            </w:r>
          </w:p>
        </w:tc>
        <w:tc>
          <w:tcPr>
            <w:tcW w:w="793" w:type="pct"/>
            <w:shd w:val="clear" w:color="auto" w:fill="auto"/>
            <w:tcMar>
              <w:top w:w="20" w:type="dxa"/>
              <w:left w:w="20" w:type="dxa"/>
              <w:bottom w:w="20" w:type="dxa"/>
              <w:right w:w="20" w:type="dxa"/>
            </w:tcMar>
            <w:vAlign w:val="center"/>
          </w:tcPr>
          <w:p w:rsidR="00CA6653" w:rsidRDefault="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964</w:t>
            </w:r>
          </w:p>
        </w:tc>
        <w:tc>
          <w:tcPr>
            <w:tcW w:w="792" w:type="pct"/>
            <w:shd w:val="clear" w:color="auto" w:fill="auto"/>
            <w:tcMar>
              <w:top w:w="20" w:type="dxa"/>
              <w:left w:w="20" w:type="dxa"/>
              <w:bottom w:w="20" w:type="dxa"/>
              <w:right w:w="20" w:type="dxa"/>
            </w:tcMar>
            <w:vAlign w:val="center"/>
          </w:tcPr>
          <w:p w:rsidR="00CA6653" w:rsidRDefault="00F74B84" w:rsidP="00F74B8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964</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468</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46</w:t>
            </w:r>
            <w:r w:rsidR="007E0EF6">
              <w:rPr>
                <w:rFonts w:ascii="Verdana" w:eastAsia="Verdana" w:hAnsi="Verdana" w:cs="Verdana"/>
                <w:color w:val="000000"/>
                <w:sz w:val="16"/>
                <w:lang w:val="en-GB"/>
              </w:rPr>
              <w:t>8</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i/>
                <w:color w:val="595959" w:themeColor="text1" w:themeTint="A6"/>
                <w:sz w:val="16"/>
                <w:szCs w:val="16"/>
                <w:lang w:val="en-GB"/>
              </w:rPr>
            </w:pP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Inventories</w:t>
            </w:r>
          </w:p>
        </w:tc>
        <w:tc>
          <w:tcPr>
            <w:tcW w:w="793" w:type="pct"/>
            <w:shd w:val="clear" w:color="auto" w:fill="auto"/>
            <w:tcMar>
              <w:top w:w="20" w:type="dxa"/>
              <w:left w:w="20" w:type="dxa"/>
              <w:bottom w:w="20" w:type="dxa"/>
              <w:right w:w="20" w:type="dxa"/>
            </w:tcMar>
            <w:vAlign w:val="center"/>
          </w:tcPr>
          <w:p w:rsidR="00CA6653" w:rsidRDefault="009346F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972</w:t>
            </w:r>
          </w:p>
        </w:tc>
        <w:tc>
          <w:tcPr>
            <w:tcW w:w="792" w:type="pct"/>
            <w:shd w:val="clear" w:color="auto" w:fill="auto"/>
            <w:tcMar>
              <w:top w:w="20" w:type="dxa"/>
              <w:left w:w="20" w:type="dxa"/>
              <w:bottom w:w="20" w:type="dxa"/>
              <w:right w:w="20" w:type="dxa"/>
            </w:tcMar>
            <w:vAlign w:val="center"/>
          </w:tcPr>
          <w:p w:rsidR="00CA6653" w:rsidRDefault="009346F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972</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21,16</w:t>
            </w:r>
            <w:r w:rsidR="007E0EF6">
              <w:rPr>
                <w:rFonts w:ascii="Verdana" w:eastAsia="Verdana" w:hAnsi="Verdana" w:cs="Verdana"/>
                <w:color w:val="000000"/>
                <w:sz w:val="16"/>
                <w:lang w:val="en-GB"/>
              </w:rPr>
              <w:t>6</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21,276</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0E6C5C">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13</w:t>
            </w: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Short-Term Debtors</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68501B">
              <w:rPr>
                <w:rFonts w:ascii="Verdana" w:eastAsia="Verdana" w:hAnsi="Verdana" w:cs="Verdana"/>
                <w:color w:val="000000"/>
                <w:sz w:val="16"/>
                <w:lang w:val="en-GB"/>
              </w:rPr>
              <w:t>4</w:t>
            </w:r>
            <w:r>
              <w:rPr>
                <w:rFonts w:ascii="Verdana" w:eastAsia="Verdana" w:hAnsi="Verdana" w:cs="Verdana"/>
                <w:color w:val="000000"/>
                <w:sz w:val="16"/>
                <w:lang w:val="en-GB"/>
              </w:rPr>
              <w:t>,</w:t>
            </w:r>
            <w:r w:rsidR="0068501B">
              <w:rPr>
                <w:rFonts w:ascii="Verdana" w:eastAsia="Verdana" w:hAnsi="Verdana" w:cs="Verdana"/>
                <w:color w:val="000000"/>
                <w:sz w:val="16"/>
                <w:lang w:val="en-GB"/>
              </w:rPr>
              <w:t>320</w:t>
            </w:r>
          </w:p>
        </w:tc>
        <w:tc>
          <w:tcPr>
            <w:tcW w:w="792" w:type="pct"/>
            <w:shd w:val="clear" w:color="auto" w:fill="auto"/>
            <w:tcMar>
              <w:top w:w="20" w:type="dxa"/>
              <w:left w:w="20" w:type="dxa"/>
              <w:bottom w:w="20" w:type="dxa"/>
              <w:right w:w="20" w:type="dxa"/>
            </w:tcMar>
            <w:vAlign w:val="center"/>
          </w:tcPr>
          <w:p w:rsidR="00CA6653" w:rsidRDefault="0068501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24,430</w:t>
            </w:r>
          </w:p>
        </w:tc>
      </w:tr>
      <w:tr w:rsidR="004D417B" w:rsidTr="00A200D5">
        <w:trPr>
          <w:trHeight w:val="180"/>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14,476</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14,476</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0E6C5C">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14</w:t>
            </w: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Cash and Cash Equivalents</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12,408</w:t>
            </w:r>
          </w:p>
        </w:tc>
        <w:tc>
          <w:tcPr>
            <w:tcW w:w="792"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12,408</w:t>
            </w:r>
          </w:p>
        </w:tc>
      </w:tr>
      <w:tr w:rsidR="004D417B" w:rsidTr="00A200D5">
        <w:trPr>
          <w:trHeight w:val="257"/>
          <w:jc w:val="center"/>
        </w:trPr>
        <w:tc>
          <w:tcPr>
            <w:tcW w:w="793"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36,110</w:t>
            </w:r>
          </w:p>
        </w:tc>
        <w:tc>
          <w:tcPr>
            <w:tcW w:w="793"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36,220</w:t>
            </w:r>
          </w:p>
        </w:tc>
        <w:tc>
          <w:tcPr>
            <w:tcW w:w="113"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tcBorders>
              <w:top w:val="single" w:sz="2" w:space="0" w:color="000000"/>
            </w:tcBorders>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p>
        </w:tc>
        <w:tc>
          <w:tcPr>
            <w:tcW w:w="1357"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Current Assets</w:t>
            </w:r>
          </w:p>
        </w:tc>
        <w:tc>
          <w:tcPr>
            <w:tcW w:w="793" w:type="pct"/>
            <w:tcBorders>
              <w:top w:val="single" w:sz="2" w:space="0" w:color="000000"/>
            </w:tcBorders>
            <w:shd w:val="clear" w:color="auto" w:fill="auto"/>
            <w:tcMar>
              <w:top w:w="20" w:type="dxa"/>
              <w:left w:w="20" w:type="dxa"/>
              <w:bottom w:w="20" w:type="dxa"/>
              <w:right w:w="20" w:type="dxa"/>
            </w:tcMar>
            <w:vAlign w:val="center"/>
          </w:tcPr>
          <w:p w:rsidR="007A50B0" w:rsidRDefault="007A50B0" w:rsidP="009346F0">
            <w:pPr>
              <w:pStyle w:val="T1TableStyle"/>
              <w:jc w:val="right"/>
              <w:rPr>
                <w:rFonts w:ascii="Verdana" w:eastAsia="Verdana" w:hAnsi="Verdana" w:cs="Verdana"/>
                <w:b/>
                <w:color w:val="000000"/>
                <w:sz w:val="16"/>
                <w:lang w:val="en-GB"/>
              </w:rPr>
            </w:pPr>
          </w:p>
          <w:p w:rsidR="009802BD" w:rsidRDefault="0091482D" w:rsidP="009346F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w:t>
            </w:r>
            <w:r w:rsidR="00F74B84">
              <w:rPr>
                <w:rFonts w:ascii="Verdana" w:eastAsia="Verdana" w:hAnsi="Verdana" w:cs="Verdana"/>
                <w:b/>
                <w:color w:val="000000"/>
                <w:sz w:val="16"/>
                <w:lang w:val="en-GB"/>
              </w:rPr>
              <w:t>8,</w:t>
            </w:r>
            <w:r w:rsidR="0068501B">
              <w:rPr>
                <w:rFonts w:ascii="Verdana" w:eastAsia="Verdana" w:hAnsi="Verdana" w:cs="Verdana"/>
                <w:b/>
                <w:color w:val="000000"/>
                <w:sz w:val="16"/>
                <w:lang w:val="en-GB"/>
              </w:rPr>
              <w:t>664</w:t>
            </w:r>
          </w:p>
          <w:p w:rsidR="00CA6653" w:rsidRDefault="00CA6653" w:rsidP="009346F0">
            <w:pPr>
              <w:pStyle w:val="T1TableStyle"/>
              <w:jc w:val="right"/>
              <w:rPr>
                <w:rFonts w:ascii="Verdana" w:eastAsia="Verdana" w:hAnsi="Verdana" w:cs="Verdana"/>
                <w:b/>
                <w:color w:val="000000"/>
                <w:sz w:val="16"/>
                <w:lang w:val="en-GB"/>
              </w:rPr>
            </w:pPr>
          </w:p>
        </w:tc>
        <w:tc>
          <w:tcPr>
            <w:tcW w:w="792" w:type="pct"/>
            <w:tcBorders>
              <w:top w:val="single" w:sz="2" w:space="0" w:color="000000"/>
            </w:tcBorders>
            <w:shd w:val="clear" w:color="auto" w:fill="auto"/>
            <w:tcMar>
              <w:top w:w="20" w:type="dxa"/>
              <w:left w:w="20" w:type="dxa"/>
              <w:bottom w:w="20" w:type="dxa"/>
              <w:right w:w="20" w:type="dxa"/>
            </w:tcMar>
            <w:vAlign w:val="center"/>
          </w:tcPr>
          <w:p w:rsidR="00CA6653" w:rsidRDefault="0068501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38,774</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p>
        </w:tc>
        <w:tc>
          <w:tcPr>
            <w:tcW w:w="1357"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792"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(25,11</w:t>
            </w:r>
            <w:r w:rsidR="007E0EF6">
              <w:rPr>
                <w:rFonts w:ascii="Verdana" w:eastAsia="Verdana" w:hAnsi="Verdana" w:cs="Verdana"/>
                <w:color w:val="000000"/>
                <w:sz w:val="16"/>
                <w:lang w:val="en-GB"/>
              </w:rPr>
              <w:t>2</w:t>
            </w:r>
            <w:r>
              <w:rPr>
                <w:rFonts w:ascii="Verdana" w:eastAsia="Verdana" w:hAnsi="Verdana" w:cs="Verdana"/>
                <w:color w:val="000000"/>
                <w:sz w:val="16"/>
                <w:lang w:val="en-GB"/>
              </w:rPr>
              <w:t>)</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(26,021)</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0E6C5C">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17</w:t>
            </w: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Short-Term Creditors</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(25,</w:t>
            </w:r>
            <w:r w:rsidR="00EE4E28">
              <w:rPr>
                <w:rFonts w:ascii="Verdana" w:eastAsia="Verdana" w:hAnsi="Verdana" w:cs="Verdana"/>
                <w:color w:val="000000"/>
                <w:sz w:val="16"/>
                <w:lang w:val="en-GB"/>
              </w:rPr>
              <w:t>44</w:t>
            </w:r>
            <w:r w:rsidR="00DE6941">
              <w:rPr>
                <w:rFonts w:ascii="Verdana" w:eastAsia="Verdana" w:hAnsi="Verdana" w:cs="Verdana"/>
                <w:color w:val="000000"/>
                <w:sz w:val="16"/>
                <w:lang w:val="en-GB"/>
              </w:rPr>
              <w:t>3</w:t>
            </w:r>
            <w:r>
              <w:rPr>
                <w:rFonts w:ascii="Verdana" w:eastAsia="Verdana" w:hAnsi="Verdana" w:cs="Verdana"/>
                <w:color w:val="000000"/>
                <w:sz w:val="16"/>
                <w:lang w:val="en-GB"/>
              </w:rPr>
              <w:t>)</w:t>
            </w:r>
          </w:p>
        </w:tc>
        <w:tc>
          <w:tcPr>
            <w:tcW w:w="792"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(26,</w:t>
            </w:r>
            <w:r w:rsidR="00DE6941">
              <w:rPr>
                <w:rFonts w:ascii="Verdana" w:eastAsia="Verdana" w:hAnsi="Verdana" w:cs="Verdana"/>
                <w:color w:val="000000"/>
                <w:sz w:val="16"/>
                <w:lang w:val="en-GB"/>
              </w:rPr>
              <w:t>496</w:t>
            </w:r>
            <w:r>
              <w:rPr>
                <w:rFonts w:ascii="Verdana" w:eastAsia="Verdana" w:hAnsi="Verdana" w:cs="Verdana"/>
                <w:color w:val="000000"/>
                <w:sz w:val="16"/>
                <w:lang w:val="en-GB"/>
              </w:rPr>
              <w:t>)</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(720)</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(829)</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0E6C5C">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18</w:t>
            </w: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Provisions</w:t>
            </w:r>
          </w:p>
        </w:tc>
        <w:tc>
          <w:tcPr>
            <w:tcW w:w="793" w:type="pct"/>
            <w:shd w:val="clear" w:color="auto" w:fill="auto"/>
            <w:tcMar>
              <w:top w:w="20" w:type="dxa"/>
              <w:left w:w="20" w:type="dxa"/>
              <w:bottom w:w="20" w:type="dxa"/>
              <w:right w:w="20" w:type="dxa"/>
            </w:tcMar>
            <w:vAlign w:val="center"/>
          </w:tcPr>
          <w:p w:rsidR="00CA6653" w:rsidRDefault="00CA6653" w:rsidP="009802B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9802BD">
              <w:rPr>
                <w:rFonts w:ascii="Verdana" w:eastAsia="Verdana" w:hAnsi="Verdana" w:cs="Verdana"/>
                <w:color w:val="000000"/>
                <w:sz w:val="16"/>
                <w:lang w:val="en-GB"/>
              </w:rPr>
              <w:t>998</w:t>
            </w:r>
            <w:r>
              <w:rPr>
                <w:rFonts w:ascii="Verdana" w:eastAsia="Verdana" w:hAnsi="Verdana" w:cs="Verdana"/>
                <w:color w:val="000000"/>
                <w:sz w:val="16"/>
                <w:lang w:val="en-GB"/>
              </w:rPr>
              <w:t>)</w:t>
            </w:r>
          </w:p>
        </w:tc>
        <w:tc>
          <w:tcPr>
            <w:tcW w:w="792"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9802BD">
              <w:rPr>
                <w:rFonts w:ascii="Verdana" w:eastAsia="Verdana" w:hAnsi="Verdana" w:cs="Verdana"/>
                <w:color w:val="000000"/>
                <w:sz w:val="16"/>
                <w:lang w:val="en-GB"/>
              </w:rPr>
              <w:t>1,10</w:t>
            </w:r>
            <w:r w:rsidR="00DE6941">
              <w:rPr>
                <w:rFonts w:ascii="Verdana" w:eastAsia="Verdana" w:hAnsi="Verdana" w:cs="Verdana"/>
                <w:color w:val="000000"/>
                <w:sz w:val="16"/>
                <w:lang w:val="en-GB"/>
              </w:rPr>
              <w:t>8</w:t>
            </w:r>
            <w:r>
              <w:rPr>
                <w:rFonts w:ascii="Verdana" w:eastAsia="Verdana" w:hAnsi="Verdana" w:cs="Verdana"/>
                <w:color w:val="000000"/>
                <w:sz w:val="16"/>
                <w:lang w:val="en-GB"/>
              </w:rPr>
              <w:t>)</w:t>
            </w:r>
          </w:p>
        </w:tc>
      </w:tr>
      <w:tr w:rsidR="004D417B" w:rsidTr="00A200D5">
        <w:trPr>
          <w:trHeight w:val="257"/>
          <w:jc w:val="center"/>
        </w:trPr>
        <w:tc>
          <w:tcPr>
            <w:tcW w:w="793"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(25,83</w:t>
            </w:r>
            <w:r w:rsidR="007E0EF6">
              <w:rPr>
                <w:rFonts w:ascii="Verdana" w:eastAsia="Verdana" w:hAnsi="Verdana" w:cs="Verdana"/>
                <w:b/>
                <w:color w:val="000000"/>
                <w:sz w:val="16"/>
                <w:lang w:val="en-GB"/>
              </w:rPr>
              <w:t>2</w:t>
            </w:r>
            <w:r>
              <w:rPr>
                <w:rFonts w:ascii="Verdana" w:eastAsia="Verdana" w:hAnsi="Verdana" w:cs="Verdana"/>
                <w:b/>
                <w:color w:val="000000"/>
                <w:sz w:val="16"/>
                <w:lang w:val="en-GB"/>
              </w:rPr>
              <w:t>)</w:t>
            </w:r>
          </w:p>
        </w:tc>
        <w:tc>
          <w:tcPr>
            <w:tcW w:w="793"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(26,85</w:t>
            </w:r>
            <w:r w:rsidR="007E0EF6">
              <w:rPr>
                <w:rFonts w:ascii="Verdana" w:eastAsia="Verdana" w:hAnsi="Verdana" w:cs="Verdana"/>
                <w:b/>
                <w:color w:val="000000"/>
                <w:sz w:val="16"/>
                <w:lang w:val="en-GB"/>
              </w:rPr>
              <w:t>0</w:t>
            </w:r>
            <w:r>
              <w:rPr>
                <w:rFonts w:ascii="Verdana" w:eastAsia="Verdana" w:hAnsi="Verdana" w:cs="Verdana"/>
                <w:b/>
                <w:color w:val="000000"/>
                <w:sz w:val="16"/>
                <w:lang w:val="en-GB"/>
              </w:rPr>
              <w:t>)</w:t>
            </w:r>
          </w:p>
        </w:tc>
        <w:tc>
          <w:tcPr>
            <w:tcW w:w="113"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tcBorders>
              <w:top w:val="single" w:sz="2" w:space="0" w:color="000000"/>
            </w:tcBorders>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p>
        </w:tc>
        <w:tc>
          <w:tcPr>
            <w:tcW w:w="1357"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Current Liabilities</w:t>
            </w:r>
          </w:p>
        </w:tc>
        <w:tc>
          <w:tcPr>
            <w:tcW w:w="793"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9802BD">
              <w:rPr>
                <w:rFonts w:ascii="Verdana" w:eastAsia="Verdana" w:hAnsi="Verdana" w:cs="Verdana"/>
                <w:b/>
                <w:color w:val="000000"/>
                <w:sz w:val="16"/>
                <w:lang w:val="en-GB"/>
              </w:rPr>
              <w:t>26,</w:t>
            </w:r>
            <w:r w:rsidR="007368EB">
              <w:rPr>
                <w:rFonts w:ascii="Verdana" w:eastAsia="Verdana" w:hAnsi="Verdana" w:cs="Verdana"/>
                <w:b/>
                <w:color w:val="000000"/>
                <w:sz w:val="16"/>
                <w:lang w:val="en-GB"/>
              </w:rPr>
              <w:t>44</w:t>
            </w:r>
            <w:r w:rsidR="00DE6941">
              <w:rPr>
                <w:rFonts w:ascii="Verdana" w:eastAsia="Verdana" w:hAnsi="Verdana" w:cs="Verdana"/>
                <w:b/>
                <w:color w:val="000000"/>
                <w:sz w:val="16"/>
                <w:lang w:val="en-GB"/>
              </w:rPr>
              <w:t>1)</w:t>
            </w:r>
          </w:p>
        </w:tc>
        <w:tc>
          <w:tcPr>
            <w:tcW w:w="792"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9802BD">
              <w:rPr>
                <w:rFonts w:ascii="Verdana" w:eastAsia="Verdana" w:hAnsi="Verdana" w:cs="Verdana"/>
                <w:b/>
                <w:color w:val="000000"/>
                <w:sz w:val="16"/>
                <w:lang w:val="en-GB"/>
              </w:rPr>
              <w:t>7</w:t>
            </w:r>
            <w:r>
              <w:rPr>
                <w:rFonts w:ascii="Verdana" w:eastAsia="Verdana" w:hAnsi="Verdana" w:cs="Verdana"/>
                <w:b/>
                <w:color w:val="000000"/>
                <w:sz w:val="16"/>
                <w:lang w:val="en-GB"/>
              </w:rPr>
              <w:t>,</w:t>
            </w:r>
            <w:r w:rsidR="007368EB">
              <w:rPr>
                <w:rFonts w:ascii="Verdana" w:eastAsia="Verdana" w:hAnsi="Verdana" w:cs="Verdana"/>
                <w:b/>
                <w:color w:val="000000"/>
                <w:sz w:val="16"/>
                <w:lang w:val="en-GB"/>
              </w:rPr>
              <w:t>60</w:t>
            </w:r>
            <w:r w:rsidR="00DE6941">
              <w:rPr>
                <w:rFonts w:ascii="Verdana" w:eastAsia="Verdana" w:hAnsi="Verdana" w:cs="Verdana"/>
                <w:b/>
                <w:color w:val="000000"/>
                <w:sz w:val="16"/>
                <w:lang w:val="en-GB"/>
              </w:rPr>
              <w:t>4</w:t>
            </w:r>
            <w:r>
              <w:rPr>
                <w:rFonts w:ascii="Verdana" w:eastAsia="Verdana" w:hAnsi="Verdana" w:cs="Verdana"/>
                <w:b/>
                <w:color w:val="000000"/>
                <w:sz w:val="16"/>
                <w:lang w:val="en-GB"/>
              </w:rPr>
              <w:t>)</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i/>
                <w:color w:val="595959" w:themeColor="text1" w:themeTint="A6"/>
                <w:sz w:val="16"/>
                <w:szCs w:val="16"/>
                <w:lang w:val="en-GB"/>
              </w:rPr>
            </w:pPr>
          </w:p>
        </w:tc>
        <w:tc>
          <w:tcPr>
            <w:tcW w:w="1357"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792"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(15,635)</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(15,635)</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0E6C5C">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38</w:t>
            </w: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Long-Term Borrowing</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9346F0">
              <w:rPr>
                <w:rFonts w:ascii="Verdana" w:eastAsia="Verdana" w:hAnsi="Verdana" w:cs="Verdana"/>
                <w:color w:val="000000"/>
                <w:sz w:val="16"/>
                <w:lang w:val="en-GB"/>
              </w:rPr>
              <w:t>15,</w:t>
            </w:r>
            <w:r w:rsidR="00EE4E28">
              <w:rPr>
                <w:rFonts w:ascii="Verdana" w:eastAsia="Verdana" w:hAnsi="Verdana" w:cs="Verdana"/>
                <w:color w:val="000000"/>
                <w:sz w:val="16"/>
                <w:lang w:val="en-GB"/>
              </w:rPr>
              <w:t>08</w:t>
            </w:r>
            <w:r w:rsidR="008C3F5F">
              <w:rPr>
                <w:rFonts w:ascii="Verdana" w:eastAsia="Verdana" w:hAnsi="Verdana" w:cs="Verdana"/>
                <w:color w:val="000000"/>
                <w:sz w:val="16"/>
                <w:lang w:val="en-GB"/>
              </w:rPr>
              <w:t>4</w:t>
            </w:r>
            <w:r>
              <w:rPr>
                <w:rFonts w:ascii="Verdana" w:eastAsia="Verdana" w:hAnsi="Verdana" w:cs="Verdana"/>
                <w:color w:val="000000"/>
                <w:sz w:val="16"/>
                <w:lang w:val="en-GB"/>
              </w:rPr>
              <w:t>)</w:t>
            </w:r>
          </w:p>
        </w:tc>
        <w:tc>
          <w:tcPr>
            <w:tcW w:w="792"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9346F0">
              <w:rPr>
                <w:rFonts w:ascii="Verdana" w:eastAsia="Verdana" w:hAnsi="Verdana" w:cs="Verdana"/>
                <w:color w:val="000000"/>
                <w:sz w:val="16"/>
                <w:lang w:val="en-GB"/>
              </w:rPr>
              <w:t>15,</w:t>
            </w:r>
            <w:r w:rsidR="00EE4E28">
              <w:rPr>
                <w:rFonts w:ascii="Verdana" w:eastAsia="Verdana" w:hAnsi="Verdana" w:cs="Verdana"/>
                <w:color w:val="000000"/>
                <w:sz w:val="16"/>
                <w:lang w:val="en-GB"/>
              </w:rPr>
              <w:t>08</w:t>
            </w:r>
            <w:r w:rsidR="008C3F5F">
              <w:rPr>
                <w:rFonts w:ascii="Verdana" w:eastAsia="Verdana" w:hAnsi="Verdana" w:cs="Verdana"/>
                <w:color w:val="000000"/>
                <w:sz w:val="16"/>
                <w:lang w:val="en-GB"/>
              </w:rPr>
              <w:t>4</w:t>
            </w:r>
            <w:r>
              <w:rPr>
                <w:rFonts w:ascii="Verdana" w:eastAsia="Verdana" w:hAnsi="Verdana" w:cs="Verdana"/>
                <w:color w:val="000000"/>
                <w:sz w:val="16"/>
                <w:lang w:val="en-GB"/>
              </w:rPr>
              <w:t>)</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(2,156,930)</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0E6C5C">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26</w:t>
            </w: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Long-Term Liabilities</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9346F0">
              <w:rPr>
                <w:rFonts w:ascii="Verdana" w:eastAsia="Verdana" w:hAnsi="Verdana" w:cs="Verdana"/>
                <w:color w:val="000000"/>
                <w:sz w:val="16"/>
                <w:lang w:val="en-GB"/>
              </w:rPr>
              <w:t>1,</w:t>
            </w:r>
            <w:r w:rsidR="007A50B0">
              <w:rPr>
                <w:rFonts w:ascii="Verdana" w:eastAsia="Verdana" w:hAnsi="Verdana" w:cs="Verdana"/>
                <w:color w:val="000000"/>
                <w:sz w:val="16"/>
                <w:lang w:val="en-GB"/>
              </w:rPr>
              <w:t>403</w:t>
            </w:r>
            <w:r>
              <w:rPr>
                <w:rFonts w:ascii="Verdana" w:eastAsia="Verdana" w:hAnsi="Verdana" w:cs="Verdana"/>
                <w:color w:val="000000"/>
                <w:sz w:val="16"/>
                <w:lang w:val="en-GB"/>
              </w:rPr>
              <w:t>)</w:t>
            </w:r>
          </w:p>
        </w:tc>
        <w:tc>
          <w:tcPr>
            <w:tcW w:w="792"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9346F0">
              <w:rPr>
                <w:rFonts w:ascii="Verdana" w:eastAsia="Verdana" w:hAnsi="Verdana" w:cs="Verdana"/>
                <w:color w:val="000000"/>
                <w:sz w:val="16"/>
                <w:lang w:val="en-GB"/>
              </w:rPr>
              <w:t>2,</w:t>
            </w:r>
            <w:r w:rsidR="007A50B0">
              <w:rPr>
                <w:rFonts w:ascii="Verdana" w:eastAsia="Verdana" w:hAnsi="Verdana" w:cs="Verdana"/>
                <w:color w:val="000000"/>
                <w:sz w:val="16"/>
                <w:lang w:val="en-GB"/>
              </w:rPr>
              <w:t>027,958</w:t>
            </w:r>
            <w:r>
              <w:rPr>
                <w:rFonts w:ascii="Verdana" w:eastAsia="Verdana" w:hAnsi="Verdana" w:cs="Verdana"/>
                <w:color w:val="000000"/>
                <w:sz w:val="16"/>
                <w:lang w:val="en-GB"/>
              </w:rPr>
              <w:t>)</w:t>
            </w:r>
          </w:p>
        </w:tc>
      </w:tr>
      <w:tr w:rsidR="004D417B" w:rsidTr="00A200D5">
        <w:trPr>
          <w:trHeight w:val="343"/>
          <w:jc w:val="center"/>
        </w:trPr>
        <w:tc>
          <w:tcPr>
            <w:tcW w:w="793" w:type="pct"/>
            <w:tcBorders>
              <w:top w:val="single" w:sz="2" w:space="0" w:color="000000"/>
            </w:tcBorders>
            <w:shd w:val="clear" w:color="auto" w:fill="auto"/>
            <w:tcMar>
              <w:top w:w="20" w:type="dxa"/>
              <w:left w:w="20" w:type="dxa"/>
              <w:bottom w:w="20" w:type="dxa"/>
              <w:right w:w="20" w:type="dxa"/>
            </w:tcMar>
            <w:vAlign w:val="center"/>
          </w:tcPr>
          <w:p w:rsidR="000E6C5C"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(15,635)</w:t>
            </w:r>
          </w:p>
        </w:tc>
        <w:tc>
          <w:tcPr>
            <w:tcW w:w="793"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(2,172,565)</w:t>
            </w:r>
          </w:p>
        </w:tc>
        <w:tc>
          <w:tcPr>
            <w:tcW w:w="113" w:type="pct"/>
            <w:tcBorders>
              <w:top w:val="single" w:sz="2" w:space="0" w:color="000000"/>
            </w:tcBorders>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tcBorders>
              <w:top w:val="single" w:sz="2" w:space="0" w:color="000000"/>
            </w:tcBorders>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p>
        </w:tc>
        <w:tc>
          <w:tcPr>
            <w:tcW w:w="1357" w:type="pct"/>
            <w:tcBorders>
              <w:top w:val="single" w:sz="2" w:space="0" w:color="000000"/>
            </w:tcBorders>
            <w:shd w:val="clear" w:color="auto" w:fill="auto"/>
            <w:tcMar>
              <w:top w:w="20" w:type="dxa"/>
              <w:left w:w="20" w:type="dxa"/>
              <w:bottom w:w="20" w:type="dxa"/>
              <w:right w:w="20" w:type="dxa"/>
            </w:tcMar>
            <w:vAlign w:val="center"/>
          </w:tcPr>
          <w:p w:rsidR="002B3AFB"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Long Term Liabilities</w:t>
            </w:r>
          </w:p>
        </w:tc>
        <w:tc>
          <w:tcPr>
            <w:tcW w:w="793" w:type="pct"/>
            <w:tcBorders>
              <w:top w:val="single" w:sz="2" w:space="0" w:color="000000"/>
            </w:tcBorders>
            <w:shd w:val="clear" w:color="auto" w:fill="auto"/>
            <w:tcMar>
              <w:top w:w="20" w:type="dxa"/>
              <w:left w:w="20" w:type="dxa"/>
              <w:bottom w:w="20" w:type="dxa"/>
              <w:right w:w="20" w:type="dxa"/>
            </w:tcMar>
            <w:vAlign w:val="center"/>
          </w:tcPr>
          <w:p w:rsidR="002B3AFB"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9802BD">
              <w:rPr>
                <w:rFonts w:ascii="Verdana" w:eastAsia="Verdana" w:hAnsi="Verdana" w:cs="Verdana"/>
                <w:b/>
                <w:color w:val="000000"/>
                <w:sz w:val="16"/>
                <w:lang w:val="en-GB"/>
              </w:rPr>
              <w:t>16,</w:t>
            </w:r>
            <w:r w:rsidR="007A50B0">
              <w:rPr>
                <w:rFonts w:ascii="Verdana" w:eastAsia="Verdana" w:hAnsi="Verdana" w:cs="Verdana"/>
                <w:b/>
                <w:color w:val="000000"/>
                <w:sz w:val="16"/>
                <w:lang w:val="en-GB"/>
              </w:rPr>
              <w:t>487</w:t>
            </w:r>
            <w:r>
              <w:rPr>
                <w:rFonts w:ascii="Verdana" w:eastAsia="Verdana" w:hAnsi="Verdana" w:cs="Verdana"/>
                <w:b/>
                <w:color w:val="000000"/>
                <w:sz w:val="16"/>
                <w:lang w:val="en-GB"/>
              </w:rPr>
              <w:t>)</w:t>
            </w:r>
          </w:p>
        </w:tc>
        <w:tc>
          <w:tcPr>
            <w:tcW w:w="792" w:type="pct"/>
            <w:tcBorders>
              <w:top w:val="single" w:sz="2" w:space="0" w:color="000000"/>
            </w:tcBorders>
            <w:shd w:val="clear" w:color="auto" w:fill="auto"/>
            <w:tcMar>
              <w:top w:w="20" w:type="dxa"/>
              <w:left w:w="20" w:type="dxa"/>
              <w:bottom w:w="20" w:type="dxa"/>
              <w:right w:w="20" w:type="dxa"/>
            </w:tcMar>
            <w:vAlign w:val="center"/>
          </w:tcPr>
          <w:p w:rsidR="002B3AFB" w:rsidRDefault="00CA6653" w:rsidP="009802B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9802BD">
              <w:rPr>
                <w:rFonts w:ascii="Verdana" w:eastAsia="Verdana" w:hAnsi="Verdana" w:cs="Verdana"/>
                <w:b/>
                <w:color w:val="000000"/>
                <w:sz w:val="16"/>
                <w:lang w:val="en-GB"/>
              </w:rPr>
              <w:t>2</w:t>
            </w:r>
            <w:r>
              <w:rPr>
                <w:rFonts w:ascii="Verdana" w:eastAsia="Verdana" w:hAnsi="Verdana" w:cs="Verdana"/>
                <w:b/>
                <w:color w:val="000000"/>
                <w:sz w:val="16"/>
                <w:lang w:val="en-GB"/>
              </w:rPr>
              <w:t>,</w:t>
            </w:r>
            <w:r w:rsidR="007A50B0">
              <w:rPr>
                <w:rFonts w:ascii="Verdana" w:eastAsia="Verdana" w:hAnsi="Verdana" w:cs="Verdana"/>
                <w:b/>
                <w:color w:val="000000"/>
                <w:sz w:val="16"/>
                <w:lang w:val="en-GB"/>
              </w:rPr>
              <w:t>043,042</w:t>
            </w:r>
            <w:r>
              <w:rPr>
                <w:rFonts w:ascii="Verdana" w:eastAsia="Verdana" w:hAnsi="Verdana" w:cs="Verdana"/>
                <w:b/>
                <w:color w:val="000000"/>
                <w:sz w:val="16"/>
                <w:lang w:val="en-GB"/>
              </w:rPr>
              <w:t>)</w:t>
            </w:r>
          </w:p>
        </w:tc>
      </w:tr>
      <w:tr w:rsidR="004D417B" w:rsidTr="00A200D5">
        <w:trPr>
          <w:trHeight w:val="257"/>
          <w:jc w:val="center"/>
        </w:trPr>
        <w:tc>
          <w:tcPr>
            <w:tcW w:w="793"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123,468</w:t>
            </w:r>
          </w:p>
        </w:tc>
        <w:tc>
          <w:tcPr>
            <w:tcW w:w="793"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(2,034,370)</w:t>
            </w:r>
          </w:p>
        </w:tc>
        <w:tc>
          <w:tcPr>
            <w:tcW w:w="113"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p>
        </w:tc>
        <w:tc>
          <w:tcPr>
            <w:tcW w:w="1357"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Net Assets</w:t>
            </w:r>
          </w:p>
        </w:tc>
        <w:tc>
          <w:tcPr>
            <w:tcW w:w="793"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9802B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130,</w:t>
            </w:r>
            <w:r w:rsidR="0068501B">
              <w:rPr>
                <w:rFonts w:ascii="Verdana" w:eastAsia="Verdana" w:hAnsi="Verdana" w:cs="Verdana"/>
                <w:b/>
                <w:color w:val="000000"/>
                <w:sz w:val="16"/>
                <w:lang w:val="en-GB"/>
              </w:rPr>
              <w:t>8</w:t>
            </w:r>
            <w:r w:rsidR="007A50B0">
              <w:rPr>
                <w:rFonts w:ascii="Verdana" w:eastAsia="Verdana" w:hAnsi="Verdana" w:cs="Verdana"/>
                <w:b/>
                <w:color w:val="000000"/>
                <w:sz w:val="16"/>
                <w:lang w:val="en-GB"/>
              </w:rPr>
              <w:t>20</w:t>
            </w:r>
          </w:p>
        </w:tc>
        <w:tc>
          <w:tcPr>
            <w:tcW w:w="792"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9802BD">
              <w:rPr>
                <w:rFonts w:ascii="Verdana" w:eastAsia="Verdana" w:hAnsi="Verdana" w:cs="Verdana"/>
                <w:b/>
                <w:color w:val="000000"/>
                <w:sz w:val="16"/>
                <w:lang w:val="en-GB"/>
              </w:rPr>
              <w:t>1,</w:t>
            </w:r>
            <w:r w:rsidR="007A50B0">
              <w:rPr>
                <w:rFonts w:ascii="Verdana" w:eastAsia="Verdana" w:hAnsi="Verdana" w:cs="Verdana"/>
                <w:b/>
                <w:color w:val="000000"/>
                <w:sz w:val="16"/>
                <w:lang w:val="en-GB"/>
              </w:rPr>
              <w:t>896,788</w:t>
            </w:r>
            <w:r>
              <w:rPr>
                <w:rFonts w:ascii="Verdana" w:eastAsia="Verdana" w:hAnsi="Verdana" w:cs="Verdana"/>
                <w:b/>
                <w:color w:val="000000"/>
                <w:sz w:val="16"/>
                <w:lang w:val="en-GB"/>
              </w:rPr>
              <w:t>)</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p>
        </w:tc>
        <w:tc>
          <w:tcPr>
            <w:tcW w:w="1357"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79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792"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(22,56</w:t>
            </w:r>
            <w:r w:rsidR="007E0EF6">
              <w:rPr>
                <w:rFonts w:ascii="Verdana" w:eastAsia="Verdana" w:hAnsi="Verdana" w:cs="Verdana"/>
                <w:color w:val="000000"/>
                <w:sz w:val="16"/>
                <w:lang w:val="en-GB"/>
              </w:rPr>
              <w:t>6</w:t>
            </w:r>
            <w:r>
              <w:rPr>
                <w:rFonts w:ascii="Verdana" w:eastAsia="Verdana" w:hAnsi="Verdana" w:cs="Verdana"/>
                <w:color w:val="000000"/>
                <w:sz w:val="16"/>
                <w:lang w:val="en-GB"/>
              </w:rPr>
              <w:t>)</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(22,56</w:t>
            </w:r>
            <w:r w:rsidR="007E0EF6">
              <w:rPr>
                <w:rFonts w:ascii="Verdana" w:eastAsia="Verdana" w:hAnsi="Verdana" w:cs="Verdana"/>
                <w:color w:val="000000"/>
                <w:sz w:val="16"/>
                <w:lang w:val="en-GB"/>
              </w:rPr>
              <w:t>6</w:t>
            </w:r>
            <w:r>
              <w:rPr>
                <w:rFonts w:ascii="Verdana" w:eastAsia="Verdana" w:hAnsi="Verdana" w:cs="Verdana"/>
                <w:color w:val="000000"/>
                <w:sz w:val="16"/>
                <w:lang w:val="en-GB"/>
              </w:rPr>
              <w:t>)</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430754">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19</w:t>
            </w: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Usable Reserves</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9346F0">
              <w:rPr>
                <w:rFonts w:ascii="Verdana" w:eastAsia="Verdana" w:hAnsi="Verdana" w:cs="Verdana"/>
                <w:color w:val="000000"/>
                <w:sz w:val="16"/>
                <w:lang w:val="en-GB"/>
              </w:rPr>
              <w:t>22</w:t>
            </w:r>
            <w:r>
              <w:rPr>
                <w:rFonts w:ascii="Verdana" w:eastAsia="Verdana" w:hAnsi="Verdana" w:cs="Verdana"/>
                <w:color w:val="000000"/>
                <w:sz w:val="16"/>
                <w:lang w:val="en-GB"/>
              </w:rPr>
              <w:t>,6</w:t>
            </w:r>
            <w:r w:rsidR="00EE4E28">
              <w:rPr>
                <w:rFonts w:ascii="Verdana" w:eastAsia="Verdana" w:hAnsi="Verdana" w:cs="Verdana"/>
                <w:color w:val="000000"/>
                <w:sz w:val="16"/>
                <w:lang w:val="en-GB"/>
              </w:rPr>
              <w:t>4</w:t>
            </w:r>
            <w:r w:rsidR="009346F0">
              <w:rPr>
                <w:rFonts w:ascii="Verdana" w:eastAsia="Verdana" w:hAnsi="Verdana" w:cs="Verdana"/>
                <w:color w:val="000000"/>
                <w:sz w:val="16"/>
                <w:lang w:val="en-GB"/>
              </w:rPr>
              <w:t>4</w:t>
            </w:r>
            <w:r>
              <w:rPr>
                <w:rFonts w:ascii="Verdana" w:eastAsia="Verdana" w:hAnsi="Verdana" w:cs="Verdana"/>
                <w:color w:val="000000"/>
                <w:sz w:val="16"/>
                <w:lang w:val="en-GB"/>
              </w:rPr>
              <w:t>)</w:t>
            </w:r>
          </w:p>
        </w:tc>
        <w:tc>
          <w:tcPr>
            <w:tcW w:w="792" w:type="pct"/>
            <w:shd w:val="clear" w:color="auto" w:fill="auto"/>
            <w:tcMar>
              <w:top w:w="20" w:type="dxa"/>
              <w:left w:w="20" w:type="dxa"/>
              <w:bottom w:w="20" w:type="dxa"/>
              <w:right w:w="20" w:type="dxa"/>
            </w:tcMar>
            <w:vAlign w:val="center"/>
          </w:tcPr>
          <w:p w:rsidR="00CA6653" w:rsidRDefault="00CA6653" w:rsidP="0091482D">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9346F0">
              <w:rPr>
                <w:rFonts w:ascii="Verdana" w:eastAsia="Verdana" w:hAnsi="Verdana" w:cs="Verdana"/>
                <w:color w:val="000000"/>
                <w:sz w:val="16"/>
                <w:lang w:val="en-GB"/>
              </w:rPr>
              <w:t>22</w:t>
            </w:r>
            <w:r>
              <w:rPr>
                <w:rFonts w:ascii="Verdana" w:eastAsia="Verdana" w:hAnsi="Verdana" w:cs="Verdana"/>
                <w:color w:val="000000"/>
                <w:sz w:val="16"/>
                <w:lang w:val="en-GB"/>
              </w:rPr>
              <w:t>,</w:t>
            </w:r>
            <w:r w:rsidR="0091482D">
              <w:rPr>
                <w:rFonts w:ascii="Verdana" w:eastAsia="Verdana" w:hAnsi="Verdana" w:cs="Verdana"/>
                <w:color w:val="000000"/>
                <w:sz w:val="16"/>
                <w:lang w:val="en-GB"/>
              </w:rPr>
              <w:t>6</w:t>
            </w:r>
            <w:r w:rsidR="00EE4E28">
              <w:rPr>
                <w:rFonts w:ascii="Verdana" w:eastAsia="Verdana" w:hAnsi="Verdana" w:cs="Verdana"/>
                <w:color w:val="000000"/>
                <w:sz w:val="16"/>
                <w:lang w:val="en-GB"/>
              </w:rPr>
              <w:t>4</w:t>
            </w:r>
            <w:r w:rsidR="009346F0">
              <w:rPr>
                <w:rFonts w:ascii="Verdana" w:eastAsia="Verdana" w:hAnsi="Verdana" w:cs="Verdana"/>
                <w:color w:val="000000"/>
                <w:sz w:val="16"/>
                <w:lang w:val="en-GB"/>
              </w:rPr>
              <w:t>4</w:t>
            </w:r>
            <w:r>
              <w:rPr>
                <w:rFonts w:ascii="Verdana" w:eastAsia="Verdana" w:hAnsi="Verdana" w:cs="Verdana"/>
                <w:color w:val="000000"/>
                <w:sz w:val="16"/>
                <w:lang w:val="en-GB"/>
              </w:rPr>
              <w:t>)</w:t>
            </w:r>
          </w:p>
        </w:tc>
      </w:tr>
      <w:tr w:rsidR="004D417B" w:rsidTr="00A200D5">
        <w:trPr>
          <w:trHeight w:val="257"/>
          <w:jc w:val="center"/>
        </w:trPr>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(100,902)</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2,056,93</w:t>
            </w:r>
            <w:r w:rsidR="007E0EF6">
              <w:rPr>
                <w:rFonts w:ascii="Verdana" w:eastAsia="Verdana" w:hAnsi="Verdana" w:cs="Verdana"/>
                <w:color w:val="000000"/>
                <w:sz w:val="16"/>
                <w:lang w:val="en-GB"/>
              </w:rPr>
              <w:t>6</w:t>
            </w:r>
          </w:p>
        </w:tc>
        <w:tc>
          <w:tcPr>
            <w:tcW w:w="113" w:type="pct"/>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shd w:val="clear" w:color="auto" w:fill="auto"/>
            <w:tcMar>
              <w:top w:w="20" w:type="dxa"/>
              <w:left w:w="20" w:type="dxa"/>
              <w:bottom w:w="20" w:type="dxa"/>
              <w:right w:w="20" w:type="dxa"/>
            </w:tcMar>
            <w:vAlign w:val="center"/>
          </w:tcPr>
          <w:p w:rsidR="00CA6653" w:rsidRPr="00A200D5" w:rsidRDefault="00430754">
            <w:pPr>
              <w:pStyle w:val="T1TableStyle"/>
              <w:jc w:val="center"/>
              <w:rPr>
                <w:rFonts w:ascii="Verdana" w:eastAsia="Verdana" w:hAnsi="Verdana" w:cs="Verdana"/>
                <w:i/>
                <w:color w:val="595959" w:themeColor="text1" w:themeTint="A6"/>
                <w:sz w:val="16"/>
                <w:szCs w:val="16"/>
                <w:lang w:val="en-GB"/>
              </w:rPr>
            </w:pPr>
            <w:r>
              <w:rPr>
                <w:rFonts w:ascii="Verdana" w:eastAsia="Verdana" w:hAnsi="Verdana" w:cs="Verdana"/>
                <w:i/>
                <w:color w:val="595959" w:themeColor="text1" w:themeTint="A6"/>
                <w:sz w:val="16"/>
                <w:szCs w:val="16"/>
                <w:lang w:val="en-GB"/>
              </w:rPr>
              <w:t>20</w:t>
            </w:r>
          </w:p>
        </w:tc>
        <w:tc>
          <w:tcPr>
            <w:tcW w:w="1357" w:type="pct"/>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Unusable Reserves</w:t>
            </w:r>
          </w:p>
        </w:tc>
        <w:tc>
          <w:tcPr>
            <w:tcW w:w="793" w:type="pct"/>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w:t>
            </w:r>
            <w:r w:rsidR="0068501B">
              <w:rPr>
                <w:rFonts w:ascii="Verdana" w:eastAsia="Verdana" w:hAnsi="Verdana" w:cs="Verdana"/>
                <w:color w:val="000000"/>
                <w:sz w:val="16"/>
                <w:lang w:val="en-GB"/>
              </w:rPr>
              <w:t>8</w:t>
            </w:r>
            <w:r>
              <w:rPr>
                <w:rFonts w:ascii="Verdana" w:eastAsia="Verdana" w:hAnsi="Verdana" w:cs="Verdana"/>
                <w:color w:val="000000"/>
                <w:sz w:val="16"/>
                <w:lang w:val="en-GB"/>
              </w:rPr>
              <w:t>,</w:t>
            </w:r>
            <w:r w:rsidR="0068501B">
              <w:rPr>
                <w:rFonts w:ascii="Verdana" w:eastAsia="Verdana" w:hAnsi="Verdana" w:cs="Verdana"/>
                <w:color w:val="000000"/>
                <w:sz w:val="16"/>
                <w:lang w:val="en-GB"/>
              </w:rPr>
              <w:t>1</w:t>
            </w:r>
            <w:r w:rsidR="007A50B0">
              <w:rPr>
                <w:rFonts w:ascii="Verdana" w:eastAsia="Verdana" w:hAnsi="Verdana" w:cs="Verdana"/>
                <w:color w:val="000000"/>
                <w:sz w:val="16"/>
                <w:lang w:val="en-GB"/>
              </w:rPr>
              <w:t>76</w:t>
            </w:r>
            <w:r>
              <w:rPr>
                <w:rFonts w:ascii="Verdana" w:eastAsia="Verdana" w:hAnsi="Verdana" w:cs="Verdana"/>
                <w:color w:val="000000"/>
                <w:sz w:val="16"/>
                <w:lang w:val="en-GB"/>
              </w:rPr>
              <w:t>)</w:t>
            </w:r>
          </w:p>
        </w:tc>
        <w:tc>
          <w:tcPr>
            <w:tcW w:w="792" w:type="pct"/>
            <w:shd w:val="clear" w:color="auto" w:fill="auto"/>
            <w:tcMar>
              <w:top w:w="20" w:type="dxa"/>
              <w:left w:w="20" w:type="dxa"/>
              <w:bottom w:w="20" w:type="dxa"/>
              <w:right w:w="20" w:type="dxa"/>
            </w:tcMar>
            <w:vAlign w:val="center"/>
          </w:tcPr>
          <w:p w:rsidR="00CA6653" w:rsidRDefault="009346F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7A50B0">
              <w:rPr>
                <w:rFonts w:ascii="Verdana" w:eastAsia="Verdana" w:hAnsi="Verdana" w:cs="Verdana"/>
                <w:color w:val="000000"/>
                <w:sz w:val="16"/>
                <w:lang w:val="en-GB"/>
              </w:rPr>
              <w:t>919,432</w:t>
            </w:r>
          </w:p>
        </w:tc>
      </w:tr>
      <w:tr w:rsidR="004D417B" w:rsidTr="00A200D5">
        <w:trPr>
          <w:trHeight w:val="257"/>
          <w:jc w:val="center"/>
        </w:trPr>
        <w:tc>
          <w:tcPr>
            <w:tcW w:w="793"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(123,46</w:t>
            </w:r>
            <w:r w:rsidR="007E0EF6">
              <w:rPr>
                <w:rFonts w:ascii="Verdana" w:eastAsia="Verdana" w:hAnsi="Verdana" w:cs="Verdana"/>
                <w:b/>
                <w:color w:val="000000"/>
                <w:sz w:val="16"/>
                <w:lang w:val="en-GB"/>
              </w:rPr>
              <w:t>8</w:t>
            </w:r>
            <w:r>
              <w:rPr>
                <w:rFonts w:ascii="Verdana" w:eastAsia="Verdana" w:hAnsi="Verdana" w:cs="Verdana"/>
                <w:b/>
                <w:color w:val="000000"/>
                <w:sz w:val="16"/>
                <w:lang w:val="en-GB"/>
              </w:rPr>
              <w:t>)</w:t>
            </w:r>
          </w:p>
        </w:tc>
        <w:tc>
          <w:tcPr>
            <w:tcW w:w="793"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2,034,</w:t>
            </w:r>
            <w:r w:rsidR="007E0EF6">
              <w:rPr>
                <w:rFonts w:ascii="Verdana" w:eastAsia="Verdana" w:hAnsi="Verdana" w:cs="Verdana"/>
                <w:b/>
                <w:color w:val="000000"/>
                <w:sz w:val="16"/>
                <w:lang w:val="en-GB"/>
              </w:rPr>
              <w:t>370</w:t>
            </w:r>
          </w:p>
        </w:tc>
        <w:tc>
          <w:tcPr>
            <w:tcW w:w="113"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59"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A200D5" w:rsidRDefault="00CA6653">
            <w:pPr>
              <w:pStyle w:val="T1TableStyle"/>
              <w:jc w:val="center"/>
              <w:rPr>
                <w:rFonts w:ascii="Verdana" w:eastAsia="Verdana" w:hAnsi="Verdana" w:cs="Verdana"/>
                <w:b/>
                <w:i/>
                <w:color w:val="595959" w:themeColor="text1" w:themeTint="A6"/>
                <w:sz w:val="16"/>
                <w:szCs w:val="16"/>
                <w:lang w:val="en-GB"/>
              </w:rPr>
            </w:pPr>
          </w:p>
        </w:tc>
        <w:tc>
          <w:tcPr>
            <w:tcW w:w="1357"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Reserves</w:t>
            </w:r>
          </w:p>
        </w:tc>
        <w:tc>
          <w:tcPr>
            <w:tcW w:w="793"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9346F0">
              <w:rPr>
                <w:rFonts w:ascii="Verdana" w:eastAsia="Verdana" w:hAnsi="Verdana" w:cs="Verdana"/>
                <w:b/>
                <w:color w:val="000000"/>
                <w:sz w:val="16"/>
                <w:lang w:val="en-GB"/>
              </w:rPr>
              <w:t>130,</w:t>
            </w:r>
            <w:r w:rsidR="002C3B9D">
              <w:rPr>
                <w:rFonts w:ascii="Verdana" w:eastAsia="Verdana" w:hAnsi="Verdana" w:cs="Verdana"/>
                <w:b/>
                <w:color w:val="000000"/>
                <w:sz w:val="16"/>
                <w:lang w:val="en-GB"/>
              </w:rPr>
              <w:t>8</w:t>
            </w:r>
            <w:r w:rsidR="007A50B0">
              <w:rPr>
                <w:rFonts w:ascii="Verdana" w:eastAsia="Verdana" w:hAnsi="Verdana" w:cs="Verdana"/>
                <w:b/>
                <w:color w:val="000000"/>
                <w:sz w:val="16"/>
                <w:lang w:val="en-GB"/>
              </w:rPr>
              <w:t>20</w:t>
            </w:r>
            <w:r>
              <w:rPr>
                <w:rFonts w:ascii="Verdana" w:eastAsia="Verdana" w:hAnsi="Verdana" w:cs="Verdana"/>
                <w:b/>
                <w:color w:val="000000"/>
                <w:sz w:val="16"/>
                <w:lang w:val="en-GB"/>
              </w:rPr>
              <w:t>)</w:t>
            </w:r>
          </w:p>
        </w:tc>
        <w:tc>
          <w:tcPr>
            <w:tcW w:w="792" w:type="pct"/>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9346F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r w:rsidR="00CA6653">
              <w:rPr>
                <w:rFonts w:ascii="Verdana" w:eastAsia="Verdana" w:hAnsi="Verdana" w:cs="Verdana"/>
                <w:b/>
                <w:color w:val="000000"/>
                <w:sz w:val="16"/>
                <w:lang w:val="en-GB"/>
              </w:rPr>
              <w:t>,</w:t>
            </w:r>
            <w:r w:rsidR="007A50B0">
              <w:rPr>
                <w:rFonts w:ascii="Verdana" w:eastAsia="Verdana" w:hAnsi="Verdana" w:cs="Verdana"/>
                <w:b/>
                <w:color w:val="000000"/>
                <w:sz w:val="16"/>
                <w:lang w:val="en-GB"/>
              </w:rPr>
              <w:t>896,788</w:t>
            </w:r>
          </w:p>
        </w:tc>
      </w:tr>
    </w:tbl>
    <w:p w:rsidR="00CA6653" w:rsidRDefault="00CA6653">
      <w:pPr>
        <w:pStyle w:val="T1TableStyle"/>
        <w:rPr>
          <w:lang w:val="en-GB"/>
        </w:rPr>
      </w:pPr>
    </w:p>
    <w:p w:rsidR="00F74B84" w:rsidRDefault="0019417B" w:rsidP="0019417B">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I certify that the Statement of Accounts gives a true and fair view of the financial position of the Police a</w:t>
      </w:r>
      <w:r w:rsidR="0009073C">
        <w:rPr>
          <w:rFonts w:ascii="Verdana" w:eastAsia="Verdana" w:hAnsi="Verdana" w:cs="Verdana"/>
          <w:sz w:val="22"/>
          <w:szCs w:val="22"/>
          <w:lang w:val="en-GB"/>
        </w:rPr>
        <w:t>nd Crime Commissioner for Surrey</w:t>
      </w:r>
      <w:r>
        <w:rPr>
          <w:rFonts w:ascii="Verdana" w:eastAsia="Verdana" w:hAnsi="Verdana" w:cs="Verdana"/>
          <w:sz w:val="22"/>
          <w:szCs w:val="22"/>
          <w:lang w:val="en-GB"/>
        </w:rPr>
        <w:t xml:space="preserve"> a</w:t>
      </w:r>
      <w:r w:rsidR="0009073C">
        <w:rPr>
          <w:rFonts w:ascii="Verdana" w:eastAsia="Verdana" w:hAnsi="Verdana" w:cs="Verdana"/>
          <w:sz w:val="22"/>
          <w:szCs w:val="22"/>
          <w:lang w:val="en-GB"/>
        </w:rPr>
        <w:t>nd the Chief Constable of Surrey</w:t>
      </w:r>
      <w:r>
        <w:rPr>
          <w:rFonts w:ascii="Verdana" w:eastAsia="Verdana" w:hAnsi="Verdana" w:cs="Verdana"/>
          <w:sz w:val="22"/>
          <w:szCs w:val="22"/>
          <w:lang w:val="en-GB"/>
        </w:rPr>
        <w:t xml:space="preserve"> Group at the accounting date and of the income and expenditure for the year ended 31 March 2020. These</w:t>
      </w:r>
      <w:r w:rsidR="00706ED6">
        <w:rPr>
          <w:rFonts w:ascii="Verdana" w:eastAsia="Verdana" w:hAnsi="Verdana" w:cs="Verdana"/>
          <w:sz w:val="22"/>
          <w:szCs w:val="22"/>
          <w:lang w:val="en-GB"/>
        </w:rPr>
        <w:t xml:space="preserve"> financial statements </w:t>
      </w:r>
      <w:r w:rsidR="00E704E9">
        <w:rPr>
          <w:rFonts w:ascii="Verdana" w:eastAsia="Verdana" w:hAnsi="Verdana" w:cs="Verdana"/>
          <w:sz w:val="22"/>
          <w:szCs w:val="22"/>
          <w:lang w:val="en-GB"/>
        </w:rPr>
        <w:t xml:space="preserve">replace </w:t>
      </w:r>
      <w:r w:rsidR="00706ED6">
        <w:rPr>
          <w:rFonts w:ascii="Verdana" w:eastAsia="Verdana" w:hAnsi="Verdana" w:cs="Verdana"/>
          <w:sz w:val="22"/>
          <w:szCs w:val="22"/>
          <w:lang w:val="en-GB"/>
        </w:rPr>
        <w:t>the unaudited financial statements</w:t>
      </w:r>
      <w:r w:rsidR="00E704E9">
        <w:rPr>
          <w:rFonts w:ascii="Verdana" w:eastAsia="Verdana" w:hAnsi="Verdana" w:cs="Verdana"/>
          <w:sz w:val="22"/>
          <w:szCs w:val="22"/>
          <w:lang w:val="en-GB"/>
        </w:rPr>
        <w:t xml:space="preserve"> certified on 30 June 2020</w:t>
      </w:r>
      <w:r w:rsidR="00706ED6">
        <w:rPr>
          <w:rFonts w:ascii="Verdana" w:eastAsia="Verdana" w:hAnsi="Verdana" w:cs="Verdana"/>
          <w:sz w:val="22"/>
          <w:szCs w:val="22"/>
          <w:lang w:val="en-GB"/>
        </w:rPr>
        <w:t>.</w:t>
      </w:r>
    </w:p>
    <w:p w:rsidR="00CA6653" w:rsidRDefault="0019417B" w:rsidP="0019417B">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 </w:t>
      </w:r>
    </w:p>
    <w:p w:rsidR="00CA6653" w:rsidRDefault="00CA6653">
      <w:pPr>
        <w:pStyle w:val="Normal0"/>
        <w:spacing w:after="160"/>
        <w:rPr>
          <w:rFonts w:ascii="Verdana" w:eastAsia="Verdana" w:hAnsi="Verdana" w:cs="Verdana"/>
          <w:sz w:val="22"/>
          <w:szCs w:val="22"/>
          <w:lang w:val="en-GB"/>
        </w:rPr>
      </w:pPr>
    </w:p>
    <w:p w:rsidR="00CA6653" w:rsidRDefault="00CA6653">
      <w:pPr>
        <w:pStyle w:val="Normal0"/>
        <w:spacing w:after="160"/>
        <w:rPr>
          <w:rFonts w:ascii="Verdana" w:eastAsia="Verdana" w:hAnsi="Verdana" w:cs="Verdana"/>
          <w:sz w:val="22"/>
          <w:szCs w:val="22"/>
          <w:lang w:val="en-GB"/>
        </w:rPr>
      </w:pPr>
    </w:p>
    <w:p w:rsidR="00CA6653" w:rsidRDefault="00671334">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Kelvin Menon</w:t>
      </w:r>
      <w:r w:rsidR="00CA6653">
        <w:rPr>
          <w:rFonts w:ascii="Verdana" w:eastAsia="Verdana" w:hAnsi="Verdana" w:cs="Verdana"/>
          <w:sz w:val="22"/>
          <w:szCs w:val="22"/>
          <w:lang w:val="en-GB"/>
        </w:rPr>
        <w:t xml:space="preserve">, </w:t>
      </w:r>
      <w:r w:rsidR="00EC43CF">
        <w:rPr>
          <w:rFonts w:ascii="Verdana" w:eastAsia="Verdana" w:hAnsi="Verdana" w:cs="Verdana"/>
          <w:sz w:val="22"/>
          <w:szCs w:val="22"/>
          <w:lang w:val="en-GB"/>
        </w:rPr>
        <w:t>Chief Finance Officer</w:t>
      </w:r>
    </w:p>
    <w:p w:rsidR="00CA6653" w:rsidRDefault="00CA6653">
      <w:pPr>
        <w:pStyle w:val="Normal0"/>
        <w:spacing w:after="160"/>
        <w:rPr>
          <w:rFonts w:ascii="Verdana" w:eastAsia="Verdana" w:hAnsi="Verdana" w:cs="Verdana"/>
          <w:sz w:val="22"/>
          <w:szCs w:val="22"/>
          <w:lang w:val="en-GB"/>
        </w:rPr>
      </w:pPr>
    </w:p>
    <w:p w:rsidR="00CA6653" w:rsidRDefault="00CA6653">
      <w:pPr>
        <w:pStyle w:val="Normal0"/>
        <w:spacing w:after="160"/>
        <w:rPr>
          <w:rFonts w:ascii="Verdana" w:eastAsia="Verdana" w:hAnsi="Verdana" w:cs="Verdana"/>
          <w:sz w:val="22"/>
          <w:szCs w:val="22"/>
          <w:lang w:val="en-GB"/>
        </w:rPr>
        <w:sectPr w:rsidR="00CA6653" w:rsidSect="00CA6653">
          <w:pgSz w:w="11900" w:h="16840"/>
          <w:pgMar w:top="720" w:right="720" w:bottom="720" w:left="720" w:header="708" w:footer="708" w:gutter="0"/>
          <w:cols w:space="708"/>
          <w:docGrid w:linePitch="360"/>
        </w:sectPr>
      </w:pPr>
      <w:r>
        <w:rPr>
          <w:rFonts w:ascii="Verdana" w:eastAsia="Verdana" w:hAnsi="Verdana" w:cs="Verdana"/>
          <w:sz w:val="22"/>
          <w:szCs w:val="22"/>
          <w:lang w:val="en-GB"/>
        </w:rPr>
        <w:t>Date:</w:t>
      </w:r>
    </w:p>
    <w:p w:rsidR="00CA6653" w:rsidRPr="00A02D19" w:rsidRDefault="00CA6653" w:rsidP="00A31A9E">
      <w:pPr>
        <w:pStyle w:val="Heading1"/>
      </w:pPr>
      <w:bookmarkStart w:id="11" w:name="_Toc55900402"/>
      <w:r w:rsidRPr="00A02D19">
        <w:t>Cash Flow Statement</w:t>
      </w:r>
      <w:bookmarkEnd w:id="11"/>
    </w:p>
    <w:p w:rsidR="00CA6653" w:rsidRPr="006375D5" w:rsidRDefault="00CA6653" w:rsidP="00A02D19">
      <w:pPr>
        <w:pStyle w:val="Normal0"/>
        <w:spacing w:after="160" w:line="259" w:lineRule="auto"/>
        <w:jc w:val="both"/>
        <w:rPr>
          <w:rFonts w:ascii="Verdana" w:hAnsi="Verdana"/>
          <w:sz w:val="22"/>
          <w:szCs w:val="22"/>
          <w:lang w:val="pt-BR"/>
        </w:rPr>
      </w:pPr>
      <w:r w:rsidRPr="006375D5">
        <w:rPr>
          <w:rFonts w:ascii="Verdana" w:eastAsia="Calibri" w:hAnsi="Verdana" w:cs="Arial"/>
          <w:sz w:val="22"/>
          <w:szCs w:val="22"/>
          <w:lang w:val="pt-BR"/>
        </w:rPr>
        <w:t>The Cash Flow Statement shows the changes in cash and cash equivalents of the of the Group and the Police and Crime Commissioner during the reporting period.</w:t>
      </w:r>
    </w:p>
    <w:p w:rsidR="00CA6653" w:rsidRPr="006375D5" w:rsidRDefault="00CA6653" w:rsidP="00A02D19">
      <w:pPr>
        <w:pStyle w:val="Normal0"/>
        <w:spacing w:after="160" w:line="259" w:lineRule="auto"/>
        <w:jc w:val="both"/>
        <w:rPr>
          <w:rFonts w:ascii="Verdana" w:hAnsi="Verdana"/>
          <w:sz w:val="22"/>
          <w:szCs w:val="22"/>
          <w:lang w:val="pt-BR"/>
        </w:rPr>
      </w:pPr>
      <w:r w:rsidRPr="006375D5">
        <w:rPr>
          <w:rFonts w:ascii="Verdana" w:eastAsia="Calibri" w:hAnsi="Verdana" w:cs="Arial"/>
          <w:sz w:val="22"/>
          <w:szCs w:val="22"/>
          <w:lang w:val="pt-BR"/>
        </w:rPr>
        <w:t>The statement shows how the Group generates and uses cash and cash equivalents by classifying cash flows as operating, investing and financing activities. The amount of net cash flows arising from operating activities is a key indicator of the extent to which the operations of the Group are funded by way of taxation and grant income or from the recipients of services provided by the Group.  Investing activities represent the extent to which cash outflows have been made for resources which are intended to contribute to the Group's future service delivery.  Cash flows arising from financing activities are useful in predicting claims on future cash flows by providers of capital (i.e. borrowing)  to the Group.</w:t>
      </w:r>
    </w:p>
    <w:p w:rsidR="00CA6653" w:rsidRPr="006375D5" w:rsidRDefault="00CA6653" w:rsidP="00A02D19">
      <w:pPr>
        <w:pStyle w:val="Normal0"/>
        <w:spacing w:after="160" w:line="259" w:lineRule="auto"/>
        <w:jc w:val="both"/>
        <w:rPr>
          <w:rFonts w:ascii="Verdana" w:hAnsi="Verdana"/>
          <w:sz w:val="22"/>
          <w:szCs w:val="22"/>
          <w:lang w:val="pt-BR"/>
        </w:rPr>
      </w:pPr>
      <w:r w:rsidRPr="006375D5">
        <w:rPr>
          <w:rFonts w:ascii="Verdana" w:eastAsia="Calibri" w:hAnsi="Verdana" w:cs="Arial"/>
          <w:sz w:val="22"/>
          <w:szCs w:val="22"/>
          <w:lang w:val="pt-BR"/>
        </w:rPr>
        <w:t xml:space="preserve">The Chief Constable does not have any cash-flows for the year, since all payments were made from the Police Fund which is held by the Police and Crime Commissioner for Surrey (PCC).  Similarly all income receipts and funding are received by the PCC during the year.  The financial consequences of the operational activities do impact on the net surplus/deficit on the provision of services and adjustments to that net surplus/deficit on provision of services for non-cash movements. </w:t>
      </w:r>
    </w:p>
    <w:p w:rsidR="00EE7B4F" w:rsidRDefault="00CA6653" w:rsidP="00A02D19">
      <w:pPr>
        <w:pStyle w:val="Normal0"/>
        <w:spacing w:after="160" w:line="259" w:lineRule="auto"/>
        <w:jc w:val="both"/>
        <w:rPr>
          <w:rFonts w:ascii="Verdana" w:eastAsia="Calibri" w:hAnsi="Verdana" w:cs="Arial"/>
          <w:sz w:val="22"/>
          <w:szCs w:val="22"/>
          <w:lang w:val="pt-BR"/>
        </w:rPr>
      </w:pPr>
      <w:r w:rsidRPr="006375D5">
        <w:rPr>
          <w:rFonts w:ascii="Verdana" w:eastAsia="Calibri" w:hAnsi="Verdana" w:cs="Arial"/>
          <w:sz w:val="22"/>
          <w:szCs w:val="22"/>
          <w:lang w:val="pt-BR"/>
        </w:rPr>
        <w:t xml:space="preserve">Separate statements for the Group and the PCC have therefore been included to reflect the </w:t>
      </w:r>
    </w:p>
    <w:p w:rsidR="00CA6653" w:rsidRPr="002A0E78" w:rsidRDefault="00CA6653" w:rsidP="00CA6653">
      <w:pPr>
        <w:pStyle w:val="Normal0"/>
        <w:spacing w:after="160" w:line="259" w:lineRule="auto"/>
        <w:rPr>
          <w:rFonts w:ascii="Verdana" w:hAnsi="Verdana"/>
          <w:sz w:val="22"/>
          <w:szCs w:val="22"/>
          <w:lang w:val="pt-BR"/>
        </w:rPr>
      </w:pPr>
      <w:r w:rsidRPr="002A0E78">
        <w:rPr>
          <w:rFonts w:ascii="Verdana" w:eastAsia="Calibri" w:hAnsi="Verdana" w:cs="Arial"/>
          <w:sz w:val="22"/>
          <w:szCs w:val="22"/>
          <w:lang w:val="pt-BR"/>
        </w:rPr>
        <w:t>intra-group adjustments with the Chief Constable's operational activities.</w:t>
      </w:r>
    </w:p>
    <w:tbl>
      <w:tblPr>
        <w:tblW w:w="0" w:type="auto"/>
        <w:jc w:val="center"/>
        <w:tblLayout w:type="fixed"/>
        <w:tblLook w:val="04A0" w:firstRow="1" w:lastRow="0" w:firstColumn="1" w:lastColumn="0" w:noHBand="0" w:noVBand="1"/>
      </w:tblPr>
      <w:tblGrid>
        <w:gridCol w:w="1230"/>
        <w:gridCol w:w="1174"/>
        <w:gridCol w:w="236"/>
        <w:gridCol w:w="621"/>
        <w:gridCol w:w="4130"/>
        <w:gridCol w:w="1230"/>
        <w:gridCol w:w="1396"/>
      </w:tblGrid>
      <w:tr w:rsidR="00430754" w:rsidRPr="002A0E78" w:rsidTr="00A200D5">
        <w:trPr>
          <w:trHeight w:val="300"/>
          <w:jc w:val="center"/>
        </w:trPr>
        <w:tc>
          <w:tcPr>
            <w:tcW w:w="2404" w:type="dxa"/>
            <w:gridSpan w:val="2"/>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2018/19</w:t>
            </w:r>
          </w:p>
        </w:tc>
        <w:tc>
          <w:tcPr>
            <w:tcW w:w="236" w:type="dxa"/>
          </w:tcPr>
          <w:p w:rsidR="00430754" w:rsidRPr="002A0E78" w:rsidRDefault="00430754" w:rsidP="00CA6653">
            <w:pPr>
              <w:pStyle w:val="T1TableStyle"/>
              <w:jc w:val="center"/>
              <w:rPr>
                <w:rFonts w:ascii="Calibri" w:eastAsia="Calibri" w:hAnsi="Calibri" w:cs="Calibri"/>
                <w:color w:val="000000"/>
                <w:sz w:val="2"/>
                <w:szCs w:val="22"/>
                <w:lang w:val="en-GB"/>
              </w:rPr>
            </w:pPr>
          </w:p>
        </w:tc>
        <w:tc>
          <w:tcPr>
            <w:tcW w:w="621" w:type="dxa"/>
            <w:shd w:val="clear" w:color="auto" w:fill="auto"/>
            <w:tcMar>
              <w:top w:w="20" w:type="dxa"/>
              <w:left w:w="20" w:type="dxa"/>
              <w:bottom w:w="20" w:type="dxa"/>
              <w:right w:w="20" w:type="dxa"/>
            </w:tcMar>
            <w:vAlign w:val="center"/>
          </w:tcPr>
          <w:p w:rsidR="00430754" w:rsidRPr="00A200D5" w:rsidRDefault="00430754">
            <w:pPr>
              <w:pStyle w:val="T1TableStyle"/>
              <w:jc w:val="center"/>
              <w:rPr>
                <w:rFonts w:ascii="Verdana" w:eastAsia="Calibri" w:hAnsi="Verdana" w:cs="Calibri"/>
                <w:color w:val="000000"/>
                <w:sz w:val="16"/>
                <w:szCs w:val="16"/>
                <w:lang w:val="en-GB"/>
              </w:rPr>
            </w:pPr>
          </w:p>
        </w:tc>
        <w:tc>
          <w:tcPr>
            <w:tcW w:w="4130" w:type="dxa"/>
            <w:shd w:val="clear" w:color="auto" w:fill="auto"/>
            <w:tcMar>
              <w:top w:w="20" w:type="dxa"/>
              <w:left w:w="20" w:type="dxa"/>
              <w:bottom w:w="20" w:type="dxa"/>
              <w:right w:w="20" w:type="dxa"/>
            </w:tcMar>
            <w:vAlign w:val="center"/>
          </w:tcPr>
          <w:p w:rsidR="00430754" w:rsidRPr="002A0E78" w:rsidRDefault="00430754" w:rsidP="00CA6653">
            <w:pPr>
              <w:pStyle w:val="T1TableStyle"/>
              <w:jc w:val="center"/>
              <w:rPr>
                <w:rFonts w:ascii="Calibri" w:eastAsia="Calibri" w:hAnsi="Calibri" w:cs="Calibri"/>
                <w:color w:val="000000"/>
                <w:sz w:val="2"/>
                <w:szCs w:val="22"/>
                <w:lang w:val="en-GB"/>
              </w:rPr>
            </w:pPr>
            <w:r w:rsidRPr="002A0E78">
              <w:rPr>
                <w:rFonts w:ascii="Calibri" w:eastAsia="Calibri" w:hAnsi="Calibri" w:cs="Calibri"/>
                <w:color w:val="000000"/>
                <w:sz w:val="2"/>
                <w:szCs w:val="22"/>
                <w:lang w:val="en-GB"/>
              </w:rPr>
              <w:t xml:space="preserve"> </w:t>
            </w:r>
          </w:p>
        </w:tc>
        <w:tc>
          <w:tcPr>
            <w:tcW w:w="2626" w:type="dxa"/>
            <w:gridSpan w:val="2"/>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2019/20</w:t>
            </w:r>
          </w:p>
        </w:tc>
      </w:tr>
      <w:tr w:rsidR="00430754" w:rsidRPr="002A0E78" w:rsidTr="00A200D5">
        <w:trPr>
          <w:trHeight w:val="300"/>
          <w:jc w:val="center"/>
        </w:trPr>
        <w:tc>
          <w:tcPr>
            <w:tcW w:w="1230"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PCC</w:t>
            </w:r>
          </w:p>
        </w:tc>
        <w:tc>
          <w:tcPr>
            <w:tcW w:w="1174"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Group</w:t>
            </w:r>
          </w:p>
        </w:tc>
        <w:tc>
          <w:tcPr>
            <w:tcW w:w="236" w:type="dxa"/>
          </w:tcPr>
          <w:p w:rsidR="00430754" w:rsidRPr="002A0E78" w:rsidRDefault="00430754" w:rsidP="00CA6653">
            <w:pPr>
              <w:pStyle w:val="T1TableStyle"/>
              <w:jc w:val="center"/>
              <w:rPr>
                <w:rFonts w:ascii="Verdana" w:eastAsia="Verdana" w:hAnsi="Verdana" w:cs="Verdana"/>
                <w:b/>
                <w:color w:val="000000"/>
                <w:sz w:val="2"/>
                <w:szCs w:val="22"/>
                <w:lang w:val="en-GB"/>
              </w:rPr>
            </w:pPr>
          </w:p>
        </w:tc>
        <w:tc>
          <w:tcPr>
            <w:tcW w:w="621" w:type="dxa"/>
            <w:shd w:val="clear" w:color="auto" w:fill="auto"/>
            <w:tcMar>
              <w:top w:w="20" w:type="dxa"/>
              <w:left w:w="20" w:type="dxa"/>
              <w:bottom w:w="20" w:type="dxa"/>
              <w:right w:w="20" w:type="dxa"/>
            </w:tcMar>
            <w:vAlign w:val="bottom"/>
          </w:tcPr>
          <w:p w:rsidR="00430754" w:rsidRPr="00A200D5" w:rsidRDefault="00430754">
            <w:pPr>
              <w:pStyle w:val="T1TableStyle"/>
              <w:jc w:val="center"/>
              <w:rPr>
                <w:rFonts w:ascii="Verdana" w:eastAsia="Verdana" w:hAnsi="Verdana" w:cs="Verdana"/>
                <w:b/>
                <w:color w:val="000000"/>
                <w:sz w:val="16"/>
                <w:szCs w:val="16"/>
                <w:lang w:val="en-GB"/>
              </w:rPr>
            </w:pPr>
          </w:p>
        </w:tc>
        <w:tc>
          <w:tcPr>
            <w:tcW w:w="4130"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b/>
                <w:color w:val="000000"/>
                <w:sz w:val="2"/>
                <w:szCs w:val="22"/>
                <w:lang w:val="en-GB"/>
              </w:rPr>
            </w:pPr>
            <w:r w:rsidRPr="002A0E78">
              <w:rPr>
                <w:rFonts w:ascii="Verdana" w:eastAsia="Verdana" w:hAnsi="Verdana" w:cs="Verdana"/>
                <w:b/>
                <w:color w:val="000000"/>
                <w:sz w:val="2"/>
                <w:szCs w:val="22"/>
                <w:lang w:val="en-GB"/>
              </w:rPr>
              <w:t xml:space="preserve"> </w:t>
            </w:r>
          </w:p>
        </w:tc>
        <w:tc>
          <w:tcPr>
            <w:tcW w:w="1230"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PCC</w:t>
            </w:r>
          </w:p>
        </w:tc>
        <w:tc>
          <w:tcPr>
            <w:tcW w:w="1396"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Group</w:t>
            </w:r>
          </w:p>
        </w:tc>
      </w:tr>
      <w:tr w:rsidR="00430754" w:rsidRPr="002A0E78" w:rsidTr="00A200D5">
        <w:trPr>
          <w:trHeight w:val="300"/>
          <w:jc w:val="center"/>
        </w:trPr>
        <w:tc>
          <w:tcPr>
            <w:tcW w:w="1230" w:type="dxa"/>
            <w:tcBorders>
              <w:bottom w:val="single" w:sz="2" w:space="0" w:color="000000"/>
            </w:tcBorders>
            <w:shd w:val="clear" w:color="auto" w:fill="auto"/>
            <w:tcMar>
              <w:top w:w="20" w:type="dxa"/>
              <w:left w:w="20" w:type="dxa"/>
              <w:bottom w:w="20" w:type="dxa"/>
              <w:right w:w="20" w:type="dxa"/>
            </w:tcMar>
            <w:vAlign w:val="bottom"/>
          </w:tcPr>
          <w:p w:rsidR="00430754" w:rsidRPr="002A0E78" w:rsidRDefault="00430754" w:rsidP="00CA6653">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£000</w:t>
            </w:r>
          </w:p>
        </w:tc>
        <w:tc>
          <w:tcPr>
            <w:tcW w:w="1174" w:type="dxa"/>
            <w:tcBorders>
              <w:bottom w:val="single" w:sz="2" w:space="0" w:color="000000"/>
            </w:tcBorders>
            <w:shd w:val="clear" w:color="auto" w:fill="auto"/>
            <w:tcMar>
              <w:top w:w="20" w:type="dxa"/>
              <w:left w:w="20" w:type="dxa"/>
              <w:bottom w:w="20" w:type="dxa"/>
              <w:right w:w="20" w:type="dxa"/>
            </w:tcMar>
            <w:vAlign w:val="bottom"/>
          </w:tcPr>
          <w:p w:rsidR="00430754" w:rsidRPr="002A0E78" w:rsidRDefault="00430754" w:rsidP="00CA6653">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£000</w:t>
            </w:r>
          </w:p>
        </w:tc>
        <w:tc>
          <w:tcPr>
            <w:tcW w:w="236" w:type="dxa"/>
            <w:tcBorders>
              <w:bottom w:val="single" w:sz="2" w:space="0" w:color="000000"/>
            </w:tcBorders>
          </w:tcPr>
          <w:p w:rsidR="00430754" w:rsidRPr="002A0E78" w:rsidRDefault="00430754" w:rsidP="00CA6653">
            <w:pPr>
              <w:pStyle w:val="T1TableStyle"/>
              <w:jc w:val="right"/>
              <w:rPr>
                <w:rFonts w:ascii="Verdana" w:eastAsia="Verdana" w:hAnsi="Verdana" w:cs="Verdana"/>
                <w:b/>
                <w:color w:val="000000"/>
                <w:sz w:val="2"/>
                <w:szCs w:val="22"/>
                <w:lang w:val="en-GB"/>
              </w:rPr>
            </w:pPr>
          </w:p>
        </w:tc>
        <w:tc>
          <w:tcPr>
            <w:tcW w:w="621" w:type="dxa"/>
            <w:tcBorders>
              <w:bottom w:val="single" w:sz="2" w:space="0" w:color="000000"/>
            </w:tcBorders>
            <w:shd w:val="clear" w:color="auto" w:fill="auto"/>
            <w:tcMar>
              <w:top w:w="20" w:type="dxa"/>
              <w:left w:w="20" w:type="dxa"/>
              <w:bottom w:w="20" w:type="dxa"/>
              <w:right w:w="20" w:type="dxa"/>
            </w:tcMar>
            <w:vAlign w:val="bottom"/>
          </w:tcPr>
          <w:p w:rsidR="00430754" w:rsidRPr="00A200D5" w:rsidRDefault="00430754" w:rsidP="00A200D5">
            <w:pPr>
              <w:pStyle w:val="T1TableStyle"/>
              <w:jc w:val="center"/>
              <w:rPr>
                <w:rFonts w:ascii="Verdana" w:eastAsia="Verdana" w:hAnsi="Verdana" w:cs="Verdana"/>
                <w:b/>
                <w:color w:val="595959" w:themeColor="text1" w:themeTint="A6"/>
                <w:sz w:val="16"/>
                <w:szCs w:val="16"/>
                <w:lang w:val="en-GB"/>
              </w:rPr>
            </w:pPr>
            <w:r w:rsidRPr="0016302C">
              <w:rPr>
                <w:rFonts w:ascii="Verdana" w:eastAsia="Verdana" w:hAnsi="Verdana" w:cs="Verdana"/>
                <w:b/>
                <w:i/>
                <w:color w:val="595959" w:themeColor="text1" w:themeTint="A6"/>
                <w:sz w:val="16"/>
                <w:szCs w:val="16"/>
                <w:lang w:val="en-GB"/>
              </w:rPr>
              <w:t>Note</w:t>
            </w:r>
          </w:p>
        </w:tc>
        <w:tc>
          <w:tcPr>
            <w:tcW w:w="4130" w:type="dxa"/>
            <w:tcBorders>
              <w:bottom w:val="single" w:sz="2" w:space="0" w:color="000000"/>
            </w:tcBorders>
            <w:shd w:val="clear" w:color="auto" w:fill="auto"/>
            <w:tcMar>
              <w:top w:w="20" w:type="dxa"/>
              <w:left w:w="20" w:type="dxa"/>
              <w:bottom w:w="20" w:type="dxa"/>
              <w:right w:w="20" w:type="dxa"/>
            </w:tcMar>
            <w:vAlign w:val="bottom"/>
          </w:tcPr>
          <w:p w:rsidR="00430754" w:rsidRPr="002A0E78" w:rsidRDefault="00430754" w:rsidP="00CA6653">
            <w:pPr>
              <w:pStyle w:val="T1TableStyle"/>
              <w:jc w:val="right"/>
              <w:rPr>
                <w:rFonts w:ascii="Verdana" w:eastAsia="Verdana" w:hAnsi="Verdana" w:cs="Verdana"/>
                <w:b/>
                <w:color w:val="000000"/>
                <w:sz w:val="2"/>
                <w:szCs w:val="22"/>
                <w:lang w:val="en-GB"/>
              </w:rPr>
            </w:pPr>
            <w:r w:rsidRPr="002A0E78">
              <w:rPr>
                <w:rFonts w:ascii="Verdana" w:eastAsia="Verdana" w:hAnsi="Verdana" w:cs="Verdana"/>
                <w:b/>
                <w:color w:val="000000"/>
                <w:sz w:val="2"/>
                <w:szCs w:val="22"/>
                <w:lang w:val="en-GB"/>
              </w:rPr>
              <w:t xml:space="preserve"> </w:t>
            </w:r>
          </w:p>
        </w:tc>
        <w:tc>
          <w:tcPr>
            <w:tcW w:w="1230" w:type="dxa"/>
            <w:tcBorders>
              <w:bottom w:val="single" w:sz="2" w:space="0" w:color="000000"/>
            </w:tcBorders>
            <w:shd w:val="clear" w:color="auto" w:fill="auto"/>
            <w:tcMar>
              <w:top w:w="20" w:type="dxa"/>
              <w:left w:w="20" w:type="dxa"/>
              <w:bottom w:w="20" w:type="dxa"/>
              <w:right w:w="20" w:type="dxa"/>
            </w:tcMar>
            <w:vAlign w:val="bottom"/>
          </w:tcPr>
          <w:p w:rsidR="00430754" w:rsidRPr="002A0E78" w:rsidRDefault="00430754" w:rsidP="00CA6653">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£000</w:t>
            </w:r>
          </w:p>
        </w:tc>
        <w:tc>
          <w:tcPr>
            <w:tcW w:w="1396" w:type="dxa"/>
            <w:tcBorders>
              <w:bottom w:val="single" w:sz="2" w:space="0" w:color="000000"/>
            </w:tcBorders>
            <w:shd w:val="clear" w:color="auto" w:fill="auto"/>
            <w:tcMar>
              <w:top w:w="20" w:type="dxa"/>
              <w:left w:w="20" w:type="dxa"/>
              <w:bottom w:w="20" w:type="dxa"/>
              <w:right w:w="20" w:type="dxa"/>
            </w:tcMar>
            <w:vAlign w:val="bottom"/>
          </w:tcPr>
          <w:p w:rsidR="00430754" w:rsidRPr="002A0E78" w:rsidRDefault="00430754" w:rsidP="00CA6653">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£000</w:t>
            </w:r>
          </w:p>
        </w:tc>
      </w:tr>
      <w:tr w:rsidR="00430754" w:rsidRPr="002A0E78" w:rsidTr="00A200D5">
        <w:trPr>
          <w:trHeight w:val="420"/>
          <w:jc w:val="center"/>
        </w:trPr>
        <w:tc>
          <w:tcPr>
            <w:tcW w:w="1230"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2,254</w:t>
            </w:r>
          </w:p>
        </w:tc>
        <w:tc>
          <w:tcPr>
            <w:tcW w:w="1174"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143,644</w:t>
            </w:r>
          </w:p>
        </w:tc>
        <w:tc>
          <w:tcPr>
            <w:tcW w:w="236" w:type="dxa"/>
          </w:tcPr>
          <w:p w:rsidR="00430754" w:rsidRPr="002A0E78" w:rsidRDefault="00430754" w:rsidP="00CA6653">
            <w:pPr>
              <w:pStyle w:val="T1TableStyle"/>
              <w:jc w:val="center"/>
              <w:rPr>
                <w:rFonts w:ascii="Verdana" w:eastAsia="Verdana" w:hAnsi="Verdana" w:cs="Verdana"/>
                <w:color w:val="000000"/>
                <w:sz w:val="2"/>
                <w:szCs w:val="22"/>
                <w:lang w:val="en-GB"/>
              </w:rPr>
            </w:pPr>
          </w:p>
        </w:tc>
        <w:tc>
          <w:tcPr>
            <w:tcW w:w="621" w:type="dxa"/>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color w:val="595959" w:themeColor="text1" w:themeTint="A6"/>
                <w:sz w:val="16"/>
                <w:szCs w:val="16"/>
                <w:lang w:val="en-GB"/>
              </w:rPr>
            </w:pPr>
          </w:p>
        </w:tc>
        <w:tc>
          <w:tcPr>
            <w:tcW w:w="4130" w:type="dxa"/>
            <w:shd w:val="clear" w:color="auto" w:fill="auto"/>
            <w:tcMar>
              <w:top w:w="20" w:type="dxa"/>
              <w:left w:w="20" w:type="dxa"/>
              <w:bottom w:w="20" w:type="dxa"/>
              <w:right w:w="20" w:type="dxa"/>
            </w:tcMar>
          </w:tcPr>
          <w:p w:rsidR="00430754" w:rsidRPr="002A0E78" w:rsidRDefault="00430754" w:rsidP="00CA6653">
            <w:pPr>
              <w:pStyle w:val="T1TableStyle"/>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Net (surplus) or deficit on the provision of services</w:t>
            </w:r>
          </w:p>
        </w:tc>
        <w:tc>
          <w:tcPr>
            <w:tcW w:w="1230" w:type="dxa"/>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8</w:t>
            </w:r>
            <w:r w:rsidR="00712A6D">
              <w:rPr>
                <w:rFonts w:ascii="Verdana" w:eastAsia="Verdana" w:hAnsi="Verdana" w:cs="Verdana"/>
                <w:color w:val="000000"/>
                <w:sz w:val="16"/>
                <w:szCs w:val="22"/>
                <w:lang w:val="en-GB"/>
              </w:rPr>
              <w:t>44</w:t>
            </w:r>
          </w:p>
        </w:tc>
        <w:tc>
          <w:tcPr>
            <w:tcW w:w="1396" w:type="dxa"/>
            <w:shd w:val="clear" w:color="auto" w:fill="auto"/>
            <w:tcMar>
              <w:top w:w="20" w:type="dxa"/>
              <w:left w:w="20" w:type="dxa"/>
              <w:bottom w:w="20" w:type="dxa"/>
              <w:right w:w="20" w:type="dxa"/>
            </w:tcMar>
          </w:tcPr>
          <w:p w:rsidR="00430754" w:rsidRPr="002A0E78" w:rsidRDefault="00712A6D">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63</w:t>
            </w:r>
            <w:r w:rsidR="00430754">
              <w:rPr>
                <w:rFonts w:ascii="Verdana" w:eastAsia="Verdana" w:hAnsi="Verdana" w:cs="Verdana"/>
                <w:color w:val="000000"/>
                <w:sz w:val="16"/>
                <w:szCs w:val="22"/>
                <w:lang w:val="en-GB"/>
              </w:rPr>
              <w:t>,</w:t>
            </w:r>
            <w:r>
              <w:rPr>
                <w:rFonts w:ascii="Verdana" w:eastAsia="Verdana" w:hAnsi="Verdana" w:cs="Verdana"/>
                <w:color w:val="000000"/>
                <w:sz w:val="16"/>
                <w:szCs w:val="22"/>
                <w:lang w:val="en-GB"/>
              </w:rPr>
              <w:t>8</w:t>
            </w:r>
            <w:r w:rsidR="00430754">
              <w:rPr>
                <w:rFonts w:ascii="Verdana" w:eastAsia="Verdana" w:hAnsi="Verdana" w:cs="Verdana"/>
                <w:color w:val="000000"/>
                <w:sz w:val="16"/>
                <w:szCs w:val="22"/>
                <w:lang w:val="en-GB"/>
              </w:rPr>
              <w:t>7</w:t>
            </w:r>
            <w:r>
              <w:rPr>
                <w:rFonts w:ascii="Verdana" w:eastAsia="Verdana" w:hAnsi="Verdana" w:cs="Verdana"/>
                <w:color w:val="000000"/>
                <w:sz w:val="16"/>
                <w:szCs w:val="22"/>
                <w:lang w:val="en-GB"/>
              </w:rPr>
              <w:t>5</w:t>
            </w:r>
          </w:p>
        </w:tc>
      </w:tr>
      <w:tr w:rsidR="00430754" w:rsidRPr="002A0E78" w:rsidTr="00A200D5">
        <w:trPr>
          <w:trHeight w:val="600"/>
          <w:jc w:val="center"/>
        </w:trPr>
        <w:tc>
          <w:tcPr>
            <w:tcW w:w="1230"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(11,40</w:t>
            </w:r>
            <w:r>
              <w:rPr>
                <w:rFonts w:ascii="Verdana" w:eastAsia="Verdana" w:hAnsi="Verdana" w:cs="Verdana"/>
                <w:color w:val="000000"/>
                <w:sz w:val="16"/>
                <w:szCs w:val="22"/>
                <w:lang w:val="en-GB"/>
              </w:rPr>
              <w:t>4</w:t>
            </w:r>
            <w:r w:rsidRPr="002A0E78">
              <w:rPr>
                <w:rFonts w:ascii="Verdana" w:eastAsia="Verdana" w:hAnsi="Verdana" w:cs="Verdana"/>
                <w:color w:val="000000"/>
                <w:sz w:val="16"/>
                <w:szCs w:val="22"/>
                <w:lang w:val="en-GB"/>
              </w:rPr>
              <w:t>)</w:t>
            </w:r>
          </w:p>
        </w:tc>
        <w:tc>
          <w:tcPr>
            <w:tcW w:w="1174"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(152,795)</w:t>
            </w:r>
          </w:p>
        </w:tc>
        <w:tc>
          <w:tcPr>
            <w:tcW w:w="236" w:type="dxa"/>
          </w:tcPr>
          <w:p w:rsidR="00430754" w:rsidRPr="002A0E78" w:rsidRDefault="00430754" w:rsidP="00CA6653">
            <w:pPr>
              <w:pStyle w:val="T1TableStyle"/>
              <w:jc w:val="center"/>
              <w:rPr>
                <w:rFonts w:ascii="Verdana" w:eastAsia="Verdana" w:hAnsi="Verdana" w:cs="Verdana"/>
                <w:color w:val="000000"/>
                <w:sz w:val="2"/>
                <w:szCs w:val="22"/>
                <w:lang w:val="en-GB"/>
              </w:rPr>
            </w:pPr>
          </w:p>
        </w:tc>
        <w:tc>
          <w:tcPr>
            <w:tcW w:w="621" w:type="dxa"/>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color w:val="595959" w:themeColor="text1" w:themeTint="A6"/>
                <w:sz w:val="16"/>
                <w:szCs w:val="16"/>
                <w:lang w:val="en-GB"/>
              </w:rPr>
            </w:pPr>
          </w:p>
        </w:tc>
        <w:tc>
          <w:tcPr>
            <w:tcW w:w="4130" w:type="dxa"/>
            <w:shd w:val="clear" w:color="auto" w:fill="auto"/>
            <w:tcMar>
              <w:top w:w="20" w:type="dxa"/>
              <w:left w:w="20" w:type="dxa"/>
              <w:bottom w:w="20" w:type="dxa"/>
              <w:right w:w="20" w:type="dxa"/>
            </w:tcMar>
          </w:tcPr>
          <w:p w:rsidR="00430754" w:rsidRPr="002A0E78" w:rsidRDefault="00430754" w:rsidP="00CA6653">
            <w:pPr>
              <w:pStyle w:val="T1TableStyle"/>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Adjustment to surplus or deficit on the provision of services for noncash movements</w:t>
            </w:r>
          </w:p>
        </w:tc>
        <w:tc>
          <w:tcPr>
            <w:tcW w:w="1230" w:type="dxa"/>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(8,</w:t>
            </w:r>
            <w:r>
              <w:rPr>
                <w:rFonts w:ascii="Verdana" w:eastAsia="Verdana" w:hAnsi="Verdana" w:cs="Verdana"/>
                <w:color w:val="000000"/>
                <w:sz w:val="16"/>
                <w:szCs w:val="22"/>
                <w:lang w:val="en-GB"/>
              </w:rPr>
              <w:t>2</w:t>
            </w:r>
            <w:r w:rsidR="00712A6D">
              <w:rPr>
                <w:rFonts w:ascii="Verdana" w:eastAsia="Verdana" w:hAnsi="Verdana" w:cs="Verdana"/>
                <w:color w:val="000000"/>
                <w:sz w:val="16"/>
                <w:szCs w:val="22"/>
                <w:lang w:val="en-GB"/>
              </w:rPr>
              <w:t>74</w:t>
            </w:r>
            <w:r w:rsidRPr="002A0E78">
              <w:rPr>
                <w:rFonts w:ascii="Verdana" w:eastAsia="Verdana" w:hAnsi="Verdana" w:cs="Verdana"/>
                <w:color w:val="000000"/>
                <w:sz w:val="16"/>
                <w:szCs w:val="22"/>
                <w:lang w:val="en-GB"/>
              </w:rPr>
              <w:t>)</w:t>
            </w:r>
          </w:p>
        </w:tc>
        <w:tc>
          <w:tcPr>
            <w:tcW w:w="1396" w:type="dxa"/>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w:t>
            </w:r>
            <w:r w:rsidR="00712A6D">
              <w:rPr>
                <w:rFonts w:ascii="Verdana" w:eastAsia="Verdana" w:hAnsi="Verdana" w:cs="Verdana"/>
                <w:color w:val="000000"/>
                <w:sz w:val="16"/>
                <w:szCs w:val="22"/>
                <w:lang w:val="en-GB"/>
              </w:rPr>
              <w:t>71</w:t>
            </w:r>
            <w:r w:rsidRPr="002A0E78">
              <w:rPr>
                <w:rFonts w:ascii="Verdana" w:eastAsia="Verdana" w:hAnsi="Verdana" w:cs="Verdana"/>
                <w:color w:val="000000"/>
                <w:sz w:val="16"/>
                <w:szCs w:val="22"/>
                <w:lang w:val="en-GB"/>
              </w:rPr>
              <w:t>,</w:t>
            </w:r>
            <w:r w:rsidR="00712A6D">
              <w:rPr>
                <w:rFonts w:ascii="Verdana" w:eastAsia="Verdana" w:hAnsi="Verdana" w:cs="Verdana"/>
                <w:color w:val="000000"/>
                <w:sz w:val="16"/>
                <w:szCs w:val="22"/>
                <w:lang w:val="en-GB"/>
              </w:rPr>
              <w:t>3</w:t>
            </w:r>
            <w:r>
              <w:rPr>
                <w:rFonts w:ascii="Verdana" w:eastAsia="Verdana" w:hAnsi="Verdana" w:cs="Verdana"/>
                <w:color w:val="000000"/>
                <w:sz w:val="16"/>
                <w:szCs w:val="22"/>
                <w:lang w:val="en-GB"/>
              </w:rPr>
              <w:t>0</w:t>
            </w:r>
            <w:r w:rsidR="00712A6D">
              <w:rPr>
                <w:rFonts w:ascii="Verdana" w:eastAsia="Verdana" w:hAnsi="Verdana" w:cs="Verdana"/>
                <w:color w:val="000000"/>
                <w:sz w:val="16"/>
                <w:szCs w:val="22"/>
                <w:lang w:val="en-GB"/>
              </w:rPr>
              <w:t>5</w:t>
            </w:r>
            <w:r w:rsidRPr="002A0E78">
              <w:rPr>
                <w:rFonts w:ascii="Verdana" w:eastAsia="Verdana" w:hAnsi="Verdana" w:cs="Verdana"/>
                <w:color w:val="000000"/>
                <w:sz w:val="16"/>
                <w:szCs w:val="22"/>
                <w:lang w:val="en-GB"/>
              </w:rPr>
              <w:t>)</w:t>
            </w:r>
          </w:p>
        </w:tc>
      </w:tr>
      <w:tr w:rsidR="00430754" w:rsidRPr="002A0E78" w:rsidTr="00A200D5">
        <w:trPr>
          <w:trHeight w:val="840"/>
          <w:jc w:val="center"/>
        </w:trPr>
        <w:tc>
          <w:tcPr>
            <w:tcW w:w="1230" w:type="dxa"/>
            <w:shd w:val="clear" w:color="auto" w:fill="auto"/>
            <w:tcMar>
              <w:top w:w="20" w:type="dxa"/>
              <w:left w:w="20" w:type="dxa"/>
              <w:bottom w:w="20" w:type="dxa"/>
              <w:right w:w="20" w:type="dxa"/>
            </w:tcMar>
          </w:tcPr>
          <w:p w:rsidR="00430754"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1,823</w:t>
            </w:r>
          </w:p>
          <w:p w:rsidR="00430754" w:rsidRDefault="00430754" w:rsidP="00CA6653">
            <w:pPr>
              <w:pStyle w:val="T1TableStyle"/>
              <w:jc w:val="right"/>
              <w:rPr>
                <w:rFonts w:ascii="Verdana" w:eastAsia="Verdana" w:hAnsi="Verdana" w:cs="Verdana"/>
                <w:color w:val="000000"/>
                <w:sz w:val="16"/>
                <w:szCs w:val="22"/>
                <w:lang w:val="en-GB"/>
              </w:rPr>
            </w:pPr>
          </w:p>
          <w:p w:rsidR="00430754" w:rsidRDefault="00430754" w:rsidP="00CA6653">
            <w:pPr>
              <w:pStyle w:val="T1TableStyle"/>
              <w:jc w:val="right"/>
              <w:rPr>
                <w:rFonts w:ascii="Verdana" w:eastAsia="Verdana" w:hAnsi="Verdana" w:cs="Verdana"/>
                <w:color w:val="000000"/>
                <w:sz w:val="16"/>
                <w:szCs w:val="22"/>
                <w:lang w:val="en-GB"/>
              </w:rPr>
            </w:pPr>
          </w:p>
          <w:p w:rsidR="00430754" w:rsidRPr="002A0E78" w:rsidRDefault="00430754" w:rsidP="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(1)</w:t>
            </w:r>
          </w:p>
        </w:tc>
        <w:tc>
          <w:tcPr>
            <w:tcW w:w="1174"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1,823</w:t>
            </w:r>
          </w:p>
        </w:tc>
        <w:tc>
          <w:tcPr>
            <w:tcW w:w="236" w:type="dxa"/>
          </w:tcPr>
          <w:p w:rsidR="00430754" w:rsidRPr="002A0E78" w:rsidRDefault="00430754" w:rsidP="00CA6653">
            <w:pPr>
              <w:pStyle w:val="T1TableStyle"/>
              <w:jc w:val="center"/>
              <w:rPr>
                <w:rFonts w:ascii="Verdana" w:eastAsia="Verdana" w:hAnsi="Verdana" w:cs="Verdana"/>
                <w:color w:val="000000"/>
                <w:sz w:val="2"/>
                <w:szCs w:val="22"/>
                <w:lang w:val="en-GB"/>
              </w:rPr>
            </w:pPr>
          </w:p>
        </w:tc>
        <w:tc>
          <w:tcPr>
            <w:tcW w:w="621" w:type="dxa"/>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color w:val="595959" w:themeColor="text1" w:themeTint="A6"/>
                <w:sz w:val="16"/>
                <w:szCs w:val="16"/>
                <w:lang w:val="en-GB"/>
              </w:rPr>
            </w:pPr>
          </w:p>
        </w:tc>
        <w:tc>
          <w:tcPr>
            <w:tcW w:w="4130" w:type="dxa"/>
            <w:shd w:val="clear" w:color="auto" w:fill="auto"/>
            <w:tcMar>
              <w:top w:w="20" w:type="dxa"/>
              <w:left w:w="20" w:type="dxa"/>
              <w:bottom w:w="20" w:type="dxa"/>
              <w:right w:w="20" w:type="dxa"/>
            </w:tcMar>
          </w:tcPr>
          <w:p w:rsidR="00430754" w:rsidRDefault="00430754" w:rsidP="00CA6653">
            <w:pPr>
              <w:pStyle w:val="T1TableStyle"/>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Adjustment for items included in the net surplus or deficit on the provision of services that are investing or financing activities</w:t>
            </w:r>
          </w:p>
          <w:p w:rsidR="00430754" w:rsidRPr="002A0E78" w:rsidRDefault="00430754" w:rsidP="00CA6653">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Rounding</w:t>
            </w:r>
          </w:p>
        </w:tc>
        <w:tc>
          <w:tcPr>
            <w:tcW w:w="1230" w:type="dxa"/>
            <w:shd w:val="clear" w:color="auto" w:fill="auto"/>
            <w:tcMar>
              <w:top w:w="20" w:type="dxa"/>
              <w:left w:w="20" w:type="dxa"/>
              <w:bottom w:w="20" w:type="dxa"/>
              <w:right w:w="20" w:type="dxa"/>
            </w:tcMar>
          </w:tcPr>
          <w:p w:rsidR="00430754" w:rsidRPr="002A0E78" w:rsidRDefault="00430754" w:rsidP="00462CC2">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1,418</w:t>
            </w:r>
          </w:p>
        </w:tc>
        <w:tc>
          <w:tcPr>
            <w:tcW w:w="1396" w:type="dxa"/>
            <w:shd w:val="clear" w:color="auto" w:fill="auto"/>
            <w:tcMar>
              <w:top w:w="20" w:type="dxa"/>
              <w:left w:w="20" w:type="dxa"/>
              <w:bottom w:w="20" w:type="dxa"/>
              <w:right w:w="20" w:type="dxa"/>
            </w:tcMar>
          </w:tcPr>
          <w:p w:rsidR="00430754" w:rsidRPr="002A0E78" w:rsidRDefault="00430754" w:rsidP="00AA1614">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1,418</w:t>
            </w:r>
          </w:p>
        </w:tc>
      </w:tr>
      <w:tr w:rsidR="00430754" w:rsidRPr="002A0E78" w:rsidTr="00A200D5">
        <w:trPr>
          <w:trHeight w:val="31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(7,32</w:t>
            </w:r>
            <w:r>
              <w:rPr>
                <w:rFonts w:ascii="Verdana" w:eastAsia="Verdana" w:hAnsi="Verdana" w:cs="Verdana"/>
                <w:b/>
                <w:color w:val="000000"/>
                <w:sz w:val="16"/>
                <w:szCs w:val="22"/>
                <w:lang w:val="en-GB"/>
              </w:rPr>
              <w:t>8</w:t>
            </w:r>
            <w:r w:rsidRPr="002A0E78">
              <w:rPr>
                <w:rFonts w:ascii="Verdana" w:eastAsia="Verdana" w:hAnsi="Verdana" w:cs="Verdana"/>
                <w:b/>
                <w:color w:val="000000"/>
                <w:sz w:val="16"/>
                <w:szCs w:val="22"/>
                <w:lang w:val="en-GB"/>
              </w:rPr>
              <w:t>)</w:t>
            </w:r>
          </w:p>
        </w:tc>
        <w:tc>
          <w:tcPr>
            <w:tcW w:w="1174"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(7,328)</w:t>
            </w:r>
          </w:p>
        </w:tc>
        <w:tc>
          <w:tcPr>
            <w:tcW w:w="236" w:type="dxa"/>
            <w:tcBorders>
              <w:top w:val="single" w:sz="2" w:space="0" w:color="000000"/>
              <w:bottom w:val="single" w:sz="12" w:space="0" w:color="000000"/>
            </w:tcBorders>
          </w:tcPr>
          <w:p w:rsidR="00430754" w:rsidRPr="002A0E78" w:rsidRDefault="00430754" w:rsidP="00CA6653">
            <w:pPr>
              <w:pStyle w:val="T1TableStyle"/>
              <w:jc w:val="center"/>
              <w:rPr>
                <w:rFonts w:ascii="Verdana" w:eastAsia="Verdana" w:hAnsi="Verdana" w:cs="Verdana"/>
                <w:b/>
                <w:color w:val="000000"/>
                <w:sz w:val="2"/>
                <w:szCs w:val="22"/>
                <w:lang w:val="en-GB"/>
              </w:rPr>
            </w:pPr>
          </w:p>
        </w:tc>
        <w:tc>
          <w:tcPr>
            <w:tcW w:w="621"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b/>
                <w:color w:val="595959" w:themeColor="text1" w:themeTint="A6"/>
                <w:sz w:val="16"/>
                <w:szCs w:val="16"/>
                <w:lang w:val="en-GB"/>
              </w:rPr>
            </w:pPr>
            <w:r w:rsidRPr="00A200D5">
              <w:rPr>
                <w:rFonts w:ascii="Verdana" w:eastAsia="Verdana" w:hAnsi="Verdana" w:cs="Verdana"/>
                <w:b/>
                <w:color w:val="595959" w:themeColor="text1" w:themeTint="A6"/>
                <w:sz w:val="16"/>
                <w:szCs w:val="16"/>
                <w:lang w:val="en-GB"/>
              </w:rPr>
              <w:t>35</w:t>
            </w:r>
          </w:p>
        </w:tc>
        <w:tc>
          <w:tcPr>
            <w:tcW w:w="4130"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rsidP="00CA6653">
            <w:pPr>
              <w:pStyle w:val="T1TableStyle"/>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Net cash flows from operating activities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w:t>
            </w:r>
            <w:r>
              <w:rPr>
                <w:rFonts w:ascii="Verdana" w:eastAsia="Verdana" w:hAnsi="Verdana" w:cs="Verdana"/>
                <w:b/>
                <w:color w:val="000000"/>
                <w:sz w:val="16"/>
                <w:szCs w:val="22"/>
                <w:lang w:val="en-GB"/>
              </w:rPr>
              <w:t>6</w:t>
            </w:r>
            <w:r w:rsidRPr="002A0E78">
              <w:rPr>
                <w:rFonts w:ascii="Verdana" w:eastAsia="Verdana" w:hAnsi="Verdana" w:cs="Verdana"/>
                <w:b/>
                <w:color w:val="000000"/>
                <w:sz w:val="16"/>
                <w:szCs w:val="22"/>
                <w:lang w:val="en-GB"/>
              </w:rPr>
              <w:t>,</w:t>
            </w:r>
            <w:r>
              <w:rPr>
                <w:rFonts w:ascii="Verdana" w:eastAsia="Verdana" w:hAnsi="Verdana" w:cs="Verdana"/>
                <w:b/>
                <w:color w:val="000000"/>
                <w:sz w:val="16"/>
                <w:szCs w:val="22"/>
                <w:lang w:val="en-GB"/>
              </w:rPr>
              <w:t>012</w:t>
            </w:r>
            <w:r w:rsidRPr="002A0E78">
              <w:rPr>
                <w:rFonts w:ascii="Verdana" w:eastAsia="Verdana" w:hAnsi="Verdana" w:cs="Verdana"/>
                <w:b/>
                <w:color w:val="000000"/>
                <w:sz w:val="16"/>
                <w:szCs w:val="22"/>
                <w:lang w:val="en-GB"/>
              </w:rPr>
              <w:t>)</w:t>
            </w:r>
          </w:p>
        </w:tc>
        <w:tc>
          <w:tcPr>
            <w:tcW w:w="1396"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w:t>
            </w:r>
            <w:r>
              <w:rPr>
                <w:rFonts w:ascii="Verdana" w:eastAsia="Verdana" w:hAnsi="Verdana" w:cs="Verdana"/>
                <w:b/>
                <w:color w:val="000000"/>
                <w:sz w:val="16"/>
                <w:szCs w:val="22"/>
                <w:lang w:val="en-GB"/>
              </w:rPr>
              <w:t>6</w:t>
            </w:r>
            <w:r w:rsidRPr="002A0E78">
              <w:rPr>
                <w:rFonts w:ascii="Verdana" w:eastAsia="Verdana" w:hAnsi="Verdana" w:cs="Verdana"/>
                <w:b/>
                <w:color w:val="000000"/>
                <w:sz w:val="16"/>
                <w:szCs w:val="22"/>
                <w:lang w:val="en-GB"/>
              </w:rPr>
              <w:t>,</w:t>
            </w:r>
            <w:r>
              <w:rPr>
                <w:rFonts w:ascii="Verdana" w:eastAsia="Verdana" w:hAnsi="Verdana" w:cs="Verdana"/>
                <w:b/>
                <w:color w:val="000000"/>
                <w:sz w:val="16"/>
                <w:szCs w:val="22"/>
                <w:lang w:val="en-GB"/>
              </w:rPr>
              <w:t>012</w:t>
            </w:r>
            <w:r w:rsidRPr="002A0E78">
              <w:rPr>
                <w:rFonts w:ascii="Verdana" w:eastAsia="Verdana" w:hAnsi="Verdana" w:cs="Verdana"/>
                <w:b/>
                <w:color w:val="000000"/>
                <w:sz w:val="16"/>
                <w:szCs w:val="22"/>
                <w:lang w:val="en-GB"/>
              </w:rPr>
              <w:t>)</w:t>
            </w:r>
          </w:p>
        </w:tc>
      </w:tr>
      <w:tr w:rsidR="00430754" w:rsidRPr="002A0E78" w:rsidTr="00A200D5">
        <w:trPr>
          <w:trHeight w:hRule="exact" w:val="300"/>
          <w:jc w:val="center"/>
        </w:trPr>
        <w:tc>
          <w:tcPr>
            <w:tcW w:w="1230"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c>
          <w:tcPr>
            <w:tcW w:w="1174"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c>
          <w:tcPr>
            <w:tcW w:w="236" w:type="dxa"/>
          </w:tcPr>
          <w:p w:rsidR="00430754" w:rsidRPr="002A0E78" w:rsidRDefault="00430754" w:rsidP="00CA6653">
            <w:pPr>
              <w:pStyle w:val="T1TableStyle"/>
              <w:jc w:val="center"/>
              <w:rPr>
                <w:rFonts w:ascii="Verdana" w:eastAsia="Verdana" w:hAnsi="Verdana" w:cs="Verdana"/>
                <w:color w:val="000000"/>
                <w:sz w:val="2"/>
                <w:szCs w:val="22"/>
                <w:lang w:val="en-GB"/>
              </w:rPr>
            </w:pPr>
          </w:p>
        </w:tc>
        <w:tc>
          <w:tcPr>
            <w:tcW w:w="621" w:type="dxa"/>
            <w:shd w:val="clear" w:color="auto" w:fill="auto"/>
            <w:tcMar>
              <w:top w:w="20" w:type="dxa"/>
              <w:left w:w="20" w:type="dxa"/>
              <w:bottom w:w="20" w:type="dxa"/>
              <w:right w:w="20" w:type="dxa"/>
            </w:tcMar>
            <w:vAlign w:val="bottom"/>
          </w:tcPr>
          <w:p w:rsidR="00430754" w:rsidRPr="00A200D5" w:rsidRDefault="00430754">
            <w:pPr>
              <w:pStyle w:val="T1TableStyle"/>
              <w:jc w:val="center"/>
              <w:rPr>
                <w:rFonts w:ascii="Verdana" w:eastAsia="Verdana" w:hAnsi="Verdana" w:cs="Verdana"/>
                <w:color w:val="595959" w:themeColor="text1" w:themeTint="A6"/>
                <w:sz w:val="16"/>
                <w:szCs w:val="16"/>
                <w:lang w:val="en-GB"/>
              </w:rPr>
            </w:pPr>
          </w:p>
        </w:tc>
        <w:tc>
          <w:tcPr>
            <w:tcW w:w="4130"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c>
          <w:tcPr>
            <w:tcW w:w="1230"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c>
          <w:tcPr>
            <w:tcW w:w="1396" w:type="dxa"/>
            <w:shd w:val="clear" w:color="auto" w:fill="auto"/>
            <w:tcMar>
              <w:top w:w="20" w:type="dxa"/>
              <w:left w:w="20" w:type="dxa"/>
              <w:bottom w:w="20" w:type="dxa"/>
              <w:right w:w="20" w:type="dxa"/>
            </w:tcMar>
            <w:vAlign w:val="bottom"/>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r>
      <w:tr w:rsidR="00430754" w:rsidRPr="002A0E78" w:rsidTr="00A200D5">
        <w:trPr>
          <w:trHeight w:val="300"/>
          <w:jc w:val="center"/>
        </w:trPr>
        <w:tc>
          <w:tcPr>
            <w:tcW w:w="1230"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28,287</w:t>
            </w:r>
          </w:p>
        </w:tc>
        <w:tc>
          <w:tcPr>
            <w:tcW w:w="1174"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28,287</w:t>
            </w:r>
          </w:p>
        </w:tc>
        <w:tc>
          <w:tcPr>
            <w:tcW w:w="236" w:type="dxa"/>
          </w:tcPr>
          <w:p w:rsidR="00430754" w:rsidRPr="002A0E78" w:rsidRDefault="00430754" w:rsidP="00CA6653">
            <w:pPr>
              <w:pStyle w:val="T1TableStyle"/>
              <w:jc w:val="center"/>
              <w:rPr>
                <w:rFonts w:ascii="Verdana" w:eastAsia="Verdana" w:hAnsi="Verdana" w:cs="Verdana"/>
                <w:color w:val="000000"/>
                <w:sz w:val="2"/>
                <w:szCs w:val="22"/>
                <w:lang w:val="en-GB"/>
              </w:rPr>
            </w:pPr>
          </w:p>
        </w:tc>
        <w:tc>
          <w:tcPr>
            <w:tcW w:w="621" w:type="dxa"/>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color w:val="595959" w:themeColor="text1" w:themeTint="A6"/>
                <w:sz w:val="16"/>
                <w:szCs w:val="16"/>
                <w:lang w:val="en-GB"/>
              </w:rPr>
            </w:pPr>
            <w:r>
              <w:rPr>
                <w:rFonts w:ascii="Verdana" w:eastAsia="Verdana" w:hAnsi="Verdana" w:cs="Verdana"/>
                <w:color w:val="595959" w:themeColor="text1" w:themeTint="A6"/>
                <w:sz w:val="16"/>
                <w:szCs w:val="16"/>
                <w:lang w:val="en-GB"/>
              </w:rPr>
              <w:t>36</w:t>
            </w:r>
          </w:p>
        </w:tc>
        <w:tc>
          <w:tcPr>
            <w:tcW w:w="4130" w:type="dxa"/>
            <w:shd w:val="clear" w:color="auto" w:fill="auto"/>
            <w:tcMar>
              <w:top w:w="20" w:type="dxa"/>
              <w:left w:w="20" w:type="dxa"/>
              <w:bottom w:w="20" w:type="dxa"/>
              <w:right w:w="20" w:type="dxa"/>
            </w:tcMar>
          </w:tcPr>
          <w:p w:rsidR="00430754" w:rsidRPr="002A0E78" w:rsidRDefault="00430754" w:rsidP="00CA6653">
            <w:pPr>
              <w:pStyle w:val="T1TableStyle"/>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Net cash flows from investing activities</w:t>
            </w:r>
          </w:p>
        </w:tc>
        <w:tc>
          <w:tcPr>
            <w:tcW w:w="1230" w:type="dxa"/>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7,990</w:t>
            </w:r>
          </w:p>
        </w:tc>
        <w:tc>
          <w:tcPr>
            <w:tcW w:w="1396" w:type="dxa"/>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7</w:t>
            </w:r>
            <w:r w:rsidRPr="002A0E78">
              <w:rPr>
                <w:rFonts w:ascii="Verdana" w:eastAsia="Verdana" w:hAnsi="Verdana" w:cs="Verdana"/>
                <w:color w:val="000000"/>
                <w:sz w:val="16"/>
                <w:szCs w:val="22"/>
                <w:lang w:val="en-GB"/>
              </w:rPr>
              <w:t>,</w:t>
            </w:r>
            <w:r>
              <w:rPr>
                <w:rFonts w:ascii="Verdana" w:eastAsia="Verdana" w:hAnsi="Verdana" w:cs="Verdana"/>
                <w:color w:val="000000"/>
                <w:sz w:val="16"/>
                <w:szCs w:val="22"/>
                <w:lang w:val="en-GB"/>
              </w:rPr>
              <w:t>990</w:t>
            </w:r>
          </w:p>
        </w:tc>
      </w:tr>
      <w:tr w:rsidR="00430754" w:rsidRPr="002A0E78" w:rsidTr="00A200D5">
        <w:trPr>
          <w:trHeight w:val="300"/>
          <w:jc w:val="center"/>
        </w:trPr>
        <w:tc>
          <w:tcPr>
            <w:tcW w:w="1230"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(16,350)</w:t>
            </w:r>
          </w:p>
        </w:tc>
        <w:tc>
          <w:tcPr>
            <w:tcW w:w="1174"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(16,350)</w:t>
            </w:r>
          </w:p>
        </w:tc>
        <w:tc>
          <w:tcPr>
            <w:tcW w:w="236" w:type="dxa"/>
          </w:tcPr>
          <w:p w:rsidR="00430754" w:rsidRPr="002A0E78" w:rsidRDefault="00430754" w:rsidP="00CA6653">
            <w:pPr>
              <w:pStyle w:val="T1TableStyle"/>
              <w:jc w:val="center"/>
              <w:rPr>
                <w:rFonts w:ascii="Verdana" w:eastAsia="Verdana" w:hAnsi="Verdana" w:cs="Verdana"/>
                <w:color w:val="000000"/>
                <w:sz w:val="2"/>
                <w:szCs w:val="22"/>
                <w:lang w:val="en-GB"/>
              </w:rPr>
            </w:pPr>
          </w:p>
        </w:tc>
        <w:tc>
          <w:tcPr>
            <w:tcW w:w="621" w:type="dxa"/>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color w:val="595959" w:themeColor="text1" w:themeTint="A6"/>
                <w:sz w:val="16"/>
                <w:szCs w:val="16"/>
                <w:lang w:val="en-GB"/>
              </w:rPr>
            </w:pPr>
            <w:r>
              <w:rPr>
                <w:rFonts w:ascii="Verdana" w:eastAsia="Verdana" w:hAnsi="Verdana" w:cs="Verdana"/>
                <w:color w:val="595959" w:themeColor="text1" w:themeTint="A6"/>
                <w:sz w:val="16"/>
                <w:szCs w:val="16"/>
                <w:lang w:val="en-GB"/>
              </w:rPr>
              <w:t>37</w:t>
            </w:r>
          </w:p>
        </w:tc>
        <w:tc>
          <w:tcPr>
            <w:tcW w:w="4130" w:type="dxa"/>
            <w:shd w:val="clear" w:color="auto" w:fill="auto"/>
            <w:tcMar>
              <w:top w:w="20" w:type="dxa"/>
              <w:left w:w="20" w:type="dxa"/>
              <w:bottom w:w="20" w:type="dxa"/>
              <w:right w:w="20" w:type="dxa"/>
            </w:tcMar>
          </w:tcPr>
          <w:p w:rsidR="00430754" w:rsidRPr="002A0E78" w:rsidRDefault="00430754" w:rsidP="00CA6653">
            <w:pPr>
              <w:pStyle w:val="T1TableStyle"/>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Net cash flows from financing activities</w:t>
            </w:r>
          </w:p>
        </w:tc>
        <w:tc>
          <w:tcPr>
            <w:tcW w:w="1230" w:type="dxa"/>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89</w:t>
            </w:r>
          </w:p>
        </w:tc>
        <w:tc>
          <w:tcPr>
            <w:tcW w:w="1396" w:type="dxa"/>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89</w:t>
            </w:r>
          </w:p>
        </w:tc>
      </w:tr>
      <w:tr w:rsidR="00430754" w:rsidRPr="002A0E78" w:rsidTr="00A200D5">
        <w:trPr>
          <w:trHeight w:val="480"/>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4,6</w:t>
            </w:r>
            <w:r>
              <w:rPr>
                <w:rFonts w:ascii="Verdana" w:eastAsia="Verdana" w:hAnsi="Verdana" w:cs="Verdana"/>
                <w:b/>
                <w:color w:val="000000"/>
                <w:sz w:val="16"/>
                <w:szCs w:val="22"/>
                <w:lang w:val="en-GB"/>
              </w:rPr>
              <w:t>09</w:t>
            </w:r>
          </w:p>
        </w:tc>
        <w:tc>
          <w:tcPr>
            <w:tcW w:w="1174"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4,609</w:t>
            </w:r>
          </w:p>
        </w:tc>
        <w:tc>
          <w:tcPr>
            <w:tcW w:w="236" w:type="dxa"/>
            <w:tcBorders>
              <w:top w:val="single" w:sz="2" w:space="0" w:color="000000"/>
              <w:bottom w:val="single" w:sz="12" w:space="0" w:color="000000"/>
            </w:tcBorders>
          </w:tcPr>
          <w:p w:rsidR="00430754" w:rsidRPr="002A0E78" w:rsidRDefault="00430754" w:rsidP="00CA6653">
            <w:pPr>
              <w:pStyle w:val="T1TableStyle"/>
              <w:jc w:val="center"/>
              <w:rPr>
                <w:rFonts w:ascii="Verdana" w:eastAsia="Verdana" w:hAnsi="Verdana" w:cs="Verdana"/>
                <w:b/>
                <w:color w:val="000000"/>
                <w:sz w:val="2"/>
                <w:szCs w:val="22"/>
                <w:lang w:val="en-GB"/>
              </w:rPr>
            </w:pPr>
          </w:p>
        </w:tc>
        <w:tc>
          <w:tcPr>
            <w:tcW w:w="621"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b/>
                <w:color w:val="595959" w:themeColor="text1" w:themeTint="A6"/>
                <w:sz w:val="16"/>
                <w:szCs w:val="16"/>
                <w:lang w:val="en-GB"/>
              </w:rPr>
            </w:pPr>
          </w:p>
        </w:tc>
        <w:tc>
          <w:tcPr>
            <w:tcW w:w="4130"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rsidP="00CA6653">
            <w:pPr>
              <w:pStyle w:val="T1TableStyle"/>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Net (increase) or decrease in cash and cash equivalents</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2</w:t>
            </w:r>
            <w:r>
              <w:rPr>
                <w:rFonts w:ascii="Verdana" w:eastAsia="Verdana" w:hAnsi="Verdana" w:cs="Verdana"/>
                <w:b/>
                <w:color w:val="000000"/>
                <w:sz w:val="16"/>
                <w:szCs w:val="22"/>
                <w:lang w:val="en-GB"/>
              </w:rPr>
              <w:t>,</w:t>
            </w:r>
            <w:r w:rsidRPr="002A0E78">
              <w:rPr>
                <w:rFonts w:ascii="Verdana" w:eastAsia="Verdana" w:hAnsi="Verdana" w:cs="Verdana"/>
                <w:b/>
                <w:color w:val="000000"/>
                <w:sz w:val="16"/>
                <w:szCs w:val="22"/>
                <w:lang w:val="en-GB"/>
              </w:rPr>
              <w:t>067</w:t>
            </w:r>
          </w:p>
        </w:tc>
        <w:tc>
          <w:tcPr>
            <w:tcW w:w="1396"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2,067</w:t>
            </w:r>
          </w:p>
        </w:tc>
      </w:tr>
      <w:tr w:rsidR="00430754" w:rsidRPr="002A0E78" w:rsidTr="00A200D5">
        <w:trPr>
          <w:trHeight w:hRule="exact" w:val="300"/>
          <w:jc w:val="center"/>
        </w:trPr>
        <w:tc>
          <w:tcPr>
            <w:tcW w:w="1230" w:type="dxa"/>
            <w:shd w:val="clear" w:color="auto" w:fill="auto"/>
            <w:tcMar>
              <w:top w:w="20" w:type="dxa"/>
              <w:left w:w="20" w:type="dxa"/>
              <w:bottom w:w="20" w:type="dxa"/>
              <w:right w:w="20" w:type="dxa"/>
            </w:tcMar>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c>
          <w:tcPr>
            <w:tcW w:w="1174" w:type="dxa"/>
            <w:shd w:val="clear" w:color="auto" w:fill="auto"/>
            <w:tcMar>
              <w:top w:w="20" w:type="dxa"/>
              <w:left w:w="20" w:type="dxa"/>
              <w:bottom w:w="20" w:type="dxa"/>
              <w:right w:w="20" w:type="dxa"/>
            </w:tcMar>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c>
          <w:tcPr>
            <w:tcW w:w="236" w:type="dxa"/>
          </w:tcPr>
          <w:p w:rsidR="00430754" w:rsidRPr="002A0E78" w:rsidRDefault="00430754" w:rsidP="00CA6653">
            <w:pPr>
              <w:pStyle w:val="T1TableStyle"/>
              <w:jc w:val="center"/>
              <w:rPr>
                <w:rFonts w:ascii="Verdana" w:eastAsia="Verdana" w:hAnsi="Verdana" w:cs="Verdana"/>
                <w:color w:val="000000"/>
                <w:sz w:val="2"/>
                <w:szCs w:val="22"/>
                <w:lang w:val="en-GB"/>
              </w:rPr>
            </w:pPr>
          </w:p>
        </w:tc>
        <w:tc>
          <w:tcPr>
            <w:tcW w:w="621" w:type="dxa"/>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color w:val="595959" w:themeColor="text1" w:themeTint="A6"/>
                <w:sz w:val="16"/>
                <w:szCs w:val="16"/>
                <w:lang w:val="en-GB"/>
              </w:rPr>
            </w:pPr>
          </w:p>
        </w:tc>
        <w:tc>
          <w:tcPr>
            <w:tcW w:w="4130" w:type="dxa"/>
            <w:shd w:val="clear" w:color="auto" w:fill="auto"/>
            <w:tcMar>
              <w:top w:w="20" w:type="dxa"/>
              <w:left w:w="20" w:type="dxa"/>
              <w:bottom w:w="20" w:type="dxa"/>
              <w:right w:w="20" w:type="dxa"/>
            </w:tcMar>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c>
          <w:tcPr>
            <w:tcW w:w="1230" w:type="dxa"/>
            <w:shd w:val="clear" w:color="auto" w:fill="auto"/>
            <w:tcMar>
              <w:top w:w="20" w:type="dxa"/>
              <w:left w:w="20" w:type="dxa"/>
              <w:bottom w:w="20" w:type="dxa"/>
              <w:right w:w="20" w:type="dxa"/>
            </w:tcMar>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c>
          <w:tcPr>
            <w:tcW w:w="1396" w:type="dxa"/>
            <w:shd w:val="clear" w:color="auto" w:fill="auto"/>
            <w:tcMar>
              <w:top w:w="20" w:type="dxa"/>
              <w:left w:w="20" w:type="dxa"/>
              <w:bottom w:w="20" w:type="dxa"/>
              <w:right w:w="20" w:type="dxa"/>
            </w:tcMar>
          </w:tcPr>
          <w:p w:rsidR="00430754" w:rsidRPr="002A0E78" w:rsidRDefault="00430754" w:rsidP="00CA6653">
            <w:pPr>
              <w:pStyle w:val="T1TableStyle"/>
              <w:jc w:val="center"/>
              <w:rPr>
                <w:rFonts w:ascii="Verdana" w:eastAsia="Verdana" w:hAnsi="Verdana" w:cs="Verdana"/>
                <w:color w:val="000000"/>
                <w:sz w:val="2"/>
                <w:szCs w:val="22"/>
                <w:lang w:val="en-GB"/>
              </w:rPr>
            </w:pPr>
            <w:r w:rsidRPr="002A0E78">
              <w:rPr>
                <w:rFonts w:ascii="Verdana" w:eastAsia="Verdana" w:hAnsi="Verdana" w:cs="Verdana"/>
                <w:color w:val="000000"/>
                <w:sz w:val="2"/>
                <w:szCs w:val="22"/>
                <w:lang w:val="en-GB"/>
              </w:rPr>
              <w:t xml:space="preserve"> </w:t>
            </w:r>
          </w:p>
        </w:tc>
      </w:tr>
      <w:tr w:rsidR="00430754" w:rsidRPr="002A0E78" w:rsidTr="00A200D5">
        <w:trPr>
          <w:trHeight w:val="555"/>
          <w:jc w:val="center"/>
        </w:trPr>
        <w:tc>
          <w:tcPr>
            <w:tcW w:w="1230"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19,086</w:t>
            </w:r>
          </w:p>
        </w:tc>
        <w:tc>
          <w:tcPr>
            <w:tcW w:w="1174"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19,086</w:t>
            </w:r>
          </w:p>
        </w:tc>
        <w:tc>
          <w:tcPr>
            <w:tcW w:w="236" w:type="dxa"/>
          </w:tcPr>
          <w:p w:rsidR="00430754" w:rsidRPr="002A0E78" w:rsidRDefault="00430754" w:rsidP="00CA6653">
            <w:pPr>
              <w:pStyle w:val="T1TableStyle"/>
              <w:jc w:val="center"/>
              <w:rPr>
                <w:rFonts w:ascii="Verdana" w:eastAsia="Verdana" w:hAnsi="Verdana" w:cs="Verdana"/>
                <w:color w:val="000000"/>
                <w:sz w:val="2"/>
                <w:szCs w:val="22"/>
                <w:lang w:val="en-GB"/>
              </w:rPr>
            </w:pPr>
          </w:p>
        </w:tc>
        <w:tc>
          <w:tcPr>
            <w:tcW w:w="621" w:type="dxa"/>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color w:val="595959" w:themeColor="text1" w:themeTint="A6"/>
                <w:sz w:val="16"/>
                <w:szCs w:val="16"/>
                <w:lang w:val="en-GB"/>
              </w:rPr>
            </w:pPr>
          </w:p>
        </w:tc>
        <w:tc>
          <w:tcPr>
            <w:tcW w:w="4130" w:type="dxa"/>
            <w:shd w:val="clear" w:color="auto" w:fill="auto"/>
            <w:tcMar>
              <w:top w:w="20" w:type="dxa"/>
              <w:left w:w="20" w:type="dxa"/>
              <w:bottom w:w="20" w:type="dxa"/>
              <w:right w:w="20" w:type="dxa"/>
            </w:tcMar>
          </w:tcPr>
          <w:p w:rsidR="00430754" w:rsidRPr="002A0E78" w:rsidRDefault="00430754" w:rsidP="00CA6653">
            <w:pPr>
              <w:pStyle w:val="T1TableStyle"/>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Cash and cash equivalents at the beginning of the reporting period</w:t>
            </w:r>
          </w:p>
        </w:tc>
        <w:tc>
          <w:tcPr>
            <w:tcW w:w="1230"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14,476</w:t>
            </w:r>
          </w:p>
        </w:tc>
        <w:tc>
          <w:tcPr>
            <w:tcW w:w="1396" w:type="dxa"/>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color w:val="000000"/>
                <w:sz w:val="16"/>
                <w:szCs w:val="22"/>
                <w:lang w:val="en-GB"/>
              </w:rPr>
            </w:pPr>
            <w:r w:rsidRPr="002A0E78">
              <w:rPr>
                <w:rFonts w:ascii="Verdana" w:eastAsia="Verdana" w:hAnsi="Verdana" w:cs="Verdana"/>
                <w:color w:val="000000"/>
                <w:sz w:val="16"/>
                <w:szCs w:val="22"/>
                <w:lang w:val="en-GB"/>
              </w:rPr>
              <w:t>14,476</w:t>
            </w:r>
          </w:p>
        </w:tc>
      </w:tr>
      <w:tr w:rsidR="00430754" w:rsidTr="00A200D5">
        <w:trPr>
          <w:trHeight w:val="465"/>
          <w:jc w:val="center"/>
        </w:trPr>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14,47</w:t>
            </w:r>
            <w:r>
              <w:rPr>
                <w:rFonts w:ascii="Verdana" w:eastAsia="Verdana" w:hAnsi="Verdana" w:cs="Verdana"/>
                <w:b/>
                <w:color w:val="000000"/>
                <w:sz w:val="16"/>
                <w:szCs w:val="22"/>
                <w:lang w:val="en-GB"/>
              </w:rPr>
              <w:t>7</w:t>
            </w:r>
          </w:p>
        </w:tc>
        <w:tc>
          <w:tcPr>
            <w:tcW w:w="1174"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rsidP="00CA6653">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14,477</w:t>
            </w:r>
          </w:p>
        </w:tc>
        <w:tc>
          <w:tcPr>
            <w:tcW w:w="236" w:type="dxa"/>
            <w:tcBorders>
              <w:top w:val="single" w:sz="2" w:space="0" w:color="000000"/>
              <w:bottom w:val="single" w:sz="12" w:space="0" w:color="000000"/>
            </w:tcBorders>
          </w:tcPr>
          <w:p w:rsidR="00430754" w:rsidRPr="002A0E78" w:rsidRDefault="00430754" w:rsidP="00CA6653">
            <w:pPr>
              <w:pStyle w:val="T1TableStyle"/>
              <w:jc w:val="center"/>
              <w:rPr>
                <w:rFonts w:ascii="Verdana" w:eastAsia="Verdana" w:hAnsi="Verdana" w:cs="Verdana"/>
                <w:b/>
                <w:color w:val="000000"/>
                <w:sz w:val="2"/>
                <w:szCs w:val="22"/>
                <w:lang w:val="en-GB"/>
              </w:rPr>
            </w:pPr>
          </w:p>
        </w:tc>
        <w:tc>
          <w:tcPr>
            <w:tcW w:w="621"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A200D5" w:rsidRDefault="00430754">
            <w:pPr>
              <w:pStyle w:val="T1TableStyle"/>
              <w:jc w:val="center"/>
              <w:rPr>
                <w:rFonts w:ascii="Verdana" w:eastAsia="Verdana" w:hAnsi="Verdana" w:cs="Verdana"/>
                <w:b/>
                <w:color w:val="595959" w:themeColor="text1" w:themeTint="A6"/>
                <w:sz w:val="16"/>
                <w:szCs w:val="16"/>
                <w:lang w:val="en-GB"/>
              </w:rPr>
            </w:pPr>
            <w:r>
              <w:rPr>
                <w:rFonts w:ascii="Verdana" w:eastAsia="Verdana" w:hAnsi="Verdana" w:cs="Verdana"/>
                <w:b/>
                <w:color w:val="595959" w:themeColor="text1" w:themeTint="A6"/>
                <w:sz w:val="16"/>
                <w:szCs w:val="16"/>
                <w:lang w:val="en-GB"/>
              </w:rPr>
              <w:t>14</w:t>
            </w:r>
          </w:p>
        </w:tc>
        <w:tc>
          <w:tcPr>
            <w:tcW w:w="4130"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pPr>
              <w:pStyle w:val="T1TableStyle"/>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Cash and cash equivalents at the end of the reporting period</w:t>
            </w:r>
          </w:p>
        </w:tc>
        <w:tc>
          <w:tcPr>
            <w:tcW w:w="1230"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2A0E78" w:rsidRDefault="00430754" w:rsidP="00B32030">
            <w:pPr>
              <w:pStyle w:val="T1TableStyle"/>
              <w:jc w:val="right"/>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12,409</w:t>
            </w:r>
          </w:p>
        </w:tc>
        <w:tc>
          <w:tcPr>
            <w:tcW w:w="1396" w:type="dxa"/>
            <w:tcBorders>
              <w:top w:val="single" w:sz="2" w:space="0" w:color="000000"/>
              <w:bottom w:val="single" w:sz="12" w:space="0" w:color="000000"/>
            </w:tcBorders>
            <w:shd w:val="clear" w:color="auto" w:fill="auto"/>
            <w:tcMar>
              <w:top w:w="20" w:type="dxa"/>
              <w:left w:w="20" w:type="dxa"/>
              <w:bottom w:w="20" w:type="dxa"/>
              <w:right w:w="20" w:type="dxa"/>
            </w:tcMar>
          </w:tcPr>
          <w:p w:rsidR="00430754" w:rsidRPr="000F0A7E" w:rsidRDefault="00430754">
            <w:pPr>
              <w:pStyle w:val="T1TableStyle"/>
              <w:tabs>
                <w:tab w:val="center" w:pos="595"/>
                <w:tab w:val="right" w:pos="1190"/>
              </w:tabs>
              <w:rPr>
                <w:rFonts w:ascii="Verdana" w:eastAsia="Verdana" w:hAnsi="Verdana" w:cs="Verdana"/>
                <w:b/>
                <w:color w:val="000000"/>
                <w:sz w:val="16"/>
                <w:szCs w:val="22"/>
                <w:lang w:val="en-GB"/>
              </w:rPr>
            </w:pPr>
            <w:r w:rsidRPr="002A0E78">
              <w:rPr>
                <w:rFonts w:ascii="Verdana" w:eastAsia="Verdana" w:hAnsi="Verdana" w:cs="Verdana"/>
                <w:b/>
                <w:color w:val="000000"/>
                <w:sz w:val="16"/>
                <w:szCs w:val="22"/>
                <w:lang w:val="en-GB"/>
              </w:rPr>
              <w:tab/>
              <w:t xml:space="preserve">             12,40</w:t>
            </w:r>
            <w:r w:rsidR="0001677A">
              <w:rPr>
                <w:rFonts w:ascii="Verdana" w:eastAsia="Verdana" w:hAnsi="Verdana" w:cs="Verdana"/>
                <w:b/>
                <w:color w:val="000000"/>
                <w:sz w:val="16"/>
                <w:szCs w:val="22"/>
                <w:lang w:val="en-GB"/>
              </w:rPr>
              <w:t>9</w:t>
            </w:r>
          </w:p>
        </w:tc>
      </w:tr>
    </w:tbl>
    <w:p w:rsidR="00D94E2D" w:rsidRDefault="00D94E2D" w:rsidP="00A31A9E">
      <w:pPr>
        <w:pStyle w:val="Heading1"/>
        <w:rPr>
          <w:rFonts w:ascii="Verdana" w:hAnsi="Verdana"/>
          <w:sz w:val="22"/>
          <w:szCs w:val="22"/>
          <w:lang w:val="en-AU"/>
        </w:rPr>
      </w:pPr>
    </w:p>
    <w:p w:rsidR="00D94E2D" w:rsidRDefault="00D94E2D" w:rsidP="00A200D5">
      <w:pPr>
        <w:pStyle w:val="Heading1"/>
        <w:tabs>
          <w:tab w:val="left" w:pos="8578"/>
        </w:tabs>
        <w:rPr>
          <w:lang w:val="en-AU"/>
        </w:rPr>
      </w:pPr>
    </w:p>
    <w:p w:rsidR="00CA6653" w:rsidRPr="00A02D19" w:rsidRDefault="00CA6653" w:rsidP="00A31A9E">
      <w:pPr>
        <w:pStyle w:val="Heading1"/>
      </w:pPr>
      <w:r w:rsidRPr="00A200D5">
        <w:rPr>
          <w:lang w:val="en-AU"/>
        </w:rPr>
        <w:br w:type="page"/>
      </w:r>
      <w:bookmarkStart w:id="12" w:name="_Toc55900403"/>
      <w:r w:rsidRPr="00A02D19">
        <w:t>Note 1 - Critical Judgements in Applying Accounting Policies</w:t>
      </w:r>
      <w:bookmarkEnd w:id="12"/>
      <w:r w:rsidRPr="00A02D19">
        <w:t xml:space="preserve"> </w:t>
      </w:r>
    </w:p>
    <w:p w:rsidR="00491740" w:rsidRDefault="00491740" w:rsidP="00491740">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preparation of the financial statements requires the Group to make judgements, estimates and assumptions that affect the application of policies and reporting amounts of assets and liabilities, income and expenditure. The estimates and associated assumptions are based on historical experience and various other factors, the results of which form the basis of making judgements about the carrying values of assets and liabilities that are not readily apparent from other sources.</w:t>
      </w:r>
    </w:p>
    <w:p w:rsidR="00491740" w:rsidRPr="00537879" w:rsidRDefault="00491740" w:rsidP="00491740">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In applying the accounting policies set </w:t>
      </w:r>
      <w:r w:rsidRPr="006906A3">
        <w:rPr>
          <w:rFonts w:ascii="Verdana" w:eastAsia="Verdana" w:hAnsi="Verdana" w:cs="Verdana"/>
          <w:sz w:val="22"/>
          <w:szCs w:val="22"/>
          <w:lang w:val="en-GB"/>
        </w:rPr>
        <w:t xml:space="preserve">out in Note </w:t>
      </w:r>
      <w:r w:rsidR="006906A3" w:rsidRPr="006906A3">
        <w:rPr>
          <w:rFonts w:ascii="Verdana" w:eastAsia="Verdana" w:hAnsi="Verdana" w:cs="Verdana"/>
          <w:sz w:val="22"/>
          <w:szCs w:val="22"/>
          <w:lang w:val="en-GB"/>
        </w:rPr>
        <w:t>39</w:t>
      </w:r>
      <w:r w:rsidRPr="006906A3">
        <w:rPr>
          <w:rFonts w:ascii="Verdana" w:eastAsia="Verdana" w:hAnsi="Verdana" w:cs="Verdana"/>
          <w:sz w:val="22"/>
          <w:szCs w:val="22"/>
          <w:lang w:val="en-GB"/>
        </w:rPr>
        <w:t>, the Group has had to make certain judgements about complex transactions or those involving uncertainty</w:t>
      </w:r>
      <w:r>
        <w:rPr>
          <w:rFonts w:ascii="Verdana" w:eastAsia="Verdana" w:hAnsi="Verdana" w:cs="Verdana"/>
          <w:sz w:val="22"/>
          <w:szCs w:val="22"/>
          <w:lang w:val="en-GB"/>
        </w:rPr>
        <w:t xml:space="preserve"> about future events. The estimates and assumptions are reviewed on an ongoing basis. Revisions to accounting estimates are recognised in the per</w:t>
      </w:r>
      <w:r w:rsidRPr="00537879">
        <w:rPr>
          <w:rFonts w:ascii="Verdana" w:eastAsia="Verdana" w:hAnsi="Verdana" w:cs="Verdana"/>
          <w:sz w:val="22"/>
          <w:szCs w:val="22"/>
          <w:lang w:val="en-GB"/>
        </w:rPr>
        <w:t>iod in which the estimates are revised. Material estimates and assumptions are made in the following cases:</w:t>
      </w:r>
    </w:p>
    <w:p w:rsidR="00CA6653" w:rsidRPr="00BA521C" w:rsidRDefault="00CA6653" w:rsidP="00BA521C">
      <w:pPr>
        <w:pStyle w:val="Normal0"/>
        <w:spacing w:after="160" w:line="257" w:lineRule="auto"/>
        <w:jc w:val="both"/>
        <w:rPr>
          <w:rFonts w:ascii="Verdana" w:eastAsia="Verdana" w:hAnsi="Verdana" w:cs="Verdana"/>
          <w:sz w:val="22"/>
          <w:szCs w:val="22"/>
          <w:lang w:val="en-GB"/>
        </w:rPr>
      </w:pPr>
      <w:r w:rsidRPr="00537879">
        <w:rPr>
          <w:rFonts w:ascii="Verdana" w:eastAsia="Verdana" w:hAnsi="Verdana" w:cs="Verdana"/>
          <w:sz w:val="22"/>
          <w:szCs w:val="22"/>
          <w:lang w:val="en-GB"/>
        </w:rPr>
        <w:t>•</w:t>
      </w:r>
      <w:r w:rsidRPr="00537879">
        <w:rPr>
          <w:rFonts w:ascii="Verdana" w:eastAsia="Verdana" w:hAnsi="Verdana" w:cs="Verdana"/>
          <w:sz w:val="22"/>
          <w:szCs w:val="22"/>
          <w:lang w:val="en-GB"/>
        </w:rPr>
        <w:tab/>
      </w:r>
      <w:r w:rsidRPr="00537879">
        <w:rPr>
          <w:rFonts w:ascii="Verdana" w:eastAsia="Verdana" w:hAnsi="Verdana" w:cs="Verdana"/>
          <w:b/>
          <w:sz w:val="22"/>
          <w:szCs w:val="22"/>
          <w:lang w:val="en-GB"/>
        </w:rPr>
        <w:t>Future levels</w:t>
      </w:r>
      <w:r w:rsidR="00537879">
        <w:rPr>
          <w:rFonts w:ascii="Verdana" w:eastAsia="Verdana" w:hAnsi="Verdana" w:cs="Verdana"/>
          <w:b/>
          <w:sz w:val="22"/>
          <w:szCs w:val="22"/>
          <w:lang w:val="en-GB"/>
        </w:rPr>
        <w:t xml:space="preserve"> of funding for Local Government</w:t>
      </w:r>
      <w:r w:rsidRPr="00537879">
        <w:rPr>
          <w:rFonts w:ascii="Verdana" w:eastAsia="Verdana" w:hAnsi="Verdana" w:cs="Verdana"/>
          <w:sz w:val="22"/>
          <w:szCs w:val="22"/>
          <w:lang w:val="en-GB"/>
        </w:rPr>
        <w:t xml:space="preserve"> – there is a degree of uncertainty about future levels of funding for Police and Crime Commissioners. However, the Group has determined that this uncertainty is not yet sufficient to provide an indication that the assets of the Group might be impaired as a result of a need to close facilities and reduce levels of service provision.</w:t>
      </w:r>
    </w:p>
    <w:p w:rsidR="00CA6653" w:rsidRPr="00BA521C" w:rsidRDefault="00CA6653" w:rsidP="00537879">
      <w:pPr>
        <w:pStyle w:val="Normal0"/>
        <w:spacing w:after="160"/>
        <w:jc w:val="both"/>
        <w:rPr>
          <w:rFonts w:ascii="Verdana" w:eastAsia="Verdana" w:hAnsi="Verdana" w:cs="Verdana"/>
          <w:sz w:val="22"/>
          <w:szCs w:val="22"/>
          <w:lang w:val="en-GB"/>
        </w:rPr>
      </w:pPr>
      <w:r w:rsidRPr="00BA521C">
        <w:rPr>
          <w:rFonts w:ascii="Verdana" w:eastAsia="Verdana" w:hAnsi="Verdana" w:cs="Verdana"/>
          <w:sz w:val="22"/>
          <w:szCs w:val="22"/>
          <w:lang w:val="en-GB"/>
        </w:rPr>
        <w:t>•</w:t>
      </w:r>
      <w:r w:rsidRPr="00BA521C">
        <w:rPr>
          <w:rFonts w:ascii="Verdana" w:eastAsia="Verdana" w:hAnsi="Verdana" w:cs="Verdana"/>
          <w:sz w:val="22"/>
          <w:szCs w:val="22"/>
          <w:lang w:val="en-GB"/>
        </w:rPr>
        <w:tab/>
      </w:r>
      <w:r w:rsidRPr="00BA521C">
        <w:rPr>
          <w:rFonts w:ascii="Verdana" w:eastAsia="Verdana" w:hAnsi="Verdana" w:cs="Verdana"/>
          <w:b/>
          <w:sz w:val="22"/>
          <w:szCs w:val="22"/>
          <w:lang w:val="en-GB"/>
        </w:rPr>
        <w:t>Income &amp; Expenditure</w:t>
      </w:r>
      <w:r w:rsidRPr="00BA521C">
        <w:rPr>
          <w:rFonts w:ascii="Verdana" w:eastAsia="Verdana" w:hAnsi="Verdana" w:cs="Verdana"/>
          <w:sz w:val="22"/>
          <w:szCs w:val="22"/>
          <w:lang w:val="en-GB"/>
        </w:rPr>
        <w:t xml:space="preserve"> – a judgement has been made regarding the recognition of income and expenditure </w:t>
      </w:r>
      <w:r w:rsidR="00537879" w:rsidRPr="00BA521C">
        <w:rPr>
          <w:rFonts w:ascii="Verdana" w:eastAsia="Verdana" w:hAnsi="Verdana" w:cs="Verdana"/>
          <w:sz w:val="22"/>
          <w:szCs w:val="22"/>
          <w:lang w:val="en-GB"/>
        </w:rPr>
        <w:t xml:space="preserve">allocated </w:t>
      </w:r>
      <w:r w:rsidRPr="00BA521C">
        <w:rPr>
          <w:rFonts w:ascii="Verdana" w:eastAsia="Verdana" w:hAnsi="Verdana" w:cs="Verdana"/>
          <w:sz w:val="22"/>
          <w:szCs w:val="22"/>
          <w:lang w:val="en-GB"/>
        </w:rPr>
        <w:t>between the Police and Crime Commissioner’s and Chief Constable’s accounts to reflect financial resources of the P</w:t>
      </w:r>
      <w:r w:rsidR="00537879" w:rsidRPr="00BA521C">
        <w:rPr>
          <w:rFonts w:ascii="Verdana" w:eastAsia="Verdana" w:hAnsi="Verdana" w:cs="Verdana"/>
          <w:sz w:val="22"/>
          <w:szCs w:val="22"/>
          <w:lang w:val="en-GB"/>
        </w:rPr>
        <w:t>CC</w:t>
      </w:r>
      <w:r w:rsidRPr="00BA521C">
        <w:rPr>
          <w:rFonts w:ascii="Verdana" w:eastAsia="Verdana" w:hAnsi="Verdana" w:cs="Verdana"/>
          <w:sz w:val="22"/>
          <w:szCs w:val="22"/>
          <w:lang w:val="en-GB"/>
        </w:rPr>
        <w:t xml:space="preserve"> consumed at the request of the Chief Constable.</w:t>
      </w:r>
      <w:r w:rsidR="00537879" w:rsidRPr="00BA521C">
        <w:rPr>
          <w:rFonts w:ascii="Verdana" w:eastAsia="Verdana" w:hAnsi="Verdana" w:cs="Verdana"/>
          <w:sz w:val="22"/>
          <w:szCs w:val="22"/>
          <w:lang w:val="en-GB"/>
        </w:rPr>
        <w:t xml:space="preserve"> The basis adopted for this allocation was determined by the Group in accordance with the subjective activities </w:t>
      </w:r>
      <w:r w:rsidR="00BA521C" w:rsidRPr="00BA521C">
        <w:rPr>
          <w:rFonts w:ascii="Verdana" w:eastAsia="Verdana" w:hAnsi="Verdana" w:cs="Verdana"/>
          <w:sz w:val="22"/>
          <w:szCs w:val="22"/>
          <w:lang w:val="en-GB"/>
        </w:rPr>
        <w:t>for each corporate body included in the CIES. In arriving at this approach, interested parties, including senior management in both corporate bodies were consulted and careful consideration given to the Police Reform and Social Responsibility Act 2011 and Home Office guidance.</w:t>
      </w:r>
      <w:r w:rsidRPr="00BA521C">
        <w:rPr>
          <w:rFonts w:ascii="Verdana" w:eastAsia="Verdana" w:hAnsi="Verdana" w:cs="Verdana"/>
          <w:sz w:val="22"/>
          <w:szCs w:val="22"/>
          <w:lang w:val="en-GB"/>
        </w:rPr>
        <w:t xml:space="preserve"> All income/expenditure is received/paid by the PCC, and no actual cash transaction or events take place between the two entities. </w:t>
      </w:r>
    </w:p>
    <w:p w:rsidR="00BA521C" w:rsidRPr="00537879" w:rsidRDefault="00CA6653" w:rsidP="00BA521C">
      <w:pPr>
        <w:pStyle w:val="Normal0"/>
        <w:spacing w:after="160" w:line="257" w:lineRule="auto"/>
        <w:jc w:val="both"/>
        <w:rPr>
          <w:rFonts w:ascii="Verdana" w:eastAsia="Verdana" w:hAnsi="Verdana" w:cs="Verdana"/>
          <w:sz w:val="22"/>
          <w:szCs w:val="22"/>
          <w:lang w:val="en-GB"/>
        </w:rPr>
      </w:pPr>
      <w:r w:rsidRPr="00BA521C">
        <w:rPr>
          <w:rFonts w:ascii="Verdana" w:eastAsia="Verdana" w:hAnsi="Verdana" w:cs="Verdana"/>
          <w:sz w:val="22"/>
          <w:szCs w:val="22"/>
          <w:lang w:val="en-GB"/>
        </w:rPr>
        <w:t>•</w:t>
      </w:r>
      <w:r w:rsidRPr="00BA521C">
        <w:rPr>
          <w:rFonts w:ascii="Verdana" w:eastAsia="Verdana" w:hAnsi="Verdana" w:cs="Verdana"/>
          <w:sz w:val="22"/>
          <w:szCs w:val="22"/>
          <w:lang w:val="en-GB"/>
        </w:rPr>
        <w:tab/>
      </w:r>
      <w:r w:rsidRPr="00BA521C">
        <w:rPr>
          <w:rFonts w:ascii="Verdana" w:eastAsia="Verdana" w:hAnsi="Verdana" w:cs="Verdana"/>
          <w:b/>
          <w:sz w:val="22"/>
          <w:szCs w:val="22"/>
          <w:lang w:val="en-GB"/>
        </w:rPr>
        <w:t>Comprehensive Income and Expenditure Statement (CIES)</w:t>
      </w:r>
      <w:r w:rsidRPr="00BA521C">
        <w:rPr>
          <w:rFonts w:ascii="Verdana" w:eastAsia="Verdana" w:hAnsi="Verdana" w:cs="Verdana"/>
          <w:sz w:val="22"/>
          <w:szCs w:val="22"/>
          <w:lang w:val="en-GB"/>
        </w:rPr>
        <w:t xml:space="preserve"> - Under CIPFA guidance the CIES is reported on the basis of organisation structure, reflecting the way in which the organisation operates or manages its services. For </w:t>
      </w:r>
      <w:r w:rsidR="00BA521C" w:rsidRPr="00BA521C">
        <w:rPr>
          <w:rFonts w:ascii="Verdana" w:eastAsia="Verdana" w:hAnsi="Verdana" w:cs="Verdana"/>
          <w:sz w:val="22"/>
          <w:szCs w:val="22"/>
          <w:lang w:val="en-GB"/>
        </w:rPr>
        <w:t xml:space="preserve">the </w:t>
      </w:r>
      <w:r w:rsidRPr="00BA521C">
        <w:rPr>
          <w:rFonts w:ascii="Verdana" w:eastAsia="Verdana" w:hAnsi="Verdana" w:cs="Verdana"/>
          <w:sz w:val="22"/>
          <w:szCs w:val="22"/>
          <w:lang w:val="en-GB"/>
        </w:rPr>
        <w:t xml:space="preserve">Surrey Police </w:t>
      </w:r>
      <w:r w:rsidR="00BA521C" w:rsidRPr="00BA521C">
        <w:rPr>
          <w:rFonts w:ascii="Verdana" w:eastAsia="Verdana" w:hAnsi="Verdana" w:cs="Verdana"/>
          <w:sz w:val="22"/>
          <w:szCs w:val="22"/>
          <w:lang w:val="en-GB"/>
        </w:rPr>
        <w:t xml:space="preserve">Group </w:t>
      </w:r>
      <w:r w:rsidRPr="00BA521C">
        <w:rPr>
          <w:rFonts w:ascii="Verdana" w:eastAsia="Verdana" w:hAnsi="Verdana" w:cs="Verdana"/>
          <w:sz w:val="22"/>
          <w:szCs w:val="22"/>
          <w:lang w:val="en-GB"/>
        </w:rPr>
        <w:t>the CIES has been set out to show costs subjectively, reflecting the reporting basis for the monthly corporate report that is written for both the Chief Officer Group and the PCC.</w:t>
      </w:r>
      <w:r w:rsidR="00BA521C" w:rsidRPr="00BA521C">
        <w:rPr>
          <w:rFonts w:ascii="Verdana" w:eastAsia="Verdana" w:hAnsi="Verdana" w:cs="Verdana"/>
          <w:sz w:val="22"/>
          <w:szCs w:val="22"/>
          <w:lang w:val="en-GB"/>
        </w:rPr>
        <w:t xml:space="preserve"> </w:t>
      </w:r>
    </w:p>
    <w:p w:rsidR="00CA6653" w:rsidRPr="00BA521C" w:rsidRDefault="00BA521C" w:rsidP="00BA521C">
      <w:pPr>
        <w:pStyle w:val="Normal0"/>
        <w:spacing w:after="160"/>
        <w:jc w:val="both"/>
        <w:rPr>
          <w:rFonts w:ascii="Verdana" w:eastAsia="Verdana" w:hAnsi="Verdana" w:cs="Verdana"/>
          <w:sz w:val="22"/>
          <w:szCs w:val="22"/>
          <w:lang w:val="en-GB"/>
        </w:rPr>
      </w:pPr>
      <w:r w:rsidRPr="00537879">
        <w:rPr>
          <w:rFonts w:ascii="Verdana" w:eastAsia="Verdana" w:hAnsi="Verdana" w:cs="Verdana"/>
          <w:sz w:val="22"/>
          <w:szCs w:val="22"/>
          <w:lang w:val="en-GB"/>
        </w:rPr>
        <w:t>•</w:t>
      </w:r>
      <w:r w:rsidRPr="00537879">
        <w:rPr>
          <w:rFonts w:ascii="Verdana" w:eastAsia="Verdana" w:hAnsi="Verdana" w:cs="Verdana"/>
          <w:sz w:val="22"/>
          <w:szCs w:val="22"/>
          <w:lang w:val="en-GB"/>
        </w:rPr>
        <w:tab/>
      </w:r>
      <w:r w:rsidRPr="00537879">
        <w:rPr>
          <w:rFonts w:ascii="Verdana" w:eastAsia="Verdana" w:hAnsi="Verdana" w:cs="Verdana"/>
          <w:b/>
          <w:sz w:val="22"/>
          <w:szCs w:val="22"/>
          <w:lang w:val="en-GB"/>
        </w:rPr>
        <w:t>Estates strategy</w:t>
      </w:r>
      <w:r w:rsidRPr="00537879">
        <w:rPr>
          <w:rFonts w:ascii="Verdana" w:eastAsia="Verdana" w:hAnsi="Verdana" w:cs="Verdana"/>
          <w:sz w:val="22"/>
          <w:szCs w:val="22"/>
          <w:lang w:val="en-GB"/>
        </w:rPr>
        <w:t xml:space="preserve"> – the timing and value of future property sales need to be considered in order to provide funds for </w:t>
      </w:r>
      <w:r w:rsidRPr="00BA521C">
        <w:rPr>
          <w:rFonts w:ascii="Verdana" w:eastAsia="Verdana" w:hAnsi="Verdana" w:cs="Verdana"/>
          <w:sz w:val="22"/>
          <w:szCs w:val="22"/>
          <w:lang w:val="en-GB"/>
        </w:rPr>
        <w:t>future capital programmes and in particular the Building the Future project to develop a new Police HQ.</w:t>
      </w:r>
    </w:p>
    <w:p w:rsidR="00CA6653" w:rsidRPr="00BA521C" w:rsidRDefault="00CA6653" w:rsidP="00537879">
      <w:pPr>
        <w:pStyle w:val="Normal0"/>
        <w:spacing w:after="160"/>
        <w:jc w:val="both"/>
        <w:rPr>
          <w:rFonts w:ascii="Verdana" w:eastAsia="Verdana" w:hAnsi="Verdana" w:cs="Verdana"/>
          <w:sz w:val="22"/>
          <w:szCs w:val="22"/>
          <w:lang w:val="en-GB"/>
        </w:rPr>
      </w:pPr>
      <w:r w:rsidRPr="00BA521C">
        <w:rPr>
          <w:rFonts w:ascii="Verdana" w:eastAsia="Verdana" w:hAnsi="Verdana" w:cs="Verdana"/>
          <w:sz w:val="22"/>
          <w:szCs w:val="22"/>
          <w:lang w:val="en-GB"/>
        </w:rPr>
        <w:t>•</w:t>
      </w:r>
      <w:r w:rsidRPr="00BA521C">
        <w:rPr>
          <w:rFonts w:ascii="Verdana" w:eastAsia="Verdana" w:hAnsi="Verdana" w:cs="Verdana"/>
          <w:sz w:val="22"/>
          <w:szCs w:val="22"/>
          <w:lang w:val="en-GB"/>
        </w:rPr>
        <w:tab/>
      </w:r>
      <w:r w:rsidRPr="00BA521C">
        <w:rPr>
          <w:rFonts w:ascii="Verdana" w:eastAsia="Verdana" w:hAnsi="Verdana" w:cs="Verdana"/>
          <w:b/>
          <w:sz w:val="22"/>
          <w:szCs w:val="22"/>
          <w:lang w:val="en-GB"/>
        </w:rPr>
        <w:t>Asset values</w:t>
      </w:r>
      <w:r w:rsidRPr="00BA521C">
        <w:rPr>
          <w:rFonts w:ascii="Verdana" w:eastAsia="Verdana" w:hAnsi="Verdana" w:cs="Verdana"/>
          <w:sz w:val="22"/>
          <w:szCs w:val="22"/>
          <w:lang w:val="en-GB"/>
        </w:rPr>
        <w:t xml:space="preserve"> – the PCC exercises judgement in determining the carrying value of land and buildings on the PCC/PCC Group Balance Sheet by having valuations on a 5-year</w:t>
      </w:r>
      <w:r w:rsidR="004F3050">
        <w:rPr>
          <w:rFonts w:ascii="Verdana" w:eastAsia="Verdana" w:hAnsi="Verdana" w:cs="Verdana"/>
          <w:sz w:val="22"/>
          <w:szCs w:val="22"/>
          <w:lang w:val="en-GB"/>
        </w:rPr>
        <w:t xml:space="preserve"> rolling</w:t>
      </w:r>
      <w:r w:rsidRPr="00BA521C">
        <w:rPr>
          <w:rFonts w:ascii="Verdana" w:eastAsia="Verdana" w:hAnsi="Verdana" w:cs="Verdana"/>
          <w:sz w:val="22"/>
          <w:szCs w:val="22"/>
          <w:lang w:val="en-GB"/>
        </w:rPr>
        <w:t xml:space="preserve"> basis supplied by external valuers, Bruton Knowles. In addition to valuations, the local market conditions and national data are assessed as to whether there should be changes in asset values. </w:t>
      </w:r>
    </w:p>
    <w:p w:rsidR="00BA521C" w:rsidRPr="006F1D51" w:rsidRDefault="00BA521C" w:rsidP="00BA521C">
      <w:pPr>
        <w:pStyle w:val="Normal0"/>
        <w:spacing w:after="160"/>
        <w:jc w:val="both"/>
        <w:rPr>
          <w:rFonts w:ascii="Verdana" w:eastAsia="Verdana" w:hAnsi="Verdana" w:cs="Verdana"/>
          <w:sz w:val="22"/>
          <w:szCs w:val="22"/>
          <w:lang w:val="en-GB"/>
        </w:rPr>
      </w:pPr>
      <w:r w:rsidRPr="00BA521C">
        <w:rPr>
          <w:rFonts w:ascii="Verdana" w:eastAsia="Verdana" w:hAnsi="Verdana" w:cs="Verdana"/>
          <w:sz w:val="22"/>
          <w:szCs w:val="22"/>
          <w:lang w:val="en-GB"/>
        </w:rPr>
        <w:t>•</w:t>
      </w:r>
      <w:r w:rsidRPr="00BA521C">
        <w:rPr>
          <w:rFonts w:ascii="Verdana" w:eastAsia="Verdana" w:hAnsi="Verdana" w:cs="Verdana"/>
          <w:sz w:val="22"/>
          <w:szCs w:val="22"/>
          <w:lang w:val="en-GB"/>
        </w:rPr>
        <w:tab/>
      </w:r>
      <w:r w:rsidRPr="00BA521C">
        <w:rPr>
          <w:rFonts w:ascii="Verdana" w:eastAsia="Verdana" w:hAnsi="Verdana" w:cs="Verdana"/>
          <w:b/>
          <w:sz w:val="22"/>
          <w:szCs w:val="22"/>
          <w:lang w:val="en-GB"/>
        </w:rPr>
        <w:t>Asset values</w:t>
      </w:r>
      <w:r w:rsidRPr="00BA521C">
        <w:rPr>
          <w:rFonts w:ascii="Verdana" w:eastAsia="Verdana" w:hAnsi="Verdana" w:cs="Verdana"/>
          <w:sz w:val="22"/>
          <w:szCs w:val="22"/>
          <w:lang w:val="en-GB"/>
        </w:rPr>
        <w:t xml:space="preserve"> – For the </w:t>
      </w:r>
      <w:r>
        <w:rPr>
          <w:rFonts w:ascii="Verdana" w:eastAsia="Verdana" w:hAnsi="Verdana" w:cs="Verdana"/>
          <w:sz w:val="22"/>
          <w:szCs w:val="22"/>
          <w:lang w:val="en-GB"/>
        </w:rPr>
        <w:t>purposes of the draft financial statements a judgement has been made to include valuations as at 31 March 2020 which may contain a material uncertainty, in relation to possible impairment</w:t>
      </w:r>
      <w:r w:rsidR="003D28D4">
        <w:rPr>
          <w:rFonts w:ascii="Verdana" w:eastAsia="Verdana" w:hAnsi="Verdana" w:cs="Verdana"/>
          <w:sz w:val="22"/>
          <w:szCs w:val="22"/>
          <w:lang w:val="en-GB"/>
        </w:rPr>
        <w:t xml:space="preserve"> of tangible assets, if future service potential is reduced by the economic impact of the Covid-19 virus pandemic. This decision was taken because sufficient market data information was not available to determine and/or quantify any impacts of the pandemic on property values as at the Balance Sheet date and beyond. Market data reliability may improve as valuers gain more evidence relating to conditions at the Balance Sheet date which may lead to retrospectively revised assessments of the current value of land and buildings held by the PCC. This may impact on revaluation losses recognised in the financial </w:t>
      </w:r>
      <w:r w:rsidR="003D28D4" w:rsidRPr="006F1D51">
        <w:rPr>
          <w:rFonts w:ascii="Verdana" w:eastAsia="Verdana" w:hAnsi="Verdana" w:cs="Verdana"/>
          <w:sz w:val="22"/>
          <w:szCs w:val="22"/>
          <w:lang w:val="en-GB"/>
        </w:rPr>
        <w:t>statements and if necessary will be adjusted for the final version of the 2019/20 financial statements</w:t>
      </w:r>
      <w:r w:rsidRPr="006F1D51">
        <w:rPr>
          <w:rFonts w:ascii="Verdana" w:eastAsia="Verdana" w:hAnsi="Verdana" w:cs="Verdana"/>
          <w:sz w:val="22"/>
          <w:szCs w:val="22"/>
          <w:lang w:val="en-GB"/>
        </w:rPr>
        <w:t xml:space="preserve">. </w:t>
      </w:r>
    </w:p>
    <w:p w:rsidR="00BA521C" w:rsidRPr="006F1D51" w:rsidRDefault="006F1D51" w:rsidP="006F1D51">
      <w:pPr>
        <w:pStyle w:val="Normal0"/>
        <w:spacing w:after="160"/>
        <w:jc w:val="both"/>
        <w:rPr>
          <w:rFonts w:ascii="Verdana" w:eastAsia="Verdana" w:hAnsi="Verdana" w:cs="Verdana"/>
          <w:sz w:val="22"/>
          <w:szCs w:val="22"/>
          <w:lang w:val="en-GB"/>
        </w:rPr>
      </w:pPr>
      <w:r w:rsidRPr="006F1D51">
        <w:rPr>
          <w:rFonts w:ascii="Verdana" w:eastAsia="Verdana" w:hAnsi="Verdana" w:cs="Verdana"/>
          <w:sz w:val="22"/>
          <w:szCs w:val="22"/>
          <w:lang w:val="en-GB"/>
        </w:rPr>
        <w:t>•</w:t>
      </w:r>
      <w:r w:rsidRPr="006F1D51">
        <w:rPr>
          <w:rFonts w:ascii="Verdana" w:eastAsia="Verdana" w:hAnsi="Verdana" w:cs="Verdana"/>
          <w:sz w:val="22"/>
          <w:szCs w:val="22"/>
          <w:lang w:val="en-GB"/>
        </w:rPr>
        <w:tab/>
      </w:r>
      <w:r w:rsidRPr="006F1D51">
        <w:rPr>
          <w:rFonts w:ascii="Verdana" w:eastAsia="Verdana" w:hAnsi="Verdana" w:cs="Verdana"/>
          <w:b/>
          <w:sz w:val="22"/>
          <w:szCs w:val="22"/>
          <w:lang w:val="en-GB"/>
        </w:rPr>
        <w:t>Depreciation</w:t>
      </w:r>
      <w:r w:rsidRPr="006F1D51">
        <w:rPr>
          <w:rFonts w:ascii="Verdana" w:eastAsia="Verdana" w:hAnsi="Verdana" w:cs="Verdana"/>
          <w:sz w:val="22"/>
          <w:szCs w:val="22"/>
          <w:lang w:val="en-GB"/>
        </w:rPr>
        <w:t xml:space="preserve"> –</w:t>
      </w:r>
      <w:r>
        <w:rPr>
          <w:rFonts w:ascii="Verdana" w:eastAsia="Verdana" w:hAnsi="Verdana" w:cs="Verdana"/>
          <w:sz w:val="22"/>
          <w:szCs w:val="22"/>
          <w:lang w:val="en-GB"/>
        </w:rPr>
        <w:t xml:space="preserve"> Depreciation is calculated based on asset value and expected useful life of the asset. If the useful life of an asset is reduced then the depreciation charge to the CIES will increase. The PCC monitors the useful life of assets to identify where chang</w:t>
      </w:r>
      <w:r w:rsidRPr="006F1D51">
        <w:rPr>
          <w:rFonts w:ascii="Verdana" w:eastAsia="Verdana" w:hAnsi="Verdana" w:cs="Verdana"/>
          <w:sz w:val="22"/>
          <w:szCs w:val="22"/>
          <w:lang w:val="en-GB"/>
        </w:rPr>
        <w:t>es to the depreciation charge are required during the year.</w:t>
      </w:r>
    </w:p>
    <w:p w:rsidR="00CA6653" w:rsidRDefault="00CA6653" w:rsidP="00537879">
      <w:pPr>
        <w:pStyle w:val="Normal0"/>
        <w:spacing w:after="160"/>
        <w:jc w:val="both"/>
        <w:rPr>
          <w:rFonts w:ascii="Verdana" w:eastAsia="Verdana" w:hAnsi="Verdana" w:cs="Verdana"/>
          <w:sz w:val="22"/>
          <w:szCs w:val="22"/>
          <w:lang w:val="en-GB"/>
        </w:rPr>
      </w:pPr>
      <w:r w:rsidRPr="006F1D51">
        <w:rPr>
          <w:rFonts w:ascii="Verdana" w:eastAsia="Verdana" w:hAnsi="Verdana" w:cs="Verdana"/>
          <w:sz w:val="22"/>
          <w:szCs w:val="22"/>
          <w:lang w:val="en-GB"/>
        </w:rPr>
        <w:t>•</w:t>
      </w:r>
      <w:r w:rsidRPr="006F1D51">
        <w:rPr>
          <w:rFonts w:ascii="Verdana" w:eastAsia="Verdana" w:hAnsi="Verdana" w:cs="Verdana"/>
          <w:sz w:val="22"/>
          <w:szCs w:val="22"/>
          <w:lang w:val="en-GB"/>
        </w:rPr>
        <w:tab/>
      </w:r>
      <w:r w:rsidRPr="006F1D51">
        <w:rPr>
          <w:rFonts w:ascii="Verdana" w:eastAsia="Verdana" w:hAnsi="Verdana" w:cs="Verdana"/>
          <w:b/>
          <w:sz w:val="22"/>
          <w:szCs w:val="22"/>
          <w:lang w:val="en-GB"/>
        </w:rPr>
        <w:t>Leases</w:t>
      </w:r>
      <w:r w:rsidRPr="006F1D51">
        <w:rPr>
          <w:rFonts w:ascii="Verdana" w:eastAsia="Verdana" w:hAnsi="Verdana" w:cs="Verdana"/>
          <w:sz w:val="22"/>
          <w:szCs w:val="22"/>
          <w:lang w:val="en-GB"/>
        </w:rPr>
        <w:t xml:space="preserve"> – the PCC has to determine whether the leases it enters should be classified as operating or finance leases. The PCC must also consider whether contractual arrangements it enters into have the substance of a lease.  These judgements are made on the professional opinion of the PCC Group’s accountants and procurement manager based on contract procedure rules and the strict criteria set out in International Accounting Standard 17 (IAS 17) relating to leases</w:t>
      </w:r>
      <w:r w:rsidR="006F1D51" w:rsidRPr="006F1D51">
        <w:rPr>
          <w:rFonts w:ascii="Verdana" w:eastAsia="Verdana" w:hAnsi="Verdana" w:cs="Verdana"/>
          <w:sz w:val="22"/>
          <w:szCs w:val="22"/>
          <w:lang w:val="en-GB"/>
        </w:rPr>
        <w:t xml:space="preserve">. These </w:t>
      </w:r>
      <w:r w:rsidR="006F1D51">
        <w:rPr>
          <w:rFonts w:ascii="Verdana" w:eastAsia="Verdana" w:hAnsi="Verdana" w:cs="Verdana"/>
          <w:sz w:val="22"/>
          <w:szCs w:val="22"/>
          <w:lang w:val="en-GB"/>
        </w:rPr>
        <w:t>will</w:t>
      </w:r>
      <w:r w:rsidR="006F1D51" w:rsidRPr="006F1D51">
        <w:rPr>
          <w:rFonts w:ascii="Verdana" w:eastAsia="Verdana" w:hAnsi="Verdana" w:cs="Verdana"/>
          <w:sz w:val="22"/>
          <w:szCs w:val="22"/>
          <w:lang w:val="en-GB"/>
        </w:rPr>
        <w:t xml:space="preserve"> also </w:t>
      </w:r>
      <w:r w:rsidR="006F1D51" w:rsidRPr="000902BA">
        <w:rPr>
          <w:rFonts w:ascii="Verdana" w:eastAsia="Verdana" w:hAnsi="Verdana" w:cs="Verdana"/>
          <w:sz w:val="22"/>
          <w:szCs w:val="22"/>
          <w:lang w:val="en-GB"/>
        </w:rPr>
        <w:t>need to be considered for IFRS 16 compliance in future years</w:t>
      </w:r>
      <w:r w:rsidRPr="000902BA">
        <w:rPr>
          <w:rFonts w:ascii="Verdana" w:eastAsia="Verdana" w:hAnsi="Verdana" w:cs="Verdana"/>
          <w:sz w:val="22"/>
          <w:szCs w:val="22"/>
          <w:lang w:val="en-GB"/>
        </w:rPr>
        <w:t>.</w:t>
      </w:r>
    </w:p>
    <w:p w:rsidR="000902BA" w:rsidRDefault="000902BA" w:rsidP="000902BA">
      <w:pPr>
        <w:pStyle w:val="Normal0"/>
        <w:spacing w:after="160"/>
        <w:jc w:val="both"/>
        <w:rPr>
          <w:rFonts w:ascii="Verdana" w:eastAsia="Verdana" w:hAnsi="Verdana" w:cs="Verdana"/>
          <w:b/>
          <w:sz w:val="22"/>
          <w:szCs w:val="22"/>
          <w:lang w:val="en-GB"/>
        </w:rPr>
      </w:pPr>
      <w:r>
        <w:rPr>
          <w:rFonts w:ascii="Verdana" w:eastAsia="Verdana" w:hAnsi="Verdana" w:cs="Verdana"/>
          <w:b/>
          <w:sz w:val="22"/>
          <w:szCs w:val="22"/>
          <w:lang w:val="en-GB"/>
        </w:rPr>
        <w:t>Accruals of Income and Expenditure</w:t>
      </w:r>
    </w:p>
    <w:p w:rsidR="000902BA" w:rsidRDefault="000902BA" w:rsidP="000902BA">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Income and Expenditure is accounted for in the year that it takes place, not simply when cash payments are made or received. In particular:</w:t>
      </w:r>
    </w:p>
    <w:p w:rsidR="000902BA" w:rsidRDefault="000902BA" w:rsidP="000902BA">
      <w:pPr>
        <w:pStyle w:val="Normal0"/>
        <w:spacing w:after="160" w:line="257" w:lineRule="auto"/>
        <w:jc w:val="both"/>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r>
      <w:r w:rsidRPr="000902BA">
        <w:rPr>
          <w:rFonts w:ascii="Verdana" w:eastAsia="Verdana" w:hAnsi="Verdana" w:cs="Verdana"/>
          <w:b/>
          <w:sz w:val="22"/>
          <w:szCs w:val="22"/>
          <w:lang w:val="en-GB"/>
        </w:rPr>
        <w:t>Fees, charges and rents due</w:t>
      </w:r>
      <w:r>
        <w:rPr>
          <w:rFonts w:ascii="Verdana" w:eastAsia="Verdana" w:hAnsi="Verdana" w:cs="Verdana"/>
          <w:sz w:val="22"/>
          <w:szCs w:val="22"/>
          <w:lang w:val="en-GB"/>
        </w:rPr>
        <w:t xml:space="preserve"> are accounted for as income at the date the Police and Crime Commissioner provides the relevant goods or services.</w:t>
      </w:r>
    </w:p>
    <w:p w:rsidR="000902BA" w:rsidRDefault="000902BA" w:rsidP="000902BA">
      <w:pPr>
        <w:pStyle w:val="Normal0"/>
        <w:spacing w:after="160" w:line="257" w:lineRule="auto"/>
        <w:jc w:val="both"/>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t xml:space="preserve">Where </w:t>
      </w:r>
      <w:r w:rsidRPr="000902BA">
        <w:rPr>
          <w:rFonts w:ascii="Verdana" w:eastAsia="Verdana" w:hAnsi="Verdana" w:cs="Verdana"/>
          <w:b/>
          <w:sz w:val="22"/>
          <w:szCs w:val="22"/>
          <w:lang w:val="en-GB"/>
        </w:rPr>
        <w:t>income and expenditure is recognised but cash has not been received or paid</w:t>
      </w:r>
      <w:r>
        <w:rPr>
          <w:rFonts w:ascii="Verdana" w:eastAsia="Verdana" w:hAnsi="Verdana" w:cs="Verdana"/>
          <w:sz w:val="22"/>
          <w:szCs w:val="22"/>
          <w:lang w:val="en-GB"/>
        </w:rPr>
        <w:t>, a debtor or creditor for the relevant year is recorded in the Balance Sheet.  Estimates are used when appropriate based on expectation, experience, relevant documentary evidence and other support such as advice from specialist consultants.</w:t>
      </w:r>
    </w:p>
    <w:p w:rsidR="000902BA" w:rsidRDefault="000902BA" w:rsidP="000902BA">
      <w:pPr>
        <w:pStyle w:val="Normal0"/>
        <w:spacing w:after="160" w:line="257" w:lineRule="auto"/>
        <w:jc w:val="both"/>
        <w:rPr>
          <w:rFonts w:ascii="Verdana" w:eastAsia="Verdana" w:hAnsi="Verdana" w:cs="Verdana"/>
          <w:sz w:val="22"/>
          <w:szCs w:val="22"/>
          <w:lang w:val="en-GB"/>
        </w:rPr>
      </w:pPr>
      <w:r>
        <w:rPr>
          <w:rFonts w:ascii="Verdana" w:eastAsia="Verdana" w:hAnsi="Verdana" w:cs="Verdana"/>
          <w:sz w:val="22"/>
          <w:szCs w:val="22"/>
          <w:lang w:val="en-GB"/>
        </w:rPr>
        <w:t>•</w:t>
      </w:r>
      <w:r>
        <w:rPr>
          <w:rFonts w:ascii="Verdana" w:eastAsia="Verdana" w:hAnsi="Verdana" w:cs="Verdana"/>
          <w:sz w:val="22"/>
          <w:szCs w:val="22"/>
          <w:lang w:val="en-GB"/>
        </w:rPr>
        <w:tab/>
        <w:t xml:space="preserve">Where it is </w:t>
      </w:r>
      <w:r w:rsidRPr="000902BA">
        <w:rPr>
          <w:rFonts w:ascii="Verdana" w:eastAsia="Verdana" w:hAnsi="Verdana" w:cs="Verdana"/>
          <w:b/>
          <w:sz w:val="22"/>
          <w:szCs w:val="22"/>
          <w:lang w:val="en-GB"/>
        </w:rPr>
        <w:t>doubtful</w:t>
      </w:r>
      <w:r>
        <w:rPr>
          <w:rFonts w:ascii="Verdana" w:eastAsia="Verdana" w:hAnsi="Verdana" w:cs="Verdana"/>
          <w:sz w:val="22"/>
          <w:szCs w:val="22"/>
          <w:lang w:val="en-GB"/>
        </w:rPr>
        <w:t xml:space="preserve"> </w:t>
      </w:r>
      <w:r w:rsidRPr="000902BA">
        <w:rPr>
          <w:rFonts w:ascii="Verdana" w:eastAsia="Verdana" w:hAnsi="Verdana" w:cs="Verdana"/>
          <w:b/>
          <w:sz w:val="22"/>
          <w:szCs w:val="22"/>
          <w:lang w:val="en-GB"/>
        </w:rPr>
        <w:t>that debts will be settled</w:t>
      </w:r>
      <w:r>
        <w:rPr>
          <w:rFonts w:ascii="Verdana" w:eastAsia="Verdana" w:hAnsi="Verdana" w:cs="Verdana"/>
          <w:sz w:val="22"/>
          <w:szCs w:val="22"/>
          <w:lang w:val="en-GB"/>
        </w:rPr>
        <w:t>, the balance of debtors is written down and a charge made to the CIES for the income that might not be collected.</w:t>
      </w:r>
    </w:p>
    <w:p w:rsidR="000902BA" w:rsidRPr="006906A3" w:rsidRDefault="00CA6653" w:rsidP="000902BA">
      <w:pPr>
        <w:pStyle w:val="Normal0"/>
        <w:spacing w:after="160"/>
        <w:jc w:val="both"/>
        <w:rPr>
          <w:rFonts w:ascii="Verdana" w:eastAsia="Verdana" w:hAnsi="Verdana" w:cs="Verdana"/>
          <w:sz w:val="22"/>
          <w:szCs w:val="22"/>
          <w:lang w:val="en-GB"/>
        </w:rPr>
      </w:pPr>
      <w:r w:rsidRPr="000902BA">
        <w:rPr>
          <w:rFonts w:ascii="Verdana" w:eastAsia="Verdana" w:hAnsi="Verdana" w:cs="Verdana"/>
          <w:sz w:val="22"/>
          <w:szCs w:val="22"/>
          <w:lang w:val="en-GB"/>
        </w:rPr>
        <w:t>•</w:t>
      </w:r>
      <w:r w:rsidRPr="000902BA">
        <w:rPr>
          <w:rFonts w:ascii="Verdana" w:eastAsia="Verdana" w:hAnsi="Verdana" w:cs="Verdana"/>
          <w:sz w:val="22"/>
          <w:szCs w:val="22"/>
          <w:lang w:val="en-GB"/>
        </w:rPr>
        <w:tab/>
      </w:r>
      <w:r w:rsidRPr="000902BA">
        <w:rPr>
          <w:rFonts w:ascii="Verdana" w:eastAsia="Verdana" w:hAnsi="Verdana" w:cs="Verdana"/>
          <w:b/>
          <w:sz w:val="22"/>
          <w:szCs w:val="22"/>
          <w:lang w:val="en-GB"/>
        </w:rPr>
        <w:t>Working capital</w:t>
      </w:r>
      <w:r w:rsidRPr="000902BA">
        <w:rPr>
          <w:rFonts w:ascii="Verdana" w:eastAsia="Verdana" w:hAnsi="Verdana" w:cs="Verdana"/>
          <w:sz w:val="22"/>
          <w:szCs w:val="22"/>
          <w:lang w:val="en-GB"/>
        </w:rPr>
        <w:t xml:space="preserve"> – </w:t>
      </w:r>
      <w:r w:rsidR="000902BA" w:rsidRPr="000902BA">
        <w:rPr>
          <w:rFonts w:ascii="Verdana" w:eastAsia="Verdana" w:hAnsi="Verdana" w:cs="Verdana"/>
          <w:sz w:val="22"/>
          <w:szCs w:val="22"/>
          <w:lang w:val="en-GB"/>
        </w:rPr>
        <w:t>Working capital has been judged as being attributable in full to the PCC. T</w:t>
      </w:r>
      <w:r w:rsidRPr="000902BA">
        <w:rPr>
          <w:rFonts w:ascii="Verdana" w:eastAsia="Verdana" w:hAnsi="Verdana" w:cs="Verdana"/>
          <w:sz w:val="22"/>
          <w:szCs w:val="22"/>
          <w:lang w:val="en-GB"/>
        </w:rPr>
        <w:t xml:space="preserve">he PCC controls the treasury management function and all bank accounts, therefore the majority of the working capital </w:t>
      </w:r>
      <w:r w:rsidRPr="006906A3">
        <w:rPr>
          <w:rFonts w:ascii="Verdana" w:eastAsia="Verdana" w:hAnsi="Verdana" w:cs="Verdana"/>
          <w:sz w:val="22"/>
          <w:szCs w:val="22"/>
          <w:lang w:val="en-GB"/>
        </w:rPr>
        <w:t xml:space="preserve">balances (cash, current debtors and currently liabilities) are recognised in the PCC’s Balance Sheet. </w:t>
      </w:r>
    </w:p>
    <w:p w:rsidR="00C36694" w:rsidRPr="00C36694" w:rsidRDefault="00C36694" w:rsidP="00C36694">
      <w:pPr>
        <w:pStyle w:val="Normal0"/>
        <w:spacing w:after="160"/>
        <w:jc w:val="both"/>
        <w:rPr>
          <w:rFonts w:ascii="Verdana" w:eastAsia="Verdana" w:hAnsi="Verdana" w:cs="Verdana"/>
          <w:sz w:val="22"/>
          <w:szCs w:val="22"/>
          <w:lang w:val="en-GB"/>
        </w:rPr>
      </w:pPr>
      <w:r w:rsidRPr="006906A3">
        <w:rPr>
          <w:rFonts w:ascii="Verdana" w:eastAsia="Verdana" w:hAnsi="Verdana" w:cs="Verdana"/>
          <w:sz w:val="22"/>
          <w:szCs w:val="22"/>
          <w:lang w:val="en-GB"/>
        </w:rPr>
        <w:t>•</w:t>
      </w:r>
      <w:r w:rsidRPr="006906A3">
        <w:rPr>
          <w:rFonts w:ascii="Verdana" w:eastAsia="Verdana" w:hAnsi="Verdana" w:cs="Verdana"/>
          <w:sz w:val="22"/>
          <w:szCs w:val="22"/>
          <w:lang w:val="en-GB"/>
        </w:rPr>
        <w:tab/>
      </w:r>
      <w:r w:rsidRPr="006906A3">
        <w:rPr>
          <w:rFonts w:ascii="Verdana" w:eastAsia="Verdana" w:hAnsi="Verdana" w:cs="Verdana"/>
          <w:b/>
          <w:sz w:val="22"/>
          <w:szCs w:val="22"/>
          <w:lang w:val="en-GB"/>
        </w:rPr>
        <w:t>Employee benefit accrual for</w:t>
      </w:r>
      <w:r w:rsidRPr="006906A3">
        <w:rPr>
          <w:rFonts w:ascii="Verdana" w:eastAsia="Verdana" w:hAnsi="Verdana" w:cs="Verdana"/>
          <w:sz w:val="22"/>
          <w:szCs w:val="22"/>
          <w:lang w:val="en-GB"/>
        </w:rPr>
        <w:t xml:space="preserve"> </w:t>
      </w:r>
      <w:r w:rsidR="00A85636">
        <w:rPr>
          <w:rFonts w:ascii="Verdana" w:eastAsia="Verdana" w:hAnsi="Verdana" w:cs="Verdana"/>
          <w:b/>
          <w:sz w:val="22"/>
          <w:szCs w:val="22"/>
          <w:lang w:val="en-GB"/>
        </w:rPr>
        <w:t>a</w:t>
      </w:r>
      <w:r w:rsidRPr="006906A3">
        <w:rPr>
          <w:rFonts w:ascii="Verdana" w:eastAsia="Verdana" w:hAnsi="Verdana" w:cs="Verdana"/>
          <w:b/>
          <w:sz w:val="22"/>
          <w:szCs w:val="22"/>
          <w:lang w:val="en-GB"/>
        </w:rPr>
        <w:t>ccumulated absences</w:t>
      </w:r>
      <w:r w:rsidRPr="006906A3">
        <w:rPr>
          <w:rFonts w:ascii="Verdana" w:eastAsia="Verdana" w:hAnsi="Verdana" w:cs="Verdana"/>
          <w:sz w:val="22"/>
          <w:szCs w:val="22"/>
          <w:lang w:val="en-GB"/>
        </w:rPr>
        <w:t xml:space="preserve"> - the PCC has to determine whether the leave accrual should be accounted for in the PCC or Chief Constables accounts. As the majority of employee costs are accounted for in the Chief Constable's accounts the leave accrual has been accordingly matched and accounted for on the Chief Constables Balance Sheet. The calculation is based on staff annual leave records and an average cost for each grade.</w:t>
      </w:r>
    </w:p>
    <w:p w:rsidR="00C36694" w:rsidRDefault="00C36694" w:rsidP="00C36694">
      <w:pPr>
        <w:pStyle w:val="Normal0"/>
        <w:spacing w:after="160"/>
        <w:jc w:val="both"/>
        <w:rPr>
          <w:rFonts w:ascii="Verdana" w:eastAsia="Verdana" w:hAnsi="Verdana" w:cs="Verdana"/>
          <w:sz w:val="22"/>
          <w:szCs w:val="22"/>
          <w:lang w:val="en-GB"/>
        </w:rPr>
      </w:pPr>
      <w:r w:rsidRPr="00C36694">
        <w:rPr>
          <w:rFonts w:ascii="Verdana" w:eastAsia="Verdana" w:hAnsi="Verdana" w:cs="Verdana"/>
          <w:sz w:val="22"/>
          <w:szCs w:val="22"/>
          <w:lang w:val="en-GB"/>
        </w:rPr>
        <w:t>•</w:t>
      </w:r>
      <w:r w:rsidRPr="00C36694">
        <w:rPr>
          <w:rFonts w:ascii="Verdana" w:eastAsia="Verdana" w:hAnsi="Verdana" w:cs="Verdana"/>
          <w:sz w:val="22"/>
          <w:szCs w:val="22"/>
          <w:lang w:val="en-GB"/>
        </w:rPr>
        <w:tab/>
      </w:r>
      <w:r w:rsidRPr="00C36694">
        <w:rPr>
          <w:rFonts w:ascii="Verdana" w:eastAsia="Verdana" w:hAnsi="Verdana" w:cs="Verdana"/>
          <w:b/>
          <w:sz w:val="22"/>
          <w:szCs w:val="22"/>
          <w:lang w:val="en-GB"/>
        </w:rPr>
        <w:t>Collaboration</w:t>
      </w:r>
      <w:r w:rsidRPr="00C36694">
        <w:rPr>
          <w:rFonts w:ascii="Verdana" w:eastAsia="Verdana" w:hAnsi="Verdana" w:cs="Verdana"/>
          <w:sz w:val="22"/>
          <w:szCs w:val="22"/>
          <w:lang w:val="en-GB"/>
        </w:rPr>
        <w:t xml:space="preserve"> – the PCC has to determine how to account for collaborative arrangements. </w:t>
      </w:r>
      <w:r>
        <w:rPr>
          <w:rFonts w:ascii="Verdana" w:eastAsia="Verdana" w:hAnsi="Verdana" w:cs="Verdana"/>
          <w:sz w:val="22"/>
          <w:szCs w:val="22"/>
          <w:lang w:val="en-GB"/>
        </w:rPr>
        <w:t>The Police and Crime Commissioners and Chief Constables of Surrey and Sussex Police have entered into a legal arrangement to provide a number of services jointly with each other and other forces. Each of these services is managed by one of the forces and includes a mix of staff from both forces. The net cost of each ser</w:t>
      </w:r>
      <w:r w:rsidR="007A2967">
        <w:rPr>
          <w:rFonts w:ascii="Verdana" w:eastAsia="Verdana" w:hAnsi="Verdana" w:cs="Verdana"/>
          <w:sz w:val="22"/>
          <w:szCs w:val="22"/>
          <w:lang w:val="en-GB"/>
        </w:rPr>
        <w:t>vice agreed to be provided jointly which cannot be directly attributable to each force, is shared on a formula basis. Each force accounts for their own share of total income and expenditure and assets.</w:t>
      </w:r>
    </w:p>
    <w:p w:rsidR="00C36694" w:rsidRPr="000902BA" w:rsidRDefault="00C36694" w:rsidP="000902BA">
      <w:pPr>
        <w:pStyle w:val="Normal0"/>
        <w:spacing w:after="160"/>
        <w:jc w:val="both"/>
        <w:rPr>
          <w:rFonts w:ascii="Verdana" w:eastAsia="Verdana" w:hAnsi="Verdana" w:cs="Verdana"/>
          <w:sz w:val="22"/>
          <w:szCs w:val="22"/>
          <w:lang w:val="en-GB"/>
        </w:rPr>
      </w:pPr>
      <w:r w:rsidRPr="000902BA">
        <w:rPr>
          <w:rFonts w:ascii="Verdana" w:eastAsia="Verdana" w:hAnsi="Verdana" w:cs="Verdana"/>
          <w:sz w:val="22"/>
          <w:szCs w:val="22"/>
          <w:lang w:val="en-GB"/>
        </w:rPr>
        <w:t>•</w:t>
      </w:r>
      <w:r w:rsidRPr="000902BA">
        <w:rPr>
          <w:rFonts w:ascii="Verdana" w:eastAsia="Verdana" w:hAnsi="Verdana" w:cs="Verdana"/>
          <w:sz w:val="22"/>
          <w:szCs w:val="22"/>
          <w:lang w:val="en-GB"/>
        </w:rPr>
        <w:tab/>
      </w:r>
      <w:r w:rsidRPr="007A2967">
        <w:rPr>
          <w:rFonts w:ascii="Verdana" w:eastAsia="Verdana" w:hAnsi="Verdana" w:cs="Verdana"/>
          <w:b/>
          <w:sz w:val="22"/>
          <w:szCs w:val="22"/>
          <w:lang w:val="en-GB"/>
        </w:rPr>
        <w:t xml:space="preserve">Insurance </w:t>
      </w:r>
      <w:r w:rsidR="007A2967">
        <w:rPr>
          <w:rFonts w:ascii="Verdana" w:eastAsia="Verdana" w:hAnsi="Verdana" w:cs="Verdana"/>
          <w:b/>
          <w:sz w:val="22"/>
          <w:szCs w:val="22"/>
          <w:lang w:val="en-GB"/>
        </w:rPr>
        <w:t xml:space="preserve">Actuarial Assumptions </w:t>
      </w:r>
      <w:r w:rsidRPr="000902BA">
        <w:rPr>
          <w:rFonts w:ascii="Verdana" w:eastAsia="Verdana" w:hAnsi="Verdana" w:cs="Verdana"/>
          <w:sz w:val="22"/>
          <w:szCs w:val="22"/>
          <w:lang w:val="en-GB"/>
        </w:rPr>
        <w:t xml:space="preserve">- </w:t>
      </w:r>
      <w:r w:rsidR="007A2967">
        <w:rPr>
          <w:rFonts w:ascii="Verdana" w:eastAsia="Verdana" w:hAnsi="Verdana" w:cs="Verdana"/>
          <w:sz w:val="22"/>
          <w:szCs w:val="22"/>
          <w:lang w:val="en-GB"/>
        </w:rPr>
        <w:t>The Group annually reviews the appropriateness of its insurance funding.  Independent Actuaries Marsh undertook a review on the adequacy of our insurance claim provision and reserves.  The review utilises recognised actuarial techniques and generally accepted principles to forecast ultimate claims costs.  All reviews are carried out by qualified actuaries in the core Marsh team dedicated to the contract.  The underlying assumptions and methodologies used in the reports are then peer-reviewed by a colleague independent to the core team.</w:t>
      </w:r>
    </w:p>
    <w:p w:rsidR="000902BA" w:rsidRDefault="000902BA" w:rsidP="000902BA">
      <w:pPr>
        <w:pStyle w:val="Normal0"/>
        <w:spacing w:after="160"/>
        <w:jc w:val="both"/>
        <w:rPr>
          <w:rFonts w:ascii="Verdana" w:eastAsia="Verdana" w:hAnsi="Verdana" w:cs="Verdana"/>
          <w:b/>
          <w:sz w:val="22"/>
          <w:szCs w:val="22"/>
          <w:lang w:val="en-GB"/>
        </w:rPr>
      </w:pPr>
      <w:r w:rsidRPr="000902BA">
        <w:rPr>
          <w:rFonts w:ascii="Verdana" w:eastAsia="Verdana" w:hAnsi="Verdana" w:cs="Verdana"/>
          <w:sz w:val="22"/>
          <w:szCs w:val="22"/>
          <w:lang w:val="en-GB"/>
        </w:rPr>
        <w:t>•</w:t>
      </w:r>
      <w:r w:rsidRPr="000902BA">
        <w:rPr>
          <w:rFonts w:ascii="Verdana" w:eastAsia="Verdana" w:hAnsi="Verdana" w:cs="Verdana"/>
          <w:sz w:val="22"/>
          <w:szCs w:val="22"/>
          <w:lang w:val="en-GB"/>
        </w:rPr>
        <w:tab/>
      </w:r>
      <w:r w:rsidRPr="000902BA">
        <w:rPr>
          <w:rFonts w:ascii="Verdana" w:eastAsia="Verdana" w:hAnsi="Verdana" w:cs="Verdana"/>
          <w:b/>
          <w:sz w:val="22"/>
          <w:szCs w:val="22"/>
          <w:lang w:val="en-GB"/>
        </w:rPr>
        <w:t>Pensions recognition and disclosure</w:t>
      </w:r>
      <w:r w:rsidRPr="000902BA">
        <w:rPr>
          <w:rFonts w:ascii="Verdana" w:eastAsia="Verdana" w:hAnsi="Verdana" w:cs="Verdana"/>
          <w:sz w:val="22"/>
          <w:szCs w:val="22"/>
          <w:lang w:val="en-GB"/>
        </w:rPr>
        <w:t xml:space="preserve"> - The PCC has to determine whether items should be recognised in the PCC or Chief Constable accounts.  A judgement was made in previous years to include the accounting for all staff pension liability and reserve movements within the Chief Constable's accounts, including those elements that relate to staff employed within the Officer of the PCC.  This decision was made on the grounds of materiality because the Chief Constable holds the contract of employment for the majority of staff, with the PCC holding contracts of employment for the team of staff in his </w:t>
      </w:r>
      <w:r w:rsidRPr="00C36694">
        <w:rPr>
          <w:rFonts w:ascii="Verdana" w:eastAsia="Verdana" w:hAnsi="Verdana" w:cs="Verdana"/>
          <w:sz w:val="22"/>
          <w:szCs w:val="22"/>
          <w:lang w:val="en-GB"/>
        </w:rPr>
        <w:t>office.  It was estimated that the PCC elements of pensions on a pro rata basis would give less than half of one percent of the total LGPS pension liability relating to staff.  Omission of PCC staff pension adjustments from the PCC accounts and/or overstatement of the same figures withi</w:t>
      </w:r>
      <w:r w:rsidR="00C36694" w:rsidRPr="00C36694">
        <w:rPr>
          <w:rFonts w:ascii="Verdana" w:eastAsia="Verdana" w:hAnsi="Verdana" w:cs="Verdana"/>
          <w:sz w:val="22"/>
          <w:szCs w:val="22"/>
          <w:lang w:val="en-GB"/>
        </w:rPr>
        <w:t>n the Chief Constable accounts wa</w:t>
      </w:r>
      <w:r w:rsidRPr="00C36694">
        <w:rPr>
          <w:rFonts w:ascii="Verdana" w:eastAsia="Verdana" w:hAnsi="Verdana" w:cs="Verdana"/>
          <w:sz w:val="22"/>
          <w:szCs w:val="22"/>
          <w:lang w:val="en-GB"/>
        </w:rPr>
        <w:t xml:space="preserve">s not considered likely to influence decisions or assessments of users made on the basis of the Financial Statements and the Group position is still correct. </w:t>
      </w:r>
      <w:r w:rsidR="00C36694" w:rsidRPr="00C36694">
        <w:rPr>
          <w:rFonts w:ascii="Verdana" w:eastAsia="Verdana" w:hAnsi="Verdana" w:cs="Verdana"/>
          <w:sz w:val="22"/>
          <w:szCs w:val="22"/>
          <w:lang w:val="en-GB"/>
        </w:rPr>
        <w:t xml:space="preserve"> This wa</w:t>
      </w:r>
      <w:r w:rsidRPr="00C36694">
        <w:rPr>
          <w:rFonts w:ascii="Verdana" w:eastAsia="Verdana" w:hAnsi="Verdana" w:cs="Verdana"/>
          <w:sz w:val="22"/>
          <w:szCs w:val="22"/>
          <w:lang w:val="en-GB"/>
        </w:rPr>
        <w:t>s not therefore considered a material misstatement</w:t>
      </w:r>
      <w:r w:rsidR="00C36694" w:rsidRPr="00C36694">
        <w:rPr>
          <w:rFonts w:ascii="Verdana" w:eastAsia="Verdana" w:hAnsi="Verdana" w:cs="Verdana"/>
          <w:sz w:val="22"/>
          <w:szCs w:val="22"/>
          <w:lang w:val="en-GB"/>
        </w:rPr>
        <w:t xml:space="preserve"> but was one that would be likely to increase each year</w:t>
      </w:r>
      <w:r w:rsidRPr="00C36694">
        <w:rPr>
          <w:rFonts w:ascii="Verdana" w:eastAsia="Verdana" w:hAnsi="Verdana" w:cs="Verdana"/>
          <w:sz w:val="22"/>
          <w:szCs w:val="22"/>
          <w:lang w:val="en-GB"/>
        </w:rPr>
        <w:t>.  In line with best practice, arrangements have</w:t>
      </w:r>
      <w:r w:rsidR="00C36694" w:rsidRPr="00C36694">
        <w:rPr>
          <w:rFonts w:ascii="Verdana" w:eastAsia="Verdana" w:hAnsi="Verdana" w:cs="Verdana"/>
          <w:sz w:val="22"/>
          <w:szCs w:val="22"/>
          <w:lang w:val="en-GB"/>
        </w:rPr>
        <w:t xml:space="preserve"> now</w:t>
      </w:r>
      <w:r w:rsidRPr="00C36694">
        <w:rPr>
          <w:rFonts w:ascii="Verdana" w:eastAsia="Verdana" w:hAnsi="Verdana" w:cs="Verdana"/>
          <w:sz w:val="22"/>
          <w:szCs w:val="22"/>
          <w:lang w:val="en-GB"/>
        </w:rPr>
        <w:t xml:space="preserve"> been put in place to include separate disclosures for the PCC employee pension which </w:t>
      </w:r>
      <w:r w:rsidR="00C36694" w:rsidRPr="00C36694">
        <w:rPr>
          <w:rFonts w:ascii="Verdana" w:eastAsia="Verdana" w:hAnsi="Verdana" w:cs="Verdana"/>
          <w:sz w:val="22"/>
          <w:szCs w:val="22"/>
          <w:lang w:val="en-GB"/>
        </w:rPr>
        <w:t>are</w:t>
      </w:r>
      <w:r w:rsidRPr="00C36694">
        <w:rPr>
          <w:rFonts w:ascii="Verdana" w:eastAsia="Verdana" w:hAnsi="Verdana" w:cs="Verdana"/>
          <w:sz w:val="22"/>
          <w:szCs w:val="22"/>
          <w:lang w:val="en-GB"/>
        </w:rPr>
        <w:t xml:space="preserve"> reflected in the PCC accounts for the </w:t>
      </w:r>
      <w:r w:rsidR="00C36694" w:rsidRPr="00C36694">
        <w:rPr>
          <w:rFonts w:ascii="Verdana" w:eastAsia="Verdana" w:hAnsi="Verdana" w:cs="Verdana"/>
          <w:sz w:val="22"/>
          <w:szCs w:val="22"/>
          <w:lang w:val="en-GB"/>
        </w:rPr>
        <w:t>20</w:t>
      </w:r>
      <w:r w:rsidRPr="00C36694">
        <w:rPr>
          <w:rFonts w:ascii="Verdana" w:eastAsia="Verdana" w:hAnsi="Verdana" w:cs="Verdana"/>
          <w:sz w:val="22"/>
          <w:szCs w:val="22"/>
          <w:lang w:val="en-GB"/>
        </w:rPr>
        <w:t>19/20 Financial Statements.</w:t>
      </w:r>
    </w:p>
    <w:p w:rsidR="00C36694" w:rsidRDefault="00CA6653" w:rsidP="00C36694">
      <w:pPr>
        <w:jc w:val="both"/>
        <w:rPr>
          <w:lang w:val="en-GB"/>
        </w:rPr>
      </w:pPr>
      <w:r w:rsidRPr="00C36694">
        <w:rPr>
          <w:lang w:val="en-GB"/>
        </w:rPr>
        <w:t>•</w:t>
      </w:r>
      <w:r w:rsidRPr="00C36694">
        <w:rPr>
          <w:lang w:val="en-GB"/>
        </w:rPr>
        <w:tab/>
      </w:r>
      <w:r w:rsidRPr="00C36694">
        <w:rPr>
          <w:b/>
          <w:lang w:val="en-GB"/>
        </w:rPr>
        <w:t>Pensions</w:t>
      </w:r>
      <w:r w:rsidR="00C36694" w:rsidRPr="00C36694">
        <w:rPr>
          <w:b/>
          <w:lang w:val="en-GB"/>
        </w:rPr>
        <w:t xml:space="preserve"> Actuarial Assumptions</w:t>
      </w:r>
      <w:r w:rsidRPr="00C36694">
        <w:rPr>
          <w:lang w:val="en-GB"/>
        </w:rPr>
        <w:t xml:space="preserve"> – </w:t>
      </w:r>
      <w:r w:rsidR="00C36694" w:rsidRPr="00C36694">
        <w:rPr>
          <w:lang w:val="en-GB"/>
        </w:rPr>
        <w:t>The value of the liabilities for IAS19 purposes is heavily dependent on assumptions made by the Group’s actuaries, Hymans Robertson and GAD. The financial assumptions reflect market expectations at the reporting date. Changes in market conditions that result in changes in the net discount rate (essentially the difference between the discount rate and the assumed rates of increase of salaries, deferred pension revaluation or pension-in-payment) can have a significant effect on the value of the liabilities reported. A reduction in the net discount rate will increase the assessed value of liabilities as a higher value is placed on benefits paid in the future. A rise in the net discount rate will have an opposite effect of similar magnitude. The effect of a change in the net discount rate on the value placed on the liabilities of each scheme is shown in the sensitivity analysis schedule below.</w:t>
      </w:r>
      <w:r w:rsidR="00C36694">
        <w:rPr>
          <w:lang w:val="en-GB"/>
        </w:rPr>
        <w:t xml:space="preserve"> </w:t>
      </w:r>
      <w:r w:rsidR="00C36694" w:rsidRPr="00C36694">
        <w:rPr>
          <w:lang w:val="en-GB"/>
        </w:rPr>
        <w:t>There is also uncertainty around the life expectancy of the UK population. The value of current and future pension benefits will depend on how long they are assumed to be in-payment.  The mortality assumptions have changed from the previous accounting period to take account of recent mortality experience.  Life expectancy is based on the Fund’s VitaCurves with improvements in line with the CMI 2018 model, an allowance for smoothing of recent mortality experience and long term rates of improvement of 1.5% p.a. for males and females</w:t>
      </w:r>
      <w:r w:rsidR="00C36694">
        <w:rPr>
          <w:lang w:val="en-GB"/>
        </w:rPr>
        <w:t>.</w:t>
      </w:r>
    </w:p>
    <w:p w:rsidR="007A2967" w:rsidRPr="00C36694" w:rsidRDefault="007A2967" w:rsidP="00C36694">
      <w:pPr>
        <w:jc w:val="both"/>
        <w:rPr>
          <w:highlight w:val="green"/>
          <w:lang w:val="en-GB"/>
        </w:rPr>
      </w:pPr>
    </w:p>
    <w:p w:rsidR="00CA6653" w:rsidRPr="00C36694" w:rsidRDefault="00CA6653" w:rsidP="00C36694">
      <w:pPr>
        <w:pStyle w:val="Normal0"/>
        <w:spacing w:after="160"/>
        <w:jc w:val="both"/>
        <w:rPr>
          <w:rFonts w:ascii="Verdana" w:eastAsia="Verdana" w:hAnsi="Verdana" w:cs="Verdana"/>
          <w:sz w:val="22"/>
          <w:szCs w:val="22"/>
          <w:lang w:val="en-GB"/>
        </w:rPr>
      </w:pPr>
      <w:r w:rsidRPr="00C36694">
        <w:rPr>
          <w:rFonts w:ascii="Verdana" w:eastAsia="Verdana" w:hAnsi="Verdana" w:cs="Verdana"/>
          <w:sz w:val="22"/>
          <w:szCs w:val="22"/>
          <w:lang w:val="en-GB"/>
        </w:rPr>
        <w:t>•</w:t>
      </w:r>
      <w:r w:rsidRPr="00C36694">
        <w:rPr>
          <w:rFonts w:ascii="Verdana" w:eastAsia="Verdana" w:hAnsi="Verdana" w:cs="Verdana"/>
          <w:sz w:val="22"/>
          <w:szCs w:val="22"/>
          <w:lang w:val="en-GB"/>
        </w:rPr>
        <w:tab/>
      </w:r>
      <w:r w:rsidRPr="00C36694">
        <w:rPr>
          <w:rFonts w:ascii="Verdana" w:eastAsia="Verdana" w:hAnsi="Verdana" w:cs="Verdana"/>
          <w:b/>
          <w:sz w:val="22"/>
          <w:szCs w:val="22"/>
          <w:lang w:val="en-GB"/>
        </w:rPr>
        <w:t>Pensions Impact of M</w:t>
      </w:r>
      <w:r w:rsidR="00C36694" w:rsidRPr="00C36694">
        <w:rPr>
          <w:rFonts w:ascii="Verdana" w:eastAsia="Verdana" w:hAnsi="Verdana" w:cs="Verdana"/>
          <w:b/>
          <w:sz w:val="22"/>
          <w:szCs w:val="22"/>
          <w:lang w:val="en-GB"/>
        </w:rPr>
        <w:t>cCloud/Sargeant court of appeal</w:t>
      </w:r>
      <w:r w:rsidR="00C36694" w:rsidRPr="00C36694">
        <w:rPr>
          <w:rFonts w:ascii="Verdana" w:eastAsia="Verdana" w:hAnsi="Verdana" w:cs="Verdana"/>
          <w:sz w:val="22"/>
          <w:szCs w:val="22"/>
          <w:lang w:val="en-GB"/>
        </w:rPr>
        <w:t xml:space="preserve"> - </w:t>
      </w:r>
    </w:p>
    <w:p w:rsidR="00C36694" w:rsidRDefault="00C36694" w:rsidP="00C36694">
      <w:pPr>
        <w:jc w:val="both"/>
      </w:pPr>
      <w:r w:rsidRPr="00C36694">
        <w:t>The McCloud and Sargeant judgements concerned the introduction of</w:t>
      </w:r>
      <w:r>
        <w:t xml:space="preserve"> career average revalued earnings (CARE) pension schemes to replace the former final salary based pension schemes as part of the Hutton recommendation to reform public service pension schemes. Under the changes introduced to each scheme, members were required to transfer to the new schemes from the transition date of the new schemes, this was 1 April 2014 for the police staff scheme (LGPS) and 1 April 2015 for the Police pension scheme. </w:t>
      </w:r>
    </w:p>
    <w:p w:rsidR="00C36694" w:rsidRDefault="00C36694" w:rsidP="00C36694">
      <w:pPr>
        <w:jc w:val="both"/>
      </w:pPr>
    </w:p>
    <w:p w:rsidR="00C36694" w:rsidRDefault="00C36694" w:rsidP="00C36694">
      <w:pPr>
        <w:jc w:val="both"/>
      </w:pPr>
      <w:r>
        <w:t>There was protection provided for older members under each scheme known as ‘transitional protection’. The McCloud and Sargeant judgements have upheld the claimants’ cases that the method of implementation of the new schemes discriminated against younger members. The government was refused leave to appeal the McCloud and Sargeant Judgements on 27 June 2019. This means various parties return to the respective employment tribunals to formulate a remedy which will resolve the age discrimination of the pension changes.</w:t>
      </w:r>
    </w:p>
    <w:p w:rsidR="00C36694" w:rsidRDefault="00C36694" w:rsidP="00C36694">
      <w:pPr>
        <w:jc w:val="both"/>
        <w:rPr>
          <w:iCs/>
        </w:rPr>
      </w:pPr>
    </w:p>
    <w:p w:rsidR="00C36694" w:rsidRDefault="00C36694" w:rsidP="00C36694">
      <w:pPr>
        <w:pStyle w:val="Normal0"/>
        <w:spacing w:after="160"/>
        <w:jc w:val="both"/>
        <w:rPr>
          <w:rFonts w:ascii="Verdana" w:hAnsi="Verdana"/>
          <w:iCs/>
          <w:sz w:val="22"/>
          <w:szCs w:val="22"/>
        </w:rPr>
      </w:pPr>
      <w:r>
        <w:rPr>
          <w:rFonts w:ascii="Verdana" w:hAnsi="Verdana"/>
          <w:iCs/>
          <w:sz w:val="22"/>
          <w:szCs w:val="22"/>
        </w:rPr>
        <w:t>A decision was therefore made to commission IAS 19 pension actuarial reports to include the impacts of this court case and provide for them within the 2019/20 accounts of the PCC Group for both police and staff pension schemes.</w:t>
      </w:r>
    </w:p>
    <w:p w:rsidR="007A2967" w:rsidRPr="007A2967" w:rsidRDefault="007A2967" w:rsidP="007A2967">
      <w:pPr>
        <w:pStyle w:val="Normal0"/>
        <w:spacing w:after="160"/>
        <w:jc w:val="both"/>
        <w:rPr>
          <w:rFonts w:ascii="Verdana" w:eastAsia="Verdana" w:hAnsi="Verdana" w:cs="Verdana"/>
          <w:sz w:val="22"/>
          <w:szCs w:val="22"/>
          <w:lang w:val="en-GB"/>
        </w:rPr>
      </w:pPr>
      <w:r w:rsidRPr="00C36694">
        <w:rPr>
          <w:rFonts w:ascii="Verdana" w:eastAsia="Verdana" w:hAnsi="Verdana" w:cs="Verdana"/>
          <w:sz w:val="22"/>
          <w:szCs w:val="22"/>
          <w:lang w:val="en-GB"/>
        </w:rPr>
        <w:t>•</w:t>
      </w:r>
      <w:r w:rsidRPr="00C36694">
        <w:rPr>
          <w:rFonts w:ascii="Verdana" w:eastAsia="Verdana" w:hAnsi="Verdana" w:cs="Verdana"/>
          <w:sz w:val="22"/>
          <w:szCs w:val="22"/>
          <w:lang w:val="en-GB"/>
        </w:rPr>
        <w:tab/>
      </w:r>
      <w:r w:rsidRPr="00C36694">
        <w:rPr>
          <w:rFonts w:ascii="Verdana" w:eastAsia="Verdana" w:hAnsi="Verdana" w:cs="Verdana"/>
          <w:b/>
          <w:sz w:val="22"/>
          <w:szCs w:val="22"/>
          <w:lang w:val="en-GB"/>
        </w:rPr>
        <w:t>Pensions Impact of</w:t>
      </w:r>
      <w:r>
        <w:rPr>
          <w:rFonts w:ascii="Verdana" w:eastAsia="Verdana" w:hAnsi="Verdana" w:cs="Verdana"/>
          <w:b/>
          <w:sz w:val="22"/>
          <w:szCs w:val="22"/>
          <w:lang w:val="en-GB"/>
        </w:rPr>
        <w:t xml:space="preserve"> Covid-19</w:t>
      </w:r>
      <w:r w:rsidRPr="007A2967">
        <w:rPr>
          <w:rFonts w:eastAsia="Calibri" w:cs="Times New Roman"/>
          <w:b/>
        </w:rPr>
        <w:t xml:space="preserve"> </w:t>
      </w:r>
    </w:p>
    <w:p w:rsidR="009C625F" w:rsidRPr="009C625F" w:rsidRDefault="007A2967" w:rsidP="009C625F">
      <w:pPr>
        <w:jc w:val="both"/>
        <w:rPr>
          <w:rFonts w:eastAsia="Calibri" w:cs="Times New Roman"/>
        </w:rPr>
      </w:pPr>
      <w:r w:rsidRPr="007A2967">
        <w:rPr>
          <w:rFonts w:eastAsia="Calibri" w:cs="Times New Roman"/>
        </w:rPr>
        <w:t>The majority of investments for pension funds are measured at fair value and have been subject to greater volatility as a result of the Covid-19 pandemic. Markets have continued trading and therefore we assume sufficient information is available to measure the financial instruments at the measurement date in line with the Code but we are not yet certain if there will be further adjustments required to ensure that assets and liabilities are correctly stated as at the Balance Sheet date. Volatility in the financial markets is likely to have a significant impact on pension assets and net liabilities. Measurement of inputs based on observable market price is the price quoted at the reporting date so any subsequent changes in values to the investments after the financial year end are unlikely to represent a change to the conditions at the year-end date and may not therefore be adjusting events but may require narrative disclosure.</w:t>
      </w:r>
    </w:p>
    <w:p w:rsidR="009C625F" w:rsidRDefault="009C625F" w:rsidP="00A31A9E">
      <w:pPr>
        <w:pStyle w:val="Heading1"/>
      </w:pPr>
    </w:p>
    <w:p w:rsidR="009C625F" w:rsidRDefault="009C625F" w:rsidP="00A31A9E">
      <w:pPr>
        <w:pStyle w:val="Heading1"/>
      </w:pPr>
      <w:bookmarkStart w:id="13" w:name="_Toc55900404"/>
      <w:r w:rsidRPr="00A02D19">
        <w:t xml:space="preserve">Note </w:t>
      </w:r>
      <w:r>
        <w:t>2</w:t>
      </w:r>
      <w:r w:rsidRPr="00A02D19">
        <w:t xml:space="preserve"> </w:t>
      </w:r>
      <w:r w:rsidRPr="006375D5">
        <w:t>-</w:t>
      </w:r>
      <w:r w:rsidRPr="00A02D19">
        <w:t xml:space="preserve"> Going Concern</w:t>
      </w:r>
      <w:bookmarkEnd w:id="13"/>
    </w:p>
    <w:p w:rsidR="005469C8" w:rsidRPr="005469C8" w:rsidRDefault="005469C8" w:rsidP="005469C8">
      <w:pPr>
        <w:spacing w:after="160" w:line="259" w:lineRule="auto"/>
        <w:rPr>
          <w:rFonts w:eastAsia="Calibri" w:cs="Times New Roman"/>
          <w:b/>
          <w:lang w:val="en-GB"/>
        </w:rPr>
      </w:pPr>
      <w:r w:rsidRPr="005469C8">
        <w:rPr>
          <w:rFonts w:eastAsia="Calibri" w:cs="Times New Roman"/>
          <w:b/>
          <w:lang w:val="en-GB"/>
        </w:rPr>
        <w:t>Underlying</w:t>
      </w:r>
      <w:r>
        <w:rPr>
          <w:rFonts w:eastAsia="Calibri" w:cs="Times New Roman"/>
          <w:b/>
          <w:lang w:val="en-GB"/>
        </w:rPr>
        <w:t xml:space="preserve"> </w:t>
      </w:r>
      <w:r w:rsidRPr="005469C8">
        <w:rPr>
          <w:rFonts w:eastAsia="Calibri" w:cs="Times New Roman"/>
          <w:b/>
          <w:lang w:val="en-GB"/>
        </w:rPr>
        <w:t>Principle</w:t>
      </w:r>
      <w:r>
        <w:rPr>
          <w:rFonts w:eastAsia="Calibri" w:cs="Times New Roman"/>
          <w:b/>
          <w:lang w:val="en-GB"/>
        </w:rPr>
        <w:t xml:space="preserve"> of Going Concern</w:t>
      </w:r>
      <w:r w:rsidRPr="005469C8">
        <w:rPr>
          <w:rFonts w:eastAsia="Calibri" w:cs="Times New Roman"/>
          <w:b/>
          <w:lang w:val="en-GB"/>
        </w:rPr>
        <w:t xml:space="preserve"> </w:t>
      </w:r>
    </w:p>
    <w:p w:rsidR="005469C8" w:rsidRPr="005469C8" w:rsidRDefault="005469C8" w:rsidP="005469C8">
      <w:pPr>
        <w:spacing w:after="160" w:line="259" w:lineRule="auto"/>
        <w:jc w:val="both"/>
        <w:rPr>
          <w:rFonts w:eastAsia="Calibri" w:cs="Times New Roman"/>
          <w:lang w:val="en-GB"/>
        </w:rPr>
      </w:pPr>
      <w:r w:rsidRPr="005469C8">
        <w:rPr>
          <w:rFonts w:eastAsia="Calibri" w:cs="Times New Roman"/>
          <w:lang w:val="en-GB"/>
        </w:rPr>
        <w:t xml:space="preserve">These accounts have been prepared on a going concern basis that </w:t>
      </w:r>
      <w:r w:rsidR="006C3973">
        <w:rPr>
          <w:rFonts w:eastAsia="Calibri" w:cs="Times New Roman"/>
          <w:lang w:val="en-GB"/>
        </w:rPr>
        <w:t>Surrey Police</w:t>
      </w:r>
      <w:r w:rsidRPr="005469C8">
        <w:rPr>
          <w:rFonts w:eastAsia="Calibri" w:cs="Times New Roman"/>
          <w:lang w:val="en-GB"/>
        </w:rPr>
        <w:t xml:space="preserve"> will continue in operational existence for the foreseeable future. </w:t>
      </w:r>
    </w:p>
    <w:p w:rsidR="005469C8" w:rsidRPr="005469C8" w:rsidRDefault="005469C8" w:rsidP="005469C8">
      <w:pPr>
        <w:spacing w:after="160" w:line="259" w:lineRule="auto"/>
        <w:jc w:val="both"/>
        <w:rPr>
          <w:rFonts w:eastAsia="Calibri" w:cs="Times New Roman"/>
          <w:lang w:val="en-GB"/>
        </w:rPr>
      </w:pPr>
      <w:r w:rsidRPr="005469C8">
        <w:rPr>
          <w:rFonts w:eastAsia="Calibri" w:cs="Times New Roman"/>
          <w:lang w:val="en-GB"/>
        </w:rPr>
        <w:t xml:space="preserve">The provisions in the Code of Audit Practice in respect of going concern reporting requirements reflect the economic and statutory environment in which local authorities operate. These provisions confirm that, as policing bodies cannot be created or dissolved without statutory prescription, they must prepare their financial statements on a going concern basis of accounting. Local authorities and policing bodies carry out functions essential to the local community and are themselves revenue-raising bodies (with limits on their revenue-raising powers arising only at the discretion of central government). If a policing body were in financial difficulty, the prospects are thus that alternative arrangements might be made by central government either for the continuation of the services it provides or for assistance with the recovery of a deficit over more than one financial year. As a result of this, it would not therefore be appropriate for the financial statements of a policing body to be provided on anything other than a going concern basis. Accounts drawn up under the Code therefore assume that policing services will continue to operate for the foreseeable future. Surrey Police accounts therefore assume that Surrey Police will continue to operate for the foreseeable future. </w:t>
      </w:r>
    </w:p>
    <w:p w:rsidR="005469C8" w:rsidRPr="005469C8" w:rsidRDefault="005469C8" w:rsidP="005469C8">
      <w:pPr>
        <w:spacing w:after="160" w:line="259" w:lineRule="auto"/>
        <w:jc w:val="both"/>
        <w:rPr>
          <w:rFonts w:eastAsia="Calibri" w:cs="Times New Roman"/>
          <w:b/>
          <w:lang w:val="en-GB"/>
        </w:rPr>
      </w:pPr>
      <w:r w:rsidRPr="005469C8">
        <w:rPr>
          <w:rFonts w:eastAsia="Calibri" w:cs="Times New Roman"/>
          <w:b/>
          <w:lang w:val="en-GB"/>
        </w:rPr>
        <w:t>Current &amp; Historical Financial Position</w:t>
      </w:r>
    </w:p>
    <w:p w:rsidR="005469C8" w:rsidRPr="005469C8" w:rsidRDefault="005469C8" w:rsidP="005469C8">
      <w:pPr>
        <w:spacing w:after="160" w:line="259" w:lineRule="auto"/>
        <w:jc w:val="both"/>
        <w:rPr>
          <w:rFonts w:eastAsia="Calibri" w:cs="Times New Roman"/>
          <w:lang w:val="en-GB"/>
        </w:rPr>
      </w:pPr>
      <w:r w:rsidRPr="005469C8">
        <w:rPr>
          <w:rFonts w:eastAsia="Calibri" w:cs="Times New Roman"/>
          <w:lang w:val="en-GB"/>
        </w:rPr>
        <w:t xml:space="preserve">The Police and Crime Commissioner for Surrey and the Chief Constable of Surrey recognise that the financial positon deteriorated in the early months of 2020/21. At the end of September, the Surrey Police group was forecasting a £0.7m surplus for the 2020/21 year against the annual budget of £250.0m having reported underspend of £1.4m for the financial period ending 31 March 2020 against the budget of £235.1m. The deterioration observed for 2020/21 is due to the impact of Covid-19.  </w:t>
      </w:r>
    </w:p>
    <w:p w:rsidR="005469C8" w:rsidRPr="005469C8" w:rsidRDefault="005469C8" w:rsidP="005469C8">
      <w:pPr>
        <w:spacing w:after="160" w:line="259" w:lineRule="auto"/>
        <w:jc w:val="both"/>
        <w:rPr>
          <w:rFonts w:eastAsia="Calibri" w:cs="Times New Roman"/>
          <w:b/>
          <w:lang w:val="en-GB"/>
        </w:rPr>
      </w:pPr>
      <w:r w:rsidRPr="005469C8">
        <w:rPr>
          <w:rFonts w:eastAsia="Calibri" w:cs="Times New Roman"/>
          <w:b/>
          <w:lang w:val="en-GB"/>
        </w:rPr>
        <w:t xml:space="preserve">Impact of Covid-19 </w:t>
      </w:r>
    </w:p>
    <w:p w:rsidR="005469C8" w:rsidRPr="005469C8" w:rsidRDefault="005469C8" w:rsidP="005469C8">
      <w:pPr>
        <w:spacing w:after="160" w:line="259" w:lineRule="auto"/>
        <w:jc w:val="both"/>
        <w:rPr>
          <w:rFonts w:eastAsia="Calibri" w:cs="Times New Roman"/>
          <w:lang w:val="en-GB"/>
        </w:rPr>
      </w:pPr>
      <w:r w:rsidRPr="005469C8">
        <w:rPr>
          <w:rFonts w:eastAsia="Calibri" w:cs="Times New Roman"/>
          <w:lang w:val="en-GB"/>
        </w:rPr>
        <w:t xml:space="preserve">The 2020/21 revenue budget was set in February 2020 as a balanced budget of £250.0m. A capital and investment programme budget was also set in February 2020, providing a further £10.5m in 2020/21 to be reinvested in transformation projects to ensure fit-for-purpose services, to deliver savings and generate income to balance the budgets over the medium term financial plan to 2023/24. </w:t>
      </w:r>
    </w:p>
    <w:p w:rsidR="005469C8" w:rsidRPr="005469C8" w:rsidRDefault="005469C8" w:rsidP="005469C8">
      <w:pPr>
        <w:spacing w:after="160" w:line="259" w:lineRule="auto"/>
        <w:jc w:val="both"/>
        <w:rPr>
          <w:rFonts w:eastAsia="Calibri" w:cs="Times New Roman"/>
          <w:lang w:val="en-GB"/>
        </w:rPr>
      </w:pPr>
      <w:r w:rsidRPr="005469C8">
        <w:rPr>
          <w:rFonts w:eastAsia="Calibri" w:cs="Times New Roman"/>
          <w:lang w:val="en-GB"/>
        </w:rPr>
        <w:t xml:space="preserve">However, since the budget was set, the emergence of Covid-19 fundamentally changed the financial regime for a period of at least 6 months to the end of September 2020.  During the period to September, Surrey Police incurred approximately £6m of additional expenditure whilst income fell by approximately £0.55m in the same period where services relating to events such as Epsom racing, dog training courses, Ride London and various festivals were either cancelled or resulted in reductions in income. A gradual return of most income streams is anticipated, although not necessarily back to the levels previously budgeted, for several years.  </w:t>
      </w:r>
    </w:p>
    <w:p w:rsidR="005469C8" w:rsidRPr="005469C8" w:rsidRDefault="005469C8" w:rsidP="005469C8">
      <w:pPr>
        <w:spacing w:after="160" w:line="259" w:lineRule="auto"/>
        <w:jc w:val="both"/>
        <w:rPr>
          <w:rFonts w:eastAsia="Calibri" w:cs="Times New Roman"/>
          <w:lang w:val="en-GB"/>
        </w:rPr>
      </w:pPr>
      <w:r w:rsidRPr="005469C8">
        <w:rPr>
          <w:rFonts w:eastAsia="Calibri" w:cs="Times New Roman"/>
          <w:lang w:val="en-GB"/>
        </w:rPr>
        <w:t xml:space="preserve">The forecast underspend for 2020/21 estimated at the end of September 2020 was £0.7m. With further </w:t>
      </w:r>
      <w:r w:rsidRPr="0008633A">
        <w:rPr>
          <w:rFonts w:eastAsia="Calibri" w:cs="Times New Roman"/>
          <w:lang w:val="en-GB"/>
        </w:rPr>
        <w:t>consideration of cost control measures and/or continuation of the pandem</w:t>
      </w:r>
      <w:r w:rsidR="006C3973" w:rsidRPr="0008633A">
        <w:rPr>
          <w:rFonts w:eastAsia="Calibri" w:cs="Times New Roman"/>
          <w:lang w:val="en-GB"/>
        </w:rPr>
        <w:t>ic throughout 2020/21, this under</w:t>
      </w:r>
      <w:r w:rsidRPr="0008633A">
        <w:rPr>
          <w:rFonts w:eastAsia="Calibri" w:cs="Times New Roman"/>
          <w:lang w:val="en-GB"/>
        </w:rPr>
        <w:t xml:space="preserve">spend is likely to remain </w:t>
      </w:r>
      <w:r w:rsidR="0008633A" w:rsidRPr="00A200D5">
        <w:rPr>
          <w:rFonts w:eastAsia="Calibri" w:cs="Times New Roman"/>
          <w:lang w:val="en-GB"/>
        </w:rPr>
        <w:t xml:space="preserve">at a maximum of </w:t>
      </w:r>
      <w:r w:rsidRPr="0008633A">
        <w:rPr>
          <w:rFonts w:eastAsia="Calibri" w:cs="Times New Roman"/>
          <w:lang w:val="en-GB"/>
        </w:rPr>
        <w:t>£0.7m.</w:t>
      </w:r>
      <w:r w:rsidRPr="005469C8">
        <w:rPr>
          <w:rFonts w:eastAsia="Calibri" w:cs="Times New Roman"/>
          <w:lang w:val="en-GB"/>
        </w:rPr>
        <w:t xml:space="preserve">  </w:t>
      </w:r>
    </w:p>
    <w:p w:rsidR="005469C8" w:rsidRPr="005469C8" w:rsidRDefault="005469C8" w:rsidP="005469C8">
      <w:pPr>
        <w:spacing w:after="160" w:line="259" w:lineRule="auto"/>
        <w:jc w:val="both"/>
        <w:rPr>
          <w:rFonts w:eastAsia="Calibri" w:cs="Times New Roman"/>
          <w:lang w:val="en-GB"/>
        </w:rPr>
      </w:pPr>
      <w:r w:rsidRPr="005469C8">
        <w:rPr>
          <w:rFonts w:eastAsia="Calibri" w:cs="Times New Roman"/>
          <w:lang w:val="en-GB"/>
        </w:rPr>
        <w:t>The operational response to the Covid-19 pandemic resulted in additional unplanned costs for police officer and staff salaries, overtime, premises (e.g. additional cleaning and making ‘covid-safe’ working spaces), supplies and services (e.g. Personal Protective Equipment – PPE) as well as lost income. The most significant costs were for PPE and the Home Office has confirmed that Forces can recover the costs of PPE which amounted to £3.1m in the September 2020 forecast. Forecast income also includes the Surrey Police share (£0.4m) of Surge funding announced by the Government.</w:t>
      </w:r>
    </w:p>
    <w:p w:rsidR="005469C8" w:rsidRPr="005469C8" w:rsidRDefault="005469C8" w:rsidP="005469C8">
      <w:pPr>
        <w:spacing w:after="160" w:line="259" w:lineRule="auto"/>
        <w:jc w:val="both"/>
        <w:rPr>
          <w:rFonts w:eastAsia="Calibri" w:cs="Times New Roman"/>
          <w:lang w:val="en-GB"/>
        </w:rPr>
      </w:pPr>
      <w:r w:rsidRPr="005469C8">
        <w:rPr>
          <w:rFonts w:eastAsia="Calibri" w:cs="Times New Roman"/>
          <w:lang w:val="en-GB"/>
        </w:rPr>
        <w:t xml:space="preserve">All service areas are reviewing their budgets in detail during 2020/21 to identify options for identifying and delivering efficiency savings and/or generating income, with the aim of setting a balanced budget in 2021/22 and reducing the overspend in 2020/21. </w:t>
      </w:r>
    </w:p>
    <w:p w:rsidR="002C0D0D" w:rsidRDefault="005469C8" w:rsidP="00A200D5">
      <w:pPr>
        <w:spacing w:after="160" w:line="259" w:lineRule="auto"/>
        <w:jc w:val="both"/>
        <w:rPr>
          <w:rFonts w:eastAsia="Calibri" w:cs="Times New Roman"/>
          <w:lang w:val="en-GB"/>
        </w:rPr>
      </w:pPr>
      <w:r w:rsidRPr="005469C8">
        <w:rPr>
          <w:rFonts w:eastAsia="Calibri" w:cs="Times New Roman"/>
          <w:lang w:val="en-GB"/>
        </w:rPr>
        <w:t>The size of the challenge is an estimated increase to current cost base of approximately £</w:t>
      </w:r>
      <w:r w:rsidR="00B96200">
        <w:rPr>
          <w:rFonts w:eastAsia="Calibri" w:cs="Times New Roman"/>
          <w:lang w:val="en-GB"/>
        </w:rPr>
        <w:t>3</w:t>
      </w:r>
      <w:r w:rsidRPr="005469C8">
        <w:rPr>
          <w:rFonts w:eastAsia="Calibri" w:cs="Times New Roman"/>
          <w:lang w:val="en-GB"/>
        </w:rPr>
        <w:t xml:space="preserve">m per year in a deep recession. This will be met from efficiency savings or reshaping of services, subject to government support, as the General Reserves are projected to remain at about the s151 officer’s minimum </w:t>
      </w:r>
      <w:r w:rsidRPr="002C0D0D">
        <w:rPr>
          <w:rFonts w:eastAsia="Calibri" w:cs="Times New Roman"/>
          <w:lang w:val="en-GB"/>
        </w:rPr>
        <w:t>level of 3%</w:t>
      </w:r>
      <w:r w:rsidR="002C0D0D" w:rsidRPr="002C0D0D">
        <w:rPr>
          <w:rFonts w:eastAsia="Calibri" w:cs="Times New Roman"/>
          <w:lang w:val="en-GB"/>
        </w:rPr>
        <w:t xml:space="preserve"> of the annual budget</w:t>
      </w:r>
      <w:r w:rsidRPr="002C0D0D">
        <w:rPr>
          <w:rFonts w:eastAsia="Calibri" w:cs="Times New Roman"/>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54"/>
        <w:gridCol w:w="2254"/>
        <w:gridCol w:w="2254"/>
        <w:gridCol w:w="2254"/>
      </w:tblGrid>
      <w:tr w:rsidR="007906D3" w:rsidRPr="002C0D0D" w:rsidTr="0091047A">
        <w:trPr>
          <w:jc w:val="center"/>
        </w:trPr>
        <w:tc>
          <w:tcPr>
            <w:tcW w:w="2254" w:type="dxa"/>
            <w:shd w:val="clear" w:color="auto" w:fill="auto"/>
            <w:vAlign w:val="center"/>
          </w:tcPr>
          <w:p w:rsidR="007906D3" w:rsidRPr="005831B9" w:rsidRDefault="007906D3" w:rsidP="0091047A">
            <w:pPr>
              <w:rPr>
                <w:rFonts w:eastAsia="Calibri" w:cs="Times New Roman"/>
              </w:rPr>
            </w:pPr>
            <w:r w:rsidRPr="005831B9">
              <w:rPr>
                <w:rFonts w:eastAsia="Calibri" w:cs="Times New Roman"/>
              </w:rPr>
              <w:t>Date</w:t>
            </w:r>
          </w:p>
        </w:tc>
        <w:tc>
          <w:tcPr>
            <w:tcW w:w="2254" w:type="dxa"/>
            <w:shd w:val="clear" w:color="auto" w:fill="auto"/>
            <w:vAlign w:val="center"/>
          </w:tcPr>
          <w:p w:rsidR="007906D3" w:rsidRPr="005831B9" w:rsidRDefault="007906D3" w:rsidP="0091047A">
            <w:pPr>
              <w:jc w:val="center"/>
              <w:rPr>
                <w:rFonts w:eastAsia="Calibri" w:cs="Times New Roman"/>
              </w:rPr>
            </w:pPr>
            <w:r w:rsidRPr="005831B9">
              <w:rPr>
                <w:rFonts w:eastAsia="Calibri" w:cs="Times New Roman"/>
              </w:rPr>
              <w:t>General Fund</w:t>
            </w:r>
          </w:p>
        </w:tc>
        <w:tc>
          <w:tcPr>
            <w:tcW w:w="2254" w:type="dxa"/>
            <w:shd w:val="clear" w:color="auto" w:fill="auto"/>
            <w:vAlign w:val="center"/>
          </w:tcPr>
          <w:p w:rsidR="007906D3" w:rsidRPr="005831B9" w:rsidRDefault="007906D3" w:rsidP="0091047A">
            <w:pPr>
              <w:jc w:val="center"/>
              <w:rPr>
                <w:rFonts w:eastAsia="Calibri" w:cs="Times New Roman"/>
              </w:rPr>
            </w:pPr>
            <w:r w:rsidRPr="005831B9">
              <w:rPr>
                <w:rFonts w:eastAsia="Calibri" w:cs="Times New Roman"/>
              </w:rPr>
              <w:t>Earmarked reserves</w:t>
            </w:r>
          </w:p>
        </w:tc>
        <w:tc>
          <w:tcPr>
            <w:tcW w:w="2254" w:type="dxa"/>
            <w:shd w:val="clear" w:color="auto" w:fill="auto"/>
            <w:vAlign w:val="center"/>
          </w:tcPr>
          <w:p w:rsidR="007906D3" w:rsidRPr="005831B9" w:rsidRDefault="007906D3" w:rsidP="0091047A">
            <w:pPr>
              <w:jc w:val="center"/>
              <w:rPr>
                <w:rFonts w:eastAsia="Calibri" w:cs="Times New Roman"/>
              </w:rPr>
            </w:pPr>
            <w:r w:rsidRPr="005831B9">
              <w:rPr>
                <w:rFonts w:eastAsia="Calibri" w:cs="Times New Roman"/>
              </w:rPr>
              <w:t>Total Usable Revenue Reserves</w:t>
            </w:r>
          </w:p>
        </w:tc>
      </w:tr>
      <w:tr w:rsidR="007906D3" w:rsidRPr="00D00D3B" w:rsidTr="0091047A">
        <w:trPr>
          <w:jc w:val="center"/>
        </w:trPr>
        <w:tc>
          <w:tcPr>
            <w:tcW w:w="2254" w:type="dxa"/>
            <w:shd w:val="clear" w:color="auto" w:fill="auto"/>
            <w:vAlign w:val="center"/>
          </w:tcPr>
          <w:p w:rsidR="007906D3" w:rsidRPr="005831B9" w:rsidRDefault="007906D3" w:rsidP="0091047A">
            <w:pPr>
              <w:rPr>
                <w:rFonts w:eastAsia="Calibri" w:cs="Times New Roman"/>
              </w:rPr>
            </w:pPr>
            <w:r w:rsidRPr="005831B9">
              <w:rPr>
                <w:rFonts w:eastAsia="Calibri" w:cs="Times New Roman"/>
              </w:rPr>
              <w:t>31 March 2020</w:t>
            </w:r>
          </w:p>
        </w:tc>
        <w:tc>
          <w:tcPr>
            <w:tcW w:w="2254" w:type="dxa"/>
            <w:shd w:val="clear" w:color="auto" w:fill="auto"/>
            <w:vAlign w:val="center"/>
          </w:tcPr>
          <w:p w:rsidR="007906D3" w:rsidRPr="005831B9" w:rsidRDefault="007906D3" w:rsidP="0091047A">
            <w:pPr>
              <w:jc w:val="center"/>
              <w:rPr>
                <w:rFonts w:eastAsia="Calibri" w:cs="Times New Roman"/>
              </w:rPr>
            </w:pPr>
            <w:r w:rsidRPr="005831B9">
              <w:rPr>
                <w:rFonts w:eastAsia="Calibri" w:cs="Times New Roman"/>
              </w:rPr>
              <w:t>£8.</w:t>
            </w:r>
            <w:r>
              <w:rPr>
                <w:rFonts w:eastAsia="Calibri" w:cs="Times New Roman"/>
              </w:rPr>
              <w:t>1</w:t>
            </w:r>
            <w:r w:rsidRPr="005831B9">
              <w:rPr>
                <w:rFonts w:eastAsia="Calibri" w:cs="Times New Roman"/>
              </w:rPr>
              <w:t>m</w:t>
            </w:r>
          </w:p>
        </w:tc>
        <w:tc>
          <w:tcPr>
            <w:tcW w:w="2254" w:type="dxa"/>
            <w:shd w:val="clear" w:color="auto" w:fill="auto"/>
            <w:vAlign w:val="center"/>
          </w:tcPr>
          <w:p w:rsidR="007906D3" w:rsidRPr="005831B9" w:rsidRDefault="007906D3" w:rsidP="0091047A">
            <w:pPr>
              <w:jc w:val="center"/>
              <w:rPr>
                <w:rFonts w:eastAsia="Calibri" w:cs="Times New Roman"/>
              </w:rPr>
            </w:pPr>
            <w:r w:rsidRPr="005831B9">
              <w:rPr>
                <w:rFonts w:eastAsia="Calibri" w:cs="Times New Roman"/>
              </w:rPr>
              <w:t>£11.4m</w:t>
            </w:r>
          </w:p>
        </w:tc>
        <w:tc>
          <w:tcPr>
            <w:tcW w:w="2254" w:type="dxa"/>
            <w:shd w:val="clear" w:color="auto" w:fill="auto"/>
            <w:vAlign w:val="center"/>
          </w:tcPr>
          <w:p w:rsidR="007906D3" w:rsidRPr="00D00D3B" w:rsidRDefault="007906D3" w:rsidP="0091047A">
            <w:pPr>
              <w:jc w:val="center"/>
              <w:rPr>
                <w:rFonts w:eastAsia="Calibri" w:cs="Times New Roman"/>
              </w:rPr>
            </w:pPr>
            <w:r w:rsidRPr="005831B9">
              <w:rPr>
                <w:rFonts w:eastAsia="Calibri" w:cs="Times New Roman"/>
              </w:rPr>
              <w:t>£19.</w:t>
            </w:r>
            <w:r>
              <w:rPr>
                <w:rFonts w:eastAsia="Calibri" w:cs="Times New Roman"/>
              </w:rPr>
              <w:t>5</w:t>
            </w:r>
            <w:r w:rsidRPr="005831B9">
              <w:rPr>
                <w:rFonts w:eastAsia="Calibri" w:cs="Times New Roman"/>
              </w:rPr>
              <w:t>m</w:t>
            </w:r>
          </w:p>
        </w:tc>
      </w:tr>
      <w:tr w:rsidR="007906D3" w:rsidRPr="00D00D3B" w:rsidTr="0091047A">
        <w:trPr>
          <w:jc w:val="center"/>
        </w:trPr>
        <w:tc>
          <w:tcPr>
            <w:tcW w:w="2254" w:type="dxa"/>
            <w:shd w:val="clear" w:color="auto" w:fill="auto"/>
            <w:vAlign w:val="center"/>
          </w:tcPr>
          <w:p w:rsidR="007906D3" w:rsidRDefault="007906D3" w:rsidP="0091047A">
            <w:pPr>
              <w:rPr>
                <w:rFonts w:eastAsia="Calibri" w:cs="Times New Roman"/>
              </w:rPr>
            </w:pPr>
            <w:r>
              <w:rPr>
                <w:rFonts w:eastAsia="Calibri" w:cs="Times New Roman"/>
              </w:rPr>
              <w:t xml:space="preserve">Estimated as at </w:t>
            </w:r>
          </w:p>
          <w:p w:rsidR="007906D3" w:rsidRPr="005831B9" w:rsidRDefault="007906D3" w:rsidP="0091047A">
            <w:pPr>
              <w:rPr>
                <w:rFonts w:eastAsia="Calibri" w:cs="Times New Roman"/>
              </w:rPr>
            </w:pPr>
            <w:r>
              <w:rPr>
                <w:rFonts w:eastAsia="Calibri" w:cs="Times New Roman"/>
              </w:rPr>
              <w:t>31 March 2021</w:t>
            </w:r>
          </w:p>
        </w:tc>
        <w:tc>
          <w:tcPr>
            <w:tcW w:w="2254" w:type="dxa"/>
            <w:shd w:val="clear" w:color="auto" w:fill="auto"/>
            <w:vAlign w:val="center"/>
          </w:tcPr>
          <w:p w:rsidR="007906D3" w:rsidRPr="005831B9" w:rsidRDefault="007906D3" w:rsidP="0091047A">
            <w:pPr>
              <w:jc w:val="center"/>
              <w:rPr>
                <w:rFonts w:eastAsia="Calibri" w:cs="Times New Roman"/>
              </w:rPr>
            </w:pPr>
            <w:r>
              <w:rPr>
                <w:rFonts w:eastAsia="Calibri" w:cs="Times New Roman"/>
              </w:rPr>
              <w:t>£9.5m</w:t>
            </w:r>
          </w:p>
        </w:tc>
        <w:tc>
          <w:tcPr>
            <w:tcW w:w="2254" w:type="dxa"/>
            <w:shd w:val="clear" w:color="auto" w:fill="auto"/>
            <w:vAlign w:val="center"/>
          </w:tcPr>
          <w:p w:rsidR="007906D3" w:rsidRPr="005831B9" w:rsidRDefault="007906D3" w:rsidP="0091047A">
            <w:pPr>
              <w:jc w:val="center"/>
              <w:rPr>
                <w:rFonts w:eastAsia="Calibri" w:cs="Times New Roman"/>
              </w:rPr>
            </w:pPr>
            <w:r>
              <w:rPr>
                <w:rFonts w:eastAsia="Calibri" w:cs="Times New Roman"/>
              </w:rPr>
              <w:t>£11.7m</w:t>
            </w:r>
          </w:p>
        </w:tc>
        <w:tc>
          <w:tcPr>
            <w:tcW w:w="2254" w:type="dxa"/>
            <w:shd w:val="clear" w:color="auto" w:fill="auto"/>
            <w:vAlign w:val="center"/>
          </w:tcPr>
          <w:p w:rsidR="007906D3" w:rsidRPr="005831B9" w:rsidRDefault="007906D3" w:rsidP="0091047A">
            <w:pPr>
              <w:jc w:val="center"/>
              <w:rPr>
                <w:rFonts w:eastAsia="Calibri" w:cs="Times New Roman"/>
              </w:rPr>
            </w:pPr>
            <w:r>
              <w:rPr>
                <w:rFonts w:eastAsia="Calibri" w:cs="Times New Roman"/>
              </w:rPr>
              <w:t>£21.8m</w:t>
            </w:r>
          </w:p>
        </w:tc>
      </w:tr>
      <w:tr w:rsidR="007906D3" w:rsidRPr="00D00D3B" w:rsidTr="0091047A">
        <w:trPr>
          <w:jc w:val="center"/>
        </w:trPr>
        <w:tc>
          <w:tcPr>
            <w:tcW w:w="2254" w:type="dxa"/>
            <w:shd w:val="clear" w:color="auto" w:fill="auto"/>
            <w:vAlign w:val="center"/>
          </w:tcPr>
          <w:p w:rsidR="007906D3" w:rsidRDefault="007906D3" w:rsidP="0091047A">
            <w:pPr>
              <w:rPr>
                <w:rFonts w:eastAsia="Calibri" w:cs="Times New Roman"/>
              </w:rPr>
            </w:pPr>
            <w:r>
              <w:rPr>
                <w:rFonts w:eastAsia="Calibri" w:cs="Times New Roman"/>
              </w:rPr>
              <w:t xml:space="preserve">Estimated as at </w:t>
            </w:r>
          </w:p>
          <w:p w:rsidR="007906D3" w:rsidRPr="005831B9" w:rsidRDefault="007906D3" w:rsidP="0091047A">
            <w:pPr>
              <w:rPr>
                <w:rFonts w:eastAsia="Calibri" w:cs="Times New Roman"/>
              </w:rPr>
            </w:pPr>
            <w:r>
              <w:rPr>
                <w:rFonts w:eastAsia="Calibri" w:cs="Times New Roman"/>
              </w:rPr>
              <w:t>31 March 2022</w:t>
            </w:r>
          </w:p>
        </w:tc>
        <w:tc>
          <w:tcPr>
            <w:tcW w:w="2254" w:type="dxa"/>
            <w:shd w:val="clear" w:color="auto" w:fill="auto"/>
            <w:vAlign w:val="center"/>
          </w:tcPr>
          <w:p w:rsidR="007906D3" w:rsidRPr="005831B9" w:rsidRDefault="007906D3" w:rsidP="0091047A">
            <w:pPr>
              <w:jc w:val="center"/>
              <w:rPr>
                <w:rFonts w:eastAsia="Calibri" w:cs="Times New Roman"/>
              </w:rPr>
            </w:pPr>
            <w:r>
              <w:rPr>
                <w:rFonts w:eastAsia="Calibri" w:cs="Times New Roman"/>
              </w:rPr>
              <w:t>£10.8m</w:t>
            </w:r>
          </w:p>
        </w:tc>
        <w:tc>
          <w:tcPr>
            <w:tcW w:w="2254" w:type="dxa"/>
            <w:shd w:val="clear" w:color="auto" w:fill="auto"/>
            <w:vAlign w:val="center"/>
          </w:tcPr>
          <w:p w:rsidR="007906D3" w:rsidRPr="005831B9" w:rsidRDefault="007906D3" w:rsidP="0091047A">
            <w:pPr>
              <w:jc w:val="center"/>
              <w:rPr>
                <w:rFonts w:eastAsia="Calibri" w:cs="Times New Roman"/>
              </w:rPr>
            </w:pPr>
            <w:r>
              <w:rPr>
                <w:rFonts w:eastAsia="Calibri" w:cs="Times New Roman"/>
              </w:rPr>
              <w:t>£13.3m</w:t>
            </w:r>
          </w:p>
        </w:tc>
        <w:tc>
          <w:tcPr>
            <w:tcW w:w="2254" w:type="dxa"/>
            <w:shd w:val="clear" w:color="auto" w:fill="auto"/>
            <w:vAlign w:val="center"/>
          </w:tcPr>
          <w:p w:rsidR="007906D3" w:rsidRPr="005831B9" w:rsidRDefault="007906D3" w:rsidP="0091047A">
            <w:pPr>
              <w:jc w:val="center"/>
              <w:rPr>
                <w:rFonts w:eastAsia="Calibri" w:cs="Times New Roman"/>
              </w:rPr>
            </w:pPr>
            <w:r>
              <w:rPr>
                <w:rFonts w:eastAsia="Calibri" w:cs="Times New Roman"/>
              </w:rPr>
              <w:t>£24.1m</w:t>
            </w:r>
          </w:p>
        </w:tc>
      </w:tr>
    </w:tbl>
    <w:p w:rsidR="007906D3" w:rsidRDefault="007906D3" w:rsidP="00A200D5">
      <w:pPr>
        <w:spacing w:after="160" w:line="259" w:lineRule="auto"/>
        <w:jc w:val="both"/>
        <w:rPr>
          <w:rFonts w:eastAsia="Calibri" w:cs="Times New Roman"/>
          <w:lang w:val="en-GB"/>
        </w:rPr>
      </w:pPr>
    </w:p>
    <w:p w:rsidR="005469C8" w:rsidRPr="005469C8" w:rsidRDefault="005469C8" w:rsidP="005469C8">
      <w:pPr>
        <w:spacing w:after="160" w:line="259" w:lineRule="auto"/>
        <w:jc w:val="both"/>
        <w:rPr>
          <w:rFonts w:eastAsia="Calibri" w:cs="Times New Roman"/>
          <w:b/>
          <w:lang w:val="en-GB"/>
        </w:rPr>
      </w:pPr>
      <w:r w:rsidRPr="005469C8">
        <w:rPr>
          <w:rFonts w:eastAsia="Calibri" w:cs="Times New Roman"/>
          <w:b/>
          <w:lang w:val="en-GB"/>
        </w:rPr>
        <w:t>Cash Position</w:t>
      </w:r>
    </w:p>
    <w:p w:rsidR="002C0D0D" w:rsidRDefault="005469C8">
      <w:pPr>
        <w:spacing w:after="160" w:line="259" w:lineRule="auto"/>
        <w:jc w:val="both"/>
        <w:rPr>
          <w:rFonts w:eastAsia="Calibri" w:cs="Times New Roman"/>
          <w:lang w:val="en-GB"/>
        </w:rPr>
      </w:pPr>
      <w:r w:rsidRPr="005469C8">
        <w:rPr>
          <w:rFonts w:eastAsia="Calibri" w:cs="Times New Roman"/>
          <w:lang w:val="en-GB"/>
        </w:rPr>
        <w:t>Surrey Police had a cash equivalent balance of £22.9m</w:t>
      </w:r>
      <w:r w:rsidRPr="005469C8">
        <w:rPr>
          <w:rFonts w:eastAsia="Calibri" w:cs="Times New Roman"/>
          <w:color w:val="FF0000"/>
          <w:lang w:val="en-GB"/>
        </w:rPr>
        <w:t xml:space="preserve"> </w:t>
      </w:r>
      <w:r w:rsidRPr="005469C8">
        <w:rPr>
          <w:rFonts w:eastAsia="Calibri" w:cs="Times New Roman"/>
          <w:lang w:val="en-GB"/>
        </w:rPr>
        <w:t xml:space="preserve">at the end of September 2020, compared to £12.4m at 31 March 2020 year-end. This includes £22.6m held for investment by Surrey County Council available within 24 hours. Surrey Police has no long term non-property investments.  Whilst there is uncertainty on income, Surrey Police remains confident in its ability to maintain sufficient cash for its services throughout the medium term and has a borrowing strategy in place to borrow against capital investment as necessity arises. Surrey Police is also able to borrow short term for cash flow purposes if needed. </w:t>
      </w:r>
    </w:p>
    <w:p w:rsidR="002C0D0D" w:rsidRDefault="002C0D0D">
      <w:pPr>
        <w:spacing w:after="160" w:line="259" w:lineRule="auto"/>
        <w:jc w:val="both"/>
        <w:rPr>
          <w:rFonts w:eastAsia="Calibri" w:cs="Times New Roman"/>
          <w:lang w:val="en-GB"/>
        </w:rPr>
      </w:pPr>
      <w:r w:rsidRPr="00A200D5">
        <w:rPr>
          <w:rFonts w:eastAsia="Calibri" w:cs="Times New Roman"/>
          <w:lang w:val="en-GB"/>
        </w:rPr>
        <w:t>Surrey Police has undertaken cash flow modelling through to 30 November 2021 which demonstrates the ability to work within its Capital Financing Requirement and Cash management framework. Surrey Police has a borrowing operational boundary of £36m, current borrowing is £14.6m, thereby providing a further borrowing headroom of £21.4m.</w:t>
      </w:r>
    </w:p>
    <w:p w:rsidR="005469C8" w:rsidRPr="005469C8" w:rsidRDefault="005469C8" w:rsidP="00A200D5">
      <w:pPr>
        <w:spacing w:after="200" w:line="276" w:lineRule="auto"/>
        <w:jc w:val="both"/>
        <w:rPr>
          <w:rFonts w:eastAsia="Calibri" w:cs="Times New Roman"/>
          <w:lang w:val="en-GB"/>
        </w:rPr>
      </w:pPr>
      <w:r w:rsidRPr="005469C8">
        <w:rPr>
          <w:rFonts w:eastAsia="Calibri" w:cs="Times New Roman"/>
          <w:lang w:val="en-GB"/>
        </w:rPr>
        <w:t xml:space="preserve">In a ‘stressed’ case scenario whereby income is constrained further in the event of continued pandemic conditions, and income recovering only very slowly, Surrey Police has sufficient levels of reserves and investments that it would not run out of cash during 2021/22. </w:t>
      </w:r>
    </w:p>
    <w:p w:rsidR="005469C8" w:rsidRPr="005469C8" w:rsidRDefault="005469C8" w:rsidP="005469C8">
      <w:pPr>
        <w:spacing w:after="160" w:line="259" w:lineRule="auto"/>
        <w:jc w:val="both"/>
        <w:rPr>
          <w:rFonts w:eastAsia="Calibri" w:cs="Times New Roman"/>
          <w:lang w:val="en-GB"/>
        </w:rPr>
      </w:pPr>
      <w:r w:rsidRPr="005469C8">
        <w:rPr>
          <w:rFonts w:eastAsia="Calibri" w:cs="Times New Roman"/>
          <w:lang w:val="en-GB"/>
        </w:rPr>
        <w:t>Furthermore, Surrey Police has revisited the 2020/21 capital &amp; investment programme and is postponing non-essential capital projects that will further protect the levels of cash and usable reserves. A new capital &amp; investment ‘gateway to proceed’ process has also been introduced during 2020/21 for existing planned schemes. This step will allow further control and funding confirmation checks before the actual start of projects being delivered.</w:t>
      </w:r>
    </w:p>
    <w:p w:rsidR="005469C8" w:rsidRDefault="005469C8">
      <w:pPr>
        <w:spacing w:after="160" w:line="259" w:lineRule="auto"/>
        <w:jc w:val="both"/>
        <w:rPr>
          <w:rFonts w:eastAsia="Calibri" w:cs="Times New Roman"/>
          <w:lang w:val="en-GB"/>
        </w:rPr>
      </w:pPr>
      <w:r w:rsidRPr="005469C8">
        <w:rPr>
          <w:rFonts w:eastAsia="Calibri" w:cs="Times New Roman"/>
          <w:lang w:val="en-GB"/>
        </w:rPr>
        <w:t>This will ensure that a necessary capital and investment programme is focusing on projects that produce a positive financial revenue return or future saving as well as those where there are health and safety requirements or were already in progress and could not be postponed without incurring significant costs. The force runs a flexible programme managing schemes over a rolling 2 year period enabling schemes to be brought forward or deferred, the annual forecast at the end of September 2020 indicated underspend of £2.6m.</w:t>
      </w:r>
    </w:p>
    <w:p w:rsidR="005469C8" w:rsidRPr="00A200D5" w:rsidRDefault="005469C8">
      <w:pPr>
        <w:spacing w:after="160" w:line="259" w:lineRule="auto"/>
        <w:jc w:val="both"/>
        <w:rPr>
          <w:rFonts w:eastAsia="Calibri" w:cs="Times New Roman"/>
          <w:b/>
          <w:lang w:val="en-GB"/>
        </w:rPr>
      </w:pPr>
      <w:r w:rsidRPr="00A200D5">
        <w:rPr>
          <w:rFonts w:eastAsia="Calibri" w:cs="Times New Roman"/>
          <w:b/>
          <w:lang w:val="en-GB"/>
        </w:rPr>
        <w:t>Going Concern Conclusion</w:t>
      </w:r>
    </w:p>
    <w:p w:rsidR="00104357" w:rsidRDefault="00104357">
      <w:pPr>
        <w:spacing w:after="160" w:line="259" w:lineRule="auto"/>
        <w:jc w:val="both"/>
        <w:rPr>
          <w:rFonts w:eastAsia="Calibri" w:cs="Times New Roman"/>
          <w:lang w:val="en-GB"/>
        </w:rPr>
      </w:pPr>
      <w:r w:rsidRPr="00A200D5">
        <w:rPr>
          <w:rFonts w:eastAsia="Calibri" w:cs="Times New Roman"/>
        </w:rPr>
        <w:t>Surrey Police thereby concludes that it is appropriate to prepare the financial statements on a going concern basis, and that Surrey Police will be a going concern, 12 months from the date of the approval of these financial statements, based on its cash flow forecasting and the resultant liquidity position of Surrey Police.</w:t>
      </w:r>
    </w:p>
    <w:p w:rsidR="005469C8" w:rsidRPr="005469C8" w:rsidRDefault="005469C8">
      <w:pPr>
        <w:spacing w:after="160" w:line="259" w:lineRule="auto"/>
        <w:jc w:val="both"/>
        <w:rPr>
          <w:rFonts w:eastAsia="Calibri" w:cs="Times New Roman"/>
          <w:lang w:val="en-GB"/>
        </w:rPr>
      </w:pPr>
    </w:p>
    <w:p w:rsidR="00CA6653" w:rsidRDefault="00CA6653" w:rsidP="00A31A9E">
      <w:pPr>
        <w:pStyle w:val="Heading1"/>
      </w:pPr>
      <w:bookmarkStart w:id="14" w:name="_Toc55900405"/>
      <w:r>
        <w:t xml:space="preserve">Note </w:t>
      </w:r>
      <w:r w:rsidR="009C625F">
        <w:t>3</w:t>
      </w:r>
      <w:r>
        <w:t xml:space="preserve"> - Events After the Balance Sheet Date</w:t>
      </w:r>
      <w:bookmarkEnd w:id="14"/>
      <w:r>
        <w:t xml:space="preserve"> </w:t>
      </w:r>
    </w:p>
    <w:p w:rsidR="00CA6653" w:rsidRDefault="00CA6653" w:rsidP="0073313A">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When an event occurs after the Balance Sheet date which provides evidence of conditions that existed at the Balance Sheet date an adjusting event occurs and the amounts recognised in the Statement of Accounts will be adjusted to take into account any values that reflect the adjusting event.  Where an event occurs after the Balance Sheet date that is indicative of conditions that arose after the Balance Sheet date, the amounts recognised in the Statement of Accounts are not adjusted but disclosed as a separate note to the accounts.  Events after the Balance Sheet date are reflected up to the date when the Statement of Accounts is authorised for issue and published.</w:t>
      </w:r>
    </w:p>
    <w:p w:rsidR="00CA6653" w:rsidRDefault="00CA6653" w:rsidP="0073313A">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The </w:t>
      </w:r>
      <w:r w:rsidR="00E93ACB">
        <w:rPr>
          <w:rFonts w:ascii="Verdana" w:eastAsia="Verdana" w:hAnsi="Verdana" w:cs="Verdana"/>
          <w:sz w:val="22"/>
          <w:szCs w:val="22"/>
          <w:lang w:val="en-GB"/>
        </w:rPr>
        <w:t xml:space="preserve">Final </w:t>
      </w:r>
      <w:r w:rsidRPr="00C457D7">
        <w:rPr>
          <w:rFonts w:ascii="Verdana" w:eastAsia="Verdana" w:hAnsi="Verdana" w:cs="Verdana"/>
          <w:sz w:val="22"/>
          <w:szCs w:val="22"/>
          <w:lang w:val="en-GB"/>
        </w:rPr>
        <w:t xml:space="preserve">Statement of Accounts was authorised for issue by the Chief Finance Officer on </w:t>
      </w:r>
      <w:r w:rsidR="00E93ACB">
        <w:rPr>
          <w:rFonts w:ascii="Verdana" w:eastAsia="Verdana" w:hAnsi="Verdana" w:cs="Verdana"/>
          <w:sz w:val="22"/>
          <w:szCs w:val="22"/>
          <w:highlight w:val="yellow"/>
          <w:lang w:val="en-GB"/>
        </w:rPr>
        <w:t>3</w:t>
      </w:r>
      <w:r w:rsidR="00E93ACB" w:rsidRPr="00A200D5">
        <w:rPr>
          <w:rFonts w:ascii="Verdana" w:eastAsia="Verdana" w:hAnsi="Verdana" w:cs="Verdana"/>
          <w:sz w:val="22"/>
          <w:szCs w:val="22"/>
          <w:highlight w:val="yellow"/>
          <w:lang w:val="en-GB"/>
        </w:rPr>
        <w:t>0 November</w:t>
      </w:r>
      <w:r w:rsidR="00E93ACB">
        <w:rPr>
          <w:rFonts w:ascii="Verdana" w:eastAsia="Verdana" w:hAnsi="Verdana" w:cs="Verdana"/>
          <w:sz w:val="22"/>
          <w:szCs w:val="22"/>
          <w:lang w:val="en-GB"/>
        </w:rPr>
        <w:t xml:space="preserve"> </w:t>
      </w:r>
      <w:r w:rsidRPr="00A200D5">
        <w:rPr>
          <w:rFonts w:ascii="Verdana" w:eastAsia="Verdana" w:hAnsi="Verdana" w:cs="Verdana"/>
          <w:sz w:val="22"/>
          <w:szCs w:val="22"/>
          <w:lang w:val="en-GB"/>
        </w:rPr>
        <w:t>20</w:t>
      </w:r>
      <w:r w:rsidR="00C04F26" w:rsidRPr="00A200D5">
        <w:rPr>
          <w:rFonts w:ascii="Verdana" w:eastAsia="Verdana" w:hAnsi="Verdana" w:cs="Verdana"/>
          <w:sz w:val="22"/>
          <w:szCs w:val="22"/>
          <w:lang w:val="en-GB"/>
        </w:rPr>
        <w:t>20</w:t>
      </w:r>
      <w:r w:rsidRPr="00C457D7">
        <w:rPr>
          <w:rFonts w:ascii="Verdana" w:eastAsia="Verdana" w:hAnsi="Verdana" w:cs="Verdana"/>
          <w:sz w:val="22"/>
          <w:szCs w:val="22"/>
          <w:lang w:val="en-GB"/>
        </w:rPr>
        <w:t>.  Events</w:t>
      </w:r>
      <w:r>
        <w:rPr>
          <w:rFonts w:ascii="Verdana" w:eastAsia="Verdana" w:hAnsi="Verdana" w:cs="Verdana"/>
          <w:sz w:val="22"/>
          <w:szCs w:val="22"/>
          <w:lang w:val="en-GB"/>
        </w:rPr>
        <w:t xml:space="preserve"> taking place after this date are not reflected in the financial statements or notes.  Where events taking place before this date provide information about conditions existing at 31 March 20</w:t>
      </w:r>
      <w:r w:rsidR="00C04F26">
        <w:rPr>
          <w:rFonts w:ascii="Verdana" w:eastAsia="Verdana" w:hAnsi="Verdana" w:cs="Verdana"/>
          <w:sz w:val="22"/>
          <w:szCs w:val="22"/>
          <w:lang w:val="en-GB"/>
        </w:rPr>
        <w:t>20</w:t>
      </w:r>
      <w:r>
        <w:rPr>
          <w:rFonts w:ascii="Verdana" w:eastAsia="Verdana" w:hAnsi="Verdana" w:cs="Verdana"/>
          <w:sz w:val="22"/>
          <w:szCs w:val="22"/>
          <w:lang w:val="en-GB"/>
        </w:rPr>
        <w:t xml:space="preserve">, the figures in the financial statements and notes </w:t>
      </w:r>
      <w:r w:rsidR="00F23BF6">
        <w:rPr>
          <w:rFonts w:ascii="Verdana" w:eastAsia="Verdana" w:hAnsi="Verdana" w:cs="Verdana"/>
          <w:sz w:val="22"/>
          <w:szCs w:val="22"/>
          <w:lang w:val="en-GB"/>
        </w:rPr>
        <w:t>have been</w:t>
      </w:r>
      <w:r>
        <w:rPr>
          <w:rFonts w:ascii="Verdana" w:eastAsia="Verdana" w:hAnsi="Verdana" w:cs="Verdana"/>
          <w:sz w:val="22"/>
          <w:szCs w:val="22"/>
          <w:lang w:val="en-GB"/>
        </w:rPr>
        <w:t xml:space="preserve"> adjusted in all material respects to reflect the impact of this information.  </w:t>
      </w:r>
    </w:p>
    <w:p w:rsidR="00F23BF6" w:rsidRDefault="00F23BF6" w:rsidP="0073313A">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financial statements and notes therefore have been adjusted for the following event</w:t>
      </w:r>
      <w:r w:rsidR="006A1C02">
        <w:rPr>
          <w:rFonts w:ascii="Verdana" w:eastAsia="Verdana" w:hAnsi="Verdana" w:cs="Verdana"/>
          <w:sz w:val="22"/>
          <w:szCs w:val="22"/>
          <w:lang w:val="en-GB"/>
        </w:rPr>
        <w:t>s</w:t>
      </w:r>
      <w:r>
        <w:rPr>
          <w:rFonts w:ascii="Verdana" w:eastAsia="Verdana" w:hAnsi="Verdana" w:cs="Verdana"/>
          <w:sz w:val="22"/>
          <w:szCs w:val="22"/>
          <w:lang w:val="en-GB"/>
        </w:rPr>
        <w:t xml:space="preserve"> which took place after 31 March 2020.</w:t>
      </w:r>
    </w:p>
    <w:p w:rsidR="00C158CD" w:rsidRDefault="00C158CD" w:rsidP="00C158CD">
      <w:pPr>
        <w:jc w:val="both"/>
      </w:pPr>
      <w:r>
        <w:rPr>
          <w:rFonts w:eastAsia="Verdana" w:cs="Verdana"/>
          <w:b/>
          <w:lang w:val="en-GB"/>
        </w:rPr>
        <w:t>McCloud/Sargeant court of appeal</w:t>
      </w:r>
      <w:r w:rsidR="00A31A9E">
        <w:rPr>
          <w:rFonts w:eastAsia="Verdana" w:cs="Verdana"/>
          <w:b/>
          <w:lang w:val="en-GB"/>
        </w:rPr>
        <w:t xml:space="preserve"> </w:t>
      </w:r>
    </w:p>
    <w:p w:rsidR="00E93ACB" w:rsidRDefault="00E93ACB" w:rsidP="00C158CD">
      <w:pPr>
        <w:jc w:val="both"/>
      </w:pPr>
    </w:p>
    <w:p w:rsidR="00C158CD" w:rsidRDefault="00E93ACB" w:rsidP="00C158CD">
      <w:pPr>
        <w:jc w:val="both"/>
      </w:pPr>
      <w:r>
        <w:t xml:space="preserve">On 27 June 2019 the Supreme Court refused leave to appeal on the McCloud/Sargeant case that the ‘transitional protection’ offered to some members as part of the reform to public sector pensions amounted to unlawful discrimination. Pension calculations in the draft accounts therefore assumed the remedy would apply to all pension scheme members not included in the transitional protection. </w:t>
      </w:r>
      <w:r w:rsidRPr="001E6DCD">
        <w:t xml:space="preserve">Following </w:t>
      </w:r>
      <w:r>
        <w:t xml:space="preserve">HM Treasury’s publication in August 2020 of the consultation into changes to the transitional arrangements to the 2015 Scheme, these accounts have been updated using pension calculations to only allow for potential McCloud remedy costs for those who were in service on 31 March 2012 and 1 April 2015. This change is based on the eligibility criteria set out by HMT in their consultation and reduces the overall McCloud liability in the </w:t>
      </w:r>
      <w:r w:rsidR="00641224">
        <w:t>Group</w:t>
      </w:r>
      <w:r>
        <w:t xml:space="preserve"> Accounts by £29m and a Past Service Cost Gain in 2019/20. Details of the final pension figures are detailed within Note 26.</w:t>
      </w:r>
    </w:p>
    <w:p w:rsidR="00C158CD" w:rsidRDefault="00C158CD" w:rsidP="00C158CD">
      <w:pPr>
        <w:pStyle w:val="Normal0"/>
        <w:spacing w:line="240" w:lineRule="auto"/>
        <w:jc w:val="both"/>
        <w:rPr>
          <w:rFonts w:ascii="Verdana" w:eastAsia="Verdana" w:hAnsi="Verdana" w:cs="Verdana"/>
          <w:b/>
          <w:sz w:val="22"/>
          <w:szCs w:val="22"/>
          <w:lang w:val="en-GB"/>
        </w:rPr>
      </w:pPr>
    </w:p>
    <w:p w:rsidR="00C158CD" w:rsidRDefault="00C158CD" w:rsidP="00C158CD">
      <w:pPr>
        <w:pStyle w:val="Normal0"/>
        <w:spacing w:line="240" w:lineRule="auto"/>
        <w:jc w:val="both"/>
        <w:rPr>
          <w:rFonts w:ascii="Verdana" w:eastAsia="Verdana" w:hAnsi="Verdana" w:cs="Verdana"/>
          <w:b/>
          <w:sz w:val="22"/>
          <w:szCs w:val="22"/>
          <w:lang w:val="en-GB"/>
        </w:rPr>
      </w:pPr>
      <w:r>
        <w:rPr>
          <w:rFonts w:ascii="Verdana" w:eastAsia="Verdana" w:hAnsi="Verdana" w:cs="Verdana"/>
          <w:b/>
          <w:sz w:val="22"/>
          <w:szCs w:val="22"/>
          <w:lang w:val="en-GB"/>
        </w:rPr>
        <w:t xml:space="preserve">Impact of Covid-19 virus pandemic </w:t>
      </w:r>
    </w:p>
    <w:p w:rsidR="004F3050" w:rsidRDefault="004F3050" w:rsidP="00A200D5">
      <w:pPr>
        <w:pStyle w:val="Normal0"/>
        <w:spacing w:line="257" w:lineRule="auto"/>
        <w:jc w:val="both"/>
        <w:rPr>
          <w:rFonts w:ascii="Verdana" w:hAnsi="Verdana"/>
          <w:sz w:val="22"/>
          <w:szCs w:val="22"/>
        </w:rPr>
      </w:pPr>
    </w:p>
    <w:p w:rsidR="00E93ACB" w:rsidRDefault="00E93ACB" w:rsidP="00A200D5">
      <w:pPr>
        <w:pStyle w:val="Normal0"/>
        <w:spacing w:after="160" w:line="257" w:lineRule="auto"/>
        <w:jc w:val="both"/>
        <w:rPr>
          <w:rFonts w:ascii="Verdana" w:hAnsi="Verdana"/>
          <w:sz w:val="22"/>
          <w:szCs w:val="22"/>
        </w:rPr>
      </w:pPr>
      <w:r w:rsidRPr="001E6DCD">
        <w:rPr>
          <w:rFonts w:ascii="Verdana" w:hAnsi="Verdana"/>
          <w:sz w:val="22"/>
          <w:szCs w:val="22"/>
        </w:rPr>
        <w:t xml:space="preserve">On 23 March 2020, </w:t>
      </w:r>
      <w:r>
        <w:rPr>
          <w:rFonts w:ascii="Verdana" w:hAnsi="Verdana"/>
          <w:sz w:val="22"/>
          <w:szCs w:val="22"/>
        </w:rPr>
        <w:t xml:space="preserve">the Prime Minister announced that to limit the spread of the coronavirus he would be asking people to stay at home and where possible work from home and only make essential journeys. Effectively this meant that a lot of businesses became unable to carry on operating and many employees were ‘furloughed’ on 80% of their existing salary paid by central government. The financial and social outcomes of this are not yet fully understood, however, it is anticipated that the condition will exist for the short to medium future and that it will have a significant impact upon the UK and global economy. </w:t>
      </w:r>
    </w:p>
    <w:p w:rsidR="004F3050" w:rsidRDefault="00E93ACB" w:rsidP="00E93ACB">
      <w:pPr>
        <w:pStyle w:val="Normal0"/>
        <w:spacing w:after="160"/>
        <w:jc w:val="both"/>
        <w:rPr>
          <w:rFonts w:ascii="Verdana" w:hAnsi="Verdana"/>
          <w:sz w:val="22"/>
          <w:szCs w:val="22"/>
        </w:rPr>
      </w:pPr>
      <w:r>
        <w:rPr>
          <w:rFonts w:ascii="Verdana" w:hAnsi="Verdana"/>
          <w:sz w:val="22"/>
          <w:szCs w:val="22"/>
        </w:rPr>
        <w:t xml:space="preserve">As the condition did exist at the Balance Sheet date of 31 March 2020, this is an adjusting event. This required further estimations of its financial effect as at 31 March 2020 for material items particularly with regards to the financial impact on Property, Plant and Equipment (PPE) valuations and impairments, and the Pension Scheme liability valuations. </w:t>
      </w:r>
    </w:p>
    <w:p w:rsidR="006A1C02" w:rsidRDefault="004F3050">
      <w:pPr>
        <w:pStyle w:val="Normal0"/>
        <w:spacing w:after="160"/>
        <w:jc w:val="both"/>
        <w:rPr>
          <w:rFonts w:ascii="Verdana" w:hAnsi="Verdana"/>
          <w:sz w:val="22"/>
          <w:szCs w:val="22"/>
        </w:rPr>
      </w:pPr>
      <w:r>
        <w:rPr>
          <w:rFonts w:ascii="Verdana" w:hAnsi="Verdana"/>
          <w:sz w:val="22"/>
          <w:szCs w:val="22"/>
        </w:rPr>
        <w:t>The long-term impact of Covid-19 is still unknown, however, one immediate impact was the introduction of material uncertainty clauses (MUC’s) on UK property valuations</w:t>
      </w:r>
      <w:r w:rsidR="00754811">
        <w:rPr>
          <w:rFonts w:ascii="Verdana" w:hAnsi="Verdana"/>
          <w:sz w:val="22"/>
          <w:szCs w:val="22"/>
        </w:rPr>
        <w:t xml:space="preserve"> and investments</w:t>
      </w:r>
      <w:r>
        <w:rPr>
          <w:rFonts w:ascii="Verdana" w:hAnsi="Verdana"/>
          <w:sz w:val="22"/>
          <w:szCs w:val="22"/>
        </w:rPr>
        <w:t xml:space="preserve">, including the PPE values in these accounts. The Royal Institute of Chartered Surveyors (RICS) later announced that MUC’s have </w:t>
      </w:r>
      <w:r w:rsidR="00691635">
        <w:rPr>
          <w:rFonts w:ascii="Verdana" w:hAnsi="Verdana"/>
          <w:sz w:val="22"/>
          <w:szCs w:val="22"/>
        </w:rPr>
        <w:t>been lifted from the vast majority of UK property.</w:t>
      </w:r>
      <w:r w:rsidR="00754811">
        <w:rPr>
          <w:rFonts w:ascii="Verdana" w:hAnsi="Verdana"/>
          <w:sz w:val="22"/>
          <w:szCs w:val="22"/>
        </w:rPr>
        <w:t xml:space="preserve"> Since that announcement, many UK property funds that had suspended trading have resumed normal dealing, although managers were under no obligation to re-open their funds. What remains uncertain is the level of trading we will see in the market going forward and whether investors will move to sell holdings or buy in at prices below net asset value.</w:t>
      </w:r>
    </w:p>
    <w:p w:rsidR="006A1C02" w:rsidRDefault="00E93ACB" w:rsidP="00A200D5">
      <w:pPr>
        <w:pStyle w:val="Normal0"/>
        <w:spacing w:after="160" w:line="257" w:lineRule="auto"/>
        <w:jc w:val="both"/>
        <w:rPr>
          <w:rFonts w:ascii="Verdana" w:hAnsi="Verdana"/>
          <w:sz w:val="22"/>
          <w:szCs w:val="22"/>
        </w:rPr>
      </w:pPr>
      <w:r>
        <w:rPr>
          <w:rFonts w:ascii="Verdana" w:hAnsi="Verdana"/>
          <w:sz w:val="22"/>
          <w:szCs w:val="22"/>
        </w:rPr>
        <w:t>A market review report was</w:t>
      </w:r>
      <w:r w:rsidR="00691635">
        <w:rPr>
          <w:rFonts w:ascii="Verdana" w:hAnsi="Verdana"/>
          <w:sz w:val="22"/>
          <w:szCs w:val="22"/>
        </w:rPr>
        <w:t xml:space="preserve"> therefore</w:t>
      </w:r>
      <w:r>
        <w:rPr>
          <w:rFonts w:ascii="Verdana" w:hAnsi="Verdana"/>
          <w:sz w:val="22"/>
          <w:szCs w:val="22"/>
        </w:rPr>
        <w:t xml:space="preserve"> commissioned to consider the impacts of the global pandemic on property valuations as at 31 March 2020. This report concluded there was little or no evidence to suggest the PPE property types within the Surrey Police portfolio were affected specifically by the effects of the pandemic and therefore no adjustment was necessary to PPE assets within the 2019/20 accounts. </w:t>
      </w:r>
      <w:r w:rsidR="007F5523">
        <w:rPr>
          <w:rFonts w:ascii="Verdana" w:hAnsi="Verdana"/>
          <w:sz w:val="22"/>
          <w:szCs w:val="22"/>
          <w:lang w:eastAsia="en-GB"/>
        </w:rPr>
        <w:t>As a result of all of these factors, Surrey Police considers its 31 March 2020 property valuations remain materially accurate.</w:t>
      </w:r>
    </w:p>
    <w:p w:rsidR="007F5523" w:rsidRDefault="00E93ACB" w:rsidP="00A200D5">
      <w:pPr>
        <w:pStyle w:val="Normal0"/>
        <w:spacing w:after="160" w:line="257" w:lineRule="auto"/>
        <w:jc w:val="both"/>
        <w:rPr>
          <w:rFonts w:ascii="Verdana" w:hAnsi="Verdana"/>
          <w:sz w:val="22"/>
          <w:szCs w:val="22"/>
        </w:rPr>
      </w:pPr>
      <w:r w:rsidRPr="001E6DCD">
        <w:rPr>
          <w:rFonts w:ascii="Verdana" w:hAnsi="Verdana"/>
          <w:sz w:val="22"/>
          <w:szCs w:val="22"/>
        </w:rPr>
        <w:t>Any additional deployment of staff and officers in relation to Covid-19 during March 2020 was already reflected within the 2019/20 accounts by way of the short term accumulated absences accounting accrual and no other material adjustments resulting from the pandemic were identified for adjustment in the final revised financial statements.</w:t>
      </w:r>
    </w:p>
    <w:p w:rsidR="004F3050" w:rsidRDefault="004F3050" w:rsidP="00A200D5">
      <w:pPr>
        <w:pStyle w:val="Normal0"/>
        <w:jc w:val="both"/>
        <w:rPr>
          <w:rFonts w:ascii="Verdana" w:hAnsi="Verdana"/>
          <w:sz w:val="22"/>
          <w:szCs w:val="22"/>
        </w:rPr>
      </w:pPr>
      <w:r>
        <w:rPr>
          <w:rFonts w:ascii="Verdana" w:hAnsi="Verdana"/>
          <w:sz w:val="22"/>
          <w:szCs w:val="22"/>
        </w:rPr>
        <w:t xml:space="preserve">Revised ‘IAS19’ actuary reports for pension valuation calculations were obtained in September 2020 with the McCloud re-calculations as noted above and the accounts revised accordingly. </w:t>
      </w:r>
    </w:p>
    <w:p w:rsidR="007906D3" w:rsidRDefault="007906D3" w:rsidP="00A200D5">
      <w:pPr>
        <w:pStyle w:val="Normal0"/>
        <w:jc w:val="both"/>
        <w:rPr>
          <w:rFonts w:ascii="Verdana" w:hAnsi="Verdana"/>
          <w:sz w:val="22"/>
          <w:szCs w:val="22"/>
        </w:rPr>
      </w:pPr>
    </w:p>
    <w:p w:rsidR="007906D3" w:rsidRPr="00EA146B" w:rsidRDefault="007906D3" w:rsidP="007906D3">
      <w:pPr>
        <w:pStyle w:val="Normal0"/>
        <w:spacing w:after="160"/>
        <w:jc w:val="both"/>
        <w:rPr>
          <w:rFonts w:ascii="Verdana" w:hAnsi="Verdana"/>
          <w:sz w:val="22"/>
          <w:szCs w:val="22"/>
        </w:rPr>
      </w:pPr>
      <w:r w:rsidRPr="008515EF">
        <w:rPr>
          <w:rFonts w:ascii="Verdana" w:hAnsi="Verdana"/>
          <w:sz w:val="22"/>
          <w:szCs w:val="22"/>
        </w:rPr>
        <w:t>Any additional deployment of staff and officers in relation to Covid-19 during March 2020 w</w:t>
      </w:r>
      <w:r w:rsidRPr="00EA146B">
        <w:rPr>
          <w:rFonts w:ascii="Verdana" w:hAnsi="Verdana"/>
          <w:sz w:val="22"/>
          <w:szCs w:val="22"/>
        </w:rPr>
        <w:t>as</w:t>
      </w:r>
      <w:r w:rsidRPr="008515EF">
        <w:rPr>
          <w:rFonts w:ascii="Verdana" w:hAnsi="Verdana"/>
          <w:sz w:val="22"/>
          <w:szCs w:val="22"/>
        </w:rPr>
        <w:t xml:space="preserve"> already reflected within the 2019/20 accounts by way of the short term accumulated absences accounting accrual </w:t>
      </w:r>
      <w:r w:rsidRPr="00EA146B">
        <w:rPr>
          <w:rFonts w:ascii="Verdana" w:hAnsi="Verdana"/>
          <w:sz w:val="22"/>
          <w:szCs w:val="22"/>
        </w:rPr>
        <w:t xml:space="preserve">and no other </w:t>
      </w:r>
      <w:r w:rsidRPr="008515EF">
        <w:rPr>
          <w:rFonts w:ascii="Verdana" w:hAnsi="Verdana"/>
          <w:sz w:val="22"/>
          <w:szCs w:val="22"/>
        </w:rPr>
        <w:t>material</w:t>
      </w:r>
      <w:r w:rsidRPr="00EA146B">
        <w:rPr>
          <w:rFonts w:ascii="Verdana" w:hAnsi="Verdana"/>
          <w:sz w:val="22"/>
          <w:szCs w:val="22"/>
        </w:rPr>
        <w:t xml:space="preserve"> </w:t>
      </w:r>
      <w:r w:rsidRPr="008515EF">
        <w:rPr>
          <w:rFonts w:ascii="Verdana" w:hAnsi="Verdana"/>
          <w:sz w:val="22"/>
          <w:szCs w:val="22"/>
        </w:rPr>
        <w:t>adjustments</w:t>
      </w:r>
      <w:r w:rsidRPr="00EA146B">
        <w:rPr>
          <w:rFonts w:ascii="Verdana" w:hAnsi="Verdana"/>
          <w:sz w:val="22"/>
          <w:szCs w:val="22"/>
        </w:rPr>
        <w:t xml:space="preserve"> resulting from the pandemic were identified for adjustment</w:t>
      </w:r>
      <w:r w:rsidRPr="008515EF">
        <w:rPr>
          <w:rFonts w:ascii="Verdana" w:hAnsi="Verdana"/>
          <w:sz w:val="22"/>
          <w:szCs w:val="22"/>
        </w:rPr>
        <w:t xml:space="preserve"> in the final revised financial statements.</w:t>
      </w:r>
    </w:p>
    <w:p w:rsidR="007906D3" w:rsidRDefault="007906D3" w:rsidP="007906D3">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Expenditure incurred on additional service provision, or reduced income from services or investments pertaining to 2020/21 will be accounted for within the 2020/21 financial statements in accordance with our accounting policies and accepted accounting practice.</w:t>
      </w:r>
    </w:p>
    <w:p w:rsidR="007906D3" w:rsidRDefault="007906D3" w:rsidP="007906D3">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There are no other events after the Balance Sheet Date.</w:t>
      </w:r>
    </w:p>
    <w:p w:rsidR="007906D3" w:rsidRDefault="007906D3" w:rsidP="00A200D5">
      <w:pPr>
        <w:pStyle w:val="Normal0"/>
        <w:jc w:val="both"/>
        <w:rPr>
          <w:rFonts w:ascii="Verdana" w:hAnsi="Verdana"/>
          <w:sz w:val="22"/>
          <w:szCs w:val="22"/>
        </w:rPr>
      </w:pPr>
    </w:p>
    <w:p w:rsidR="00C158CD" w:rsidRDefault="00C158CD">
      <w:pPr>
        <w:pStyle w:val="Normal0"/>
        <w:spacing w:after="160"/>
        <w:rPr>
          <w:rFonts w:ascii="Verdana" w:eastAsia="Verdana" w:hAnsi="Verdana" w:cs="Verdana"/>
          <w:sz w:val="22"/>
          <w:szCs w:val="22"/>
          <w:lang w:val="en-GB"/>
        </w:rPr>
      </w:pPr>
    </w:p>
    <w:p w:rsidR="00CA6653" w:rsidRDefault="00CA6653" w:rsidP="00A31A9E">
      <w:pPr>
        <w:pStyle w:val="Heading1"/>
      </w:pPr>
      <w:bookmarkStart w:id="15" w:name="_Toc55900406"/>
      <w:r>
        <w:t xml:space="preserve">Note </w:t>
      </w:r>
      <w:r w:rsidR="009C625F">
        <w:t>4</w:t>
      </w:r>
      <w:r>
        <w:t xml:space="preserve"> - Assumptions Made about the Future and Other Major Sources of Estimation Uncertainty</w:t>
      </w:r>
      <w:bookmarkEnd w:id="15"/>
      <w:r>
        <w:t xml:space="preserve"> </w:t>
      </w:r>
    </w:p>
    <w:p w:rsidR="00CA6653" w:rsidRDefault="00CA6653" w:rsidP="00980F0A">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The Statement of Accounts contains estimated figures that are based on assumptions made by the Group about the future or that are otherwise uncertain. Estimates are made taking into account historic evidence, current trends and other relevant factors. However, because balances cannot be determined with certainty, actual results could be materially different from the assumptions and estimates. </w:t>
      </w:r>
    </w:p>
    <w:p w:rsidR="00CA6653" w:rsidRDefault="00CA6653" w:rsidP="00980F0A">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items in the Group’s Balance Sheet at 31 March 20</w:t>
      </w:r>
      <w:r w:rsidR="006D0A3D">
        <w:rPr>
          <w:rFonts w:ascii="Verdana" w:eastAsia="Verdana" w:hAnsi="Verdana" w:cs="Verdana"/>
          <w:sz w:val="22"/>
          <w:szCs w:val="22"/>
          <w:lang w:val="en-GB"/>
        </w:rPr>
        <w:t>20</w:t>
      </w:r>
      <w:r>
        <w:rPr>
          <w:rFonts w:ascii="Verdana" w:eastAsia="Verdana" w:hAnsi="Verdana" w:cs="Verdana"/>
          <w:sz w:val="22"/>
          <w:szCs w:val="22"/>
          <w:lang w:val="en-GB"/>
        </w:rPr>
        <w:t xml:space="preserve"> for which there is a significant risk of material adjustment in the forthcoming financial year are as follows:</w:t>
      </w:r>
    </w:p>
    <w:tbl>
      <w:tblPr>
        <w:tblW w:w="10348" w:type="dxa"/>
        <w:tblInd w:w="108" w:type="dxa"/>
        <w:tblLook w:val="04A0" w:firstRow="1" w:lastRow="0" w:firstColumn="1" w:lastColumn="0" w:noHBand="0" w:noVBand="1"/>
      </w:tblPr>
      <w:tblGrid>
        <w:gridCol w:w="1660"/>
        <w:gridCol w:w="4152"/>
        <w:gridCol w:w="4536"/>
      </w:tblGrid>
      <w:tr w:rsidR="004D417B" w:rsidTr="00CA6653">
        <w:trPr>
          <w:trHeight w:val="557"/>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653" w:rsidRPr="00980F0A" w:rsidRDefault="00CA6653" w:rsidP="00CA6653">
            <w:pPr>
              <w:pStyle w:val="Normal0"/>
              <w:spacing w:line="240" w:lineRule="auto"/>
              <w:jc w:val="both"/>
              <w:rPr>
                <w:rFonts w:ascii="Arial" w:eastAsia="Times New Roman" w:hAnsi="Arial" w:cs="Arial"/>
                <w:b/>
                <w:bCs/>
                <w:color w:val="000000"/>
                <w:sz w:val="18"/>
                <w:szCs w:val="18"/>
                <w:lang w:eastAsia="en-GB"/>
              </w:rPr>
            </w:pPr>
            <w:r w:rsidRPr="00980F0A">
              <w:rPr>
                <w:rFonts w:ascii="Arial" w:eastAsia="Times New Roman" w:hAnsi="Arial" w:cs="Arial"/>
                <w:b/>
                <w:bCs/>
                <w:color w:val="000000"/>
                <w:sz w:val="18"/>
                <w:szCs w:val="18"/>
                <w:lang w:eastAsia="en-GB"/>
              </w:rPr>
              <w:t xml:space="preserve">Item </w:t>
            </w:r>
          </w:p>
        </w:tc>
        <w:tc>
          <w:tcPr>
            <w:tcW w:w="4152" w:type="dxa"/>
            <w:tcBorders>
              <w:top w:val="single" w:sz="4" w:space="0" w:color="auto"/>
              <w:left w:val="nil"/>
              <w:bottom w:val="single" w:sz="4" w:space="0" w:color="auto"/>
              <w:right w:val="single" w:sz="4" w:space="0" w:color="auto"/>
            </w:tcBorders>
            <w:shd w:val="clear" w:color="auto" w:fill="auto"/>
            <w:vAlign w:val="center"/>
            <w:hideMark/>
          </w:tcPr>
          <w:p w:rsidR="00CA6653" w:rsidRPr="00980F0A" w:rsidRDefault="00CA6653" w:rsidP="00CA6653">
            <w:pPr>
              <w:pStyle w:val="Normal0"/>
              <w:spacing w:line="240" w:lineRule="auto"/>
              <w:jc w:val="both"/>
              <w:rPr>
                <w:rFonts w:ascii="Arial" w:eastAsia="Times New Roman" w:hAnsi="Arial" w:cs="Arial"/>
                <w:b/>
                <w:bCs/>
                <w:color w:val="000000"/>
                <w:sz w:val="18"/>
                <w:szCs w:val="18"/>
                <w:lang w:eastAsia="en-GB"/>
              </w:rPr>
            </w:pPr>
            <w:r w:rsidRPr="00980F0A">
              <w:rPr>
                <w:rFonts w:ascii="Arial" w:eastAsia="Times New Roman" w:hAnsi="Arial" w:cs="Arial"/>
                <w:b/>
                <w:bCs/>
                <w:color w:val="000000"/>
                <w:sz w:val="18"/>
                <w:szCs w:val="18"/>
                <w:lang w:eastAsia="en-GB"/>
              </w:rPr>
              <w:t xml:space="preserve">Uncertainties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A6653" w:rsidRPr="00980F0A" w:rsidRDefault="00CA6653" w:rsidP="00CA6653">
            <w:pPr>
              <w:pStyle w:val="Normal0"/>
              <w:spacing w:line="240" w:lineRule="auto"/>
              <w:jc w:val="both"/>
              <w:rPr>
                <w:rFonts w:ascii="Arial" w:eastAsia="Times New Roman" w:hAnsi="Arial" w:cs="Arial"/>
                <w:b/>
                <w:bCs/>
                <w:color w:val="000000"/>
                <w:sz w:val="18"/>
                <w:szCs w:val="18"/>
                <w:lang w:eastAsia="en-GB"/>
              </w:rPr>
            </w:pPr>
            <w:r w:rsidRPr="00980F0A">
              <w:rPr>
                <w:rFonts w:ascii="Arial" w:eastAsia="Times New Roman" w:hAnsi="Arial" w:cs="Arial"/>
                <w:b/>
                <w:bCs/>
                <w:color w:val="000000"/>
                <w:sz w:val="18"/>
                <w:szCs w:val="18"/>
                <w:lang w:eastAsia="en-GB"/>
              </w:rPr>
              <w:t xml:space="preserve">Effect if Actual Results Differ from Assumptions </w:t>
            </w:r>
          </w:p>
        </w:tc>
      </w:tr>
      <w:tr w:rsidR="004D417B" w:rsidTr="00CA6653">
        <w:trPr>
          <w:trHeight w:val="1654"/>
        </w:trPr>
        <w:tc>
          <w:tcPr>
            <w:tcW w:w="1660" w:type="dxa"/>
            <w:tcBorders>
              <w:top w:val="nil"/>
              <w:left w:val="single" w:sz="4" w:space="0" w:color="auto"/>
              <w:bottom w:val="single" w:sz="4" w:space="0" w:color="auto"/>
              <w:right w:val="single" w:sz="4" w:space="0" w:color="auto"/>
            </w:tcBorders>
            <w:shd w:val="clear" w:color="auto" w:fill="auto"/>
            <w:hideMark/>
          </w:tcPr>
          <w:p w:rsidR="00CA6653" w:rsidRPr="00980F0A" w:rsidRDefault="00CA6653" w:rsidP="00CA6653">
            <w:pPr>
              <w:pStyle w:val="Normal0"/>
              <w:spacing w:line="240" w:lineRule="auto"/>
              <w:jc w:val="both"/>
              <w:rPr>
                <w:rFonts w:ascii="Arial" w:eastAsia="Times New Roman" w:hAnsi="Arial" w:cs="Arial"/>
                <w:b/>
                <w:bCs/>
                <w:color w:val="000000"/>
                <w:sz w:val="18"/>
                <w:szCs w:val="18"/>
                <w:lang w:eastAsia="en-GB"/>
              </w:rPr>
            </w:pPr>
            <w:r w:rsidRPr="00980F0A">
              <w:rPr>
                <w:rFonts w:ascii="Arial" w:eastAsia="Times New Roman" w:hAnsi="Arial" w:cs="Arial"/>
                <w:b/>
                <w:bCs/>
                <w:color w:val="000000"/>
                <w:sz w:val="18"/>
                <w:szCs w:val="18"/>
                <w:lang w:eastAsia="en-GB"/>
              </w:rPr>
              <w:t xml:space="preserve">Property, Plant and Equipment </w:t>
            </w:r>
            <w:r w:rsidR="00980F0A" w:rsidRPr="00980F0A">
              <w:rPr>
                <w:rFonts w:ascii="Arial" w:eastAsia="Times New Roman" w:hAnsi="Arial" w:cs="Arial"/>
                <w:b/>
                <w:bCs/>
                <w:color w:val="000000"/>
                <w:sz w:val="18"/>
                <w:szCs w:val="18"/>
                <w:lang w:eastAsia="en-GB"/>
              </w:rPr>
              <w:t>Valuations and Depreciation</w:t>
            </w:r>
          </w:p>
        </w:tc>
        <w:tc>
          <w:tcPr>
            <w:tcW w:w="4152" w:type="dxa"/>
            <w:tcBorders>
              <w:top w:val="nil"/>
              <w:left w:val="nil"/>
              <w:bottom w:val="single" w:sz="4" w:space="0" w:color="auto"/>
              <w:right w:val="single" w:sz="4" w:space="0" w:color="auto"/>
            </w:tcBorders>
            <w:shd w:val="clear" w:color="auto" w:fill="auto"/>
            <w:hideMark/>
          </w:tcPr>
          <w:p w:rsidR="00980F0A" w:rsidRPr="006016A8" w:rsidRDefault="00980F0A" w:rsidP="00980F0A">
            <w:pPr>
              <w:pStyle w:val="NoSpacing"/>
              <w:jc w:val="both"/>
              <w:rPr>
                <w:sz w:val="18"/>
                <w:szCs w:val="18"/>
                <w:lang w:val="en-GB" w:eastAsia="en-GB"/>
              </w:rPr>
            </w:pPr>
            <w:r w:rsidRPr="006016A8">
              <w:rPr>
                <w:sz w:val="18"/>
                <w:szCs w:val="18"/>
                <w:lang w:val="en-GB" w:eastAsia="en-GB"/>
              </w:rPr>
              <w:t xml:space="preserve">Assets are independently assessed by professional valuers. Assets are depreciated over useful lives that are dependent on assumptions about the level of repairs and maintenance that will be incurred in relation to individual assets. The current economic climate of austerity could lead to uncertainty that the Police and Crime Commissioner will be able to sustain its current spending on repairs and maintenance, this in turn could impact on the useful lives assigned to assets.  </w:t>
            </w:r>
          </w:p>
          <w:p w:rsidR="00980F0A" w:rsidRPr="006016A8" w:rsidRDefault="00980F0A" w:rsidP="00980F0A">
            <w:pPr>
              <w:pStyle w:val="NoSpacing"/>
              <w:jc w:val="both"/>
              <w:rPr>
                <w:sz w:val="18"/>
                <w:szCs w:val="18"/>
                <w:lang w:val="en-GB" w:eastAsia="en-GB"/>
              </w:rPr>
            </w:pPr>
          </w:p>
          <w:p w:rsidR="006016A8" w:rsidRPr="006016A8" w:rsidRDefault="006016A8" w:rsidP="006016A8">
            <w:pPr>
              <w:pStyle w:val="Normal0"/>
              <w:jc w:val="both"/>
              <w:rPr>
                <w:rFonts w:ascii="Verdana" w:hAnsi="Verdana"/>
                <w:sz w:val="18"/>
                <w:szCs w:val="18"/>
                <w:lang w:eastAsia="en-GB"/>
              </w:rPr>
            </w:pPr>
            <w:r w:rsidRPr="006016A8">
              <w:rPr>
                <w:rFonts w:ascii="Verdana" w:hAnsi="Verdana"/>
                <w:sz w:val="18"/>
                <w:szCs w:val="18"/>
                <w:lang w:eastAsia="en-GB"/>
              </w:rPr>
              <w:t>Land &amp; Building valuations included in the Draft financial statements were, in the professional judgement of our valuers, appropriate based on the comparable and cost data available at the valuation date. They made us aware that less certainty could be attached to the valuations this year than would otherwise be the case due to Covid-19.</w:t>
            </w:r>
          </w:p>
          <w:p w:rsidR="006016A8" w:rsidRDefault="006016A8" w:rsidP="006016A8">
            <w:pPr>
              <w:pStyle w:val="Normal0"/>
              <w:jc w:val="both"/>
              <w:rPr>
                <w:rFonts w:ascii="Verdana" w:hAnsi="Verdana"/>
                <w:sz w:val="18"/>
                <w:szCs w:val="18"/>
                <w:lang w:eastAsia="en-GB"/>
              </w:rPr>
            </w:pPr>
          </w:p>
          <w:p w:rsidR="00813C9F" w:rsidRPr="006016A8" w:rsidRDefault="00813C9F" w:rsidP="00813C9F">
            <w:pPr>
              <w:pStyle w:val="Normal0"/>
              <w:jc w:val="both"/>
              <w:rPr>
                <w:rFonts w:ascii="Verdana" w:eastAsia="Calibri" w:hAnsi="Verdana"/>
                <w:sz w:val="18"/>
                <w:szCs w:val="18"/>
                <w:lang w:val="en-GB" w:eastAsia="en-GB"/>
              </w:rPr>
            </w:pPr>
            <w:r w:rsidRPr="006016A8">
              <w:rPr>
                <w:rFonts w:ascii="Verdana" w:eastAsia="Calibri" w:hAnsi="Verdana"/>
                <w:sz w:val="18"/>
                <w:szCs w:val="18"/>
                <w:lang w:val="en-GB" w:eastAsia="en-GB"/>
              </w:rPr>
              <w:t xml:space="preserve">The Covid-19 pandemic </w:t>
            </w:r>
            <w:r>
              <w:rPr>
                <w:rFonts w:ascii="Verdana" w:eastAsia="Calibri" w:hAnsi="Verdana"/>
                <w:sz w:val="18"/>
                <w:szCs w:val="18"/>
                <w:lang w:val="en-GB" w:eastAsia="en-GB"/>
              </w:rPr>
              <w:t>could</w:t>
            </w:r>
            <w:r w:rsidRPr="006016A8">
              <w:rPr>
                <w:rFonts w:ascii="Verdana" w:eastAsia="Calibri" w:hAnsi="Verdana"/>
                <w:sz w:val="18"/>
                <w:szCs w:val="18"/>
                <w:lang w:val="en-GB" w:eastAsia="en-GB"/>
              </w:rPr>
              <w:t xml:space="preserve"> </w:t>
            </w:r>
            <w:r>
              <w:rPr>
                <w:rFonts w:ascii="Verdana" w:eastAsia="Calibri" w:hAnsi="Verdana"/>
                <w:sz w:val="18"/>
                <w:szCs w:val="18"/>
                <w:lang w:val="en-GB" w:eastAsia="en-GB"/>
              </w:rPr>
              <w:t xml:space="preserve">have </w:t>
            </w:r>
            <w:r w:rsidRPr="006016A8">
              <w:rPr>
                <w:rFonts w:ascii="Verdana" w:eastAsia="Calibri" w:hAnsi="Verdana"/>
                <w:sz w:val="18"/>
                <w:szCs w:val="18"/>
                <w:lang w:val="en-GB" w:eastAsia="en-GB"/>
              </w:rPr>
              <w:t>result</w:t>
            </w:r>
            <w:r>
              <w:rPr>
                <w:rFonts w:ascii="Verdana" w:eastAsia="Calibri" w:hAnsi="Verdana"/>
                <w:sz w:val="18"/>
                <w:szCs w:val="18"/>
                <w:lang w:val="en-GB" w:eastAsia="en-GB"/>
              </w:rPr>
              <w:t>ed</w:t>
            </w:r>
            <w:r w:rsidRPr="006016A8">
              <w:rPr>
                <w:rFonts w:ascii="Verdana" w:eastAsia="Calibri" w:hAnsi="Verdana"/>
                <w:sz w:val="18"/>
                <w:szCs w:val="18"/>
                <w:lang w:val="en-GB" w:eastAsia="en-GB"/>
              </w:rPr>
              <w:t xml:space="preserve"> in impairment to non-current assets if future service potential is reduced, this would impact on revaluation losses recognised in the financial statements</w:t>
            </w:r>
            <w:r>
              <w:rPr>
                <w:rFonts w:ascii="Verdana" w:eastAsia="Calibri" w:hAnsi="Verdana"/>
                <w:sz w:val="18"/>
                <w:szCs w:val="18"/>
                <w:lang w:val="en-GB" w:eastAsia="en-GB"/>
              </w:rPr>
              <w:t xml:space="preserve">. </w:t>
            </w:r>
          </w:p>
          <w:p w:rsidR="006016A8" w:rsidRPr="006016A8" w:rsidRDefault="006016A8" w:rsidP="006016A8">
            <w:pPr>
              <w:pStyle w:val="Normal0"/>
              <w:jc w:val="both"/>
              <w:rPr>
                <w:rFonts w:ascii="Verdana" w:hAnsi="Verdana"/>
                <w:sz w:val="18"/>
                <w:szCs w:val="18"/>
                <w:lang w:eastAsia="en-GB"/>
              </w:rPr>
            </w:pPr>
          </w:p>
          <w:p w:rsidR="0026663B" w:rsidRDefault="006016A8">
            <w:pPr>
              <w:pStyle w:val="Normal0"/>
              <w:jc w:val="both"/>
              <w:rPr>
                <w:rFonts w:ascii="Verdana" w:hAnsi="Verdana"/>
                <w:sz w:val="18"/>
                <w:szCs w:val="18"/>
                <w:lang w:eastAsia="en-GB"/>
              </w:rPr>
            </w:pPr>
            <w:r w:rsidRPr="006016A8">
              <w:rPr>
                <w:rFonts w:ascii="Verdana" w:hAnsi="Verdana"/>
                <w:sz w:val="18"/>
                <w:szCs w:val="18"/>
                <w:lang w:eastAsia="en-GB"/>
              </w:rPr>
              <w:t xml:space="preserve">In order to assess that ‘valuation uncertainty’, further advice from our valuers was sought regarding additional market data after the Balance Sheet Date, as a prudent approach to consider the likelihood of ‘material changes’ to the carrying value of our assets at the 31 March 2020 between the valuation date for these assets and the date of the audit opinion from EY. </w:t>
            </w:r>
          </w:p>
          <w:p w:rsidR="0026663B" w:rsidRDefault="0026663B">
            <w:pPr>
              <w:pStyle w:val="Normal0"/>
              <w:jc w:val="both"/>
              <w:rPr>
                <w:rFonts w:ascii="Verdana" w:hAnsi="Verdana"/>
                <w:sz w:val="18"/>
                <w:szCs w:val="18"/>
                <w:lang w:eastAsia="en-GB"/>
              </w:rPr>
            </w:pPr>
          </w:p>
          <w:p w:rsidR="00212849" w:rsidRDefault="00212849">
            <w:pPr>
              <w:pStyle w:val="Normal0"/>
              <w:jc w:val="both"/>
              <w:rPr>
                <w:rFonts w:ascii="Verdana" w:eastAsia="Calibri" w:hAnsi="Verdana"/>
                <w:sz w:val="18"/>
                <w:szCs w:val="18"/>
                <w:lang w:val="en-GB" w:eastAsia="en-GB"/>
              </w:rPr>
            </w:pPr>
            <w:r>
              <w:rPr>
                <w:rFonts w:ascii="Verdana" w:eastAsia="Calibri" w:hAnsi="Verdana"/>
                <w:sz w:val="18"/>
                <w:szCs w:val="18"/>
                <w:lang w:val="en-GB" w:eastAsia="en-GB"/>
              </w:rPr>
              <w:t>A market review</w:t>
            </w:r>
            <w:r w:rsidR="0026663B">
              <w:rPr>
                <w:rFonts w:ascii="Verdana" w:eastAsia="Calibri" w:hAnsi="Verdana"/>
                <w:sz w:val="18"/>
                <w:szCs w:val="18"/>
                <w:lang w:val="en-GB" w:eastAsia="en-GB"/>
              </w:rPr>
              <w:t xml:space="preserve"> was</w:t>
            </w:r>
            <w:r>
              <w:rPr>
                <w:rFonts w:ascii="Verdana" w:eastAsia="Calibri" w:hAnsi="Verdana"/>
                <w:sz w:val="18"/>
                <w:szCs w:val="18"/>
                <w:lang w:val="en-GB" w:eastAsia="en-GB"/>
              </w:rPr>
              <w:t xml:space="preserve"> undertaken in October and concluded that</w:t>
            </w:r>
            <w:r w:rsidRPr="006016A8">
              <w:rPr>
                <w:rFonts w:ascii="Verdana" w:eastAsia="Calibri" w:hAnsi="Verdana"/>
                <w:sz w:val="18"/>
                <w:szCs w:val="18"/>
                <w:lang w:val="en-GB" w:eastAsia="en-GB"/>
              </w:rPr>
              <w:t xml:space="preserve"> </w:t>
            </w:r>
            <w:r>
              <w:rPr>
                <w:rFonts w:ascii="Verdana" w:eastAsia="Calibri" w:hAnsi="Verdana"/>
                <w:sz w:val="18"/>
                <w:szCs w:val="18"/>
                <w:lang w:val="en-GB" w:eastAsia="en-GB"/>
              </w:rPr>
              <w:t xml:space="preserve">no adjustment to PPE </w:t>
            </w:r>
            <w:r w:rsidR="0026663B">
              <w:rPr>
                <w:rFonts w:ascii="Verdana" w:eastAsia="Calibri" w:hAnsi="Verdana"/>
                <w:sz w:val="18"/>
                <w:szCs w:val="18"/>
                <w:lang w:val="en-GB" w:eastAsia="en-GB"/>
              </w:rPr>
              <w:t>valuations in the accounts as at 31 March 2020</w:t>
            </w:r>
            <w:r>
              <w:rPr>
                <w:rFonts w:ascii="Verdana" w:eastAsia="Calibri" w:hAnsi="Verdana"/>
                <w:sz w:val="18"/>
                <w:szCs w:val="18"/>
                <w:lang w:val="en-GB" w:eastAsia="en-GB"/>
              </w:rPr>
              <w:t xml:space="preserve"> despite the material uncertainty resulting from limited information and future impact of the pandemic</w:t>
            </w:r>
            <w:r w:rsidRPr="006016A8">
              <w:rPr>
                <w:rFonts w:ascii="Verdana" w:eastAsia="Calibri" w:hAnsi="Verdana"/>
                <w:sz w:val="18"/>
                <w:szCs w:val="18"/>
                <w:lang w:val="en-GB" w:eastAsia="en-GB"/>
              </w:rPr>
              <w:t>.</w:t>
            </w:r>
          </w:p>
          <w:p w:rsidR="00CA6653" w:rsidRPr="00980F0A" w:rsidRDefault="00CA6653">
            <w:pPr>
              <w:pStyle w:val="Normal0"/>
              <w:jc w:val="both"/>
              <w:rPr>
                <w:rFonts w:ascii="Verdana" w:eastAsia="Calibri" w:hAnsi="Verdana"/>
                <w:sz w:val="18"/>
                <w:szCs w:val="18"/>
                <w:lang w:val="en-GB" w:eastAsia="en-GB"/>
              </w:rPr>
            </w:pPr>
          </w:p>
        </w:tc>
        <w:tc>
          <w:tcPr>
            <w:tcW w:w="4536" w:type="dxa"/>
            <w:tcBorders>
              <w:top w:val="nil"/>
              <w:left w:val="nil"/>
              <w:bottom w:val="single" w:sz="4" w:space="0" w:color="auto"/>
              <w:right w:val="single" w:sz="4" w:space="0" w:color="auto"/>
            </w:tcBorders>
            <w:shd w:val="clear" w:color="auto" w:fill="auto"/>
            <w:hideMark/>
          </w:tcPr>
          <w:p w:rsidR="006016A8" w:rsidRPr="00A200D5" w:rsidRDefault="00CA6653">
            <w:pPr>
              <w:pStyle w:val="Normal0"/>
              <w:spacing w:line="240" w:lineRule="auto"/>
              <w:jc w:val="both"/>
              <w:rPr>
                <w:rFonts w:ascii="Verdana" w:eastAsia="Times New Roman" w:hAnsi="Verdana" w:cs="Arial"/>
                <w:color w:val="000000"/>
                <w:sz w:val="18"/>
                <w:szCs w:val="18"/>
                <w:lang w:eastAsia="en-GB"/>
              </w:rPr>
            </w:pPr>
            <w:r w:rsidRPr="00A200D5">
              <w:rPr>
                <w:rFonts w:ascii="Verdana" w:eastAsia="Times New Roman" w:hAnsi="Verdana" w:cs="Arial"/>
                <w:color w:val="000000"/>
                <w:sz w:val="18"/>
                <w:szCs w:val="18"/>
                <w:lang w:eastAsia="en-GB"/>
              </w:rPr>
              <w:t xml:space="preserve">If the useful life of an asset is reduced, depreciation increases and the carrying amount of the asset falls.   It is estimated that the annual depreciation charge increases by </w:t>
            </w:r>
            <w:r w:rsidR="003E15DC" w:rsidRPr="00A200D5">
              <w:rPr>
                <w:rFonts w:ascii="Verdana" w:eastAsia="Times New Roman" w:hAnsi="Verdana" w:cs="Arial"/>
                <w:color w:val="000000"/>
                <w:sz w:val="18"/>
                <w:szCs w:val="18"/>
                <w:lang w:eastAsia="en-GB"/>
              </w:rPr>
              <w:t>£1.9m</w:t>
            </w:r>
            <w:r w:rsidRPr="00A200D5">
              <w:rPr>
                <w:rFonts w:ascii="Verdana" w:eastAsia="Times New Roman" w:hAnsi="Verdana" w:cs="Arial"/>
                <w:color w:val="000000"/>
                <w:sz w:val="18"/>
                <w:szCs w:val="18"/>
                <w:lang w:eastAsia="en-GB"/>
              </w:rPr>
              <w:t xml:space="preserve"> for every year that useful lives are reduced.  </w:t>
            </w:r>
          </w:p>
          <w:p w:rsidR="006016A8" w:rsidRPr="006016A8" w:rsidRDefault="006016A8">
            <w:pPr>
              <w:pStyle w:val="Normal0"/>
              <w:spacing w:line="240" w:lineRule="auto"/>
              <w:jc w:val="both"/>
              <w:rPr>
                <w:rFonts w:ascii="Verdana" w:eastAsia="Times New Roman" w:hAnsi="Verdana" w:cs="Arial"/>
                <w:color w:val="000000"/>
                <w:sz w:val="18"/>
                <w:szCs w:val="18"/>
                <w:lang w:eastAsia="en-GB"/>
              </w:rPr>
            </w:pPr>
          </w:p>
          <w:p w:rsidR="006016A8" w:rsidRPr="00A200D5" w:rsidRDefault="006016A8" w:rsidP="00A200D5">
            <w:pPr>
              <w:jc w:val="both"/>
              <w:rPr>
                <w:rFonts w:eastAsia="Calibri" w:cs="Times New Roman"/>
                <w:sz w:val="18"/>
                <w:szCs w:val="18"/>
                <w:lang w:val="en-GB" w:eastAsia="en-GB"/>
              </w:rPr>
            </w:pPr>
            <w:r w:rsidRPr="00A200D5">
              <w:rPr>
                <w:rFonts w:eastAsia="Calibri" w:cs="Times New Roman"/>
                <w:sz w:val="18"/>
                <w:szCs w:val="18"/>
                <w:lang w:val="en-GB" w:eastAsia="en-GB"/>
              </w:rPr>
              <w:t xml:space="preserve">A 1% market movement for valuations of the asset classes held by the PCC for Surrey would be as follows: </w:t>
            </w:r>
          </w:p>
          <w:p w:rsidR="006016A8" w:rsidRPr="00A200D5" w:rsidRDefault="006016A8" w:rsidP="00A200D5">
            <w:pPr>
              <w:pStyle w:val="ListParagraph"/>
              <w:numPr>
                <w:ilvl w:val="0"/>
                <w:numId w:val="37"/>
              </w:numPr>
              <w:jc w:val="both"/>
              <w:rPr>
                <w:rFonts w:eastAsia="Calibri" w:cs="Times New Roman"/>
                <w:sz w:val="18"/>
                <w:szCs w:val="18"/>
              </w:rPr>
            </w:pPr>
            <w:r w:rsidRPr="00A200D5">
              <w:rPr>
                <w:rFonts w:eastAsia="Calibri" w:cs="Times New Roman"/>
                <w:sz w:val="18"/>
                <w:szCs w:val="18"/>
              </w:rPr>
              <w:t>Specialised Operational Property asset (Custody Suite) measured using DRC methodology £0.0</w:t>
            </w:r>
            <w:r w:rsidR="003A7354">
              <w:rPr>
                <w:rFonts w:eastAsia="Calibri" w:cs="Times New Roman"/>
                <w:sz w:val="18"/>
                <w:szCs w:val="18"/>
              </w:rPr>
              <w:t>7</w:t>
            </w:r>
            <w:r w:rsidRPr="00A200D5">
              <w:rPr>
                <w:rFonts w:eastAsia="Calibri" w:cs="Times New Roman"/>
                <w:sz w:val="18"/>
                <w:szCs w:val="18"/>
              </w:rPr>
              <w:t>m</w:t>
            </w:r>
          </w:p>
          <w:p w:rsidR="006016A8" w:rsidRPr="00A200D5" w:rsidRDefault="006016A8" w:rsidP="00A200D5">
            <w:pPr>
              <w:numPr>
                <w:ilvl w:val="0"/>
                <w:numId w:val="37"/>
              </w:numPr>
              <w:jc w:val="both"/>
              <w:rPr>
                <w:rFonts w:eastAsia="Calibri" w:cs="Times New Roman"/>
                <w:sz w:val="18"/>
                <w:szCs w:val="18"/>
                <w:lang w:val="en-GB" w:eastAsia="en-GB"/>
              </w:rPr>
            </w:pPr>
            <w:r w:rsidRPr="00A200D5">
              <w:rPr>
                <w:rFonts w:eastAsia="Calibri" w:cs="Times New Roman"/>
                <w:sz w:val="18"/>
                <w:szCs w:val="18"/>
                <w:lang w:val="en-GB" w:eastAsia="en-GB"/>
              </w:rPr>
              <w:t xml:space="preserve">Non-specialised Operational Property assets measured using EUV methodology </w:t>
            </w:r>
            <w:r w:rsidR="006F39E5" w:rsidRPr="00A200D5">
              <w:rPr>
                <w:rFonts w:eastAsia="Calibri" w:cs="Times New Roman"/>
                <w:sz w:val="18"/>
                <w:szCs w:val="18"/>
                <w:lang w:val="en-GB" w:eastAsia="en-GB"/>
              </w:rPr>
              <w:t>£</w:t>
            </w:r>
            <w:r w:rsidR="003A7354">
              <w:rPr>
                <w:rFonts w:eastAsia="Calibri" w:cs="Times New Roman"/>
                <w:sz w:val="18"/>
                <w:szCs w:val="18"/>
                <w:lang w:val="en-GB" w:eastAsia="en-GB"/>
              </w:rPr>
              <w:t>0.6</w:t>
            </w:r>
            <w:r w:rsidR="006F39E5" w:rsidRPr="00A200D5">
              <w:rPr>
                <w:rFonts w:eastAsia="Calibri" w:cs="Times New Roman"/>
                <w:sz w:val="18"/>
                <w:szCs w:val="18"/>
                <w:lang w:val="en-GB" w:eastAsia="en-GB"/>
              </w:rPr>
              <w:t>2</w:t>
            </w:r>
            <w:r w:rsidRPr="00A200D5">
              <w:rPr>
                <w:rFonts w:eastAsia="Calibri" w:cs="Times New Roman"/>
                <w:sz w:val="18"/>
                <w:szCs w:val="18"/>
                <w:lang w:val="en-GB" w:eastAsia="en-GB"/>
              </w:rPr>
              <w:t>m</w:t>
            </w:r>
          </w:p>
          <w:p w:rsidR="006016A8" w:rsidRPr="00A200D5" w:rsidRDefault="006016A8" w:rsidP="00A200D5">
            <w:pPr>
              <w:numPr>
                <w:ilvl w:val="0"/>
                <w:numId w:val="37"/>
              </w:numPr>
              <w:jc w:val="both"/>
              <w:rPr>
                <w:rFonts w:eastAsia="Calibri" w:cs="Times New Roman"/>
                <w:sz w:val="18"/>
                <w:szCs w:val="18"/>
                <w:lang w:val="en-GB" w:eastAsia="en-GB"/>
              </w:rPr>
            </w:pPr>
            <w:r w:rsidRPr="00A200D5">
              <w:rPr>
                <w:rFonts w:eastAsia="Calibri" w:cs="Times New Roman"/>
                <w:sz w:val="18"/>
                <w:szCs w:val="18"/>
                <w:lang w:val="en-GB" w:eastAsia="en-GB"/>
              </w:rPr>
              <w:t>Assets Held for Sale measured using Market Value £0.01m</w:t>
            </w:r>
          </w:p>
          <w:p w:rsidR="006016A8" w:rsidRPr="00A200D5" w:rsidRDefault="006016A8" w:rsidP="00A200D5">
            <w:pPr>
              <w:numPr>
                <w:ilvl w:val="0"/>
                <w:numId w:val="37"/>
              </w:numPr>
              <w:jc w:val="both"/>
              <w:rPr>
                <w:rFonts w:eastAsia="Calibri" w:cs="Times New Roman"/>
                <w:sz w:val="18"/>
                <w:szCs w:val="18"/>
                <w:lang w:val="en-GB" w:eastAsia="en-GB"/>
              </w:rPr>
            </w:pPr>
            <w:r w:rsidRPr="00A200D5">
              <w:rPr>
                <w:rFonts w:eastAsia="Calibri" w:cs="Times New Roman"/>
                <w:sz w:val="18"/>
                <w:szCs w:val="18"/>
                <w:lang w:val="en-GB" w:eastAsia="en-GB"/>
              </w:rPr>
              <w:t>Investment Property valued using Fair Value £0.01m</w:t>
            </w:r>
          </w:p>
          <w:p w:rsidR="006016A8" w:rsidRPr="00A200D5" w:rsidRDefault="006016A8" w:rsidP="00A200D5">
            <w:pPr>
              <w:jc w:val="both"/>
              <w:rPr>
                <w:rFonts w:eastAsia="Calibri" w:cs="Times New Roman"/>
                <w:sz w:val="18"/>
                <w:szCs w:val="18"/>
                <w:lang w:val="en-GB" w:eastAsia="en-GB"/>
              </w:rPr>
            </w:pPr>
          </w:p>
          <w:p w:rsidR="00CA6653" w:rsidRPr="00A200D5" w:rsidRDefault="00CA6653" w:rsidP="003E15DC">
            <w:pPr>
              <w:pStyle w:val="Normal0"/>
              <w:spacing w:line="240" w:lineRule="auto"/>
              <w:jc w:val="both"/>
              <w:rPr>
                <w:rFonts w:ascii="Verdana" w:eastAsia="Times New Roman" w:hAnsi="Verdana" w:cs="Arial"/>
                <w:color w:val="000000"/>
                <w:sz w:val="18"/>
                <w:szCs w:val="18"/>
                <w:highlight w:val="yellow"/>
                <w:lang w:eastAsia="en-GB"/>
              </w:rPr>
            </w:pPr>
          </w:p>
        </w:tc>
      </w:tr>
      <w:tr w:rsidR="004D417B" w:rsidTr="00A200D5">
        <w:trPr>
          <w:trHeight w:val="699"/>
        </w:trPr>
        <w:tc>
          <w:tcPr>
            <w:tcW w:w="1660" w:type="dxa"/>
            <w:tcBorders>
              <w:top w:val="nil"/>
              <w:left w:val="single" w:sz="4" w:space="0" w:color="auto"/>
              <w:bottom w:val="single" w:sz="4" w:space="0" w:color="auto"/>
              <w:right w:val="single" w:sz="4" w:space="0" w:color="auto"/>
            </w:tcBorders>
            <w:shd w:val="clear" w:color="auto" w:fill="auto"/>
            <w:hideMark/>
          </w:tcPr>
          <w:p w:rsidR="00CA6653" w:rsidRPr="00594C6D" w:rsidRDefault="00CA6653" w:rsidP="00CA6653">
            <w:pPr>
              <w:pStyle w:val="Normal0"/>
              <w:spacing w:line="240" w:lineRule="auto"/>
              <w:jc w:val="both"/>
              <w:rPr>
                <w:rFonts w:ascii="Arial" w:eastAsia="Times New Roman" w:hAnsi="Arial" w:cs="Arial"/>
                <w:b/>
                <w:bCs/>
                <w:color w:val="000000"/>
                <w:sz w:val="18"/>
                <w:szCs w:val="18"/>
                <w:lang w:eastAsia="en-GB"/>
              </w:rPr>
            </w:pPr>
            <w:r w:rsidRPr="00594C6D">
              <w:rPr>
                <w:rFonts w:ascii="Arial" w:eastAsia="Times New Roman" w:hAnsi="Arial" w:cs="Arial"/>
                <w:b/>
                <w:bCs/>
                <w:color w:val="000000"/>
                <w:sz w:val="18"/>
                <w:szCs w:val="18"/>
                <w:lang w:eastAsia="en-GB"/>
              </w:rPr>
              <w:t xml:space="preserve">Pensions Liability </w:t>
            </w:r>
          </w:p>
        </w:tc>
        <w:tc>
          <w:tcPr>
            <w:tcW w:w="4152" w:type="dxa"/>
            <w:tcBorders>
              <w:top w:val="nil"/>
              <w:left w:val="nil"/>
              <w:bottom w:val="single" w:sz="4" w:space="0" w:color="auto"/>
              <w:right w:val="single" w:sz="4" w:space="0" w:color="auto"/>
            </w:tcBorders>
            <w:shd w:val="clear" w:color="auto" w:fill="auto"/>
            <w:hideMark/>
          </w:tcPr>
          <w:p w:rsidR="00594C6D" w:rsidRPr="0017753F" w:rsidRDefault="00CA6653" w:rsidP="00CA6653">
            <w:pPr>
              <w:pStyle w:val="Normal0"/>
              <w:spacing w:line="240" w:lineRule="auto"/>
              <w:jc w:val="both"/>
              <w:rPr>
                <w:rFonts w:ascii="Verdana" w:eastAsia="Times New Roman" w:hAnsi="Verdana" w:cs="Arial"/>
                <w:color w:val="000000"/>
                <w:sz w:val="18"/>
                <w:szCs w:val="18"/>
                <w:lang w:eastAsia="en-GB"/>
              </w:rPr>
            </w:pPr>
            <w:r w:rsidRPr="0017753F">
              <w:rPr>
                <w:rFonts w:ascii="Verdana" w:eastAsia="Times New Roman" w:hAnsi="Verdana" w:cs="Arial"/>
                <w:color w:val="000000"/>
                <w:sz w:val="18"/>
                <w:szCs w:val="18"/>
                <w:lang w:eastAsia="en-GB"/>
              </w:rPr>
              <w:t xml:space="preserve">Estimation of the net liability to pay pensions depends on a number of complex judgements relating to the discount rate used, the rate at which salaries are projected to increase, changes in retirement ages, mortality rates and expected returns on pension fund assets. The Governments Actuary's Department have been engaged to provide the Group with expert advice about the assumptions to be applied for the Police Pension Schemes and Hymans Robertson LLP provides the same advice for the Police Staff Pension Scheme. </w:t>
            </w:r>
          </w:p>
          <w:p w:rsidR="00594C6D" w:rsidRPr="0017753F" w:rsidRDefault="00594C6D" w:rsidP="00CA6653">
            <w:pPr>
              <w:pStyle w:val="Normal0"/>
              <w:spacing w:line="240" w:lineRule="auto"/>
              <w:jc w:val="both"/>
              <w:rPr>
                <w:rFonts w:ascii="Verdana" w:eastAsia="Times New Roman" w:hAnsi="Verdana" w:cs="Arial"/>
                <w:color w:val="000000"/>
                <w:sz w:val="18"/>
                <w:szCs w:val="18"/>
                <w:lang w:eastAsia="en-GB"/>
              </w:rPr>
            </w:pPr>
          </w:p>
          <w:p w:rsidR="00594C6D" w:rsidRPr="0017753F" w:rsidRDefault="00594C6D" w:rsidP="00CA6653">
            <w:pPr>
              <w:pStyle w:val="Normal0"/>
              <w:spacing w:line="240" w:lineRule="auto"/>
              <w:jc w:val="both"/>
              <w:rPr>
                <w:rFonts w:ascii="Verdana" w:eastAsia="Times New Roman" w:hAnsi="Verdana" w:cs="Arial"/>
                <w:color w:val="000000"/>
                <w:sz w:val="18"/>
                <w:szCs w:val="18"/>
                <w:lang w:eastAsia="en-GB"/>
              </w:rPr>
            </w:pPr>
            <w:r w:rsidRPr="0017753F">
              <w:rPr>
                <w:rFonts w:ascii="Verdana" w:eastAsia="Times New Roman" w:hAnsi="Verdana" w:cs="Arial"/>
                <w:color w:val="000000"/>
                <w:sz w:val="18"/>
                <w:szCs w:val="18"/>
                <w:lang w:eastAsia="en-GB"/>
              </w:rPr>
              <w:t>Pension</w:t>
            </w:r>
            <w:r w:rsidR="00CA6653" w:rsidRPr="0017753F">
              <w:rPr>
                <w:rFonts w:ascii="Verdana" w:eastAsia="Times New Roman" w:hAnsi="Verdana" w:cs="Arial"/>
                <w:color w:val="000000"/>
                <w:sz w:val="18"/>
                <w:szCs w:val="18"/>
                <w:lang w:eastAsia="en-GB"/>
              </w:rPr>
              <w:t xml:space="preserve"> assumptions now include the impact of ‘McCloud/Sargeant’ transitional protections for both officer and staff pension schemes to better reflect the Fund’s local assumptions, particularly those for salary increases and withdrawal rates.  </w:t>
            </w:r>
          </w:p>
          <w:p w:rsidR="00594C6D" w:rsidRPr="0017753F" w:rsidRDefault="00594C6D" w:rsidP="00CA6653">
            <w:pPr>
              <w:pStyle w:val="Normal0"/>
              <w:spacing w:line="240" w:lineRule="auto"/>
              <w:jc w:val="both"/>
              <w:rPr>
                <w:rFonts w:ascii="Verdana" w:eastAsia="Times New Roman" w:hAnsi="Verdana" w:cs="Arial"/>
                <w:color w:val="000000"/>
                <w:sz w:val="18"/>
                <w:szCs w:val="18"/>
                <w:lang w:eastAsia="en-GB"/>
              </w:rPr>
            </w:pPr>
          </w:p>
          <w:p w:rsidR="00CA6653" w:rsidRPr="0017753F" w:rsidRDefault="00CA6653" w:rsidP="00CA6653">
            <w:pPr>
              <w:pStyle w:val="Normal0"/>
              <w:spacing w:line="240" w:lineRule="auto"/>
              <w:jc w:val="both"/>
              <w:rPr>
                <w:rFonts w:ascii="Verdana" w:eastAsia="Times New Roman" w:hAnsi="Verdana" w:cs="Arial"/>
                <w:color w:val="000000"/>
                <w:sz w:val="18"/>
                <w:szCs w:val="18"/>
                <w:lang w:eastAsia="en-GB"/>
              </w:rPr>
            </w:pPr>
            <w:r w:rsidRPr="0017753F">
              <w:rPr>
                <w:rFonts w:ascii="Verdana" w:eastAsia="Times New Roman" w:hAnsi="Verdana" w:cs="Arial"/>
                <w:color w:val="000000"/>
                <w:sz w:val="18"/>
                <w:szCs w:val="18"/>
                <w:lang w:eastAsia="en-GB"/>
              </w:rPr>
              <w:t>The Fund’s actuary also carried out calculations in order to estimate the impact that the Guaranteed Minimum Pension (GMP) equalisation will have on the pension fund liabilities.</w:t>
            </w:r>
          </w:p>
        </w:tc>
        <w:tc>
          <w:tcPr>
            <w:tcW w:w="4536" w:type="dxa"/>
            <w:tcBorders>
              <w:top w:val="nil"/>
              <w:left w:val="nil"/>
              <w:bottom w:val="single" w:sz="4" w:space="0" w:color="auto"/>
              <w:right w:val="single" w:sz="4" w:space="0" w:color="auto"/>
            </w:tcBorders>
            <w:shd w:val="clear" w:color="auto" w:fill="auto"/>
            <w:hideMark/>
          </w:tcPr>
          <w:p w:rsidR="00594C6D" w:rsidRPr="0017753F" w:rsidRDefault="00594C6D" w:rsidP="00A200D5">
            <w:pPr>
              <w:pStyle w:val="NoSpacing"/>
              <w:jc w:val="both"/>
              <w:rPr>
                <w:sz w:val="18"/>
                <w:szCs w:val="18"/>
                <w:lang w:val="en-GB" w:eastAsia="en-GB"/>
              </w:rPr>
            </w:pPr>
            <w:r w:rsidRPr="0017753F">
              <w:rPr>
                <w:sz w:val="18"/>
                <w:szCs w:val="18"/>
                <w:lang w:val="en-GB" w:eastAsia="en-GB"/>
              </w:rPr>
              <w:t xml:space="preserve">The effects on the net pension liability of changes in individual assumptions can </w:t>
            </w:r>
            <w:r w:rsidR="002D7A26">
              <w:rPr>
                <w:sz w:val="18"/>
                <w:szCs w:val="18"/>
                <w:lang w:val="en-GB" w:eastAsia="en-GB"/>
              </w:rPr>
              <w:t xml:space="preserve">be </w:t>
            </w:r>
            <w:r w:rsidR="002D7A26" w:rsidRPr="002D7A26">
              <w:rPr>
                <w:sz w:val="18"/>
                <w:szCs w:val="18"/>
                <w:lang w:val="en-GB" w:eastAsia="en-GB"/>
              </w:rPr>
              <w:t xml:space="preserve">measured. For instance, a </w:t>
            </w:r>
            <w:r w:rsidR="00F05454">
              <w:rPr>
                <w:sz w:val="18"/>
                <w:szCs w:val="18"/>
                <w:lang w:val="en-GB" w:eastAsia="en-GB"/>
              </w:rPr>
              <w:t>0.5</w:t>
            </w:r>
            <w:r w:rsidRPr="002D7A26">
              <w:rPr>
                <w:sz w:val="18"/>
                <w:szCs w:val="18"/>
                <w:lang w:val="en-GB" w:eastAsia="en-GB"/>
              </w:rPr>
              <w:t xml:space="preserve">% decrease in the real discount rate assumption would result in an increase in the staff scheme pension </w:t>
            </w:r>
            <w:r w:rsidR="00F05454">
              <w:rPr>
                <w:sz w:val="18"/>
                <w:szCs w:val="18"/>
                <w:lang w:val="en-GB" w:eastAsia="en-GB"/>
              </w:rPr>
              <w:t>obligation</w:t>
            </w:r>
            <w:r w:rsidR="00F05454" w:rsidRPr="002D7A26">
              <w:rPr>
                <w:sz w:val="18"/>
                <w:szCs w:val="18"/>
                <w:lang w:val="en-GB" w:eastAsia="en-GB"/>
              </w:rPr>
              <w:t xml:space="preserve"> </w:t>
            </w:r>
            <w:r w:rsidRPr="002D7A26">
              <w:rPr>
                <w:sz w:val="18"/>
                <w:szCs w:val="18"/>
                <w:lang w:val="en-GB" w:eastAsia="en-GB"/>
              </w:rPr>
              <w:t>of £</w:t>
            </w:r>
            <w:r w:rsidR="00F05454">
              <w:rPr>
                <w:sz w:val="18"/>
                <w:szCs w:val="18"/>
                <w:lang w:val="en-GB" w:eastAsia="en-GB"/>
              </w:rPr>
              <w:t>49.9</w:t>
            </w:r>
            <w:r w:rsidRPr="002D7A26">
              <w:rPr>
                <w:sz w:val="18"/>
                <w:szCs w:val="18"/>
                <w:lang w:val="en-GB" w:eastAsia="en-GB"/>
              </w:rPr>
              <w:t xml:space="preserve">m </w:t>
            </w:r>
            <w:r w:rsidR="00F05454">
              <w:rPr>
                <w:sz w:val="18"/>
                <w:szCs w:val="18"/>
                <w:lang w:val="en-GB" w:eastAsia="en-GB"/>
              </w:rPr>
              <w:t>for the CC and £0.5m for the PCC with</w:t>
            </w:r>
            <w:r w:rsidR="00F05454" w:rsidRPr="002D7A26">
              <w:rPr>
                <w:sz w:val="18"/>
                <w:szCs w:val="18"/>
                <w:lang w:val="en-GB" w:eastAsia="en-GB"/>
              </w:rPr>
              <w:t xml:space="preserve"> </w:t>
            </w:r>
            <w:r w:rsidRPr="002D7A26">
              <w:rPr>
                <w:sz w:val="18"/>
                <w:szCs w:val="18"/>
                <w:lang w:val="en-GB" w:eastAsia="en-GB"/>
              </w:rPr>
              <w:t>an increase in the police officer pension scheme pension liability of £</w:t>
            </w:r>
            <w:r w:rsidR="00F05454">
              <w:rPr>
                <w:sz w:val="18"/>
                <w:szCs w:val="18"/>
                <w:lang w:val="en-GB" w:eastAsia="en-GB"/>
              </w:rPr>
              <w:t>197</w:t>
            </w:r>
            <w:r w:rsidR="002D7A26" w:rsidRPr="002D7A26">
              <w:rPr>
                <w:sz w:val="18"/>
                <w:szCs w:val="18"/>
                <w:lang w:val="en-GB" w:eastAsia="en-GB"/>
              </w:rPr>
              <w:t>.0</w:t>
            </w:r>
            <w:r w:rsidRPr="002D7A26">
              <w:rPr>
                <w:sz w:val="18"/>
                <w:szCs w:val="18"/>
                <w:lang w:val="en-GB" w:eastAsia="en-GB"/>
              </w:rPr>
              <w:t>m. However, the assumptions interact in complex ways. During 2019/20, the Group's actuaries advised that the net</w:t>
            </w:r>
            <w:r w:rsidRPr="0017753F">
              <w:rPr>
                <w:sz w:val="18"/>
                <w:szCs w:val="18"/>
                <w:lang w:val="en-GB" w:eastAsia="en-GB"/>
              </w:rPr>
              <w:t xml:space="preserve"> pension liability had decreased in total by £</w:t>
            </w:r>
            <w:r w:rsidR="00436699">
              <w:rPr>
                <w:sz w:val="18"/>
                <w:szCs w:val="18"/>
                <w:lang w:val="en-GB" w:eastAsia="en-GB"/>
              </w:rPr>
              <w:t>129.0</w:t>
            </w:r>
            <w:r w:rsidRPr="0017753F">
              <w:rPr>
                <w:sz w:val="18"/>
                <w:szCs w:val="18"/>
                <w:lang w:val="en-GB" w:eastAsia="en-GB"/>
              </w:rPr>
              <w:t>m as a result of revised actuarial assumptions.</w:t>
            </w:r>
          </w:p>
          <w:p w:rsidR="00594C6D" w:rsidRPr="0017753F" w:rsidRDefault="00594C6D" w:rsidP="00CA6653">
            <w:pPr>
              <w:pStyle w:val="Normal0"/>
              <w:spacing w:line="240" w:lineRule="auto"/>
              <w:jc w:val="both"/>
              <w:rPr>
                <w:rFonts w:ascii="Verdana" w:eastAsia="Times New Roman" w:hAnsi="Verdana" w:cs="Arial"/>
                <w:color w:val="000000"/>
                <w:sz w:val="18"/>
                <w:szCs w:val="18"/>
                <w:lang w:eastAsia="en-GB"/>
              </w:rPr>
            </w:pPr>
          </w:p>
          <w:p w:rsidR="00F03FF2" w:rsidRPr="00A200D5" w:rsidRDefault="00CA6653" w:rsidP="00CA6653">
            <w:pPr>
              <w:pStyle w:val="Normal0"/>
              <w:spacing w:line="240" w:lineRule="auto"/>
              <w:jc w:val="both"/>
              <w:rPr>
                <w:rFonts w:ascii="Verdana" w:eastAsia="Times New Roman" w:hAnsi="Verdana" w:cs="Arial"/>
                <w:color w:val="000000"/>
                <w:sz w:val="18"/>
                <w:szCs w:val="18"/>
                <w:lang w:eastAsia="en-GB"/>
              </w:rPr>
            </w:pPr>
            <w:r w:rsidRPr="0017753F">
              <w:rPr>
                <w:rFonts w:ascii="Verdana" w:eastAsia="Times New Roman" w:hAnsi="Verdana" w:cs="Arial"/>
                <w:color w:val="000000"/>
                <w:sz w:val="18"/>
                <w:szCs w:val="18"/>
                <w:lang w:eastAsia="en-GB"/>
              </w:rPr>
              <w:t>Quantifying the impact of the ‘McCloud/Sargeant’ judgement at this stage is very difficult because it will depend on the compensation awarded, members’ future salary increases, length of service and retirement age, and whether (when) members withdraw from active service.  Salary increases in particular can vary significantly from year to year and from member to member depending on factors such as budget restraint, job performance and career progression.  The GMP estimate assumes that the permanent solution eventually agreed will be equivalent in cost to extending the interim solution to all members reaching state pension age from 6 April 2016 onwards.</w:t>
            </w:r>
          </w:p>
        </w:tc>
      </w:tr>
      <w:tr w:rsidR="0017753F" w:rsidTr="0017753F">
        <w:trPr>
          <w:trHeight w:val="1697"/>
        </w:trPr>
        <w:tc>
          <w:tcPr>
            <w:tcW w:w="1660" w:type="dxa"/>
            <w:tcBorders>
              <w:top w:val="single" w:sz="4" w:space="0" w:color="auto"/>
              <w:left w:val="single" w:sz="4" w:space="0" w:color="auto"/>
              <w:bottom w:val="single" w:sz="4" w:space="0" w:color="auto"/>
              <w:right w:val="single" w:sz="4" w:space="0" w:color="auto"/>
            </w:tcBorders>
            <w:vAlign w:val="center"/>
          </w:tcPr>
          <w:p w:rsidR="0017753F" w:rsidRPr="0017753F" w:rsidRDefault="0017753F" w:rsidP="0017753F">
            <w:pPr>
              <w:pStyle w:val="NoSpacing"/>
              <w:rPr>
                <w:b/>
                <w:sz w:val="18"/>
                <w:szCs w:val="18"/>
                <w:lang w:val="en-GB" w:eastAsia="en-GB"/>
              </w:rPr>
            </w:pPr>
            <w:r w:rsidRPr="0017753F">
              <w:rPr>
                <w:b/>
                <w:sz w:val="18"/>
                <w:szCs w:val="18"/>
                <w:lang w:val="en-GB" w:eastAsia="en-GB"/>
              </w:rPr>
              <w:t xml:space="preserve">Pensions Costs  </w:t>
            </w:r>
          </w:p>
        </w:tc>
        <w:tc>
          <w:tcPr>
            <w:tcW w:w="4152" w:type="dxa"/>
            <w:tcBorders>
              <w:top w:val="single" w:sz="4" w:space="0" w:color="auto"/>
              <w:left w:val="single" w:sz="4" w:space="0" w:color="auto"/>
              <w:bottom w:val="single" w:sz="4" w:space="0" w:color="auto"/>
              <w:right w:val="single" w:sz="4" w:space="0" w:color="auto"/>
            </w:tcBorders>
            <w:vAlign w:val="center"/>
          </w:tcPr>
          <w:p w:rsidR="0017753F" w:rsidRPr="0017753F" w:rsidRDefault="0017753F" w:rsidP="0017753F">
            <w:pPr>
              <w:pStyle w:val="NoSpacing"/>
              <w:jc w:val="both"/>
              <w:rPr>
                <w:sz w:val="18"/>
                <w:szCs w:val="18"/>
                <w:lang w:val="en-GB" w:eastAsia="en-GB"/>
              </w:rPr>
            </w:pPr>
            <w:r w:rsidRPr="0017753F">
              <w:rPr>
                <w:sz w:val="18"/>
                <w:szCs w:val="18"/>
                <w:lang w:val="en-GB" w:eastAsia="en-GB"/>
              </w:rPr>
              <w:t>There are three pension schemes for police officers, the 2006 Police Officer Pension Scheme (NPPS), the Police Pension Scheme (</w:t>
            </w:r>
            <w:smartTag w:uri="urn:schemas-microsoft-com:office:smarttags" w:element="stockticker">
              <w:r w:rsidRPr="0017753F">
                <w:rPr>
                  <w:sz w:val="18"/>
                  <w:szCs w:val="18"/>
                  <w:lang w:val="en-GB" w:eastAsia="en-GB"/>
                </w:rPr>
                <w:t>PPS</w:t>
              </w:r>
            </w:smartTag>
            <w:r w:rsidRPr="0017753F">
              <w:rPr>
                <w:sz w:val="18"/>
                <w:szCs w:val="18"/>
                <w:lang w:val="en-GB" w:eastAsia="en-GB"/>
              </w:rPr>
              <w:t xml:space="preserve">) and the Police Pension Scheme 2015 (2015 scheme); all of which are unfunded, defined benefit schemes. An unfunded scheme treated as a defined benefit scheme has no investment assets to meet its pension liability the Group must generate cash to meet the actual pension payments as they fall due. </w:t>
            </w:r>
          </w:p>
        </w:tc>
        <w:tc>
          <w:tcPr>
            <w:tcW w:w="4536" w:type="dxa"/>
            <w:tcBorders>
              <w:top w:val="single" w:sz="4" w:space="0" w:color="auto"/>
              <w:left w:val="single" w:sz="4" w:space="0" w:color="auto"/>
              <w:bottom w:val="single" w:sz="4" w:space="0" w:color="auto"/>
              <w:right w:val="single" w:sz="4" w:space="0" w:color="auto"/>
            </w:tcBorders>
            <w:vAlign w:val="center"/>
          </w:tcPr>
          <w:p w:rsidR="0017753F" w:rsidRPr="0017753F" w:rsidRDefault="0017753F" w:rsidP="0017753F">
            <w:pPr>
              <w:pStyle w:val="NoSpacing"/>
              <w:jc w:val="both"/>
              <w:rPr>
                <w:sz w:val="18"/>
                <w:szCs w:val="18"/>
                <w:lang w:val="en-GB" w:eastAsia="en-GB"/>
              </w:rPr>
            </w:pPr>
            <w:r w:rsidRPr="0017753F">
              <w:rPr>
                <w:sz w:val="18"/>
                <w:szCs w:val="18"/>
                <w:lang w:val="en-GB" w:eastAsia="en-GB"/>
              </w:rPr>
              <w:t>The benefits payable are funded by contributions from employers and police officers and any shortfall is met by a top up grant from the Home Office (£17.3m for 2019/20) and other Pension Grant to the PCC. Further details of the schemes can be found in the Police Officer Pension Fund Accounts.</w:t>
            </w:r>
          </w:p>
          <w:p w:rsidR="0017753F" w:rsidRPr="0017753F" w:rsidRDefault="0017753F" w:rsidP="0017753F">
            <w:pPr>
              <w:pStyle w:val="Normal0"/>
              <w:jc w:val="both"/>
              <w:rPr>
                <w:rFonts w:ascii="Verdana" w:eastAsia="Calibri" w:hAnsi="Verdana"/>
                <w:sz w:val="18"/>
                <w:szCs w:val="18"/>
                <w:lang w:val="en-GB" w:eastAsia="en-GB"/>
              </w:rPr>
            </w:pPr>
          </w:p>
        </w:tc>
      </w:tr>
      <w:tr w:rsidR="004D417B" w:rsidTr="0017753F">
        <w:trPr>
          <w:trHeight w:val="1697"/>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CA6653" w:rsidRPr="0017753F" w:rsidRDefault="00CA6653" w:rsidP="00CA6653">
            <w:pPr>
              <w:pStyle w:val="Normal0"/>
              <w:spacing w:line="240" w:lineRule="auto"/>
              <w:jc w:val="both"/>
              <w:rPr>
                <w:rFonts w:ascii="Verdana" w:eastAsia="Times New Roman" w:hAnsi="Verdana" w:cs="Arial"/>
                <w:b/>
                <w:bCs/>
                <w:color w:val="000000"/>
                <w:sz w:val="18"/>
                <w:szCs w:val="18"/>
                <w:lang w:eastAsia="en-GB"/>
              </w:rPr>
            </w:pPr>
            <w:r w:rsidRPr="0017753F">
              <w:rPr>
                <w:rFonts w:ascii="Verdana" w:eastAsia="Times New Roman" w:hAnsi="Verdana" w:cs="Arial"/>
                <w:b/>
                <w:bCs/>
                <w:color w:val="000000"/>
                <w:sz w:val="18"/>
                <w:szCs w:val="18"/>
                <w:lang w:eastAsia="en-GB"/>
              </w:rPr>
              <w:t>Insurance Claims Liability</w:t>
            </w:r>
          </w:p>
        </w:tc>
        <w:tc>
          <w:tcPr>
            <w:tcW w:w="4152" w:type="dxa"/>
            <w:tcBorders>
              <w:top w:val="single" w:sz="4" w:space="0" w:color="auto"/>
              <w:left w:val="nil"/>
              <w:bottom w:val="single" w:sz="4" w:space="0" w:color="auto"/>
              <w:right w:val="single" w:sz="4" w:space="0" w:color="auto"/>
            </w:tcBorders>
            <w:shd w:val="clear" w:color="auto" w:fill="auto"/>
            <w:hideMark/>
          </w:tcPr>
          <w:p w:rsidR="00CA6653" w:rsidRPr="0017753F" w:rsidRDefault="0017753F" w:rsidP="0017753F">
            <w:pPr>
              <w:pStyle w:val="Normal0"/>
              <w:spacing w:line="240" w:lineRule="auto"/>
              <w:jc w:val="both"/>
              <w:rPr>
                <w:rFonts w:ascii="Verdana" w:eastAsia="Times New Roman" w:hAnsi="Verdana" w:cs="Arial"/>
                <w:color w:val="000000"/>
                <w:sz w:val="18"/>
                <w:szCs w:val="18"/>
                <w:lang w:eastAsia="en-GB"/>
              </w:rPr>
            </w:pPr>
            <w:r w:rsidRPr="0017753F">
              <w:rPr>
                <w:rFonts w:ascii="Verdana" w:hAnsi="Verdana"/>
                <w:sz w:val="18"/>
                <w:szCs w:val="18"/>
                <w:lang w:val="en-GB" w:eastAsia="en-GB"/>
              </w:rPr>
              <w:t>The level of potential claims facing the Police and Crime Commissioner is independently assessed by professional actuaries Marsh on an annual basis.    This assesses the future potential cost on the Police and Crime Commissioner of claims both known and unknown.  Claims more likely to materialise in terms of probability, cost and timing, are carried as provision on the balance sheet.  Funding for more intangible claims is held in the insurance reserve.  The assessment is subject to peer review.</w:t>
            </w:r>
          </w:p>
        </w:tc>
        <w:tc>
          <w:tcPr>
            <w:tcW w:w="4536" w:type="dxa"/>
            <w:tcBorders>
              <w:top w:val="single" w:sz="4" w:space="0" w:color="auto"/>
              <w:left w:val="nil"/>
              <w:bottom w:val="single" w:sz="4" w:space="0" w:color="auto"/>
              <w:right w:val="single" w:sz="4" w:space="0" w:color="auto"/>
            </w:tcBorders>
            <w:shd w:val="clear" w:color="auto" w:fill="auto"/>
            <w:hideMark/>
          </w:tcPr>
          <w:p w:rsidR="00CA6653" w:rsidRPr="0017753F" w:rsidRDefault="0017753F" w:rsidP="00CA6653">
            <w:pPr>
              <w:pStyle w:val="Normal0"/>
              <w:spacing w:line="240" w:lineRule="auto"/>
              <w:jc w:val="both"/>
              <w:rPr>
                <w:rFonts w:ascii="Verdana" w:eastAsia="Times New Roman" w:hAnsi="Verdana" w:cs="Arial"/>
                <w:color w:val="000000"/>
                <w:sz w:val="18"/>
                <w:szCs w:val="18"/>
                <w:lang w:eastAsia="en-GB"/>
              </w:rPr>
            </w:pPr>
            <w:r w:rsidRPr="0017753F">
              <w:rPr>
                <w:rFonts w:ascii="Verdana" w:eastAsia="Times New Roman" w:hAnsi="Verdana" w:cs="Arial"/>
                <w:color w:val="000000"/>
                <w:sz w:val="18"/>
                <w:szCs w:val="18"/>
                <w:lang w:eastAsia="en-GB"/>
              </w:rPr>
              <w:t>A</w:t>
            </w:r>
            <w:r w:rsidR="00CA6653" w:rsidRPr="0017753F">
              <w:rPr>
                <w:rFonts w:ascii="Verdana" w:eastAsia="Times New Roman" w:hAnsi="Verdana" w:cs="Arial"/>
                <w:color w:val="000000"/>
                <w:sz w:val="18"/>
                <w:szCs w:val="18"/>
                <w:lang w:eastAsia="en-GB"/>
              </w:rPr>
              <w:t>dditional resources would be required</w:t>
            </w:r>
            <w:r w:rsidRPr="0017753F">
              <w:rPr>
                <w:rFonts w:ascii="Verdana" w:eastAsia="Times New Roman" w:hAnsi="Verdana" w:cs="Arial"/>
                <w:color w:val="000000"/>
                <w:sz w:val="18"/>
                <w:szCs w:val="18"/>
                <w:lang w:eastAsia="en-GB"/>
              </w:rPr>
              <w:t xml:space="preserve"> to cover claims costs in the event that claims are higher than predicted</w:t>
            </w:r>
            <w:r w:rsidR="00CA6653" w:rsidRPr="0017753F">
              <w:rPr>
                <w:rFonts w:ascii="Verdana" w:eastAsia="Times New Roman" w:hAnsi="Verdana" w:cs="Arial"/>
                <w:color w:val="000000"/>
                <w:sz w:val="18"/>
                <w:szCs w:val="18"/>
                <w:lang w:eastAsia="en-GB"/>
              </w:rPr>
              <w:t>.</w:t>
            </w:r>
          </w:p>
        </w:tc>
      </w:tr>
      <w:tr w:rsidR="0017753F" w:rsidTr="0017753F">
        <w:trPr>
          <w:trHeight w:val="1697"/>
        </w:trPr>
        <w:tc>
          <w:tcPr>
            <w:tcW w:w="1660" w:type="dxa"/>
            <w:tcBorders>
              <w:top w:val="single" w:sz="4" w:space="0" w:color="auto"/>
              <w:left w:val="single" w:sz="4" w:space="0" w:color="auto"/>
              <w:bottom w:val="single" w:sz="4" w:space="0" w:color="auto"/>
              <w:right w:val="single" w:sz="4" w:space="0" w:color="auto"/>
            </w:tcBorders>
            <w:shd w:val="clear" w:color="auto" w:fill="auto"/>
          </w:tcPr>
          <w:p w:rsidR="0017753F" w:rsidRPr="00C04F26" w:rsidRDefault="0017753F" w:rsidP="00CA6653">
            <w:pPr>
              <w:pStyle w:val="Normal0"/>
              <w:spacing w:line="240" w:lineRule="auto"/>
              <w:jc w:val="both"/>
              <w:rPr>
                <w:rFonts w:ascii="Arial" w:eastAsia="Times New Roman" w:hAnsi="Arial" w:cs="Arial"/>
                <w:b/>
                <w:bCs/>
                <w:color w:val="000000"/>
                <w:sz w:val="18"/>
                <w:szCs w:val="18"/>
                <w:highlight w:val="yellow"/>
                <w:lang w:eastAsia="en-GB"/>
              </w:rPr>
            </w:pPr>
            <w:r w:rsidRPr="0017753F">
              <w:rPr>
                <w:rFonts w:ascii="Arial" w:eastAsia="Times New Roman" w:hAnsi="Arial" w:cs="Arial"/>
                <w:b/>
                <w:bCs/>
                <w:color w:val="000000"/>
                <w:sz w:val="18"/>
                <w:szCs w:val="18"/>
                <w:lang w:eastAsia="en-GB"/>
              </w:rPr>
              <w:t>Debtors</w:t>
            </w:r>
          </w:p>
        </w:tc>
        <w:tc>
          <w:tcPr>
            <w:tcW w:w="4152" w:type="dxa"/>
            <w:tcBorders>
              <w:top w:val="single" w:sz="4" w:space="0" w:color="auto"/>
              <w:left w:val="nil"/>
              <w:bottom w:val="single" w:sz="4" w:space="0" w:color="auto"/>
              <w:right w:val="single" w:sz="4" w:space="0" w:color="auto"/>
            </w:tcBorders>
            <w:shd w:val="clear" w:color="auto" w:fill="auto"/>
          </w:tcPr>
          <w:p w:rsidR="0017753F" w:rsidRPr="0017753F" w:rsidRDefault="0017753F" w:rsidP="0017753F">
            <w:pPr>
              <w:jc w:val="both"/>
              <w:rPr>
                <w:rFonts w:eastAsia="Calibri" w:cs="Times New Roman"/>
                <w:sz w:val="18"/>
                <w:szCs w:val="18"/>
              </w:rPr>
            </w:pPr>
            <w:r w:rsidRPr="0017753F">
              <w:rPr>
                <w:rFonts w:eastAsia="Calibri" w:cs="Times New Roman"/>
                <w:sz w:val="18"/>
                <w:szCs w:val="18"/>
              </w:rPr>
              <w:t>At 31st March 2020, the Police and Crime Commissioner had a b</w:t>
            </w:r>
            <w:r>
              <w:rPr>
                <w:rFonts w:eastAsia="Calibri" w:cs="Times New Roman"/>
                <w:sz w:val="18"/>
                <w:szCs w:val="18"/>
              </w:rPr>
              <w:t xml:space="preserve">alance of sundry debtors </w:t>
            </w:r>
            <w:r w:rsidRPr="0007336A">
              <w:rPr>
                <w:rFonts w:eastAsia="Calibri" w:cs="Times New Roman"/>
                <w:sz w:val="18"/>
                <w:szCs w:val="18"/>
              </w:rPr>
              <w:t>of</w:t>
            </w:r>
            <w:r w:rsidRPr="00A200D5">
              <w:rPr>
                <w:rFonts w:eastAsia="Calibri" w:cs="Times New Roman"/>
                <w:sz w:val="18"/>
                <w:szCs w:val="18"/>
              </w:rPr>
              <w:t xml:space="preserve"> £</w:t>
            </w:r>
            <w:r w:rsidR="0007336A" w:rsidRPr="00A200D5">
              <w:rPr>
                <w:rFonts w:eastAsia="Calibri" w:cs="Times New Roman"/>
                <w:sz w:val="18"/>
                <w:szCs w:val="18"/>
              </w:rPr>
              <w:t>0</w:t>
            </w:r>
            <w:r w:rsidRPr="00A200D5">
              <w:rPr>
                <w:rFonts w:eastAsia="Calibri" w:cs="Times New Roman"/>
                <w:sz w:val="18"/>
                <w:szCs w:val="18"/>
              </w:rPr>
              <w:t>.</w:t>
            </w:r>
            <w:r w:rsidR="0007336A" w:rsidRPr="00A200D5">
              <w:rPr>
                <w:rFonts w:eastAsia="Calibri" w:cs="Times New Roman"/>
                <w:sz w:val="18"/>
                <w:szCs w:val="18"/>
              </w:rPr>
              <w:t>8</w:t>
            </w:r>
            <w:r w:rsidRPr="00A200D5">
              <w:rPr>
                <w:rFonts w:eastAsia="Calibri" w:cs="Times New Roman"/>
                <w:sz w:val="18"/>
                <w:szCs w:val="18"/>
              </w:rPr>
              <w:t>m</w:t>
            </w:r>
            <w:r w:rsidRPr="0017753F">
              <w:rPr>
                <w:rFonts w:eastAsia="Calibri" w:cs="Times New Roman"/>
                <w:sz w:val="18"/>
                <w:szCs w:val="18"/>
              </w:rPr>
              <w:t>. A review of significant balances suggested that an impairment of doubtful de</w:t>
            </w:r>
            <w:r>
              <w:rPr>
                <w:rFonts w:eastAsia="Calibri" w:cs="Times New Roman"/>
                <w:sz w:val="18"/>
                <w:szCs w:val="18"/>
              </w:rPr>
              <w:t xml:space="preserve">bts of </w:t>
            </w:r>
            <w:r w:rsidRPr="00A200D5">
              <w:rPr>
                <w:rFonts w:eastAsia="Calibri" w:cs="Times New Roman"/>
                <w:sz w:val="18"/>
                <w:szCs w:val="18"/>
              </w:rPr>
              <w:t>£0.</w:t>
            </w:r>
            <w:r w:rsidR="0007336A" w:rsidRPr="00A200D5">
              <w:rPr>
                <w:rFonts w:eastAsia="Calibri" w:cs="Times New Roman"/>
                <w:sz w:val="18"/>
                <w:szCs w:val="18"/>
              </w:rPr>
              <w:t>06</w:t>
            </w:r>
            <w:r w:rsidRPr="00A200D5">
              <w:rPr>
                <w:rFonts w:eastAsia="Calibri" w:cs="Times New Roman"/>
                <w:sz w:val="18"/>
                <w:szCs w:val="18"/>
              </w:rPr>
              <w:t>m</w:t>
            </w:r>
            <w:r w:rsidRPr="0017753F">
              <w:rPr>
                <w:rFonts w:eastAsia="Calibri" w:cs="Times New Roman"/>
                <w:sz w:val="18"/>
                <w:szCs w:val="18"/>
              </w:rPr>
              <w:t xml:space="preserve"> was appropriate. </w:t>
            </w:r>
          </w:p>
          <w:p w:rsidR="0017753F" w:rsidRPr="0017753F" w:rsidRDefault="0017753F" w:rsidP="0017753F">
            <w:pPr>
              <w:spacing w:line="254" w:lineRule="auto"/>
              <w:jc w:val="both"/>
              <w:rPr>
                <w:rFonts w:eastAsia="Calibri" w:cs="Times New Roman"/>
                <w:sz w:val="18"/>
                <w:szCs w:val="18"/>
              </w:rPr>
            </w:pPr>
          </w:p>
          <w:p w:rsidR="0017753F" w:rsidRPr="0017753F" w:rsidRDefault="0017753F" w:rsidP="0017753F">
            <w:pPr>
              <w:jc w:val="both"/>
              <w:rPr>
                <w:rFonts w:eastAsia="Calibri" w:cs="Times New Roman"/>
                <w:sz w:val="18"/>
                <w:szCs w:val="18"/>
              </w:rPr>
            </w:pPr>
            <w:r w:rsidRPr="0017753F">
              <w:rPr>
                <w:rFonts w:eastAsia="Calibri" w:cs="Times New Roman"/>
                <w:sz w:val="18"/>
                <w:szCs w:val="18"/>
              </w:rPr>
              <w:t xml:space="preserve">The Covid-19 pandemic could make it more difficult for debtors to repay outstanding debts. The bad debt provision in the accounts is sufficient to cover all aged debt not due as at 31 March 2020 and no significant increase to the level of debts overdue was observed in April or May 2020.  </w:t>
            </w:r>
          </w:p>
          <w:p w:rsidR="0017753F" w:rsidRPr="0017753F" w:rsidRDefault="0017753F" w:rsidP="0017753F">
            <w:pPr>
              <w:pStyle w:val="Normal0"/>
              <w:spacing w:line="240" w:lineRule="auto"/>
              <w:jc w:val="both"/>
              <w:rPr>
                <w:rFonts w:ascii="Verdana" w:eastAsia="Times New Roman" w:hAnsi="Verdana" w:cs="Arial"/>
                <w:color w:val="000000"/>
                <w:sz w:val="18"/>
                <w:szCs w:val="18"/>
                <w:highlight w:val="yellow"/>
                <w:lang w:eastAsia="en-GB"/>
              </w:rPr>
            </w:pPr>
          </w:p>
        </w:tc>
        <w:tc>
          <w:tcPr>
            <w:tcW w:w="4536" w:type="dxa"/>
            <w:tcBorders>
              <w:top w:val="single" w:sz="4" w:space="0" w:color="auto"/>
              <w:left w:val="nil"/>
              <w:bottom w:val="single" w:sz="4" w:space="0" w:color="auto"/>
              <w:right w:val="single" w:sz="4" w:space="0" w:color="auto"/>
            </w:tcBorders>
            <w:shd w:val="clear" w:color="auto" w:fill="auto"/>
          </w:tcPr>
          <w:p w:rsidR="0017753F" w:rsidRPr="0017753F" w:rsidRDefault="0017753F" w:rsidP="0017753F">
            <w:pPr>
              <w:pStyle w:val="NoSpacing"/>
              <w:jc w:val="both"/>
              <w:rPr>
                <w:sz w:val="18"/>
                <w:szCs w:val="18"/>
                <w:highlight w:val="yellow"/>
                <w:lang w:val="en-GB" w:eastAsia="en-GB"/>
              </w:rPr>
            </w:pPr>
            <w:r w:rsidRPr="0017753F">
              <w:rPr>
                <w:sz w:val="18"/>
                <w:szCs w:val="18"/>
                <w:lang w:val="en-GB" w:eastAsia="en-GB"/>
              </w:rPr>
              <w:t>Based on the balance outstanding at 31 March 2020, If collection rates were to deteriorate, every 1% decrease would require an additional impairment provision o</w:t>
            </w:r>
            <w:r>
              <w:rPr>
                <w:sz w:val="18"/>
                <w:szCs w:val="18"/>
                <w:lang w:val="en-GB" w:eastAsia="en-GB"/>
              </w:rPr>
              <w:t xml:space="preserve">f </w:t>
            </w:r>
            <w:r w:rsidRPr="00A200D5">
              <w:rPr>
                <w:sz w:val="18"/>
                <w:szCs w:val="18"/>
                <w:lang w:val="en-GB" w:eastAsia="en-GB"/>
              </w:rPr>
              <w:t>£0.0</w:t>
            </w:r>
            <w:r w:rsidR="00223589">
              <w:rPr>
                <w:sz w:val="18"/>
                <w:szCs w:val="18"/>
                <w:lang w:val="en-GB" w:eastAsia="en-GB"/>
              </w:rPr>
              <w:t>12</w:t>
            </w:r>
            <w:r w:rsidRPr="00A200D5">
              <w:rPr>
                <w:sz w:val="18"/>
                <w:szCs w:val="18"/>
                <w:lang w:val="en-GB" w:eastAsia="en-GB"/>
              </w:rPr>
              <w:t>m</w:t>
            </w:r>
            <w:r w:rsidRPr="0017753F">
              <w:rPr>
                <w:sz w:val="18"/>
                <w:szCs w:val="18"/>
                <w:lang w:val="en-GB" w:eastAsia="en-GB"/>
              </w:rPr>
              <w:t>.</w:t>
            </w:r>
          </w:p>
          <w:p w:rsidR="0017753F" w:rsidRPr="0017753F" w:rsidRDefault="0017753F" w:rsidP="0017753F">
            <w:pPr>
              <w:pStyle w:val="Normal0"/>
              <w:spacing w:line="240" w:lineRule="auto"/>
              <w:jc w:val="both"/>
              <w:rPr>
                <w:rFonts w:ascii="Verdana" w:eastAsia="Times New Roman" w:hAnsi="Verdana" w:cs="Arial"/>
                <w:color w:val="000000"/>
                <w:sz w:val="18"/>
                <w:szCs w:val="18"/>
                <w:highlight w:val="yellow"/>
                <w:lang w:eastAsia="en-GB"/>
              </w:rPr>
            </w:pPr>
          </w:p>
        </w:tc>
      </w:tr>
      <w:tr w:rsidR="0017753F" w:rsidRPr="00A31A9E" w:rsidTr="009C625F">
        <w:trPr>
          <w:trHeight w:val="976"/>
        </w:trPr>
        <w:tc>
          <w:tcPr>
            <w:tcW w:w="1660" w:type="dxa"/>
            <w:tcBorders>
              <w:top w:val="single" w:sz="4" w:space="0" w:color="auto"/>
              <w:left w:val="single" w:sz="4" w:space="0" w:color="auto"/>
              <w:bottom w:val="single" w:sz="4" w:space="0" w:color="auto"/>
              <w:right w:val="single" w:sz="4" w:space="0" w:color="auto"/>
            </w:tcBorders>
            <w:shd w:val="clear" w:color="auto" w:fill="auto"/>
          </w:tcPr>
          <w:p w:rsidR="0017753F" w:rsidRPr="00A31A9E" w:rsidRDefault="0017753F" w:rsidP="0017753F">
            <w:pPr>
              <w:pStyle w:val="Normal0"/>
              <w:spacing w:line="240" w:lineRule="auto"/>
              <w:rPr>
                <w:rFonts w:ascii="Arial" w:eastAsia="Times New Roman" w:hAnsi="Arial" w:cs="Arial"/>
                <w:b/>
                <w:bCs/>
                <w:color w:val="000000"/>
                <w:sz w:val="18"/>
                <w:szCs w:val="18"/>
                <w:lang w:eastAsia="en-GB"/>
              </w:rPr>
            </w:pPr>
            <w:r w:rsidRPr="00A31A9E">
              <w:rPr>
                <w:rFonts w:ascii="Arial" w:eastAsia="Times New Roman" w:hAnsi="Arial" w:cs="Arial"/>
                <w:b/>
                <w:bCs/>
                <w:color w:val="000000"/>
                <w:sz w:val="18"/>
                <w:szCs w:val="18"/>
                <w:lang w:eastAsia="en-GB"/>
              </w:rPr>
              <w:t>Income &amp; Expenditure</w:t>
            </w:r>
          </w:p>
        </w:tc>
        <w:tc>
          <w:tcPr>
            <w:tcW w:w="4152" w:type="dxa"/>
            <w:tcBorders>
              <w:top w:val="single" w:sz="4" w:space="0" w:color="auto"/>
              <w:left w:val="nil"/>
              <w:bottom w:val="single" w:sz="4" w:space="0" w:color="auto"/>
              <w:right w:val="single" w:sz="4" w:space="0" w:color="auto"/>
            </w:tcBorders>
            <w:shd w:val="clear" w:color="auto" w:fill="auto"/>
          </w:tcPr>
          <w:p w:rsidR="0017753F" w:rsidRPr="00A31A9E" w:rsidRDefault="0017753F" w:rsidP="0017753F">
            <w:pPr>
              <w:pStyle w:val="NoSpacing"/>
              <w:jc w:val="both"/>
              <w:rPr>
                <w:sz w:val="18"/>
                <w:szCs w:val="18"/>
                <w:lang w:val="en-GB" w:eastAsia="en-GB"/>
              </w:rPr>
            </w:pPr>
            <w:r w:rsidRPr="00A31A9E">
              <w:rPr>
                <w:sz w:val="18"/>
                <w:szCs w:val="18"/>
                <w:lang w:val="en-GB" w:eastAsia="en-GB"/>
              </w:rPr>
              <w:t xml:space="preserve">The majority of funding to the Group is from Government Grants and Precept income. </w:t>
            </w:r>
          </w:p>
          <w:p w:rsidR="0017753F" w:rsidRPr="00A31A9E" w:rsidRDefault="0017753F" w:rsidP="0017753F">
            <w:pPr>
              <w:pStyle w:val="Normal0"/>
              <w:jc w:val="both"/>
              <w:rPr>
                <w:rFonts w:ascii="Verdana" w:hAnsi="Verdana"/>
                <w:sz w:val="18"/>
                <w:szCs w:val="18"/>
                <w:lang w:val="en-GB" w:eastAsia="en-GB"/>
              </w:rPr>
            </w:pPr>
          </w:p>
          <w:p w:rsidR="0017753F" w:rsidRPr="00A31A9E" w:rsidRDefault="0017753F" w:rsidP="009C625F">
            <w:pPr>
              <w:jc w:val="both"/>
              <w:rPr>
                <w:sz w:val="18"/>
                <w:szCs w:val="18"/>
              </w:rPr>
            </w:pPr>
            <w:r w:rsidRPr="00A31A9E">
              <w:rPr>
                <w:sz w:val="18"/>
                <w:szCs w:val="18"/>
              </w:rPr>
              <w:t>The Covid-19 pandemic could make it more difficult for Local Authorities to collect precepts from the public on behalf of the police and Government funding settlements are determined on a short term basis. Other income may also be reduced as public events are cancelled due to lockdown restrictions set by the Government. Alongside potential reductions to income there will be additional costs incurred in relation to Covid-19 including expenditure on personal protective equipment and reduced payment terms were made to support suppliers. The force command team, procurement and finance teams therefore monitor financial impacts of the pandemic on a weekly or monthly basis depending on the level of activity.</w:t>
            </w:r>
          </w:p>
        </w:tc>
        <w:tc>
          <w:tcPr>
            <w:tcW w:w="4536" w:type="dxa"/>
            <w:tcBorders>
              <w:top w:val="single" w:sz="4" w:space="0" w:color="auto"/>
              <w:left w:val="nil"/>
              <w:bottom w:val="single" w:sz="4" w:space="0" w:color="auto"/>
              <w:right w:val="single" w:sz="4" w:space="0" w:color="auto"/>
            </w:tcBorders>
            <w:shd w:val="clear" w:color="auto" w:fill="auto"/>
          </w:tcPr>
          <w:p w:rsidR="00223589" w:rsidRDefault="0017753F" w:rsidP="0017753F">
            <w:pPr>
              <w:pStyle w:val="Normal0"/>
              <w:spacing w:line="240" w:lineRule="auto"/>
              <w:jc w:val="both"/>
              <w:rPr>
                <w:rFonts w:ascii="Verdana" w:eastAsia="Times New Roman" w:hAnsi="Verdana" w:cs="Arial"/>
                <w:color w:val="000000"/>
                <w:sz w:val="18"/>
                <w:szCs w:val="18"/>
                <w:lang w:eastAsia="en-GB"/>
              </w:rPr>
            </w:pPr>
            <w:r w:rsidRPr="00A31A9E">
              <w:rPr>
                <w:rFonts w:ascii="Verdana" w:hAnsi="Verdana"/>
                <w:sz w:val="18"/>
                <w:szCs w:val="18"/>
                <w:lang w:val="en-GB" w:eastAsia="en-GB"/>
              </w:rPr>
              <w:t>C</w:t>
            </w:r>
            <w:r w:rsidR="004458EE" w:rsidRPr="00A31A9E">
              <w:rPr>
                <w:rFonts w:ascii="Verdana" w:hAnsi="Verdana"/>
                <w:sz w:val="18"/>
                <w:szCs w:val="18"/>
                <w:lang w:val="en-GB" w:eastAsia="en-GB"/>
              </w:rPr>
              <w:t>urrently 43.3</w:t>
            </w:r>
            <w:r w:rsidRPr="00A31A9E">
              <w:rPr>
                <w:rFonts w:ascii="Verdana" w:hAnsi="Verdana"/>
                <w:sz w:val="18"/>
                <w:szCs w:val="18"/>
                <w:lang w:val="en-GB" w:eastAsia="en-GB"/>
              </w:rPr>
              <w:t>% of the Net Budget Requirement is met by Government Grant Fundi</w:t>
            </w:r>
            <w:r w:rsidR="004458EE" w:rsidRPr="00A31A9E">
              <w:rPr>
                <w:rFonts w:ascii="Verdana" w:hAnsi="Verdana"/>
                <w:sz w:val="18"/>
                <w:szCs w:val="18"/>
                <w:lang w:val="en-GB" w:eastAsia="en-GB"/>
              </w:rPr>
              <w:t>ng and 56.7</w:t>
            </w:r>
            <w:r w:rsidRPr="00A31A9E">
              <w:rPr>
                <w:rFonts w:ascii="Verdana" w:hAnsi="Verdana"/>
                <w:sz w:val="18"/>
                <w:szCs w:val="18"/>
                <w:lang w:val="en-GB" w:eastAsia="en-GB"/>
              </w:rPr>
              <w:t>% by Precept collections.</w:t>
            </w:r>
          </w:p>
          <w:p w:rsidR="00223589" w:rsidRPr="00A200D5" w:rsidRDefault="00223589" w:rsidP="00A200D5">
            <w:pPr>
              <w:rPr>
                <w:lang w:eastAsia="en-GB"/>
              </w:rPr>
            </w:pPr>
          </w:p>
          <w:p w:rsidR="00223589" w:rsidRPr="00A200D5" w:rsidRDefault="00223589" w:rsidP="00A200D5">
            <w:pPr>
              <w:rPr>
                <w:lang w:eastAsia="en-GB"/>
              </w:rPr>
            </w:pPr>
          </w:p>
          <w:p w:rsidR="00223589" w:rsidRPr="00A200D5" w:rsidRDefault="00223589" w:rsidP="00A200D5">
            <w:pPr>
              <w:rPr>
                <w:lang w:eastAsia="en-GB"/>
              </w:rPr>
            </w:pPr>
          </w:p>
          <w:p w:rsidR="00223589" w:rsidRPr="00A200D5" w:rsidRDefault="00223589" w:rsidP="00A200D5">
            <w:pPr>
              <w:rPr>
                <w:lang w:eastAsia="en-GB"/>
              </w:rPr>
            </w:pPr>
          </w:p>
          <w:p w:rsidR="00223589" w:rsidRPr="00A200D5" w:rsidRDefault="00223589" w:rsidP="00A200D5">
            <w:pPr>
              <w:rPr>
                <w:lang w:eastAsia="en-GB"/>
              </w:rPr>
            </w:pPr>
          </w:p>
          <w:p w:rsidR="00223589" w:rsidRPr="00A200D5" w:rsidRDefault="00223589" w:rsidP="00A200D5">
            <w:pPr>
              <w:rPr>
                <w:lang w:eastAsia="en-GB"/>
              </w:rPr>
            </w:pPr>
          </w:p>
          <w:p w:rsidR="00223589" w:rsidRPr="00A200D5" w:rsidRDefault="00223589" w:rsidP="00A200D5">
            <w:pPr>
              <w:rPr>
                <w:lang w:eastAsia="en-GB"/>
              </w:rPr>
            </w:pPr>
          </w:p>
          <w:p w:rsidR="00223589" w:rsidRPr="00A200D5" w:rsidRDefault="00223589" w:rsidP="00A200D5">
            <w:pPr>
              <w:rPr>
                <w:lang w:eastAsia="en-GB"/>
              </w:rPr>
            </w:pPr>
          </w:p>
          <w:p w:rsidR="00223589" w:rsidRPr="00A200D5" w:rsidRDefault="00223589" w:rsidP="00A200D5">
            <w:pPr>
              <w:rPr>
                <w:lang w:eastAsia="en-GB"/>
              </w:rPr>
            </w:pPr>
          </w:p>
          <w:p w:rsidR="00223589" w:rsidRPr="00A200D5" w:rsidRDefault="00223589" w:rsidP="00A200D5">
            <w:pPr>
              <w:rPr>
                <w:lang w:eastAsia="en-GB"/>
              </w:rPr>
            </w:pPr>
          </w:p>
          <w:p w:rsidR="00223589" w:rsidRDefault="00223589" w:rsidP="00223589">
            <w:pPr>
              <w:rPr>
                <w:lang w:eastAsia="en-GB"/>
              </w:rPr>
            </w:pPr>
          </w:p>
          <w:p w:rsidR="0017753F" w:rsidRPr="00A200D5" w:rsidRDefault="00223589" w:rsidP="00A200D5">
            <w:pPr>
              <w:tabs>
                <w:tab w:val="left" w:pos="3212"/>
              </w:tabs>
              <w:rPr>
                <w:lang w:eastAsia="en-GB"/>
              </w:rPr>
            </w:pPr>
            <w:r>
              <w:rPr>
                <w:lang w:eastAsia="en-GB"/>
              </w:rPr>
              <w:tab/>
            </w:r>
          </w:p>
        </w:tc>
      </w:tr>
    </w:tbl>
    <w:p w:rsidR="00CA6653" w:rsidRDefault="00CA6653" w:rsidP="00CA6653">
      <w:pPr>
        <w:pStyle w:val="Normal0"/>
        <w:spacing w:after="160"/>
        <w:rPr>
          <w:rFonts w:ascii="Verdana" w:hAnsi="Verdana"/>
          <w:sz w:val="4"/>
          <w:szCs w:val="4"/>
          <w:lang w:val="pt-BR"/>
        </w:rPr>
      </w:pPr>
    </w:p>
    <w:p w:rsidR="00720D53" w:rsidRDefault="00720D53" w:rsidP="00CA6653">
      <w:pPr>
        <w:pStyle w:val="Normal0"/>
        <w:spacing w:after="160"/>
        <w:rPr>
          <w:rFonts w:ascii="Verdana" w:hAnsi="Verdana"/>
          <w:sz w:val="4"/>
          <w:szCs w:val="4"/>
          <w:lang w:val="pt-BR"/>
        </w:rPr>
      </w:pPr>
    </w:p>
    <w:p w:rsidR="00303CEA" w:rsidRDefault="00303CEA">
      <w:pPr>
        <w:rPr>
          <w:rFonts w:asciiTheme="majorHAnsi" w:eastAsiaTheme="majorEastAsia" w:hAnsiTheme="majorHAnsi" w:cstheme="majorBidi"/>
          <w:color w:val="2E74B5" w:themeColor="accent1" w:themeShade="BF"/>
          <w:sz w:val="32"/>
          <w:szCs w:val="32"/>
          <w:highlight w:val="yellow"/>
          <w:lang w:val="pt-BR"/>
        </w:rPr>
      </w:pPr>
      <w:r>
        <w:rPr>
          <w:highlight w:val="yellow"/>
        </w:rPr>
        <w:br w:type="page"/>
      </w:r>
    </w:p>
    <w:p w:rsidR="00CA6653" w:rsidRPr="00A96BF3" w:rsidRDefault="00CA6653" w:rsidP="00A31A9E">
      <w:pPr>
        <w:pStyle w:val="Heading1"/>
      </w:pPr>
      <w:bookmarkStart w:id="16" w:name="_Toc55900407"/>
      <w:r w:rsidRPr="00A96BF3">
        <w:t>Note 5 -Expenditure and Funding Analysis</w:t>
      </w:r>
      <w:bookmarkEnd w:id="16"/>
    </w:p>
    <w:p w:rsidR="00CA6653" w:rsidRPr="00B935AA" w:rsidRDefault="00CA6653" w:rsidP="00CA6653">
      <w:pPr>
        <w:pStyle w:val="Normal0"/>
        <w:spacing w:line="240" w:lineRule="auto"/>
        <w:rPr>
          <w:rFonts w:ascii="Verdana" w:hAnsi="Verdana"/>
          <w:sz w:val="22"/>
          <w:szCs w:val="22"/>
          <w:lang w:val="en-GB"/>
        </w:rPr>
      </w:pPr>
    </w:p>
    <w:p w:rsidR="00CA6653" w:rsidRPr="00B935AA" w:rsidRDefault="00CA6653" w:rsidP="00CA6653">
      <w:pPr>
        <w:pStyle w:val="Normal0"/>
        <w:spacing w:line="240" w:lineRule="auto"/>
        <w:rPr>
          <w:rFonts w:ascii="Verdana" w:hAnsi="Verdana"/>
          <w:sz w:val="22"/>
          <w:szCs w:val="22"/>
          <w:lang w:val="en-GB"/>
        </w:rPr>
      </w:pPr>
      <w:r w:rsidRPr="00B935AA">
        <w:rPr>
          <w:rFonts w:ascii="Verdana" w:hAnsi="Verdana"/>
          <w:sz w:val="22"/>
          <w:szCs w:val="22"/>
          <w:lang w:val="en-GB"/>
        </w:rPr>
        <w:t>The Expenditure and Funding Analysis note shows how annual expenditure is used and funded from resources (government grants and council tax) by police bodies in comparison with those resources consumed or earned by authorities in accordance with generally accepted accounting practices.</w:t>
      </w:r>
    </w:p>
    <w:p w:rsidR="00C04F26" w:rsidRPr="00B935AA" w:rsidRDefault="00C04F26" w:rsidP="00CA6653">
      <w:pPr>
        <w:pStyle w:val="Normal0"/>
        <w:spacing w:line="240" w:lineRule="auto"/>
        <w:rPr>
          <w:rFonts w:ascii="Verdana" w:hAnsi="Verdana"/>
          <w:sz w:val="22"/>
          <w:szCs w:val="22"/>
          <w:lang w:val="en-GB"/>
        </w:rPr>
      </w:pPr>
    </w:p>
    <w:p w:rsidR="00CA6653" w:rsidRPr="00B935AA" w:rsidRDefault="00CA6653">
      <w:pPr>
        <w:pStyle w:val="Normal0"/>
        <w:spacing w:after="160" w:line="259" w:lineRule="auto"/>
        <w:rPr>
          <w:rFonts w:ascii="Verdana" w:eastAsia="Verdana" w:hAnsi="Verdana" w:cs="Verdana"/>
          <w:b/>
          <w:szCs w:val="22"/>
          <w:lang w:val="en-GB"/>
        </w:rPr>
      </w:pPr>
      <w:r w:rsidRPr="00B935AA">
        <w:rPr>
          <w:rFonts w:ascii="Verdana" w:eastAsia="Verdana" w:hAnsi="Verdana" w:cs="Verdana"/>
          <w:b/>
          <w:szCs w:val="22"/>
          <w:lang w:val="en-GB"/>
        </w:rPr>
        <w:t>Group</w:t>
      </w:r>
    </w:p>
    <w:tbl>
      <w:tblPr>
        <w:tblW w:w="0" w:type="auto"/>
        <w:jc w:val="center"/>
        <w:tblLayout w:type="fixed"/>
        <w:tblLook w:val="04A0" w:firstRow="1" w:lastRow="0" w:firstColumn="1" w:lastColumn="0" w:noHBand="0" w:noVBand="1"/>
      </w:tblPr>
      <w:tblGrid>
        <w:gridCol w:w="1335"/>
        <w:gridCol w:w="1335"/>
        <w:gridCol w:w="1335"/>
        <w:gridCol w:w="1755"/>
        <w:gridCol w:w="1335"/>
        <w:gridCol w:w="1335"/>
        <w:gridCol w:w="1335"/>
      </w:tblGrid>
      <w:tr w:rsidR="004D417B" w:rsidRPr="00B935AA" w:rsidTr="00412EE1">
        <w:trPr>
          <w:trHeight w:val="255"/>
          <w:jc w:val="center"/>
        </w:trPr>
        <w:tc>
          <w:tcPr>
            <w:tcW w:w="4005" w:type="dxa"/>
            <w:gridSpan w:val="3"/>
            <w:shd w:val="clear" w:color="auto" w:fill="auto"/>
            <w:tcMar>
              <w:top w:w="20" w:type="dxa"/>
              <w:left w:w="20" w:type="dxa"/>
              <w:bottom w:w="20" w:type="dxa"/>
              <w:right w:w="20" w:type="dxa"/>
            </w:tcMar>
            <w:vAlign w:val="bottom"/>
          </w:tcPr>
          <w:p w:rsidR="00CA6653" w:rsidRPr="00B935AA" w:rsidRDefault="00CA6653">
            <w:pPr>
              <w:pStyle w:val="T1TableStyle"/>
              <w:jc w:val="center"/>
              <w:rPr>
                <w:rFonts w:ascii="Verdana" w:eastAsia="Verdana" w:hAnsi="Verdana" w:cs="Verdana"/>
                <w:b/>
                <w:color w:val="000000"/>
                <w:sz w:val="16"/>
                <w:lang w:val="en-GB"/>
              </w:rPr>
            </w:pPr>
            <w:r w:rsidRPr="00B935AA">
              <w:rPr>
                <w:rFonts w:ascii="Verdana" w:eastAsia="Verdana" w:hAnsi="Verdana" w:cs="Verdana"/>
                <w:b/>
                <w:color w:val="000000"/>
                <w:sz w:val="16"/>
                <w:lang w:val="en-GB"/>
              </w:rPr>
              <w:t>2018/19</w:t>
            </w:r>
          </w:p>
        </w:tc>
        <w:tc>
          <w:tcPr>
            <w:tcW w:w="1755" w:type="dxa"/>
            <w:shd w:val="clear" w:color="auto" w:fill="auto"/>
            <w:tcMar>
              <w:top w:w="20" w:type="dxa"/>
              <w:left w:w="20" w:type="dxa"/>
              <w:bottom w:w="20" w:type="dxa"/>
              <w:right w:w="20" w:type="dxa"/>
            </w:tcMar>
            <w:vAlign w:val="bottom"/>
          </w:tcPr>
          <w:p w:rsidR="00CA6653" w:rsidRPr="00B935AA" w:rsidRDefault="00CA6653">
            <w:pPr>
              <w:pStyle w:val="T1TableStyle"/>
              <w:jc w:val="center"/>
              <w:rPr>
                <w:rFonts w:ascii="Verdana" w:eastAsia="Verdana" w:hAnsi="Verdana" w:cs="Verdana"/>
                <w:b/>
                <w:color w:val="000000"/>
                <w:sz w:val="2"/>
                <w:lang w:val="en-GB"/>
              </w:rPr>
            </w:pPr>
            <w:r w:rsidRPr="00B935AA">
              <w:rPr>
                <w:rFonts w:ascii="Verdana" w:eastAsia="Verdana" w:hAnsi="Verdana" w:cs="Verdana"/>
                <w:b/>
                <w:color w:val="000000"/>
                <w:sz w:val="2"/>
                <w:lang w:val="en-GB"/>
              </w:rPr>
              <w:t xml:space="preserve"> </w:t>
            </w:r>
          </w:p>
        </w:tc>
        <w:tc>
          <w:tcPr>
            <w:tcW w:w="4005" w:type="dxa"/>
            <w:gridSpan w:val="3"/>
            <w:shd w:val="clear" w:color="auto" w:fill="auto"/>
            <w:tcMar>
              <w:top w:w="20" w:type="dxa"/>
              <w:left w:w="20" w:type="dxa"/>
              <w:bottom w:w="20" w:type="dxa"/>
              <w:right w:w="20" w:type="dxa"/>
            </w:tcMar>
            <w:vAlign w:val="bottom"/>
          </w:tcPr>
          <w:p w:rsidR="00CA6653" w:rsidRPr="00B935AA" w:rsidRDefault="00CA6653">
            <w:pPr>
              <w:pStyle w:val="T1TableStyle"/>
              <w:jc w:val="center"/>
              <w:rPr>
                <w:rFonts w:ascii="Verdana" w:eastAsia="Verdana" w:hAnsi="Verdana" w:cs="Verdana"/>
                <w:b/>
                <w:color w:val="000000"/>
                <w:sz w:val="16"/>
                <w:lang w:val="en-GB"/>
              </w:rPr>
            </w:pPr>
            <w:r w:rsidRPr="00B935AA">
              <w:rPr>
                <w:rFonts w:ascii="Verdana" w:eastAsia="Verdana" w:hAnsi="Verdana" w:cs="Verdana"/>
                <w:b/>
                <w:color w:val="000000"/>
                <w:sz w:val="16"/>
                <w:lang w:val="en-GB"/>
              </w:rPr>
              <w:t>2019/20</w:t>
            </w:r>
          </w:p>
        </w:tc>
      </w:tr>
      <w:tr w:rsidR="004D417B" w:rsidRPr="00B935AA" w:rsidTr="00A200D5">
        <w:trPr>
          <w:trHeight w:val="993"/>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Verdana" w:eastAsia="Verdana" w:hAnsi="Verdana" w:cs="Verdana"/>
                <w:b/>
                <w:color w:val="000000"/>
                <w:sz w:val="16"/>
                <w:lang w:val="en-GB"/>
              </w:rPr>
            </w:pPr>
            <w:r w:rsidRPr="00B935AA">
              <w:rPr>
                <w:rFonts w:ascii="Verdana" w:eastAsia="Verdana" w:hAnsi="Verdana" w:cs="Verdana"/>
                <w:b/>
                <w:color w:val="000000"/>
                <w:sz w:val="16"/>
                <w:lang w:val="en-GB"/>
              </w:rPr>
              <w:t>Net Expenditure Chargeable to the General Fund Balance</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Verdana" w:eastAsia="Verdana" w:hAnsi="Verdana" w:cs="Verdana"/>
                <w:b/>
                <w:color w:val="000000"/>
                <w:sz w:val="16"/>
                <w:lang w:val="en-GB"/>
              </w:rPr>
            </w:pPr>
            <w:r w:rsidRPr="00B935AA">
              <w:rPr>
                <w:rFonts w:ascii="Verdana" w:eastAsia="Verdana" w:hAnsi="Verdana" w:cs="Verdana"/>
                <w:b/>
                <w:color w:val="000000"/>
                <w:sz w:val="16"/>
                <w:lang w:val="en-GB"/>
              </w:rPr>
              <w:t>Adjustments</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Verdana" w:eastAsia="Verdana" w:hAnsi="Verdana" w:cs="Verdana"/>
                <w:b/>
                <w:color w:val="000000"/>
                <w:sz w:val="16"/>
                <w:lang w:val="en-GB"/>
              </w:rPr>
            </w:pPr>
            <w:r w:rsidRPr="00B935AA">
              <w:rPr>
                <w:rFonts w:ascii="Verdana" w:eastAsia="Verdana" w:hAnsi="Verdana" w:cs="Verdana"/>
                <w:b/>
                <w:color w:val="000000"/>
                <w:sz w:val="16"/>
                <w:lang w:val="en-GB"/>
              </w:rPr>
              <w:t>Net Expenditure in the C</w:t>
            </w:r>
            <w:r w:rsidR="00F03FF2">
              <w:rPr>
                <w:rFonts w:ascii="Verdana" w:eastAsia="Verdana" w:hAnsi="Verdana" w:cs="Verdana"/>
                <w:b/>
                <w:color w:val="000000"/>
                <w:sz w:val="16"/>
                <w:lang w:val="en-GB"/>
              </w:rPr>
              <w:t>IE</w:t>
            </w:r>
            <w:r w:rsidRPr="00B935AA">
              <w:rPr>
                <w:rFonts w:ascii="Verdana" w:eastAsia="Verdana" w:hAnsi="Verdana" w:cs="Verdana"/>
                <w:b/>
                <w:color w:val="000000"/>
                <w:sz w:val="16"/>
                <w:lang w:val="en-GB"/>
              </w:rPr>
              <w:t>S</w:t>
            </w:r>
          </w:p>
        </w:tc>
        <w:tc>
          <w:tcPr>
            <w:tcW w:w="1755" w:type="dxa"/>
            <w:shd w:val="clear" w:color="auto" w:fill="auto"/>
            <w:tcMar>
              <w:top w:w="20" w:type="dxa"/>
              <w:left w:w="20" w:type="dxa"/>
              <w:bottom w:w="20" w:type="dxa"/>
              <w:right w:w="20" w:type="dxa"/>
            </w:tcMar>
            <w:vAlign w:val="bottom"/>
          </w:tcPr>
          <w:p w:rsidR="00CA6653" w:rsidRPr="00B935AA" w:rsidRDefault="00CA6653">
            <w:pPr>
              <w:pStyle w:val="T1TableStyle"/>
              <w:jc w:val="center"/>
              <w:rPr>
                <w:rFonts w:ascii="Verdana" w:eastAsia="Verdana" w:hAnsi="Verdana" w:cs="Verdana"/>
                <w:b/>
                <w:color w:val="000000"/>
                <w:sz w:val="2"/>
                <w:lang w:val="en-GB"/>
              </w:rPr>
            </w:pPr>
            <w:r w:rsidRPr="00B935AA">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Verdana" w:eastAsia="Verdana" w:hAnsi="Verdana" w:cs="Verdana"/>
                <w:b/>
                <w:color w:val="000000"/>
                <w:sz w:val="16"/>
                <w:lang w:val="en-GB"/>
              </w:rPr>
            </w:pPr>
            <w:r w:rsidRPr="00B935AA">
              <w:rPr>
                <w:rFonts w:ascii="Verdana" w:eastAsia="Verdana" w:hAnsi="Verdana" w:cs="Verdana"/>
                <w:b/>
                <w:color w:val="000000"/>
                <w:sz w:val="16"/>
                <w:lang w:val="en-GB"/>
              </w:rPr>
              <w:t>Net Expenditure Chargeable to the General Fund Balance</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Verdana" w:eastAsia="Verdana" w:hAnsi="Verdana" w:cs="Verdana"/>
                <w:b/>
                <w:color w:val="000000"/>
                <w:sz w:val="16"/>
                <w:lang w:val="en-GB"/>
              </w:rPr>
            </w:pPr>
            <w:r w:rsidRPr="00B935AA">
              <w:rPr>
                <w:rFonts w:ascii="Verdana" w:eastAsia="Verdana" w:hAnsi="Verdana" w:cs="Verdana"/>
                <w:b/>
                <w:color w:val="000000"/>
                <w:sz w:val="16"/>
                <w:lang w:val="en-GB"/>
              </w:rPr>
              <w:t>Adjustments</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Verdana" w:eastAsia="Verdana" w:hAnsi="Verdana" w:cs="Verdana"/>
                <w:b/>
                <w:color w:val="000000"/>
                <w:sz w:val="16"/>
                <w:lang w:val="en-GB"/>
              </w:rPr>
            </w:pPr>
            <w:r w:rsidRPr="00B935AA">
              <w:rPr>
                <w:rFonts w:ascii="Verdana" w:eastAsia="Verdana" w:hAnsi="Verdana" w:cs="Verdana"/>
                <w:b/>
                <w:color w:val="000000"/>
                <w:sz w:val="16"/>
                <w:lang w:val="en-GB"/>
              </w:rPr>
              <w:t xml:space="preserve">Net Expenditure in the </w:t>
            </w:r>
            <w:r w:rsidR="00F03FF2">
              <w:rPr>
                <w:rFonts w:ascii="Verdana" w:eastAsia="Verdana" w:hAnsi="Verdana" w:cs="Verdana"/>
                <w:b/>
                <w:color w:val="000000"/>
                <w:sz w:val="16"/>
                <w:lang w:val="en-GB"/>
              </w:rPr>
              <w:t>CIES</w:t>
            </w:r>
          </w:p>
        </w:tc>
      </w:tr>
      <w:tr w:rsidR="004D417B" w:rsidRPr="00B935AA" w:rsidTr="00412EE1">
        <w:trPr>
          <w:trHeight w:val="255"/>
          <w:jc w:val="center"/>
        </w:trPr>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£000</w:t>
            </w:r>
          </w:p>
        </w:tc>
        <w:tc>
          <w:tcPr>
            <w:tcW w:w="1755" w:type="dxa"/>
            <w:tcBorders>
              <w:bottom w:val="single" w:sz="2" w:space="0" w:color="000000"/>
            </w:tcBorders>
            <w:shd w:val="clear" w:color="auto" w:fill="auto"/>
            <w:tcMar>
              <w:top w:w="20" w:type="dxa"/>
              <w:left w:w="20" w:type="dxa"/>
              <w:bottom w:w="20" w:type="dxa"/>
              <w:right w:w="20" w:type="dxa"/>
            </w:tcMar>
            <w:vAlign w:val="bottom"/>
          </w:tcPr>
          <w:p w:rsidR="00CA6653" w:rsidRPr="00B935AA" w:rsidRDefault="00CA6653">
            <w:pPr>
              <w:pStyle w:val="T1TableStyle"/>
              <w:jc w:val="right"/>
              <w:rPr>
                <w:rFonts w:ascii="Verdana" w:eastAsia="Verdana" w:hAnsi="Verdana" w:cs="Verdana"/>
                <w:b/>
                <w:color w:val="000000"/>
                <w:sz w:val="2"/>
                <w:lang w:val="en-GB"/>
              </w:rPr>
            </w:pPr>
            <w:r w:rsidRPr="00B935AA">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£000</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81,885</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127,565</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209,450</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Police Payroll</w:t>
            </w:r>
          </w:p>
        </w:tc>
        <w:tc>
          <w:tcPr>
            <w:tcW w:w="1335" w:type="dxa"/>
            <w:shd w:val="clear" w:color="auto" w:fill="auto"/>
            <w:tcMar>
              <w:top w:w="20" w:type="dxa"/>
              <w:left w:w="20" w:type="dxa"/>
              <w:bottom w:w="20" w:type="dxa"/>
              <w:right w:w="20" w:type="dxa"/>
            </w:tcMar>
          </w:tcPr>
          <w:p w:rsidR="00CA6653" w:rsidRPr="00B935AA" w:rsidRDefault="00D51E9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w:t>
            </w:r>
            <w:r w:rsidR="00836B27">
              <w:rPr>
                <w:rFonts w:ascii="Verdana" w:eastAsia="Verdana" w:hAnsi="Verdana" w:cs="Verdana"/>
                <w:color w:val="000000"/>
                <w:sz w:val="16"/>
                <w:lang w:val="en-GB"/>
              </w:rPr>
              <w:t>1</w:t>
            </w:r>
            <w:r w:rsidR="00CA6653" w:rsidRPr="00B935AA">
              <w:rPr>
                <w:rFonts w:ascii="Verdana" w:eastAsia="Verdana" w:hAnsi="Verdana" w:cs="Verdana"/>
                <w:color w:val="000000"/>
                <w:sz w:val="16"/>
                <w:lang w:val="en-GB"/>
              </w:rPr>
              <w:t>,</w:t>
            </w:r>
            <w:r w:rsidR="00836B27">
              <w:rPr>
                <w:rFonts w:ascii="Verdana" w:eastAsia="Verdana" w:hAnsi="Verdana" w:cs="Verdana"/>
                <w:color w:val="000000"/>
                <w:sz w:val="16"/>
                <w:lang w:val="en-GB"/>
              </w:rPr>
              <w:t>044</w:t>
            </w:r>
          </w:p>
        </w:tc>
        <w:tc>
          <w:tcPr>
            <w:tcW w:w="1335" w:type="dxa"/>
            <w:shd w:val="clear" w:color="auto" w:fill="auto"/>
            <w:tcMar>
              <w:top w:w="20" w:type="dxa"/>
              <w:left w:w="20" w:type="dxa"/>
              <w:bottom w:w="20" w:type="dxa"/>
              <w:right w:w="20" w:type="dxa"/>
            </w:tcMar>
          </w:tcPr>
          <w:p w:rsidR="00CA6653" w:rsidRPr="00B935AA" w:rsidRDefault="00D51E9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49</w:t>
            </w:r>
            <w:r w:rsidR="00CA6653" w:rsidRPr="00B935AA">
              <w:rPr>
                <w:rFonts w:ascii="Verdana" w:eastAsia="Verdana" w:hAnsi="Verdana" w:cs="Verdana"/>
                <w:color w:val="000000"/>
                <w:sz w:val="16"/>
                <w:lang w:val="en-GB"/>
              </w:rPr>
              <w:t>,</w:t>
            </w:r>
            <w:r>
              <w:rPr>
                <w:rFonts w:ascii="Verdana" w:eastAsia="Verdana" w:hAnsi="Verdana" w:cs="Verdana"/>
                <w:color w:val="000000"/>
                <w:sz w:val="16"/>
                <w:lang w:val="en-GB"/>
              </w:rPr>
              <w:t>188</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w:t>
            </w:r>
            <w:r w:rsidR="00D51E99">
              <w:rPr>
                <w:rFonts w:ascii="Verdana" w:eastAsia="Verdana" w:hAnsi="Verdana" w:cs="Verdana"/>
                <w:color w:val="000000"/>
                <w:sz w:val="16"/>
                <w:lang w:val="en-GB"/>
              </w:rPr>
              <w:t>30</w:t>
            </w:r>
            <w:r w:rsidRPr="00B935AA">
              <w:rPr>
                <w:rFonts w:ascii="Verdana" w:eastAsia="Verdana" w:hAnsi="Verdana" w:cs="Verdana"/>
                <w:color w:val="000000"/>
                <w:sz w:val="16"/>
                <w:lang w:val="en-GB"/>
              </w:rPr>
              <w:t>,</w:t>
            </w:r>
            <w:r w:rsidR="00836B27">
              <w:rPr>
                <w:rFonts w:ascii="Verdana" w:eastAsia="Verdana" w:hAnsi="Verdana" w:cs="Verdana"/>
                <w:color w:val="000000"/>
                <w:sz w:val="16"/>
                <w:lang w:val="en-GB"/>
              </w:rPr>
              <w:t>232</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4,270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4,270</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Police Overtime</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5,37</w:t>
            </w:r>
            <w:r w:rsidR="00CB0819">
              <w:rPr>
                <w:rFonts w:ascii="Verdana" w:eastAsia="Verdana" w:hAnsi="Verdana" w:cs="Verdana"/>
                <w:color w:val="000000"/>
                <w:sz w:val="16"/>
                <w:lang w:val="en-GB"/>
              </w:rPr>
              <w:t>8</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5,37</w:t>
            </w:r>
            <w:r w:rsidR="00CB0819">
              <w:rPr>
                <w:rFonts w:ascii="Verdana" w:eastAsia="Verdana" w:hAnsi="Verdana" w:cs="Verdana"/>
                <w:color w:val="000000"/>
                <w:sz w:val="16"/>
                <w:lang w:val="en-GB"/>
              </w:rPr>
              <w:t>8</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59,629</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13,826</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73,455</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Staff Payroll</w:t>
            </w:r>
          </w:p>
        </w:tc>
        <w:tc>
          <w:tcPr>
            <w:tcW w:w="1335" w:type="dxa"/>
            <w:shd w:val="clear" w:color="auto" w:fill="auto"/>
            <w:tcMar>
              <w:top w:w="20" w:type="dxa"/>
              <w:left w:w="20" w:type="dxa"/>
              <w:bottom w:w="20" w:type="dxa"/>
              <w:right w:w="20" w:type="dxa"/>
            </w:tcMar>
          </w:tcPr>
          <w:p w:rsidR="00CA6653" w:rsidRPr="00B935AA" w:rsidRDefault="00D51E9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62</w:t>
            </w:r>
            <w:r w:rsidR="00CA6653" w:rsidRPr="00B935AA">
              <w:rPr>
                <w:rFonts w:ascii="Verdana" w:eastAsia="Verdana" w:hAnsi="Verdana" w:cs="Verdana"/>
                <w:color w:val="000000"/>
                <w:sz w:val="16"/>
                <w:lang w:val="en-GB"/>
              </w:rPr>
              <w:t>,</w:t>
            </w:r>
            <w:r w:rsidR="00836B27">
              <w:rPr>
                <w:rFonts w:ascii="Verdana" w:eastAsia="Verdana" w:hAnsi="Verdana" w:cs="Verdana"/>
                <w:color w:val="000000"/>
                <w:sz w:val="16"/>
                <w:lang w:val="en-GB"/>
              </w:rPr>
              <w:t>777</w:t>
            </w:r>
          </w:p>
        </w:tc>
        <w:tc>
          <w:tcPr>
            <w:tcW w:w="1335" w:type="dxa"/>
            <w:shd w:val="clear" w:color="auto" w:fill="auto"/>
            <w:tcMar>
              <w:top w:w="20" w:type="dxa"/>
              <w:left w:w="20" w:type="dxa"/>
              <w:bottom w:w="20" w:type="dxa"/>
              <w:right w:w="20" w:type="dxa"/>
            </w:tcMar>
          </w:tcPr>
          <w:p w:rsidR="00CA6653" w:rsidRPr="00B935AA" w:rsidRDefault="00D51E9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w:t>
            </w:r>
            <w:r w:rsidR="00CA6653" w:rsidRPr="00B935AA">
              <w:rPr>
                <w:rFonts w:ascii="Verdana" w:eastAsia="Verdana" w:hAnsi="Verdana" w:cs="Verdana"/>
                <w:color w:val="000000"/>
                <w:sz w:val="16"/>
                <w:lang w:val="en-GB"/>
              </w:rPr>
              <w:t>,</w:t>
            </w:r>
            <w:r>
              <w:rPr>
                <w:rFonts w:ascii="Verdana" w:eastAsia="Verdana" w:hAnsi="Verdana" w:cs="Verdana"/>
                <w:color w:val="000000"/>
                <w:sz w:val="16"/>
                <w:lang w:val="en-GB"/>
              </w:rPr>
              <w:t>9</w:t>
            </w:r>
            <w:r w:rsidR="00CA6653" w:rsidRPr="00B935AA">
              <w:rPr>
                <w:rFonts w:ascii="Verdana" w:eastAsia="Verdana" w:hAnsi="Verdana" w:cs="Verdana"/>
                <w:color w:val="000000"/>
                <w:sz w:val="16"/>
                <w:lang w:val="en-GB"/>
              </w:rPr>
              <w:t>8</w:t>
            </w:r>
            <w:r>
              <w:rPr>
                <w:rFonts w:ascii="Verdana" w:eastAsia="Verdana" w:hAnsi="Verdana" w:cs="Verdana"/>
                <w:color w:val="000000"/>
                <w:sz w:val="16"/>
                <w:lang w:val="en-GB"/>
              </w:rPr>
              <w:t>5</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7</w:t>
            </w:r>
            <w:r w:rsidR="00D51E99">
              <w:rPr>
                <w:rFonts w:ascii="Verdana" w:eastAsia="Verdana" w:hAnsi="Verdana" w:cs="Verdana"/>
                <w:color w:val="000000"/>
                <w:sz w:val="16"/>
                <w:lang w:val="en-GB"/>
              </w:rPr>
              <w:t>6</w:t>
            </w:r>
            <w:r w:rsidRPr="00B935AA">
              <w:rPr>
                <w:rFonts w:ascii="Verdana" w:eastAsia="Verdana" w:hAnsi="Verdana" w:cs="Verdana"/>
                <w:color w:val="000000"/>
                <w:sz w:val="16"/>
                <w:lang w:val="en-GB"/>
              </w:rPr>
              <w:t>,</w:t>
            </w:r>
            <w:r w:rsidR="00FD4076">
              <w:rPr>
                <w:rFonts w:ascii="Verdana" w:eastAsia="Verdana" w:hAnsi="Verdana" w:cs="Verdana"/>
                <w:color w:val="000000"/>
                <w:sz w:val="16"/>
                <w:lang w:val="en-GB"/>
              </w:rPr>
              <w:t>762</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1,454</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1,454</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Staff Overtime</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1,71</w:t>
            </w:r>
            <w:r w:rsidR="00CB0819">
              <w:rPr>
                <w:rFonts w:ascii="Verdana" w:eastAsia="Verdana" w:hAnsi="Verdana" w:cs="Verdana"/>
                <w:color w:val="000000"/>
                <w:sz w:val="16"/>
                <w:lang w:val="en-GB"/>
              </w:rPr>
              <w:t>7</w:t>
            </w:r>
          </w:p>
        </w:tc>
        <w:tc>
          <w:tcPr>
            <w:tcW w:w="1335" w:type="dxa"/>
            <w:shd w:val="clear" w:color="auto" w:fill="auto"/>
            <w:tcMar>
              <w:top w:w="20" w:type="dxa"/>
              <w:left w:w="20" w:type="dxa"/>
              <w:bottom w:w="20" w:type="dxa"/>
              <w:right w:w="20" w:type="dxa"/>
            </w:tcMar>
          </w:tcPr>
          <w:p w:rsidR="00CA6653" w:rsidRPr="00B935AA" w:rsidRDefault="00D51E9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1,71</w:t>
            </w:r>
            <w:r w:rsidR="00CB0819">
              <w:rPr>
                <w:rFonts w:ascii="Verdana" w:eastAsia="Verdana" w:hAnsi="Verdana" w:cs="Verdana"/>
                <w:color w:val="000000"/>
                <w:sz w:val="16"/>
                <w:lang w:val="en-GB"/>
              </w:rPr>
              <w:t>7</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1,048</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1,048</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Agency</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2,014</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2,014</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1,170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1,170</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Training</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1,148</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1,148</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1,814</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1,814</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Other Payroll Costs</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1,751</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1,751</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9,774</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9,774</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Premises</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12,695</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12,695</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28,741</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28,741</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Supplies and Services</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2</w:t>
            </w:r>
            <w:r w:rsidR="000F2868">
              <w:rPr>
                <w:rFonts w:ascii="Verdana" w:eastAsia="Verdana" w:hAnsi="Verdana" w:cs="Verdana"/>
                <w:color w:val="000000"/>
                <w:sz w:val="16"/>
                <w:lang w:val="en-GB"/>
              </w:rPr>
              <w:t>8</w:t>
            </w:r>
            <w:r w:rsidRPr="00B935AA">
              <w:rPr>
                <w:rFonts w:ascii="Verdana" w:eastAsia="Verdana" w:hAnsi="Verdana" w:cs="Verdana"/>
                <w:color w:val="000000"/>
                <w:sz w:val="16"/>
                <w:lang w:val="en-GB"/>
              </w:rPr>
              <w:t>,</w:t>
            </w:r>
            <w:r w:rsidR="000F2868">
              <w:rPr>
                <w:rFonts w:ascii="Verdana" w:eastAsia="Verdana" w:hAnsi="Verdana" w:cs="Verdana"/>
                <w:color w:val="000000"/>
                <w:sz w:val="16"/>
                <w:lang w:val="en-GB"/>
              </w:rPr>
              <w:t>917</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2</w:t>
            </w:r>
            <w:r w:rsidR="000F2868">
              <w:rPr>
                <w:rFonts w:ascii="Verdana" w:eastAsia="Verdana" w:hAnsi="Verdana" w:cs="Verdana"/>
                <w:color w:val="000000"/>
                <w:sz w:val="16"/>
                <w:lang w:val="en-GB"/>
              </w:rPr>
              <w:t>8</w:t>
            </w:r>
            <w:r w:rsidRPr="00B935AA">
              <w:rPr>
                <w:rFonts w:ascii="Verdana" w:eastAsia="Verdana" w:hAnsi="Verdana" w:cs="Verdana"/>
                <w:color w:val="000000"/>
                <w:sz w:val="16"/>
                <w:lang w:val="en-GB"/>
              </w:rPr>
              <w:t>,</w:t>
            </w:r>
            <w:r w:rsidR="000F2868">
              <w:rPr>
                <w:rFonts w:ascii="Verdana" w:eastAsia="Verdana" w:hAnsi="Verdana" w:cs="Verdana"/>
                <w:color w:val="000000"/>
                <w:sz w:val="16"/>
                <w:lang w:val="en-GB"/>
              </w:rPr>
              <w:t>917</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4,475</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4,475</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Transport</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5,288</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5,288</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8,879</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8,879</w:t>
            </w:r>
          </w:p>
        </w:tc>
        <w:tc>
          <w:tcPr>
            <w:tcW w:w="1755" w:type="dxa"/>
            <w:shd w:val="clear" w:color="auto" w:fill="auto"/>
            <w:tcMar>
              <w:top w:w="20" w:type="dxa"/>
              <w:left w:w="20" w:type="dxa"/>
              <w:bottom w:w="20" w:type="dxa"/>
              <w:right w:w="20" w:type="dxa"/>
            </w:tcMar>
          </w:tcPr>
          <w:p w:rsidR="00406E27"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Depreciation</w:t>
            </w:r>
            <w:r w:rsidR="00FD5814">
              <w:rPr>
                <w:rFonts w:ascii="Verdana" w:eastAsia="Verdana" w:hAnsi="Verdana" w:cs="Verdana"/>
                <w:color w:val="000000"/>
                <w:sz w:val="16"/>
                <w:lang w:val="en-GB"/>
              </w:rPr>
              <w:t>/Amortisation</w:t>
            </w:r>
            <w:r w:rsidR="00406E27">
              <w:rPr>
                <w:rFonts w:ascii="Verdana" w:eastAsia="Verdana" w:hAnsi="Verdana" w:cs="Verdana"/>
                <w:color w:val="000000"/>
                <w:sz w:val="16"/>
                <w:lang w:val="en-GB"/>
              </w:rPr>
              <w:t xml:space="preserve"> (Proxy)</w:t>
            </w:r>
          </w:p>
        </w:tc>
        <w:tc>
          <w:tcPr>
            <w:tcW w:w="1335" w:type="dxa"/>
            <w:shd w:val="clear" w:color="auto" w:fill="auto"/>
            <w:tcMar>
              <w:top w:w="20" w:type="dxa"/>
              <w:left w:w="20" w:type="dxa"/>
              <w:bottom w:w="20" w:type="dxa"/>
              <w:right w:w="20" w:type="dxa"/>
            </w:tcMar>
          </w:tcPr>
          <w:p w:rsidR="00CA6653" w:rsidRPr="00B935AA" w:rsidRDefault="00B77367">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11,</w:t>
            </w:r>
            <w:r w:rsidR="00B77367" w:rsidRPr="00B935AA">
              <w:rPr>
                <w:rFonts w:ascii="Verdana" w:eastAsia="Verdana" w:hAnsi="Verdana" w:cs="Verdana"/>
                <w:color w:val="000000"/>
                <w:sz w:val="16"/>
                <w:lang w:val="en-GB"/>
              </w:rPr>
              <w:t>19</w:t>
            </w:r>
            <w:r w:rsidR="00AB60B0">
              <w:rPr>
                <w:rFonts w:ascii="Verdana" w:eastAsia="Verdana" w:hAnsi="Verdana" w:cs="Verdana"/>
                <w:color w:val="000000"/>
                <w:sz w:val="16"/>
                <w:lang w:val="en-GB"/>
              </w:rPr>
              <w:t>6</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11,19</w:t>
            </w:r>
            <w:r w:rsidR="00AB60B0">
              <w:rPr>
                <w:rFonts w:ascii="Verdana" w:eastAsia="Verdana" w:hAnsi="Verdana" w:cs="Verdana"/>
                <w:color w:val="000000"/>
                <w:sz w:val="16"/>
                <w:lang w:val="en-GB"/>
              </w:rPr>
              <w:t>6</w:t>
            </w:r>
          </w:p>
        </w:tc>
      </w:tr>
      <w:tr w:rsidR="004D417B" w:rsidRPr="00B935AA" w:rsidTr="00412EE1">
        <w:trPr>
          <w:trHeight w:val="255"/>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(13,228)</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(13,228)</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Income</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(14,</w:t>
            </w:r>
            <w:r w:rsidR="00AB60B0">
              <w:rPr>
                <w:rFonts w:ascii="Verdana" w:eastAsia="Verdana" w:hAnsi="Verdana" w:cs="Verdana"/>
                <w:color w:val="000000"/>
                <w:sz w:val="16"/>
                <w:lang w:val="en-GB"/>
              </w:rPr>
              <w:t>144</w:t>
            </w:r>
            <w:r w:rsidRPr="00B935AA">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(14,</w:t>
            </w:r>
            <w:r w:rsidR="00AB60B0">
              <w:rPr>
                <w:rFonts w:ascii="Verdana" w:eastAsia="Verdana" w:hAnsi="Verdana" w:cs="Verdana"/>
                <w:color w:val="000000"/>
                <w:sz w:val="16"/>
                <w:lang w:val="en-GB"/>
              </w:rPr>
              <w:t>144</w:t>
            </w:r>
            <w:r w:rsidRPr="00B935AA">
              <w:rPr>
                <w:rFonts w:ascii="Verdana" w:eastAsia="Verdana" w:hAnsi="Verdana" w:cs="Verdana"/>
                <w:color w:val="000000"/>
                <w:sz w:val="16"/>
                <w:lang w:val="en-GB"/>
              </w:rPr>
              <w:t>)</w:t>
            </w:r>
          </w:p>
        </w:tc>
      </w:tr>
      <w:tr w:rsidR="00F03FF2" w:rsidRPr="00B935AA" w:rsidTr="00412EE1">
        <w:trPr>
          <w:trHeight w:val="255"/>
          <w:jc w:val="center"/>
        </w:trPr>
        <w:tc>
          <w:tcPr>
            <w:tcW w:w="1335" w:type="dxa"/>
            <w:shd w:val="clear" w:color="auto" w:fill="auto"/>
            <w:tcMar>
              <w:top w:w="20" w:type="dxa"/>
              <w:left w:w="20" w:type="dxa"/>
              <w:bottom w:w="20" w:type="dxa"/>
              <w:right w:w="20" w:type="dxa"/>
            </w:tcMar>
          </w:tcPr>
          <w:p w:rsidR="00F03FF2" w:rsidRPr="00B935AA" w:rsidRDefault="004457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1335" w:type="dxa"/>
            <w:shd w:val="clear" w:color="auto" w:fill="auto"/>
            <w:tcMar>
              <w:top w:w="20" w:type="dxa"/>
              <w:left w:w="20" w:type="dxa"/>
              <w:bottom w:w="20" w:type="dxa"/>
              <w:right w:w="20" w:type="dxa"/>
            </w:tcMar>
          </w:tcPr>
          <w:p w:rsidR="00F03FF2" w:rsidRPr="00B935AA" w:rsidRDefault="004457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03FF2" w:rsidRPr="00B935AA" w:rsidRDefault="004457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1755" w:type="dxa"/>
            <w:shd w:val="clear" w:color="auto" w:fill="auto"/>
            <w:tcMar>
              <w:top w:w="20" w:type="dxa"/>
              <w:left w:w="20" w:type="dxa"/>
              <w:bottom w:w="20" w:type="dxa"/>
              <w:right w:w="20" w:type="dxa"/>
            </w:tcMar>
          </w:tcPr>
          <w:p w:rsidR="00F03FF2" w:rsidRPr="00B935AA" w:rsidRDefault="00F03FF2">
            <w:pPr>
              <w:pStyle w:val="T1TableStyle"/>
              <w:rPr>
                <w:rFonts w:ascii="Verdana" w:eastAsia="Verdana" w:hAnsi="Verdana" w:cs="Verdana"/>
                <w:color w:val="000000"/>
                <w:sz w:val="16"/>
                <w:lang w:val="en-GB"/>
              </w:rPr>
            </w:pPr>
            <w:r>
              <w:rPr>
                <w:rFonts w:ascii="Verdana" w:eastAsia="Verdana" w:hAnsi="Verdana" w:cs="Verdana"/>
                <w:color w:val="000000"/>
                <w:sz w:val="16"/>
                <w:lang w:val="en-GB"/>
              </w:rPr>
              <w:t>Rounding</w:t>
            </w:r>
          </w:p>
        </w:tc>
        <w:tc>
          <w:tcPr>
            <w:tcW w:w="1335" w:type="dxa"/>
            <w:shd w:val="clear" w:color="auto" w:fill="auto"/>
            <w:tcMar>
              <w:top w:w="20" w:type="dxa"/>
              <w:left w:w="20" w:type="dxa"/>
              <w:bottom w:w="20" w:type="dxa"/>
              <w:right w:w="20" w:type="dxa"/>
            </w:tcMar>
          </w:tcPr>
          <w:p w:rsidR="00F03FF2" w:rsidRPr="00B935AA" w:rsidRDefault="00FE1C2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03FF2" w:rsidRPr="00B935AA" w:rsidRDefault="00FD407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F03FF2" w:rsidRPr="00B935AA" w:rsidRDefault="00FD4076">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4D417B" w:rsidRPr="00B935AA" w:rsidTr="00412EE1">
        <w:trPr>
          <w:trHeight w:val="510"/>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181,031</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150,270</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331,301</w:t>
            </w:r>
          </w:p>
        </w:tc>
        <w:tc>
          <w:tcPr>
            <w:tcW w:w="175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b/>
                <w:color w:val="000000"/>
                <w:sz w:val="16"/>
                <w:lang w:val="en-GB"/>
              </w:rPr>
            </w:pPr>
            <w:r w:rsidRPr="00B935AA">
              <w:rPr>
                <w:rFonts w:ascii="Verdana" w:eastAsia="Verdana" w:hAnsi="Verdana" w:cs="Verdana"/>
                <w:b/>
                <w:color w:val="000000"/>
                <w:sz w:val="16"/>
                <w:lang w:val="en-GB"/>
              </w:rPr>
              <w:t>Net Cost of Services</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188,</w:t>
            </w:r>
            <w:r w:rsidR="00B77367" w:rsidRPr="00B935AA">
              <w:rPr>
                <w:rFonts w:ascii="Verdana" w:eastAsia="Verdana" w:hAnsi="Verdana" w:cs="Verdana"/>
                <w:b/>
                <w:color w:val="000000"/>
                <w:sz w:val="16"/>
                <w:lang w:val="en-GB"/>
              </w:rPr>
              <w:t>5</w:t>
            </w:r>
            <w:r w:rsidR="00537E5E">
              <w:rPr>
                <w:rFonts w:ascii="Verdana" w:eastAsia="Verdana" w:hAnsi="Verdana" w:cs="Verdana"/>
                <w:b/>
                <w:color w:val="000000"/>
                <w:sz w:val="16"/>
                <w:lang w:val="en-GB"/>
              </w:rPr>
              <w:t>8</w:t>
            </w:r>
            <w:r w:rsidR="00FE1C28">
              <w:rPr>
                <w:rFonts w:ascii="Verdana" w:eastAsia="Verdana" w:hAnsi="Verdana" w:cs="Verdana"/>
                <w:b/>
                <w:color w:val="000000"/>
                <w:sz w:val="16"/>
                <w:lang w:val="en-GB"/>
              </w:rPr>
              <w:t>5</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D51E9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74</w:t>
            </w:r>
            <w:r w:rsidR="00CA6653" w:rsidRPr="00B935AA">
              <w:rPr>
                <w:rFonts w:ascii="Verdana" w:eastAsia="Verdana" w:hAnsi="Verdana" w:cs="Verdana"/>
                <w:b/>
                <w:color w:val="000000"/>
                <w:sz w:val="16"/>
                <w:lang w:val="en-GB"/>
              </w:rPr>
              <w:t>,</w:t>
            </w:r>
            <w:r w:rsidR="00537E5E">
              <w:rPr>
                <w:rFonts w:ascii="Verdana" w:eastAsia="Verdana" w:hAnsi="Verdana" w:cs="Verdana"/>
                <w:b/>
                <w:color w:val="000000"/>
                <w:sz w:val="16"/>
                <w:lang w:val="en-GB"/>
              </w:rPr>
              <w:t>369</w:t>
            </w:r>
          </w:p>
          <w:p w:rsidR="00B5353E" w:rsidRPr="00B935AA" w:rsidRDefault="00B5353E">
            <w:pPr>
              <w:pStyle w:val="T1TableStyle"/>
              <w:jc w:val="right"/>
              <w:rPr>
                <w:rFonts w:ascii="Verdana" w:eastAsia="Verdana" w:hAnsi="Verdana" w:cs="Verdana"/>
                <w:b/>
                <w:color w:val="000000"/>
                <w:sz w:val="16"/>
                <w:lang w:val="en-GB"/>
              </w:rPr>
            </w:pP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2</w:t>
            </w:r>
            <w:r w:rsidR="00D51E99">
              <w:rPr>
                <w:rFonts w:ascii="Verdana" w:eastAsia="Verdana" w:hAnsi="Verdana" w:cs="Verdana"/>
                <w:b/>
                <w:color w:val="000000"/>
                <w:sz w:val="16"/>
                <w:lang w:val="en-GB"/>
              </w:rPr>
              <w:t>62</w:t>
            </w:r>
            <w:r w:rsidRPr="00B935AA">
              <w:rPr>
                <w:rFonts w:ascii="Verdana" w:eastAsia="Verdana" w:hAnsi="Verdana" w:cs="Verdana"/>
                <w:b/>
                <w:color w:val="000000"/>
                <w:sz w:val="16"/>
                <w:lang w:val="en-GB"/>
              </w:rPr>
              <w:t>,</w:t>
            </w:r>
            <w:r w:rsidR="00537E5E">
              <w:rPr>
                <w:rFonts w:ascii="Verdana" w:eastAsia="Verdana" w:hAnsi="Verdana" w:cs="Verdana"/>
                <w:b/>
                <w:color w:val="000000"/>
                <w:sz w:val="16"/>
                <w:lang w:val="en-GB"/>
              </w:rPr>
              <w:t>954</w:t>
            </w:r>
          </w:p>
        </w:tc>
      </w:tr>
      <w:tr w:rsidR="004D417B" w:rsidRPr="00B935AA" w:rsidTr="00412EE1">
        <w:trPr>
          <w:trHeight w:hRule="exact" w:val="90"/>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755" w:type="dxa"/>
            <w:shd w:val="clear" w:color="auto" w:fill="auto"/>
            <w:tcMar>
              <w:top w:w="20" w:type="dxa"/>
              <w:left w:w="20" w:type="dxa"/>
              <w:bottom w:w="20" w:type="dxa"/>
              <w:right w:w="20" w:type="dxa"/>
            </w:tcMar>
          </w:tcPr>
          <w:p w:rsidR="00CA6653" w:rsidRPr="00B935AA" w:rsidRDefault="00CA6653">
            <w:pPr>
              <w:pStyle w:val="T1TableStyle"/>
              <w:jc w:val="center"/>
              <w:rPr>
                <w:rFonts w:ascii="Verdana" w:eastAsia="Verdana" w:hAnsi="Verdana" w:cs="Verdana"/>
                <w:color w:val="000000"/>
                <w:sz w:val="2"/>
                <w:lang w:val="en-GB"/>
              </w:rPr>
            </w:pPr>
            <w:r w:rsidRPr="00B935AA">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r>
      <w:tr w:rsidR="004D417B" w:rsidRPr="00B935AA" w:rsidTr="00412EE1">
        <w:trPr>
          <w:trHeight w:val="420"/>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(185,2</w:t>
            </w:r>
            <w:r w:rsidR="0044571C">
              <w:rPr>
                <w:rFonts w:ascii="Verdana" w:eastAsia="Verdana" w:hAnsi="Verdana" w:cs="Verdana"/>
                <w:color w:val="000000"/>
                <w:sz w:val="16"/>
                <w:lang w:val="en-GB"/>
              </w:rPr>
              <w:t>30</w:t>
            </w:r>
            <w:r w:rsidRPr="00B935AA">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(2,427)</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(187,657)</w:t>
            </w:r>
          </w:p>
        </w:tc>
        <w:tc>
          <w:tcPr>
            <w:tcW w:w="1755" w:type="dxa"/>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color w:val="000000"/>
                <w:sz w:val="16"/>
                <w:lang w:val="en-GB"/>
              </w:rPr>
            </w:pPr>
            <w:r w:rsidRPr="00B935AA">
              <w:rPr>
                <w:rFonts w:ascii="Verdana" w:eastAsia="Verdana" w:hAnsi="Verdana" w:cs="Verdana"/>
                <w:color w:val="000000"/>
                <w:sz w:val="16"/>
                <w:lang w:val="en-GB"/>
              </w:rPr>
              <w:t>Other Income and Expenditure</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(190,</w:t>
            </w:r>
            <w:r w:rsidR="00537E5E">
              <w:rPr>
                <w:rFonts w:ascii="Verdana" w:eastAsia="Verdana" w:hAnsi="Verdana" w:cs="Verdana"/>
                <w:color w:val="000000"/>
                <w:sz w:val="16"/>
                <w:lang w:val="en-GB"/>
              </w:rPr>
              <w:t>83</w:t>
            </w:r>
            <w:r w:rsidR="00FE1C28">
              <w:rPr>
                <w:rFonts w:ascii="Verdana" w:eastAsia="Verdana" w:hAnsi="Verdana" w:cs="Verdana"/>
                <w:color w:val="000000"/>
                <w:sz w:val="16"/>
                <w:lang w:val="en-GB"/>
              </w:rPr>
              <w:t>3</w:t>
            </w:r>
            <w:r w:rsidR="001B1732">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w:t>
            </w:r>
            <w:r w:rsidR="00120358">
              <w:rPr>
                <w:rFonts w:ascii="Verdana" w:eastAsia="Verdana" w:hAnsi="Verdana" w:cs="Verdana"/>
                <w:color w:val="000000"/>
                <w:sz w:val="16"/>
                <w:lang w:val="en-GB"/>
              </w:rPr>
              <w:t>8</w:t>
            </w:r>
            <w:r w:rsidRPr="00B935AA">
              <w:rPr>
                <w:rFonts w:ascii="Verdana" w:eastAsia="Verdana" w:hAnsi="Verdana" w:cs="Verdana"/>
                <w:color w:val="000000"/>
                <w:sz w:val="16"/>
                <w:lang w:val="en-GB"/>
              </w:rPr>
              <w:t>,</w:t>
            </w:r>
            <w:r w:rsidR="00120358">
              <w:rPr>
                <w:rFonts w:ascii="Verdana" w:eastAsia="Verdana" w:hAnsi="Verdana" w:cs="Verdana"/>
                <w:color w:val="000000"/>
                <w:sz w:val="16"/>
                <w:lang w:val="en-GB"/>
              </w:rPr>
              <w:t>245</w:t>
            </w:r>
            <w:r w:rsidRPr="00B935AA">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color w:val="000000"/>
                <w:sz w:val="16"/>
                <w:lang w:val="en-GB"/>
              </w:rPr>
            </w:pPr>
            <w:r w:rsidRPr="00B935AA">
              <w:rPr>
                <w:rFonts w:ascii="Verdana" w:eastAsia="Verdana" w:hAnsi="Verdana" w:cs="Verdana"/>
                <w:color w:val="000000"/>
                <w:sz w:val="16"/>
                <w:lang w:val="en-GB"/>
              </w:rPr>
              <w:t>(19</w:t>
            </w:r>
            <w:r w:rsidR="00537E5E">
              <w:rPr>
                <w:rFonts w:ascii="Verdana" w:eastAsia="Verdana" w:hAnsi="Verdana" w:cs="Verdana"/>
                <w:color w:val="000000"/>
                <w:sz w:val="16"/>
                <w:lang w:val="en-GB"/>
              </w:rPr>
              <w:t>9</w:t>
            </w:r>
            <w:r w:rsidRPr="00B935AA">
              <w:rPr>
                <w:rFonts w:ascii="Verdana" w:eastAsia="Verdana" w:hAnsi="Verdana" w:cs="Verdana"/>
                <w:color w:val="000000"/>
                <w:sz w:val="16"/>
                <w:lang w:val="en-GB"/>
              </w:rPr>
              <w:t>,</w:t>
            </w:r>
            <w:r w:rsidR="00537E5E">
              <w:rPr>
                <w:rFonts w:ascii="Verdana" w:eastAsia="Verdana" w:hAnsi="Verdana" w:cs="Verdana"/>
                <w:color w:val="000000"/>
                <w:sz w:val="16"/>
                <w:lang w:val="en-GB"/>
              </w:rPr>
              <w:t>07</w:t>
            </w:r>
            <w:r w:rsidR="00CC06D3">
              <w:rPr>
                <w:rFonts w:ascii="Verdana" w:eastAsia="Verdana" w:hAnsi="Verdana" w:cs="Verdana"/>
                <w:color w:val="000000"/>
                <w:sz w:val="16"/>
                <w:lang w:val="en-GB"/>
              </w:rPr>
              <w:t>8</w:t>
            </w:r>
            <w:r w:rsidRPr="00B935AA">
              <w:rPr>
                <w:rFonts w:ascii="Verdana" w:eastAsia="Verdana" w:hAnsi="Verdana" w:cs="Verdana"/>
                <w:color w:val="000000"/>
                <w:sz w:val="16"/>
                <w:lang w:val="en-GB"/>
              </w:rPr>
              <w:t>)</w:t>
            </w:r>
          </w:p>
        </w:tc>
      </w:tr>
      <w:tr w:rsidR="004D417B" w:rsidRPr="00B935AA" w:rsidTr="00412EE1">
        <w:trPr>
          <w:trHeight w:hRule="exact" w:val="90"/>
          <w:jc w:val="center"/>
        </w:trPr>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75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B935AA" w:rsidRDefault="00CA6653">
            <w:pPr>
              <w:pStyle w:val="T1TableStyle"/>
              <w:jc w:val="center"/>
              <w:rPr>
                <w:rFonts w:ascii="Calibri" w:eastAsia="Calibri" w:hAnsi="Calibri" w:cs="Calibri"/>
                <w:color w:val="000000"/>
                <w:sz w:val="2"/>
                <w:lang w:val="en-GB"/>
              </w:rPr>
            </w:pPr>
            <w:r w:rsidRPr="00B935AA">
              <w:rPr>
                <w:rFonts w:ascii="Calibri" w:eastAsia="Calibri" w:hAnsi="Calibri" w:cs="Calibri"/>
                <w:color w:val="000000"/>
                <w:sz w:val="2"/>
                <w:lang w:val="en-GB"/>
              </w:rPr>
              <w:t xml:space="preserve"> </w:t>
            </w:r>
          </w:p>
        </w:tc>
      </w:tr>
      <w:tr w:rsidR="004D417B" w:rsidRPr="00C04F26" w:rsidTr="00412EE1">
        <w:trPr>
          <w:trHeight w:val="85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(4,19</w:t>
            </w:r>
            <w:r w:rsidR="0044571C">
              <w:rPr>
                <w:rFonts w:ascii="Verdana" w:eastAsia="Verdana" w:hAnsi="Verdana" w:cs="Verdana"/>
                <w:b/>
                <w:color w:val="000000"/>
                <w:sz w:val="16"/>
                <w:lang w:val="en-GB"/>
              </w:rPr>
              <w:t>9</w:t>
            </w:r>
            <w:r w:rsidRPr="00B935AA">
              <w:rPr>
                <w:rFonts w:ascii="Verdana" w:eastAsia="Verdana" w:hAnsi="Verdana" w:cs="Verdana"/>
                <w:b/>
                <w:color w:val="000000"/>
                <w:sz w:val="16"/>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147,843</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jc w:val="right"/>
              <w:rPr>
                <w:rFonts w:ascii="Verdana" w:eastAsia="Verdana" w:hAnsi="Verdana" w:cs="Verdana"/>
                <w:b/>
                <w:color w:val="000000"/>
                <w:sz w:val="16"/>
                <w:lang w:val="en-GB"/>
              </w:rPr>
            </w:pPr>
            <w:r w:rsidRPr="00B935AA">
              <w:rPr>
                <w:rFonts w:ascii="Verdana" w:eastAsia="Verdana" w:hAnsi="Verdana" w:cs="Verdana"/>
                <w:b/>
                <w:color w:val="000000"/>
                <w:sz w:val="16"/>
                <w:lang w:val="en-GB"/>
              </w:rPr>
              <w:t>143,644</w:t>
            </w:r>
          </w:p>
        </w:tc>
        <w:tc>
          <w:tcPr>
            <w:tcW w:w="175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CA6653">
            <w:pPr>
              <w:pStyle w:val="T1TableStyle"/>
              <w:rPr>
                <w:rFonts w:ascii="Verdana" w:eastAsia="Verdana" w:hAnsi="Verdana" w:cs="Verdana"/>
                <w:b/>
                <w:color w:val="000000"/>
                <w:sz w:val="16"/>
                <w:lang w:val="en-GB"/>
              </w:rPr>
            </w:pPr>
            <w:r w:rsidRPr="00B935AA">
              <w:rPr>
                <w:rFonts w:ascii="Verdana" w:eastAsia="Verdana" w:hAnsi="Verdana" w:cs="Verdana"/>
                <w:b/>
                <w:color w:val="000000"/>
                <w:sz w:val="16"/>
                <w:lang w:val="en-GB"/>
              </w:rPr>
              <w:t>Surplus or Deficit on Provision of Services</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2A0E78">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6906A3">
              <w:rPr>
                <w:rFonts w:ascii="Verdana" w:eastAsia="Verdana" w:hAnsi="Verdana" w:cs="Verdana"/>
                <w:b/>
                <w:color w:val="000000"/>
                <w:sz w:val="16"/>
                <w:lang w:val="en-GB"/>
              </w:rPr>
              <w:t>,</w:t>
            </w:r>
            <w:r>
              <w:rPr>
                <w:rFonts w:ascii="Verdana" w:eastAsia="Verdana" w:hAnsi="Verdana" w:cs="Verdana"/>
                <w:b/>
                <w:color w:val="000000"/>
                <w:sz w:val="16"/>
                <w:lang w:val="en-GB"/>
              </w:rPr>
              <w:t>2</w:t>
            </w:r>
            <w:r w:rsidR="00CB0819">
              <w:rPr>
                <w:rFonts w:ascii="Verdana" w:eastAsia="Verdana" w:hAnsi="Verdana" w:cs="Verdana"/>
                <w:b/>
                <w:color w:val="000000"/>
                <w:sz w:val="16"/>
                <w:lang w:val="en-GB"/>
              </w:rPr>
              <w:t>4</w:t>
            </w:r>
            <w:r w:rsidR="00FE1C28">
              <w:rPr>
                <w:rFonts w:ascii="Verdana" w:eastAsia="Verdana" w:hAnsi="Verdana" w:cs="Verdana"/>
                <w:b/>
                <w:color w:val="000000"/>
                <w:sz w:val="16"/>
                <w:lang w:val="en-GB"/>
              </w:rPr>
              <w:t>8</w:t>
            </w:r>
            <w:r>
              <w:rPr>
                <w:rFonts w:ascii="Verdana" w:eastAsia="Verdana" w:hAnsi="Verdana" w:cs="Verdana"/>
                <w:b/>
                <w:color w:val="000000"/>
                <w:sz w:val="16"/>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D51E9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66</w:t>
            </w:r>
            <w:r w:rsidR="00CA6653" w:rsidRPr="00B935AA">
              <w:rPr>
                <w:rFonts w:ascii="Verdana" w:eastAsia="Verdana" w:hAnsi="Verdana" w:cs="Verdana"/>
                <w:b/>
                <w:color w:val="000000"/>
                <w:sz w:val="16"/>
                <w:lang w:val="en-GB"/>
              </w:rPr>
              <w:t>,</w:t>
            </w:r>
            <w:r>
              <w:rPr>
                <w:rFonts w:ascii="Verdana" w:eastAsia="Verdana" w:hAnsi="Verdana" w:cs="Verdana"/>
                <w:b/>
                <w:color w:val="000000"/>
                <w:sz w:val="16"/>
                <w:lang w:val="en-GB"/>
              </w:rPr>
              <w:t>1</w:t>
            </w:r>
            <w:r w:rsidR="00120358">
              <w:rPr>
                <w:rFonts w:ascii="Verdana" w:eastAsia="Verdana" w:hAnsi="Verdana" w:cs="Verdana"/>
                <w:b/>
                <w:color w:val="000000"/>
                <w:sz w:val="16"/>
                <w:lang w:val="en-GB"/>
              </w:rPr>
              <w:t>2</w:t>
            </w:r>
            <w:r w:rsidR="00FE1C28">
              <w:rPr>
                <w:rFonts w:ascii="Verdana" w:eastAsia="Verdana" w:hAnsi="Verdana" w:cs="Verdana"/>
                <w:b/>
                <w:color w:val="000000"/>
                <w:sz w:val="16"/>
                <w:lang w:val="en-GB"/>
              </w:rPr>
              <w:t>4</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B935AA" w:rsidRDefault="00D51E9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w:t>
            </w:r>
            <w:r w:rsidR="00CA6653" w:rsidRPr="00B935AA">
              <w:rPr>
                <w:rFonts w:ascii="Verdana" w:eastAsia="Verdana" w:hAnsi="Verdana" w:cs="Verdana"/>
                <w:b/>
                <w:color w:val="000000"/>
                <w:sz w:val="16"/>
                <w:lang w:val="en-GB"/>
              </w:rPr>
              <w:t>,</w:t>
            </w:r>
            <w:r>
              <w:rPr>
                <w:rFonts w:ascii="Verdana" w:eastAsia="Verdana" w:hAnsi="Verdana" w:cs="Verdana"/>
                <w:b/>
                <w:color w:val="000000"/>
                <w:sz w:val="16"/>
                <w:lang w:val="en-GB"/>
              </w:rPr>
              <w:t>8</w:t>
            </w:r>
            <w:r w:rsidR="00120358">
              <w:rPr>
                <w:rFonts w:ascii="Verdana" w:eastAsia="Verdana" w:hAnsi="Verdana" w:cs="Verdana"/>
                <w:b/>
                <w:color w:val="000000"/>
                <w:sz w:val="16"/>
                <w:lang w:val="en-GB"/>
              </w:rPr>
              <w:t>7</w:t>
            </w:r>
            <w:r w:rsidR="00CC06D3">
              <w:rPr>
                <w:rFonts w:ascii="Verdana" w:eastAsia="Verdana" w:hAnsi="Verdana" w:cs="Verdana"/>
                <w:b/>
                <w:color w:val="000000"/>
                <w:sz w:val="16"/>
                <w:lang w:val="en-GB"/>
              </w:rPr>
              <w:t>6</w:t>
            </w:r>
          </w:p>
        </w:tc>
      </w:tr>
      <w:tr w:rsidR="004D417B" w:rsidRPr="00C04F26" w:rsidTr="00412EE1">
        <w:trPr>
          <w:trHeight w:hRule="exact" w:val="90"/>
          <w:jc w:val="center"/>
        </w:trPr>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Calibri" w:eastAsia="Calibri" w:hAnsi="Calibri" w:cs="Calibri"/>
                <w:color w:val="000000"/>
                <w:sz w:val="2"/>
                <w:highlight w:val="yellow"/>
                <w:lang w:val="en-GB"/>
              </w:rPr>
            </w:pPr>
          </w:p>
        </w:tc>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Calibri" w:eastAsia="Calibri" w:hAnsi="Calibri" w:cs="Calibri"/>
                <w:color w:val="000000"/>
                <w:sz w:val="2"/>
                <w:highlight w:val="yellow"/>
                <w:lang w:val="en-GB"/>
              </w:rPr>
            </w:pPr>
            <w:r w:rsidRPr="00C04F26">
              <w:rPr>
                <w:rFonts w:ascii="Calibri" w:eastAsia="Calibri" w:hAnsi="Calibri" w:cs="Calibri"/>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Calibri" w:eastAsia="Calibri" w:hAnsi="Calibri" w:cs="Calibri"/>
                <w:color w:val="000000"/>
                <w:sz w:val="2"/>
                <w:highlight w:val="yellow"/>
                <w:lang w:val="en-GB"/>
              </w:rPr>
            </w:pPr>
            <w:r w:rsidRPr="00C04F26">
              <w:rPr>
                <w:rFonts w:ascii="Calibri" w:eastAsia="Calibri" w:hAnsi="Calibri" w:cs="Calibri"/>
                <w:color w:val="000000"/>
                <w:sz w:val="2"/>
                <w:highlight w:val="yellow"/>
                <w:lang w:val="en-GB"/>
              </w:rPr>
              <w:t xml:space="preserve"> </w:t>
            </w:r>
          </w:p>
        </w:tc>
        <w:tc>
          <w:tcPr>
            <w:tcW w:w="1755" w:type="dxa"/>
            <w:shd w:val="clear" w:color="auto" w:fill="auto"/>
            <w:tcMar>
              <w:top w:w="20" w:type="dxa"/>
              <w:left w:w="20" w:type="dxa"/>
              <w:bottom w:w="20" w:type="dxa"/>
              <w:right w:w="20" w:type="dxa"/>
            </w:tcMar>
          </w:tcPr>
          <w:p w:rsidR="00CA6653" w:rsidRPr="00C04F26" w:rsidRDefault="00CA6653">
            <w:pPr>
              <w:pStyle w:val="T1TableStyle"/>
              <w:jc w:val="center"/>
              <w:rPr>
                <w:rFonts w:ascii="Calibri" w:eastAsia="Calibri" w:hAnsi="Calibri" w:cs="Calibri"/>
                <w:color w:val="000000"/>
                <w:sz w:val="2"/>
                <w:highlight w:val="yellow"/>
                <w:lang w:val="en-GB"/>
              </w:rPr>
            </w:pPr>
            <w:r w:rsidRPr="00C04F26">
              <w:rPr>
                <w:rFonts w:ascii="Calibri" w:eastAsia="Calibri" w:hAnsi="Calibri" w:cs="Calibri"/>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Calibri" w:eastAsia="Calibri" w:hAnsi="Calibri" w:cs="Calibri"/>
                <w:color w:val="000000"/>
                <w:sz w:val="2"/>
                <w:highlight w:val="yellow"/>
                <w:lang w:val="en-GB"/>
              </w:rPr>
            </w:pPr>
            <w:r w:rsidRPr="00C04F26">
              <w:rPr>
                <w:rFonts w:ascii="Calibri" w:eastAsia="Calibri" w:hAnsi="Calibri" w:cs="Calibri"/>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Calibri" w:eastAsia="Calibri" w:hAnsi="Calibri" w:cs="Calibri"/>
                <w:color w:val="000000"/>
                <w:sz w:val="2"/>
                <w:highlight w:val="yellow"/>
                <w:lang w:val="en-GB"/>
              </w:rPr>
            </w:pPr>
            <w:r w:rsidRPr="00C04F26">
              <w:rPr>
                <w:rFonts w:ascii="Calibri" w:eastAsia="Calibri" w:hAnsi="Calibri" w:cs="Calibri"/>
                <w:color w:val="000000"/>
                <w:sz w:val="2"/>
                <w:highlight w:val="yellow"/>
                <w:lang w:val="en-GB"/>
              </w:rPr>
              <w:t xml:space="preserve"> </w:t>
            </w:r>
          </w:p>
        </w:tc>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Calibri" w:eastAsia="Calibri" w:hAnsi="Calibri" w:cs="Calibri"/>
                <w:color w:val="000000"/>
                <w:sz w:val="2"/>
                <w:highlight w:val="yellow"/>
                <w:lang w:val="en-GB"/>
              </w:rPr>
            </w:pPr>
            <w:r w:rsidRPr="00C04F26">
              <w:rPr>
                <w:rFonts w:ascii="Calibri" w:eastAsia="Calibri" w:hAnsi="Calibri" w:cs="Calibri"/>
                <w:color w:val="000000"/>
                <w:sz w:val="2"/>
                <w:highlight w:val="yellow"/>
                <w:lang w:val="en-GB"/>
              </w:rPr>
              <w:t xml:space="preserve"> </w:t>
            </w:r>
          </w:p>
        </w:tc>
      </w:tr>
      <w:tr w:rsidR="004D417B" w:rsidRPr="00C04F26" w:rsidTr="00412EE1">
        <w:trPr>
          <w:trHeight w:val="630"/>
          <w:jc w:val="center"/>
        </w:trPr>
        <w:tc>
          <w:tcPr>
            <w:tcW w:w="1335" w:type="dxa"/>
            <w:shd w:val="clear" w:color="auto" w:fill="auto"/>
            <w:tcMar>
              <w:top w:w="20" w:type="dxa"/>
              <w:left w:w="20" w:type="dxa"/>
              <w:bottom w:w="20" w:type="dxa"/>
              <w:right w:w="20" w:type="dxa"/>
            </w:tcMar>
          </w:tcPr>
          <w:p w:rsidR="00CA6653" w:rsidRPr="002A0E78" w:rsidRDefault="00CA6653">
            <w:pPr>
              <w:pStyle w:val="T1TableStyle"/>
              <w:jc w:val="right"/>
              <w:rPr>
                <w:rFonts w:ascii="Verdana" w:eastAsia="Verdana" w:hAnsi="Verdana" w:cs="Verdana"/>
                <w:color w:val="000000"/>
                <w:sz w:val="16"/>
                <w:lang w:val="en-GB"/>
              </w:rPr>
            </w:pPr>
            <w:r w:rsidRPr="002A0E78">
              <w:rPr>
                <w:rFonts w:ascii="Verdana" w:eastAsia="Verdana" w:hAnsi="Verdana" w:cs="Verdana"/>
                <w:color w:val="000000"/>
                <w:sz w:val="16"/>
                <w:lang w:val="en-GB"/>
              </w:rPr>
              <w:t>(13,054)</w:t>
            </w:r>
          </w:p>
        </w:tc>
        <w:tc>
          <w:tcPr>
            <w:tcW w:w="1335" w:type="dxa"/>
            <w:shd w:val="clear" w:color="auto" w:fill="auto"/>
            <w:tcMar>
              <w:top w:w="20" w:type="dxa"/>
              <w:left w:w="20" w:type="dxa"/>
              <w:bottom w:w="20" w:type="dxa"/>
              <w:right w:w="20" w:type="dxa"/>
            </w:tcMar>
            <w:vAlign w:val="center"/>
          </w:tcPr>
          <w:p w:rsidR="00CA6653" w:rsidRPr="002A0E78" w:rsidRDefault="00CA6653">
            <w:pPr>
              <w:pStyle w:val="T1TableStyle"/>
              <w:jc w:val="center"/>
              <w:rPr>
                <w:rFonts w:ascii="Verdana" w:eastAsia="Verdana" w:hAnsi="Verdana" w:cs="Verdana"/>
                <w:b/>
                <w:color w:val="000000"/>
                <w:sz w:val="2"/>
                <w:lang w:val="en-GB"/>
              </w:rPr>
            </w:pPr>
            <w:r w:rsidRPr="002A0E78">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755" w:type="dxa"/>
            <w:shd w:val="clear" w:color="auto" w:fill="auto"/>
            <w:tcMar>
              <w:top w:w="20" w:type="dxa"/>
              <w:left w:w="20" w:type="dxa"/>
              <w:bottom w:w="20" w:type="dxa"/>
              <w:right w:w="20" w:type="dxa"/>
            </w:tcMar>
            <w:vAlign w:val="center"/>
          </w:tcPr>
          <w:p w:rsidR="00CA6653" w:rsidRPr="002A0E78" w:rsidRDefault="00CA6653">
            <w:pPr>
              <w:pStyle w:val="T1TableStyle"/>
              <w:rPr>
                <w:rFonts w:ascii="Verdana" w:eastAsia="Verdana" w:hAnsi="Verdana" w:cs="Verdana"/>
                <w:color w:val="000000"/>
                <w:sz w:val="16"/>
                <w:lang w:val="en-GB"/>
              </w:rPr>
            </w:pPr>
            <w:r w:rsidRPr="002A0E78">
              <w:rPr>
                <w:rFonts w:ascii="Verdana" w:eastAsia="Verdana" w:hAnsi="Verdana" w:cs="Verdana"/>
                <w:color w:val="000000"/>
                <w:sz w:val="16"/>
                <w:lang w:val="en-GB"/>
              </w:rPr>
              <w:t>Opening Combined General Fund Balance</w:t>
            </w:r>
          </w:p>
        </w:tc>
        <w:tc>
          <w:tcPr>
            <w:tcW w:w="1335" w:type="dxa"/>
            <w:shd w:val="clear" w:color="auto" w:fill="auto"/>
            <w:tcMar>
              <w:top w:w="20" w:type="dxa"/>
              <w:left w:w="20" w:type="dxa"/>
              <w:bottom w:w="20" w:type="dxa"/>
              <w:right w:w="20" w:type="dxa"/>
            </w:tcMar>
          </w:tcPr>
          <w:p w:rsidR="00CA6653" w:rsidRPr="002A0E78" w:rsidRDefault="00CA6653">
            <w:pPr>
              <w:pStyle w:val="T1TableStyle"/>
              <w:jc w:val="right"/>
              <w:rPr>
                <w:rFonts w:ascii="Verdana" w:eastAsia="Verdana" w:hAnsi="Verdana" w:cs="Verdana"/>
                <w:color w:val="000000"/>
                <w:sz w:val="16"/>
                <w:lang w:val="en-GB"/>
              </w:rPr>
            </w:pPr>
            <w:r w:rsidRPr="002A0E78">
              <w:rPr>
                <w:rFonts w:ascii="Verdana" w:eastAsia="Verdana" w:hAnsi="Verdana" w:cs="Verdana"/>
                <w:color w:val="000000"/>
                <w:sz w:val="16"/>
                <w:lang w:val="en-GB"/>
              </w:rPr>
              <w:t>(</w:t>
            </w:r>
            <w:r w:rsidR="002A0E78" w:rsidRPr="002A0E78">
              <w:rPr>
                <w:rFonts w:ascii="Verdana" w:eastAsia="Verdana" w:hAnsi="Verdana" w:cs="Verdana"/>
                <w:color w:val="000000"/>
                <w:sz w:val="16"/>
                <w:lang w:val="en-GB"/>
              </w:rPr>
              <w:t>17</w:t>
            </w:r>
            <w:r w:rsidRPr="002A0E78">
              <w:rPr>
                <w:rFonts w:ascii="Verdana" w:eastAsia="Verdana" w:hAnsi="Verdana" w:cs="Verdana"/>
                <w:color w:val="000000"/>
                <w:sz w:val="16"/>
                <w:lang w:val="en-GB"/>
              </w:rPr>
              <w:t>,</w:t>
            </w:r>
            <w:r w:rsidR="002A0E78" w:rsidRPr="002A0E78">
              <w:rPr>
                <w:rFonts w:ascii="Verdana" w:eastAsia="Verdana" w:hAnsi="Verdana" w:cs="Verdana"/>
                <w:color w:val="000000"/>
                <w:sz w:val="16"/>
                <w:lang w:val="en-GB"/>
              </w:rPr>
              <w:t>25</w:t>
            </w:r>
            <w:r w:rsidR="00F03FF2">
              <w:rPr>
                <w:rFonts w:ascii="Verdana" w:eastAsia="Verdana" w:hAnsi="Verdana" w:cs="Verdana"/>
                <w:color w:val="000000"/>
                <w:sz w:val="16"/>
                <w:lang w:val="en-GB"/>
              </w:rPr>
              <w:t>3</w:t>
            </w:r>
            <w:r w:rsidRPr="002A0E78">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Verdana" w:eastAsia="Verdana" w:hAnsi="Verdana" w:cs="Verdana"/>
                <w:color w:val="000000"/>
                <w:sz w:val="2"/>
                <w:highlight w:val="yellow"/>
                <w:lang w:val="en-GB"/>
              </w:rPr>
            </w:pPr>
            <w:r w:rsidRPr="00C04F26">
              <w:rPr>
                <w:rFonts w:ascii="Verdana" w:eastAsia="Verdana" w:hAnsi="Verdana" w:cs="Verdana"/>
                <w:color w:val="000000"/>
                <w:sz w:val="2"/>
                <w:highlight w:val="yellow"/>
                <w:lang w:val="en-GB"/>
              </w:rPr>
              <w:t xml:space="preserve"> </w:t>
            </w:r>
          </w:p>
        </w:tc>
      </w:tr>
      <w:tr w:rsidR="004D417B" w:rsidRPr="00C04F26" w:rsidTr="00412EE1">
        <w:trPr>
          <w:trHeight w:hRule="exact" w:val="90"/>
          <w:jc w:val="center"/>
        </w:trPr>
        <w:tc>
          <w:tcPr>
            <w:tcW w:w="1335" w:type="dxa"/>
            <w:shd w:val="clear" w:color="auto" w:fill="auto"/>
            <w:tcMar>
              <w:top w:w="20" w:type="dxa"/>
              <w:left w:w="20" w:type="dxa"/>
              <w:bottom w:w="20" w:type="dxa"/>
              <w:right w:w="20" w:type="dxa"/>
            </w:tcMar>
            <w:vAlign w:val="center"/>
          </w:tcPr>
          <w:p w:rsidR="00CA6653" w:rsidRPr="002A0E78" w:rsidRDefault="00CA6653">
            <w:pPr>
              <w:pStyle w:val="T1TableStyle"/>
              <w:jc w:val="center"/>
              <w:rPr>
                <w:rFonts w:ascii="Verdana" w:eastAsia="Verdana" w:hAnsi="Verdana" w:cs="Verdana"/>
                <w:b/>
                <w:color w:val="000000"/>
                <w:sz w:val="2"/>
                <w:lang w:val="en-GB"/>
              </w:rPr>
            </w:pPr>
            <w:r w:rsidRPr="002A0E78">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center"/>
          </w:tcPr>
          <w:p w:rsidR="00CA6653" w:rsidRPr="002A0E78" w:rsidRDefault="00CA6653">
            <w:pPr>
              <w:pStyle w:val="T1TableStyle"/>
              <w:jc w:val="center"/>
              <w:rPr>
                <w:rFonts w:ascii="Verdana" w:eastAsia="Verdana" w:hAnsi="Verdana" w:cs="Verdana"/>
                <w:b/>
                <w:color w:val="000000"/>
                <w:sz w:val="2"/>
                <w:lang w:val="en-GB"/>
              </w:rPr>
            </w:pPr>
            <w:r w:rsidRPr="002A0E78">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755" w:type="dxa"/>
            <w:shd w:val="clear" w:color="auto" w:fill="auto"/>
            <w:tcMar>
              <w:top w:w="20" w:type="dxa"/>
              <w:left w:w="20" w:type="dxa"/>
              <w:bottom w:w="20" w:type="dxa"/>
              <w:right w:w="20" w:type="dxa"/>
            </w:tcMar>
            <w:vAlign w:val="cente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Calibri" w:eastAsia="Calibri" w:hAnsi="Calibri" w:cs="Calibri"/>
                <w:color w:val="000000"/>
                <w:sz w:val="2"/>
                <w:lang w:val="en-GB"/>
              </w:rPr>
            </w:pPr>
            <w:r w:rsidRPr="002A0E78">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Calibri" w:eastAsia="Calibri" w:hAnsi="Calibri" w:cs="Calibri"/>
                <w:color w:val="000000"/>
                <w:sz w:val="2"/>
                <w:highlight w:val="yellow"/>
                <w:lang w:val="en-GB"/>
              </w:rPr>
            </w:pPr>
            <w:r w:rsidRPr="00C04F26">
              <w:rPr>
                <w:rFonts w:ascii="Calibri" w:eastAsia="Calibri" w:hAnsi="Calibri" w:cs="Calibri"/>
                <w:color w:val="000000"/>
                <w:sz w:val="2"/>
                <w:highlight w:val="yellow"/>
                <w:lang w:val="en-GB"/>
              </w:rPr>
              <w:t xml:space="preserve"> </w:t>
            </w:r>
          </w:p>
        </w:tc>
      </w:tr>
      <w:tr w:rsidR="004D417B" w:rsidRPr="00C04F26" w:rsidTr="00412EE1">
        <w:trPr>
          <w:trHeight w:val="1335"/>
          <w:jc w:val="center"/>
        </w:trPr>
        <w:tc>
          <w:tcPr>
            <w:tcW w:w="1335" w:type="dxa"/>
            <w:shd w:val="clear" w:color="auto" w:fill="auto"/>
            <w:tcMar>
              <w:top w:w="20" w:type="dxa"/>
              <w:left w:w="20" w:type="dxa"/>
              <w:bottom w:w="20" w:type="dxa"/>
              <w:right w:w="20" w:type="dxa"/>
            </w:tcMar>
          </w:tcPr>
          <w:p w:rsidR="00CA6653" w:rsidRPr="002A0E78" w:rsidRDefault="00CA6653">
            <w:pPr>
              <w:pStyle w:val="T1TableStyle"/>
              <w:jc w:val="right"/>
              <w:rPr>
                <w:rFonts w:ascii="Verdana" w:eastAsia="Verdana" w:hAnsi="Verdana" w:cs="Verdana"/>
                <w:color w:val="000000"/>
                <w:sz w:val="16"/>
                <w:lang w:val="en-GB"/>
              </w:rPr>
            </w:pPr>
            <w:r w:rsidRPr="002A0E78">
              <w:rPr>
                <w:rFonts w:ascii="Verdana" w:eastAsia="Verdana" w:hAnsi="Verdana" w:cs="Verdana"/>
                <w:color w:val="000000"/>
                <w:sz w:val="16"/>
                <w:lang w:val="en-GB"/>
              </w:rPr>
              <w:t>(4,19</w:t>
            </w:r>
            <w:r w:rsidR="0044571C">
              <w:rPr>
                <w:rFonts w:ascii="Verdana" w:eastAsia="Verdana" w:hAnsi="Verdana" w:cs="Verdana"/>
                <w:color w:val="000000"/>
                <w:sz w:val="16"/>
                <w:lang w:val="en-GB"/>
              </w:rPr>
              <w:t>9</w:t>
            </w:r>
            <w:r w:rsidRPr="002A0E78">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vAlign w:val="center"/>
          </w:tcPr>
          <w:p w:rsidR="00CA6653" w:rsidRPr="002A0E78" w:rsidRDefault="00CA6653">
            <w:pPr>
              <w:pStyle w:val="T1TableStyle"/>
              <w:jc w:val="center"/>
              <w:rPr>
                <w:rFonts w:ascii="Verdana" w:eastAsia="Verdana" w:hAnsi="Verdana" w:cs="Verdana"/>
                <w:b/>
                <w:color w:val="000000"/>
                <w:sz w:val="2"/>
                <w:lang w:val="en-GB"/>
              </w:rPr>
            </w:pPr>
            <w:r w:rsidRPr="002A0E78">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755" w:type="dxa"/>
            <w:shd w:val="clear" w:color="auto" w:fill="auto"/>
            <w:tcMar>
              <w:top w:w="20" w:type="dxa"/>
              <w:left w:w="20" w:type="dxa"/>
              <w:bottom w:w="20" w:type="dxa"/>
              <w:right w:w="20" w:type="dxa"/>
            </w:tcMar>
            <w:vAlign w:val="center"/>
          </w:tcPr>
          <w:p w:rsidR="00CA6653" w:rsidRPr="002A0E78" w:rsidRDefault="00CA6653">
            <w:pPr>
              <w:pStyle w:val="T1TableStyle"/>
              <w:rPr>
                <w:rFonts w:ascii="Verdana" w:eastAsia="Verdana" w:hAnsi="Verdana" w:cs="Verdana"/>
                <w:color w:val="000000"/>
                <w:sz w:val="16"/>
                <w:lang w:val="en-GB"/>
              </w:rPr>
            </w:pPr>
            <w:r w:rsidRPr="002A0E78">
              <w:rPr>
                <w:rFonts w:ascii="Verdana" w:eastAsia="Verdana" w:hAnsi="Verdana" w:cs="Verdana"/>
                <w:color w:val="000000"/>
                <w:sz w:val="16"/>
                <w:lang w:val="en-GB"/>
              </w:rPr>
              <w:t>Plus / less Surplus or Deficit on the General Fund Balance for the Year (Statutory basis)</w:t>
            </w:r>
          </w:p>
        </w:tc>
        <w:tc>
          <w:tcPr>
            <w:tcW w:w="1335" w:type="dxa"/>
            <w:shd w:val="clear" w:color="auto" w:fill="auto"/>
            <w:tcMar>
              <w:top w:w="20" w:type="dxa"/>
              <w:left w:w="20" w:type="dxa"/>
              <w:bottom w:w="20" w:type="dxa"/>
              <w:right w:w="20" w:type="dxa"/>
            </w:tcMar>
          </w:tcPr>
          <w:p w:rsidR="00CA6653" w:rsidRPr="002A0E78" w:rsidRDefault="00CA6653">
            <w:pPr>
              <w:pStyle w:val="T1TableStyle"/>
              <w:jc w:val="right"/>
              <w:rPr>
                <w:rFonts w:ascii="Verdana" w:eastAsia="Verdana" w:hAnsi="Verdana" w:cs="Verdana"/>
                <w:color w:val="000000"/>
                <w:sz w:val="16"/>
                <w:lang w:val="en-GB"/>
              </w:rPr>
            </w:pPr>
            <w:r w:rsidRPr="002A0E78">
              <w:rPr>
                <w:rFonts w:ascii="Verdana" w:eastAsia="Verdana" w:hAnsi="Verdana" w:cs="Verdana"/>
                <w:color w:val="000000"/>
                <w:sz w:val="16"/>
                <w:lang w:val="en-GB"/>
              </w:rPr>
              <w:t>(</w:t>
            </w:r>
            <w:r w:rsidR="002A0E78" w:rsidRPr="002A0E78">
              <w:rPr>
                <w:rFonts w:ascii="Verdana" w:eastAsia="Verdana" w:hAnsi="Verdana" w:cs="Verdana"/>
                <w:color w:val="000000"/>
                <w:sz w:val="16"/>
                <w:lang w:val="en-GB"/>
              </w:rPr>
              <w:t>2,2</w:t>
            </w:r>
            <w:r w:rsidR="0099657E">
              <w:rPr>
                <w:rFonts w:ascii="Verdana" w:eastAsia="Verdana" w:hAnsi="Verdana" w:cs="Verdana"/>
                <w:color w:val="000000"/>
                <w:sz w:val="16"/>
                <w:lang w:val="en-GB"/>
              </w:rPr>
              <w:t>4</w:t>
            </w:r>
            <w:r w:rsidR="00F03FF2">
              <w:rPr>
                <w:rFonts w:ascii="Verdana" w:eastAsia="Verdana" w:hAnsi="Verdana" w:cs="Verdana"/>
                <w:color w:val="000000"/>
                <w:sz w:val="16"/>
                <w:lang w:val="en-GB"/>
              </w:rPr>
              <w:t>8</w:t>
            </w:r>
            <w:r w:rsidRPr="002A0E78">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Calibri" w:eastAsia="Calibri" w:hAnsi="Calibri" w:cs="Calibri"/>
                <w:color w:val="000000"/>
                <w:sz w:val="2"/>
                <w:lang w:val="en-GB"/>
              </w:rPr>
            </w:pPr>
            <w:r w:rsidRPr="002A0E78">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Calibri" w:eastAsia="Calibri" w:hAnsi="Calibri" w:cs="Calibri"/>
                <w:color w:val="000000"/>
                <w:sz w:val="2"/>
                <w:highlight w:val="yellow"/>
                <w:lang w:val="en-GB"/>
              </w:rPr>
            </w:pPr>
            <w:r w:rsidRPr="00C04F26">
              <w:rPr>
                <w:rFonts w:ascii="Calibri" w:eastAsia="Calibri" w:hAnsi="Calibri" w:cs="Calibri"/>
                <w:color w:val="000000"/>
                <w:sz w:val="2"/>
                <w:highlight w:val="yellow"/>
                <w:lang w:val="en-GB"/>
              </w:rPr>
              <w:t xml:space="preserve"> </w:t>
            </w:r>
          </w:p>
        </w:tc>
      </w:tr>
      <w:tr w:rsidR="004D417B" w:rsidRPr="00C04F26" w:rsidTr="00412EE1">
        <w:trPr>
          <w:trHeight w:hRule="exact" w:val="210"/>
          <w:jc w:val="center"/>
        </w:trPr>
        <w:tc>
          <w:tcPr>
            <w:tcW w:w="1335" w:type="dxa"/>
            <w:shd w:val="clear" w:color="auto" w:fill="auto"/>
            <w:tcMar>
              <w:top w:w="20" w:type="dxa"/>
              <w:left w:w="20" w:type="dxa"/>
              <w:bottom w:w="20" w:type="dxa"/>
              <w:right w:w="20" w:type="dxa"/>
            </w:tcMar>
            <w:vAlign w:val="center"/>
          </w:tcPr>
          <w:p w:rsidR="00CA6653" w:rsidRPr="002A0E78" w:rsidRDefault="00CA6653">
            <w:pPr>
              <w:pStyle w:val="T1TableStyle"/>
              <w:jc w:val="center"/>
              <w:rPr>
                <w:rFonts w:ascii="Verdana" w:eastAsia="Verdana" w:hAnsi="Verdana" w:cs="Verdana"/>
                <w:b/>
                <w:color w:val="000000"/>
                <w:sz w:val="2"/>
                <w:lang w:val="en-GB"/>
              </w:rPr>
            </w:pPr>
            <w:r w:rsidRPr="002A0E78">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center"/>
          </w:tcPr>
          <w:p w:rsidR="00CA6653" w:rsidRPr="002A0E78" w:rsidRDefault="00CA6653">
            <w:pPr>
              <w:pStyle w:val="T1TableStyle"/>
              <w:jc w:val="center"/>
              <w:rPr>
                <w:rFonts w:ascii="Verdana" w:eastAsia="Verdana" w:hAnsi="Verdana" w:cs="Verdana"/>
                <w:b/>
                <w:color w:val="000000"/>
                <w:sz w:val="2"/>
                <w:lang w:val="en-GB"/>
              </w:rPr>
            </w:pPr>
            <w:r w:rsidRPr="002A0E78">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755" w:type="dxa"/>
            <w:shd w:val="clear" w:color="auto" w:fill="auto"/>
            <w:tcMar>
              <w:top w:w="20" w:type="dxa"/>
              <w:left w:w="20" w:type="dxa"/>
              <w:bottom w:w="20" w:type="dxa"/>
              <w:right w:w="20" w:type="dxa"/>
            </w:tcMar>
            <w:vAlign w:val="cente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C04F26" w:rsidRDefault="00CA6653">
            <w:pPr>
              <w:pStyle w:val="T1TableStyle"/>
              <w:jc w:val="center"/>
              <w:rPr>
                <w:rFonts w:ascii="Verdana" w:eastAsia="Verdana" w:hAnsi="Verdana" w:cs="Verdana"/>
                <w:color w:val="000000"/>
                <w:sz w:val="2"/>
                <w:highlight w:val="yellow"/>
                <w:lang w:val="en-GB"/>
              </w:rPr>
            </w:pPr>
            <w:r w:rsidRPr="00C04F26">
              <w:rPr>
                <w:rFonts w:ascii="Verdana" w:eastAsia="Verdana" w:hAnsi="Verdana" w:cs="Verdana"/>
                <w:color w:val="000000"/>
                <w:sz w:val="2"/>
                <w:highlight w:val="yellow"/>
                <w:lang w:val="en-GB"/>
              </w:rPr>
              <w:t xml:space="preserve"> </w:t>
            </w:r>
          </w:p>
        </w:tc>
      </w:tr>
      <w:tr w:rsidR="004D417B" w:rsidTr="00412EE1">
        <w:trPr>
          <w:trHeight w:val="960"/>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2A0E78" w:rsidRDefault="00CA6653">
            <w:pPr>
              <w:pStyle w:val="T1TableStyle"/>
              <w:jc w:val="right"/>
              <w:rPr>
                <w:rFonts w:ascii="Verdana" w:eastAsia="Verdana" w:hAnsi="Verdana" w:cs="Verdana"/>
                <w:b/>
                <w:color w:val="000000"/>
                <w:sz w:val="16"/>
                <w:lang w:val="en-GB"/>
              </w:rPr>
            </w:pPr>
            <w:r w:rsidRPr="002A0E78">
              <w:rPr>
                <w:rFonts w:ascii="Verdana" w:eastAsia="Verdana" w:hAnsi="Verdana" w:cs="Verdana"/>
                <w:b/>
                <w:color w:val="000000"/>
                <w:sz w:val="16"/>
                <w:lang w:val="en-GB"/>
              </w:rPr>
              <w:t>(17,25</w:t>
            </w:r>
            <w:r w:rsidR="0044571C">
              <w:rPr>
                <w:rFonts w:ascii="Verdana" w:eastAsia="Verdana" w:hAnsi="Verdana" w:cs="Verdana"/>
                <w:b/>
                <w:color w:val="000000"/>
                <w:sz w:val="16"/>
                <w:lang w:val="en-GB"/>
              </w:rPr>
              <w:t>3</w:t>
            </w:r>
            <w:r w:rsidRPr="002A0E78">
              <w:rPr>
                <w:rFonts w:ascii="Verdana" w:eastAsia="Verdana" w:hAnsi="Verdana" w:cs="Verdana"/>
                <w:b/>
                <w:color w:val="000000"/>
                <w:sz w:val="16"/>
                <w:lang w:val="en-GB"/>
              </w:rPr>
              <w:t>)</w:t>
            </w:r>
          </w:p>
        </w:tc>
        <w:tc>
          <w:tcPr>
            <w:tcW w:w="1335" w:type="dxa"/>
            <w:shd w:val="clear" w:color="auto" w:fill="auto"/>
            <w:tcMar>
              <w:top w:w="20" w:type="dxa"/>
              <w:left w:w="20" w:type="dxa"/>
              <w:bottom w:w="20" w:type="dxa"/>
              <w:right w:w="20" w:type="dxa"/>
            </w:tcMar>
            <w:vAlign w:val="center"/>
          </w:tcPr>
          <w:p w:rsidR="00CA6653" w:rsidRPr="002A0E78" w:rsidRDefault="00CA6653">
            <w:pPr>
              <w:pStyle w:val="T1TableStyle"/>
              <w:jc w:val="center"/>
              <w:rPr>
                <w:rFonts w:ascii="Verdana" w:eastAsia="Verdana" w:hAnsi="Verdana" w:cs="Verdana"/>
                <w:b/>
                <w:color w:val="000000"/>
                <w:sz w:val="2"/>
                <w:lang w:val="en-GB"/>
              </w:rPr>
            </w:pPr>
            <w:r w:rsidRPr="002A0E78">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Verdana" w:eastAsia="Verdana" w:hAnsi="Verdana" w:cs="Verdana"/>
                <w:color w:val="000000"/>
                <w:sz w:val="2"/>
                <w:lang w:val="en-GB"/>
              </w:rPr>
            </w:pPr>
            <w:r w:rsidRPr="002A0E78">
              <w:rPr>
                <w:rFonts w:ascii="Verdana" w:eastAsia="Verdana" w:hAnsi="Verdana" w:cs="Verdana"/>
                <w:color w:val="000000"/>
                <w:sz w:val="2"/>
                <w:lang w:val="en-GB"/>
              </w:rPr>
              <w:t xml:space="preserve"> </w:t>
            </w:r>
          </w:p>
        </w:tc>
        <w:tc>
          <w:tcPr>
            <w:tcW w:w="175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2A0E78" w:rsidRDefault="00CA6653">
            <w:pPr>
              <w:pStyle w:val="T1TableStyle"/>
              <w:rPr>
                <w:rFonts w:ascii="Verdana" w:eastAsia="Verdana" w:hAnsi="Verdana" w:cs="Verdana"/>
                <w:b/>
                <w:color w:val="000000"/>
                <w:sz w:val="16"/>
                <w:lang w:val="en-GB"/>
              </w:rPr>
            </w:pPr>
            <w:r w:rsidRPr="002A0E78">
              <w:rPr>
                <w:rFonts w:ascii="Verdana" w:eastAsia="Verdana" w:hAnsi="Verdana" w:cs="Verdana"/>
                <w:b/>
                <w:color w:val="000000"/>
                <w:sz w:val="16"/>
                <w:lang w:val="en-GB"/>
              </w:rPr>
              <w:t>Closing Combined General Fund Balance</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2A0E78" w:rsidRDefault="00CA6653">
            <w:pPr>
              <w:pStyle w:val="T1TableStyle"/>
              <w:jc w:val="right"/>
              <w:rPr>
                <w:rFonts w:ascii="Verdana" w:eastAsia="Verdana" w:hAnsi="Verdana" w:cs="Verdana"/>
                <w:b/>
                <w:color w:val="000000"/>
                <w:sz w:val="16"/>
                <w:lang w:val="en-GB"/>
              </w:rPr>
            </w:pPr>
            <w:r w:rsidRPr="002A0E78">
              <w:rPr>
                <w:rFonts w:ascii="Verdana" w:eastAsia="Verdana" w:hAnsi="Verdana" w:cs="Verdana"/>
                <w:b/>
                <w:color w:val="000000"/>
                <w:sz w:val="16"/>
                <w:lang w:val="en-GB"/>
              </w:rPr>
              <w:t>(</w:t>
            </w:r>
            <w:r w:rsidR="002A0E78" w:rsidRPr="002A0E78">
              <w:rPr>
                <w:rFonts w:ascii="Verdana" w:eastAsia="Verdana" w:hAnsi="Verdana" w:cs="Verdana"/>
                <w:b/>
                <w:color w:val="000000"/>
                <w:sz w:val="16"/>
                <w:lang w:val="en-GB"/>
              </w:rPr>
              <w:t>19</w:t>
            </w:r>
            <w:r w:rsidRPr="002A0E78">
              <w:rPr>
                <w:rFonts w:ascii="Verdana" w:eastAsia="Verdana" w:hAnsi="Verdana" w:cs="Verdana"/>
                <w:b/>
                <w:color w:val="000000"/>
                <w:sz w:val="16"/>
                <w:lang w:val="en-GB"/>
              </w:rPr>
              <w:t>,</w:t>
            </w:r>
            <w:r w:rsidR="002A0E78" w:rsidRPr="002A0E78">
              <w:rPr>
                <w:rFonts w:ascii="Verdana" w:eastAsia="Verdana" w:hAnsi="Verdana" w:cs="Verdana"/>
                <w:b/>
                <w:color w:val="000000"/>
                <w:sz w:val="16"/>
                <w:lang w:val="en-GB"/>
              </w:rPr>
              <w:t>5</w:t>
            </w:r>
            <w:r w:rsidR="0099657E">
              <w:rPr>
                <w:rFonts w:ascii="Verdana" w:eastAsia="Verdana" w:hAnsi="Verdana" w:cs="Verdana"/>
                <w:b/>
                <w:color w:val="000000"/>
                <w:sz w:val="16"/>
                <w:lang w:val="en-GB"/>
              </w:rPr>
              <w:t>0</w:t>
            </w:r>
            <w:r w:rsidR="002A0E78" w:rsidRPr="002A0E78">
              <w:rPr>
                <w:rFonts w:ascii="Verdana" w:eastAsia="Verdana" w:hAnsi="Verdana" w:cs="Verdana"/>
                <w:b/>
                <w:color w:val="000000"/>
                <w:sz w:val="16"/>
                <w:lang w:val="en-GB"/>
              </w:rPr>
              <w:t>1</w:t>
            </w:r>
            <w:r w:rsidRPr="002A0E78">
              <w:rPr>
                <w:rFonts w:ascii="Verdana" w:eastAsia="Verdana" w:hAnsi="Verdana" w:cs="Verdana"/>
                <w:b/>
                <w:color w:val="000000"/>
                <w:sz w:val="16"/>
                <w:lang w:val="en-GB"/>
              </w:rPr>
              <w:t>)</w:t>
            </w:r>
          </w:p>
        </w:tc>
        <w:tc>
          <w:tcPr>
            <w:tcW w:w="1335" w:type="dxa"/>
            <w:shd w:val="clear" w:color="auto" w:fill="auto"/>
            <w:tcMar>
              <w:top w:w="20" w:type="dxa"/>
              <w:left w:w="20" w:type="dxa"/>
              <w:bottom w:w="20" w:type="dxa"/>
              <w:right w:w="20" w:type="dxa"/>
            </w:tcMar>
          </w:tcPr>
          <w:p w:rsidR="00CA6653" w:rsidRPr="002A0E78" w:rsidRDefault="00CA6653">
            <w:pPr>
              <w:pStyle w:val="T1TableStyle"/>
              <w:jc w:val="center"/>
              <w:rPr>
                <w:rFonts w:ascii="Calibri" w:eastAsia="Calibri" w:hAnsi="Calibri" w:cs="Calibri"/>
                <w:color w:val="000000"/>
                <w:sz w:val="2"/>
                <w:lang w:val="en-GB"/>
              </w:rPr>
            </w:pPr>
            <w:r w:rsidRPr="002A0E78">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r>
    </w:tbl>
    <w:p w:rsidR="00CA6653" w:rsidRDefault="00CA6653">
      <w:pPr>
        <w:pStyle w:val="T1TableStyle"/>
        <w:rPr>
          <w:lang w:val="en-GB"/>
        </w:rPr>
      </w:pPr>
    </w:p>
    <w:p w:rsidR="00C878D2" w:rsidRPr="00A200D5" w:rsidRDefault="00C878D2">
      <w:pPr>
        <w:pStyle w:val="T1TableStyle"/>
        <w:rPr>
          <w:rFonts w:ascii="Verdana" w:hAnsi="Verdana"/>
          <w:sz w:val="18"/>
          <w:szCs w:val="18"/>
          <w:lang w:val="en-GB"/>
        </w:rPr>
      </w:pPr>
      <w:r w:rsidRPr="00A200D5">
        <w:rPr>
          <w:rFonts w:ascii="Verdana" w:hAnsi="Verdana"/>
          <w:sz w:val="18"/>
          <w:szCs w:val="18"/>
          <w:lang w:val="en-GB"/>
        </w:rPr>
        <w:t>Depreciation/Amortisation in 19/20 includes a figure of £2</w:t>
      </w:r>
      <w:r w:rsidR="00FD4076">
        <w:rPr>
          <w:rFonts w:ascii="Verdana" w:hAnsi="Verdana"/>
          <w:sz w:val="18"/>
          <w:szCs w:val="18"/>
          <w:lang w:val="en-GB"/>
        </w:rPr>
        <w:t>.</w:t>
      </w:r>
      <w:r w:rsidRPr="00A200D5">
        <w:rPr>
          <w:rFonts w:ascii="Verdana" w:hAnsi="Verdana"/>
          <w:sz w:val="18"/>
          <w:szCs w:val="18"/>
          <w:lang w:val="en-GB"/>
        </w:rPr>
        <w:t>0</w:t>
      </w:r>
      <w:r w:rsidR="00FC4B33" w:rsidRPr="00A200D5">
        <w:rPr>
          <w:rFonts w:ascii="Verdana" w:hAnsi="Verdana"/>
          <w:sz w:val="18"/>
          <w:szCs w:val="18"/>
          <w:lang w:val="en-GB"/>
        </w:rPr>
        <w:t>8</w:t>
      </w:r>
      <w:r w:rsidR="00E977FD" w:rsidRPr="00A200D5">
        <w:rPr>
          <w:rFonts w:ascii="Verdana" w:hAnsi="Verdana"/>
          <w:sz w:val="18"/>
          <w:szCs w:val="18"/>
          <w:lang w:val="en-GB"/>
        </w:rPr>
        <w:t>1</w:t>
      </w:r>
      <w:r w:rsidRPr="00A200D5">
        <w:rPr>
          <w:rFonts w:ascii="Verdana" w:hAnsi="Verdana"/>
          <w:sz w:val="18"/>
          <w:szCs w:val="18"/>
          <w:lang w:val="en-GB"/>
        </w:rPr>
        <w:t>m for downward PPE Revaluations</w:t>
      </w:r>
    </w:p>
    <w:p w:rsidR="0044571C" w:rsidRDefault="0044571C">
      <w:pPr>
        <w:pStyle w:val="Normal0"/>
        <w:spacing w:after="160" w:line="259" w:lineRule="auto"/>
        <w:rPr>
          <w:rFonts w:ascii="Verdana" w:eastAsia="Verdana" w:hAnsi="Verdana" w:cs="Verdana"/>
          <w:b/>
          <w:szCs w:val="22"/>
          <w:lang w:val="en-GB"/>
        </w:rPr>
      </w:pPr>
    </w:p>
    <w:p w:rsidR="0044571C" w:rsidRDefault="0044571C">
      <w:pPr>
        <w:pStyle w:val="Normal0"/>
        <w:spacing w:after="160" w:line="259" w:lineRule="auto"/>
        <w:rPr>
          <w:rFonts w:ascii="Verdana" w:eastAsia="Verdana" w:hAnsi="Verdana" w:cs="Verdana"/>
          <w:b/>
          <w:szCs w:val="22"/>
          <w:lang w:val="en-GB"/>
        </w:rPr>
      </w:pPr>
    </w:p>
    <w:p w:rsidR="00CA6653" w:rsidRPr="00035E7C" w:rsidRDefault="00CA6653">
      <w:pPr>
        <w:pStyle w:val="Normal0"/>
        <w:spacing w:after="160" w:line="259" w:lineRule="auto"/>
        <w:rPr>
          <w:rFonts w:ascii="Verdana" w:eastAsia="Verdana" w:hAnsi="Verdana" w:cs="Verdana"/>
          <w:b/>
          <w:szCs w:val="22"/>
          <w:lang w:val="en-GB"/>
        </w:rPr>
      </w:pPr>
      <w:r w:rsidRPr="00035E7C">
        <w:rPr>
          <w:rFonts w:ascii="Verdana" w:eastAsia="Verdana" w:hAnsi="Verdana" w:cs="Verdana"/>
          <w:b/>
          <w:szCs w:val="22"/>
          <w:lang w:val="en-GB"/>
        </w:rPr>
        <w:t>PCC</w:t>
      </w:r>
    </w:p>
    <w:tbl>
      <w:tblPr>
        <w:tblW w:w="0" w:type="auto"/>
        <w:jc w:val="center"/>
        <w:tblLayout w:type="fixed"/>
        <w:tblLook w:val="04A0" w:firstRow="1" w:lastRow="0" w:firstColumn="1" w:lastColumn="0" w:noHBand="0" w:noVBand="1"/>
      </w:tblPr>
      <w:tblGrid>
        <w:gridCol w:w="1335"/>
        <w:gridCol w:w="1335"/>
        <w:gridCol w:w="1335"/>
        <w:gridCol w:w="1755"/>
        <w:gridCol w:w="1335"/>
        <w:gridCol w:w="1335"/>
        <w:gridCol w:w="1335"/>
      </w:tblGrid>
      <w:tr w:rsidR="004D417B" w:rsidRPr="00035E7C" w:rsidTr="00412EE1">
        <w:trPr>
          <w:trHeight w:val="255"/>
          <w:jc w:val="center"/>
        </w:trPr>
        <w:tc>
          <w:tcPr>
            <w:tcW w:w="4005" w:type="dxa"/>
            <w:gridSpan w:val="3"/>
            <w:shd w:val="clear" w:color="auto" w:fill="auto"/>
            <w:tcMar>
              <w:top w:w="20" w:type="dxa"/>
              <w:left w:w="20" w:type="dxa"/>
              <w:bottom w:w="20" w:type="dxa"/>
              <w:right w:w="20" w:type="dxa"/>
            </w:tcMar>
            <w:vAlign w:val="bottom"/>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2018/19</w:t>
            </w:r>
          </w:p>
        </w:tc>
        <w:tc>
          <w:tcPr>
            <w:tcW w:w="1755" w:type="dxa"/>
            <w:shd w:val="clear" w:color="auto" w:fill="auto"/>
            <w:tcMar>
              <w:top w:w="20" w:type="dxa"/>
              <w:left w:w="20" w:type="dxa"/>
              <w:bottom w:w="20" w:type="dxa"/>
              <w:right w:w="20" w:type="dxa"/>
            </w:tcMar>
            <w:vAlign w:val="bottom"/>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4005" w:type="dxa"/>
            <w:gridSpan w:val="3"/>
            <w:shd w:val="clear" w:color="auto" w:fill="auto"/>
            <w:tcMar>
              <w:top w:w="20" w:type="dxa"/>
              <w:left w:w="20" w:type="dxa"/>
              <w:bottom w:w="20" w:type="dxa"/>
              <w:right w:w="20" w:type="dxa"/>
            </w:tcMar>
            <w:vAlign w:val="bottom"/>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2019/20</w:t>
            </w:r>
          </w:p>
        </w:tc>
      </w:tr>
      <w:tr w:rsidR="004D417B" w:rsidRPr="00035E7C" w:rsidTr="00A200D5">
        <w:trPr>
          <w:trHeight w:val="820"/>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Net Expenditure Chargeable to the General Fund Balance</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Adjustments</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 xml:space="preserve">Net Expenditure in the </w:t>
            </w:r>
            <w:r w:rsidR="0044571C">
              <w:rPr>
                <w:rFonts w:ascii="Verdana" w:eastAsia="Verdana" w:hAnsi="Verdana" w:cs="Verdana"/>
                <w:b/>
                <w:color w:val="000000"/>
                <w:sz w:val="16"/>
                <w:lang w:val="en-GB"/>
              </w:rPr>
              <w:t>CIES</w:t>
            </w:r>
          </w:p>
        </w:tc>
        <w:tc>
          <w:tcPr>
            <w:tcW w:w="1755" w:type="dxa"/>
            <w:shd w:val="clear" w:color="auto" w:fill="auto"/>
            <w:tcMar>
              <w:top w:w="20" w:type="dxa"/>
              <w:left w:w="20" w:type="dxa"/>
              <w:bottom w:w="20" w:type="dxa"/>
              <w:right w:w="20" w:type="dxa"/>
            </w:tcMar>
            <w:vAlign w:val="bottom"/>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Net Expenditure Chargeable to the General Fund Balance</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Adjustments</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 xml:space="preserve">Net Expenditure in the </w:t>
            </w:r>
            <w:r w:rsidR="0044571C">
              <w:rPr>
                <w:rFonts w:ascii="Verdana" w:eastAsia="Verdana" w:hAnsi="Verdana" w:cs="Verdana"/>
                <w:b/>
                <w:color w:val="000000"/>
                <w:sz w:val="16"/>
                <w:lang w:val="en-GB"/>
              </w:rPr>
              <w:t>CIES</w:t>
            </w:r>
          </w:p>
        </w:tc>
      </w:tr>
      <w:tr w:rsidR="004D417B" w:rsidRPr="00035E7C" w:rsidTr="00A200D5">
        <w:trPr>
          <w:trHeight w:val="255"/>
          <w:jc w:val="center"/>
        </w:trPr>
        <w:tc>
          <w:tcPr>
            <w:tcW w:w="1335" w:type="dxa"/>
            <w:tcBorders>
              <w:bottom w:val="single" w:sz="4" w:space="0" w:color="auto"/>
            </w:tcBorders>
            <w:shd w:val="clear" w:color="auto" w:fill="auto"/>
            <w:tcMar>
              <w:top w:w="20" w:type="dxa"/>
              <w:left w:w="20" w:type="dxa"/>
              <w:bottom w:w="20" w:type="dxa"/>
              <w:right w:w="20" w:type="dxa"/>
            </w:tcMar>
            <w:vAlign w:val="bottom"/>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335" w:type="dxa"/>
            <w:tcBorders>
              <w:bottom w:val="single" w:sz="4" w:space="0" w:color="auto"/>
            </w:tcBorders>
            <w:shd w:val="clear" w:color="auto" w:fill="auto"/>
            <w:tcMar>
              <w:top w:w="20" w:type="dxa"/>
              <w:left w:w="20" w:type="dxa"/>
              <w:bottom w:w="20" w:type="dxa"/>
              <w:right w:w="20" w:type="dxa"/>
            </w:tcMar>
            <w:vAlign w:val="bottom"/>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335" w:type="dxa"/>
            <w:tcBorders>
              <w:bottom w:val="single" w:sz="4" w:space="0" w:color="auto"/>
            </w:tcBorders>
            <w:shd w:val="clear" w:color="auto" w:fill="auto"/>
            <w:tcMar>
              <w:top w:w="20" w:type="dxa"/>
              <w:left w:w="20" w:type="dxa"/>
              <w:bottom w:w="20" w:type="dxa"/>
              <w:right w:w="20" w:type="dxa"/>
            </w:tcMar>
            <w:vAlign w:val="bottom"/>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755" w:type="dxa"/>
            <w:tcBorders>
              <w:bottom w:val="single" w:sz="4" w:space="0" w:color="auto"/>
            </w:tcBorders>
            <w:shd w:val="clear" w:color="auto" w:fill="auto"/>
            <w:tcMar>
              <w:top w:w="20" w:type="dxa"/>
              <w:left w:w="20" w:type="dxa"/>
              <w:bottom w:w="20" w:type="dxa"/>
              <w:right w:w="20" w:type="dxa"/>
            </w:tcMar>
            <w:vAlign w:val="bottom"/>
          </w:tcPr>
          <w:p w:rsidR="00CA6653" w:rsidRPr="00035E7C" w:rsidRDefault="00CA6653">
            <w:pPr>
              <w:pStyle w:val="T1TableStyle"/>
              <w:jc w:val="right"/>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tcBorders>
              <w:bottom w:val="single" w:sz="4" w:space="0" w:color="auto"/>
            </w:tcBorders>
            <w:shd w:val="clear" w:color="auto" w:fill="auto"/>
            <w:tcMar>
              <w:top w:w="20" w:type="dxa"/>
              <w:left w:w="20" w:type="dxa"/>
              <w:bottom w:w="20" w:type="dxa"/>
              <w:right w:w="20" w:type="dxa"/>
            </w:tcMar>
            <w:vAlign w:val="bottom"/>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335" w:type="dxa"/>
            <w:tcBorders>
              <w:bottom w:val="single" w:sz="4" w:space="0" w:color="auto"/>
            </w:tcBorders>
            <w:shd w:val="clear" w:color="auto" w:fill="auto"/>
            <w:tcMar>
              <w:top w:w="20" w:type="dxa"/>
              <w:left w:w="20" w:type="dxa"/>
              <w:bottom w:w="20" w:type="dxa"/>
              <w:right w:w="20" w:type="dxa"/>
            </w:tcMar>
            <w:vAlign w:val="bottom"/>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335" w:type="dxa"/>
            <w:tcBorders>
              <w:bottom w:val="single" w:sz="4" w:space="0" w:color="auto"/>
            </w:tcBorders>
            <w:shd w:val="clear" w:color="auto" w:fill="auto"/>
            <w:tcMar>
              <w:top w:w="20" w:type="dxa"/>
              <w:left w:w="20" w:type="dxa"/>
              <w:bottom w:w="20" w:type="dxa"/>
              <w:right w:w="20" w:type="dxa"/>
            </w:tcMar>
            <w:vAlign w:val="bottom"/>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r>
      <w:tr w:rsidR="004D417B" w:rsidRPr="00035E7C" w:rsidTr="00A200D5">
        <w:trPr>
          <w:trHeight w:val="255"/>
          <w:jc w:val="center"/>
        </w:trPr>
        <w:tc>
          <w:tcPr>
            <w:tcW w:w="1335" w:type="dxa"/>
            <w:tcBorders>
              <w:top w:val="single" w:sz="4" w:space="0" w:color="auto"/>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812</w:t>
            </w:r>
          </w:p>
        </w:tc>
        <w:tc>
          <w:tcPr>
            <w:tcW w:w="1335" w:type="dxa"/>
            <w:tcBorders>
              <w:top w:val="single" w:sz="4" w:space="0" w:color="auto"/>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tcBorders>
              <w:top w:val="single" w:sz="4" w:space="0" w:color="auto"/>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812</w:t>
            </w:r>
          </w:p>
        </w:tc>
        <w:tc>
          <w:tcPr>
            <w:tcW w:w="1755" w:type="dxa"/>
            <w:tcBorders>
              <w:top w:val="single" w:sz="4" w:space="0" w:color="auto"/>
            </w:tcBorders>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Staff Payroll</w:t>
            </w:r>
          </w:p>
        </w:tc>
        <w:tc>
          <w:tcPr>
            <w:tcW w:w="1335" w:type="dxa"/>
            <w:tcBorders>
              <w:top w:val="single" w:sz="4" w:space="0" w:color="auto"/>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824</w:t>
            </w:r>
          </w:p>
        </w:tc>
        <w:tc>
          <w:tcPr>
            <w:tcW w:w="1335" w:type="dxa"/>
            <w:tcBorders>
              <w:top w:val="single" w:sz="4" w:space="0" w:color="auto"/>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w:t>
            </w:r>
            <w:r w:rsidR="00FC4B33">
              <w:rPr>
                <w:rFonts w:ascii="Verdana" w:eastAsia="Verdana" w:hAnsi="Verdana" w:cs="Verdana"/>
                <w:color w:val="000000"/>
                <w:sz w:val="16"/>
                <w:lang w:val="en-GB"/>
              </w:rPr>
              <w:t>41</w:t>
            </w:r>
          </w:p>
        </w:tc>
        <w:tc>
          <w:tcPr>
            <w:tcW w:w="1335" w:type="dxa"/>
            <w:tcBorders>
              <w:top w:val="single" w:sz="4" w:space="0" w:color="auto"/>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9</w:t>
            </w:r>
            <w:r w:rsidR="00FC4B33">
              <w:rPr>
                <w:rFonts w:ascii="Verdana" w:eastAsia="Verdana" w:hAnsi="Verdana" w:cs="Verdana"/>
                <w:color w:val="000000"/>
                <w:sz w:val="16"/>
                <w:lang w:val="en-GB"/>
              </w:rPr>
              <w:t>65</w:t>
            </w:r>
          </w:p>
        </w:tc>
      </w:tr>
      <w:tr w:rsidR="004D417B" w:rsidRPr="00035E7C" w:rsidTr="00412EE1">
        <w:trPr>
          <w:trHeight w:val="255"/>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17</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17</w:t>
            </w:r>
          </w:p>
        </w:tc>
        <w:tc>
          <w:tcPr>
            <w:tcW w:w="1755"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Staff Overtime</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22</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22</w:t>
            </w:r>
          </w:p>
        </w:tc>
      </w:tr>
      <w:tr w:rsidR="004D417B" w:rsidRPr="00035E7C" w:rsidTr="00412EE1">
        <w:trPr>
          <w:trHeight w:val="255"/>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w:t>
            </w:r>
          </w:p>
        </w:tc>
        <w:tc>
          <w:tcPr>
            <w:tcW w:w="1755"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Training</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4</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4</w:t>
            </w:r>
          </w:p>
        </w:tc>
      </w:tr>
      <w:tr w:rsidR="004D417B" w:rsidRPr="00035E7C" w:rsidTr="00412EE1">
        <w:trPr>
          <w:trHeight w:val="255"/>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13</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13</w:t>
            </w:r>
          </w:p>
        </w:tc>
        <w:tc>
          <w:tcPr>
            <w:tcW w:w="1755"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Other Payroll Costs</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16</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16</w:t>
            </w:r>
          </w:p>
        </w:tc>
      </w:tr>
      <w:tr w:rsidR="004D417B" w:rsidRPr="00035E7C" w:rsidTr="00412EE1">
        <w:trPr>
          <w:trHeight w:val="255"/>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52</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52</w:t>
            </w:r>
          </w:p>
        </w:tc>
        <w:tc>
          <w:tcPr>
            <w:tcW w:w="1755"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Premises</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52</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52</w:t>
            </w:r>
          </w:p>
        </w:tc>
      </w:tr>
      <w:tr w:rsidR="004D417B" w:rsidRPr="00035E7C" w:rsidTr="00412EE1">
        <w:trPr>
          <w:trHeight w:val="255"/>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2,444</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2,444</w:t>
            </w:r>
          </w:p>
        </w:tc>
        <w:tc>
          <w:tcPr>
            <w:tcW w:w="1755"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Supplies and Services</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2,</w:t>
            </w:r>
            <w:r w:rsidR="00B75F2F">
              <w:rPr>
                <w:rFonts w:ascii="Verdana" w:eastAsia="Verdana" w:hAnsi="Verdana" w:cs="Verdana"/>
                <w:color w:val="000000"/>
                <w:sz w:val="16"/>
                <w:lang w:val="en-GB"/>
              </w:rPr>
              <w:t>041</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2,</w:t>
            </w:r>
            <w:r w:rsidR="00B75F2F">
              <w:rPr>
                <w:rFonts w:ascii="Verdana" w:eastAsia="Verdana" w:hAnsi="Verdana" w:cs="Verdana"/>
                <w:color w:val="000000"/>
                <w:sz w:val="16"/>
                <w:lang w:val="en-GB"/>
              </w:rPr>
              <w:t>041</w:t>
            </w:r>
          </w:p>
        </w:tc>
      </w:tr>
      <w:tr w:rsidR="004D417B" w:rsidRPr="00035E7C" w:rsidTr="00412EE1">
        <w:trPr>
          <w:trHeight w:val="255"/>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16</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16</w:t>
            </w:r>
          </w:p>
        </w:tc>
        <w:tc>
          <w:tcPr>
            <w:tcW w:w="1755"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Transport</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15</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15</w:t>
            </w:r>
          </w:p>
        </w:tc>
      </w:tr>
      <w:tr w:rsidR="004D417B" w:rsidRPr="00035E7C" w:rsidTr="00412EE1">
        <w:trPr>
          <w:trHeight w:val="255"/>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(8,879)</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8,879</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755"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Depreciation</w:t>
            </w:r>
            <w:r w:rsidR="00F81FC1">
              <w:rPr>
                <w:rFonts w:ascii="Verdana" w:eastAsia="Verdana" w:hAnsi="Verdana" w:cs="Verdana"/>
                <w:color w:val="000000"/>
                <w:sz w:val="16"/>
                <w:lang w:val="en-GB"/>
              </w:rPr>
              <w:t>/Amortisation</w:t>
            </w:r>
            <w:r w:rsidR="00DF1610">
              <w:rPr>
                <w:rFonts w:ascii="Verdana" w:eastAsia="Verdana" w:hAnsi="Verdana" w:cs="Verdana"/>
                <w:color w:val="000000"/>
                <w:sz w:val="16"/>
                <w:lang w:val="en-GB"/>
              </w:rPr>
              <w:t xml:space="preserve"> (Proxy)</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(11,</w:t>
            </w:r>
            <w:r w:rsidR="00323F36" w:rsidRPr="00035E7C">
              <w:rPr>
                <w:rFonts w:ascii="Verdana" w:eastAsia="Verdana" w:hAnsi="Verdana" w:cs="Verdana"/>
                <w:color w:val="000000"/>
                <w:sz w:val="16"/>
                <w:lang w:val="en-GB"/>
              </w:rPr>
              <w:t>19</w:t>
            </w:r>
            <w:r w:rsidR="00B75F2F">
              <w:rPr>
                <w:rFonts w:ascii="Verdana" w:eastAsia="Verdana" w:hAnsi="Verdana" w:cs="Verdana"/>
                <w:color w:val="000000"/>
                <w:sz w:val="16"/>
                <w:lang w:val="en-GB"/>
              </w:rPr>
              <w:t>6</w:t>
            </w:r>
            <w:r w:rsidRPr="00035E7C">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11,</w:t>
            </w:r>
            <w:r w:rsidR="00323F36" w:rsidRPr="00035E7C">
              <w:rPr>
                <w:rFonts w:ascii="Verdana" w:eastAsia="Verdana" w:hAnsi="Verdana" w:cs="Verdana"/>
                <w:color w:val="000000"/>
                <w:sz w:val="16"/>
                <w:lang w:val="en-GB"/>
              </w:rPr>
              <w:t>19</w:t>
            </w:r>
            <w:r w:rsidR="00B75F2F">
              <w:rPr>
                <w:rFonts w:ascii="Verdana" w:eastAsia="Verdana" w:hAnsi="Verdana" w:cs="Verdana"/>
                <w:color w:val="000000"/>
                <w:sz w:val="16"/>
                <w:lang w:val="en-GB"/>
              </w:rPr>
              <w:t>6</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r>
      <w:tr w:rsidR="004D417B" w:rsidRPr="00035E7C" w:rsidTr="00412EE1">
        <w:trPr>
          <w:trHeight w:val="255"/>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(1,367)</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(1,367)</w:t>
            </w:r>
          </w:p>
        </w:tc>
        <w:tc>
          <w:tcPr>
            <w:tcW w:w="1755"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Income</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(9</w:t>
            </w:r>
            <w:r w:rsidR="00B75F2F">
              <w:rPr>
                <w:rFonts w:ascii="Verdana" w:eastAsia="Verdana" w:hAnsi="Verdana" w:cs="Verdana"/>
                <w:color w:val="000000"/>
                <w:sz w:val="16"/>
                <w:lang w:val="en-GB"/>
              </w:rPr>
              <w:t>11</w:t>
            </w:r>
            <w:r w:rsidRPr="00035E7C">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(9</w:t>
            </w:r>
            <w:r w:rsidR="00B75F2F">
              <w:rPr>
                <w:rFonts w:ascii="Verdana" w:eastAsia="Verdana" w:hAnsi="Verdana" w:cs="Verdana"/>
                <w:color w:val="000000"/>
                <w:sz w:val="16"/>
                <w:lang w:val="en-GB"/>
              </w:rPr>
              <w:t>11</w:t>
            </w:r>
            <w:r w:rsidRPr="00035E7C">
              <w:rPr>
                <w:rFonts w:ascii="Verdana" w:eastAsia="Verdana" w:hAnsi="Verdana" w:cs="Verdana"/>
                <w:color w:val="000000"/>
                <w:sz w:val="16"/>
                <w:lang w:val="en-GB"/>
              </w:rPr>
              <w:t>)</w:t>
            </w:r>
          </w:p>
        </w:tc>
      </w:tr>
      <w:tr w:rsidR="0044571C" w:rsidRPr="00035E7C" w:rsidTr="00412EE1">
        <w:trPr>
          <w:trHeight w:val="255"/>
          <w:jc w:val="center"/>
        </w:trPr>
        <w:tc>
          <w:tcPr>
            <w:tcW w:w="1335" w:type="dxa"/>
            <w:shd w:val="clear" w:color="auto" w:fill="auto"/>
            <w:tcMar>
              <w:top w:w="20" w:type="dxa"/>
              <w:left w:w="20" w:type="dxa"/>
              <w:bottom w:w="20" w:type="dxa"/>
              <w:right w:w="20" w:type="dxa"/>
            </w:tcMar>
          </w:tcPr>
          <w:p w:rsidR="0044571C" w:rsidRPr="00035E7C" w:rsidRDefault="0044571C" w:rsidP="004457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1335" w:type="dxa"/>
            <w:shd w:val="clear" w:color="auto" w:fill="auto"/>
            <w:tcMar>
              <w:top w:w="20" w:type="dxa"/>
              <w:left w:w="20" w:type="dxa"/>
              <w:bottom w:w="20" w:type="dxa"/>
              <w:right w:w="20" w:type="dxa"/>
            </w:tcMar>
          </w:tcPr>
          <w:p w:rsidR="0044571C" w:rsidRPr="00035E7C" w:rsidRDefault="0044571C" w:rsidP="004457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44571C" w:rsidRPr="00035E7C" w:rsidRDefault="0044571C" w:rsidP="004457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1755" w:type="dxa"/>
            <w:shd w:val="clear" w:color="auto" w:fill="auto"/>
            <w:tcMar>
              <w:top w:w="20" w:type="dxa"/>
              <w:left w:w="20" w:type="dxa"/>
              <w:bottom w:w="20" w:type="dxa"/>
              <w:right w:w="20" w:type="dxa"/>
            </w:tcMar>
          </w:tcPr>
          <w:p w:rsidR="0044571C" w:rsidRPr="00035E7C" w:rsidRDefault="0044571C" w:rsidP="0044571C">
            <w:pPr>
              <w:pStyle w:val="T1TableStyle"/>
              <w:rPr>
                <w:rFonts w:ascii="Verdana" w:eastAsia="Verdana" w:hAnsi="Verdana" w:cs="Verdana"/>
                <w:color w:val="000000"/>
                <w:sz w:val="16"/>
                <w:lang w:val="en-GB"/>
              </w:rPr>
            </w:pPr>
            <w:r>
              <w:rPr>
                <w:rFonts w:ascii="Verdana" w:eastAsia="Verdana" w:hAnsi="Verdana" w:cs="Verdana"/>
                <w:color w:val="000000"/>
                <w:sz w:val="16"/>
                <w:lang w:val="en-GB"/>
              </w:rPr>
              <w:t>Rounding</w:t>
            </w:r>
          </w:p>
        </w:tc>
        <w:tc>
          <w:tcPr>
            <w:tcW w:w="1335" w:type="dxa"/>
            <w:shd w:val="clear" w:color="auto" w:fill="auto"/>
            <w:tcMar>
              <w:top w:w="20" w:type="dxa"/>
              <w:left w:w="20" w:type="dxa"/>
              <w:bottom w:w="20" w:type="dxa"/>
              <w:right w:w="20" w:type="dxa"/>
            </w:tcMar>
          </w:tcPr>
          <w:p w:rsidR="0044571C" w:rsidRPr="00035E7C" w:rsidRDefault="0044571C" w:rsidP="004457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44571C" w:rsidRPr="00035E7C" w:rsidRDefault="0044571C" w:rsidP="004457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44571C" w:rsidRPr="00035E7C" w:rsidRDefault="006C0341" w:rsidP="004457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4D417B" w:rsidRPr="00035E7C" w:rsidTr="00412EE1">
        <w:trPr>
          <w:trHeight w:val="510"/>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(6,89</w:t>
            </w:r>
            <w:r w:rsidR="0044571C">
              <w:rPr>
                <w:rFonts w:ascii="Verdana" w:eastAsia="Verdana" w:hAnsi="Verdana" w:cs="Verdana"/>
                <w:b/>
                <w:color w:val="000000"/>
                <w:sz w:val="16"/>
                <w:lang w:val="en-GB"/>
              </w:rPr>
              <w:t>2</w:t>
            </w:r>
            <w:r w:rsidRPr="00035E7C">
              <w:rPr>
                <w:rFonts w:ascii="Verdana" w:eastAsia="Verdana" w:hAnsi="Verdana" w:cs="Verdana"/>
                <w:b/>
                <w:color w:val="000000"/>
                <w:sz w:val="16"/>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8,879</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1,988</w:t>
            </w:r>
          </w:p>
        </w:tc>
        <w:tc>
          <w:tcPr>
            <w:tcW w:w="175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b/>
                <w:color w:val="000000"/>
                <w:sz w:val="16"/>
                <w:lang w:val="en-GB"/>
              </w:rPr>
            </w:pPr>
            <w:r w:rsidRPr="00035E7C">
              <w:rPr>
                <w:rFonts w:ascii="Verdana" w:eastAsia="Verdana" w:hAnsi="Verdana" w:cs="Verdana"/>
                <w:b/>
                <w:color w:val="000000"/>
                <w:sz w:val="16"/>
                <w:lang w:val="en-GB"/>
              </w:rPr>
              <w:t>Net Cost of Services</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(9,1</w:t>
            </w:r>
            <w:r w:rsidR="00605685">
              <w:rPr>
                <w:rFonts w:ascii="Verdana" w:eastAsia="Verdana" w:hAnsi="Verdana" w:cs="Verdana"/>
                <w:b/>
                <w:color w:val="000000"/>
                <w:sz w:val="16"/>
                <w:lang w:val="en-GB"/>
              </w:rPr>
              <w:t>3</w:t>
            </w:r>
            <w:r w:rsidR="0044571C">
              <w:rPr>
                <w:rFonts w:ascii="Verdana" w:eastAsia="Verdana" w:hAnsi="Verdana" w:cs="Verdana"/>
                <w:b/>
                <w:color w:val="000000"/>
                <w:sz w:val="16"/>
                <w:lang w:val="en-GB"/>
              </w:rPr>
              <w:t>3</w:t>
            </w:r>
            <w:r w:rsidRPr="00035E7C">
              <w:rPr>
                <w:rFonts w:ascii="Verdana" w:eastAsia="Verdana" w:hAnsi="Verdana" w:cs="Verdana"/>
                <w:b/>
                <w:color w:val="000000"/>
                <w:sz w:val="16"/>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323F36">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 xml:space="preserve">      </w:t>
            </w:r>
            <w:r w:rsidR="00DB5A11">
              <w:rPr>
                <w:rFonts w:ascii="Verdana" w:eastAsia="Verdana" w:hAnsi="Verdana" w:cs="Verdana"/>
                <w:b/>
                <w:color w:val="000000"/>
                <w:sz w:val="16"/>
                <w:lang w:val="en-GB"/>
              </w:rPr>
              <w:t xml:space="preserve">    </w:t>
            </w:r>
            <w:r w:rsidRPr="00035E7C">
              <w:rPr>
                <w:rFonts w:ascii="Verdana" w:eastAsia="Verdana" w:hAnsi="Verdana" w:cs="Verdana"/>
                <w:b/>
                <w:color w:val="000000"/>
                <w:sz w:val="16"/>
                <w:lang w:val="en-GB"/>
              </w:rPr>
              <w:t xml:space="preserve">  11</w:t>
            </w:r>
            <w:r w:rsidR="00DE6437">
              <w:rPr>
                <w:rFonts w:ascii="Verdana" w:eastAsia="Verdana" w:hAnsi="Verdana" w:cs="Verdana"/>
                <w:b/>
                <w:color w:val="000000"/>
                <w:sz w:val="16"/>
                <w:lang w:val="en-GB"/>
              </w:rPr>
              <w:t>,</w:t>
            </w:r>
            <w:r w:rsidRPr="00035E7C">
              <w:rPr>
                <w:rFonts w:ascii="Verdana" w:eastAsia="Verdana" w:hAnsi="Verdana" w:cs="Verdana"/>
                <w:b/>
                <w:color w:val="000000"/>
                <w:sz w:val="16"/>
                <w:lang w:val="en-GB"/>
              </w:rPr>
              <w:t>3</w:t>
            </w:r>
            <w:r w:rsidR="00FC4B33">
              <w:rPr>
                <w:rFonts w:ascii="Verdana" w:eastAsia="Verdana" w:hAnsi="Verdana" w:cs="Verdana"/>
                <w:b/>
                <w:color w:val="000000"/>
                <w:sz w:val="16"/>
                <w:lang w:val="en-GB"/>
              </w:rPr>
              <w:t>37</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2,2</w:t>
            </w:r>
            <w:r w:rsidR="00FC4B33">
              <w:rPr>
                <w:rFonts w:ascii="Verdana" w:eastAsia="Verdana" w:hAnsi="Verdana" w:cs="Verdana"/>
                <w:b/>
                <w:color w:val="000000"/>
                <w:sz w:val="16"/>
                <w:lang w:val="en-GB"/>
              </w:rPr>
              <w:t>04</w:t>
            </w:r>
          </w:p>
        </w:tc>
      </w:tr>
      <w:tr w:rsidR="004D417B" w:rsidRPr="00035E7C" w:rsidTr="00412EE1">
        <w:trPr>
          <w:trHeight w:hRule="exact" w:val="90"/>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75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r>
      <w:tr w:rsidR="004D417B" w:rsidRPr="00035E7C" w:rsidTr="00412EE1">
        <w:trPr>
          <w:trHeight w:val="420"/>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2,693</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(2,427)</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266</w:t>
            </w:r>
          </w:p>
        </w:tc>
        <w:tc>
          <w:tcPr>
            <w:tcW w:w="1755"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Other Income and Expenditure</w:t>
            </w:r>
          </w:p>
        </w:tc>
        <w:tc>
          <w:tcPr>
            <w:tcW w:w="1335" w:type="dxa"/>
            <w:shd w:val="clear" w:color="auto" w:fill="auto"/>
            <w:tcMar>
              <w:top w:w="20" w:type="dxa"/>
              <w:left w:w="20" w:type="dxa"/>
              <w:bottom w:w="20" w:type="dxa"/>
              <w:right w:w="20" w:type="dxa"/>
            </w:tcMar>
          </w:tcPr>
          <w:p w:rsidR="00CA6653" w:rsidRPr="00035E7C" w:rsidRDefault="00323F36">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6</w:t>
            </w:r>
            <w:r w:rsidR="00CA6653" w:rsidRPr="00035E7C">
              <w:rPr>
                <w:rFonts w:ascii="Verdana" w:eastAsia="Verdana" w:hAnsi="Verdana" w:cs="Verdana"/>
                <w:color w:val="000000"/>
                <w:sz w:val="16"/>
                <w:lang w:val="en-GB"/>
              </w:rPr>
              <w:t>,</w:t>
            </w:r>
            <w:r w:rsidRPr="00035E7C">
              <w:rPr>
                <w:rFonts w:ascii="Verdana" w:eastAsia="Verdana" w:hAnsi="Verdana" w:cs="Verdana"/>
                <w:color w:val="000000"/>
                <w:sz w:val="16"/>
                <w:lang w:val="en-GB"/>
              </w:rPr>
              <w:t>8</w:t>
            </w:r>
            <w:r w:rsidR="00DB5A11">
              <w:rPr>
                <w:rFonts w:ascii="Verdana" w:eastAsia="Verdana" w:hAnsi="Verdana" w:cs="Verdana"/>
                <w:color w:val="000000"/>
                <w:sz w:val="16"/>
                <w:lang w:val="en-GB"/>
              </w:rPr>
              <w:t>85</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sidR="00605685">
              <w:rPr>
                <w:rFonts w:ascii="Verdana" w:eastAsia="Verdana" w:hAnsi="Verdana" w:cs="Verdana"/>
                <w:color w:val="000000"/>
                <w:sz w:val="16"/>
                <w:lang w:val="en-GB"/>
              </w:rPr>
              <w:t>8</w:t>
            </w:r>
            <w:r w:rsidRPr="00035E7C">
              <w:rPr>
                <w:rFonts w:ascii="Verdana" w:eastAsia="Verdana" w:hAnsi="Verdana" w:cs="Verdana"/>
                <w:color w:val="000000"/>
                <w:sz w:val="16"/>
                <w:lang w:val="en-GB"/>
              </w:rPr>
              <w:t>,</w:t>
            </w:r>
            <w:r w:rsidR="00605685">
              <w:rPr>
                <w:rFonts w:ascii="Verdana" w:eastAsia="Verdana" w:hAnsi="Verdana" w:cs="Verdana"/>
                <w:color w:val="000000"/>
                <w:sz w:val="16"/>
                <w:lang w:val="en-GB"/>
              </w:rPr>
              <w:t>245</w:t>
            </w:r>
            <w:r w:rsidRPr="00035E7C">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sidR="00605685">
              <w:rPr>
                <w:rFonts w:ascii="Verdana" w:eastAsia="Verdana" w:hAnsi="Verdana" w:cs="Verdana"/>
                <w:color w:val="000000"/>
                <w:sz w:val="16"/>
                <w:lang w:val="en-GB"/>
              </w:rPr>
              <w:t>1,36</w:t>
            </w:r>
            <w:r w:rsidR="00B90E92">
              <w:rPr>
                <w:rFonts w:ascii="Verdana" w:eastAsia="Verdana" w:hAnsi="Verdana" w:cs="Verdana"/>
                <w:color w:val="000000"/>
                <w:sz w:val="16"/>
                <w:lang w:val="en-GB"/>
              </w:rPr>
              <w:t>0</w:t>
            </w:r>
            <w:r w:rsidRPr="00035E7C">
              <w:rPr>
                <w:rFonts w:ascii="Verdana" w:eastAsia="Verdana" w:hAnsi="Verdana" w:cs="Verdana"/>
                <w:color w:val="000000"/>
                <w:sz w:val="16"/>
                <w:lang w:val="en-GB"/>
              </w:rPr>
              <w:t>)</w:t>
            </w:r>
          </w:p>
        </w:tc>
      </w:tr>
      <w:tr w:rsidR="004D417B" w:rsidRPr="00035E7C" w:rsidTr="00412EE1">
        <w:trPr>
          <w:trHeight w:hRule="exact" w:val="90"/>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75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r>
      <w:tr w:rsidR="004D417B" w:rsidRPr="00035E7C" w:rsidTr="00412EE1">
        <w:trPr>
          <w:trHeight w:val="85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(4,19</w:t>
            </w:r>
            <w:r w:rsidR="0044571C">
              <w:rPr>
                <w:rFonts w:ascii="Verdana" w:eastAsia="Verdana" w:hAnsi="Verdana" w:cs="Verdana"/>
                <w:b/>
                <w:color w:val="000000"/>
                <w:sz w:val="16"/>
                <w:lang w:val="en-GB"/>
              </w:rPr>
              <w:t>9</w:t>
            </w:r>
            <w:r w:rsidRPr="00035E7C">
              <w:rPr>
                <w:rFonts w:ascii="Verdana" w:eastAsia="Verdana" w:hAnsi="Verdana" w:cs="Verdana"/>
                <w:b/>
                <w:color w:val="000000"/>
                <w:sz w:val="16"/>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6,452</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2,254</w:t>
            </w:r>
          </w:p>
        </w:tc>
        <w:tc>
          <w:tcPr>
            <w:tcW w:w="175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451BDC">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w:t>
            </w:r>
            <w:r w:rsidR="00CA6653" w:rsidRPr="00035E7C">
              <w:rPr>
                <w:rFonts w:ascii="Verdana" w:eastAsia="Verdana" w:hAnsi="Verdana" w:cs="Verdana"/>
                <w:b/>
                <w:color w:val="000000"/>
                <w:sz w:val="16"/>
                <w:lang w:val="en-GB"/>
              </w:rPr>
              <w:t>Surplus</w:t>
            </w:r>
            <w:r>
              <w:rPr>
                <w:rFonts w:ascii="Verdana" w:eastAsia="Verdana" w:hAnsi="Verdana" w:cs="Verdana"/>
                <w:b/>
                <w:color w:val="000000"/>
                <w:sz w:val="16"/>
                <w:lang w:val="en-GB"/>
              </w:rPr>
              <w:t>)</w:t>
            </w:r>
            <w:r w:rsidR="00CA6653" w:rsidRPr="00035E7C">
              <w:rPr>
                <w:rFonts w:ascii="Verdana" w:eastAsia="Verdana" w:hAnsi="Verdana" w:cs="Verdana"/>
                <w:b/>
                <w:color w:val="000000"/>
                <w:sz w:val="16"/>
                <w:lang w:val="en-GB"/>
              </w:rPr>
              <w:t xml:space="preserve"> or Deficit on Provision of Services</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w:t>
            </w:r>
            <w:r w:rsidR="004F78A0" w:rsidRPr="00035E7C">
              <w:rPr>
                <w:rFonts w:ascii="Verdana" w:eastAsia="Verdana" w:hAnsi="Verdana" w:cs="Verdana"/>
                <w:b/>
                <w:color w:val="000000"/>
                <w:sz w:val="16"/>
                <w:lang w:val="en-GB"/>
              </w:rPr>
              <w:t>2</w:t>
            </w:r>
            <w:r w:rsidR="006C3861">
              <w:rPr>
                <w:rFonts w:ascii="Verdana" w:eastAsia="Verdana" w:hAnsi="Verdana" w:cs="Verdana"/>
                <w:b/>
                <w:color w:val="000000"/>
                <w:sz w:val="16"/>
                <w:lang w:val="en-GB"/>
              </w:rPr>
              <w:t>,</w:t>
            </w:r>
            <w:r w:rsidR="004F78A0" w:rsidRPr="00035E7C">
              <w:rPr>
                <w:rFonts w:ascii="Verdana" w:eastAsia="Verdana" w:hAnsi="Verdana" w:cs="Verdana"/>
                <w:b/>
                <w:color w:val="000000"/>
                <w:sz w:val="16"/>
                <w:lang w:val="en-GB"/>
              </w:rPr>
              <w:t>2</w:t>
            </w:r>
            <w:r w:rsidR="00531C08">
              <w:rPr>
                <w:rFonts w:ascii="Verdana" w:eastAsia="Verdana" w:hAnsi="Verdana" w:cs="Verdana"/>
                <w:b/>
                <w:color w:val="000000"/>
                <w:sz w:val="16"/>
                <w:lang w:val="en-GB"/>
              </w:rPr>
              <w:t>4</w:t>
            </w:r>
            <w:r w:rsidR="00035E7C" w:rsidRPr="00035E7C">
              <w:rPr>
                <w:rFonts w:ascii="Verdana" w:eastAsia="Verdana" w:hAnsi="Verdana" w:cs="Verdana"/>
                <w:b/>
                <w:color w:val="000000"/>
                <w:sz w:val="16"/>
                <w:lang w:val="en-GB"/>
              </w:rPr>
              <w:t>8</w:t>
            </w:r>
            <w:r w:rsidRPr="00035E7C">
              <w:rPr>
                <w:rFonts w:ascii="Verdana" w:eastAsia="Verdana" w:hAnsi="Verdana" w:cs="Verdana"/>
                <w:b/>
                <w:color w:val="000000"/>
                <w:sz w:val="16"/>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3,</w:t>
            </w:r>
            <w:r w:rsidR="00FC4B33">
              <w:rPr>
                <w:rFonts w:ascii="Verdana" w:eastAsia="Verdana" w:hAnsi="Verdana" w:cs="Verdana"/>
                <w:b/>
                <w:color w:val="000000"/>
                <w:sz w:val="16"/>
                <w:lang w:val="en-GB"/>
              </w:rPr>
              <w:t>092</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605685" w:rsidP="004F78A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8</w:t>
            </w:r>
            <w:r w:rsidR="00FC4B33">
              <w:rPr>
                <w:rFonts w:ascii="Verdana" w:eastAsia="Verdana" w:hAnsi="Verdana" w:cs="Verdana"/>
                <w:b/>
                <w:color w:val="000000"/>
                <w:sz w:val="16"/>
                <w:lang w:val="en-GB"/>
              </w:rPr>
              <w:t>44</w:t>
            </w:r>
          </w:p>
          <w:p w:rsidR="004F78A0" w:rsidRPr="00035E7C" w:rsidRDefault="004F78A0" w:rsidP="004F78A0">
            <w:pPr>
              <w:pStyle w:val="T1TableStyle"/>
              <w:jc w:val="right"/>
              <w:rPr>
                <w:rFonts w:ascii="Verdana" w:eastAsia="Verdana" w:hAnsi="Verdana" w:cs="Verdana"/>
                <w:b/>
                <w:color w:val="000000"/>
                <w:sz w:val="16"/>
                <w:lang w:val="en-GB"/>
              </w:rPr>
            </w:pPr>
          </w:p>
        </w:tc>
      </w:tr>
      <w:tr w:rsidR="004D417B" w:rsidRPr="00035E7C" w:rsidTr="00412EE1">
        <w:trPr>
          <w:trHeight w:hRule="exact" w:val="90"/>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75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r>
      <w:tr w:rsidR="004D417B" w:rsidRPr="00035E7C" w:rsidTr="00412EE1">
        <w:trPr>
          <w:trHeight w:val="630"/>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(13,054)</w:t>
            </w:r>
          </w:p>
        </w:tc>
        <w:tc>
          <w:tcPr>
            <w:tcW w:w="133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755" w:type="dxa"/>
            <w:shd w:val="clear" w:color="auto" w:fill="auto"/>
            <w:tcMar>
              <w:top w:w="20" w:type="dxa"/>
              <w:left w:w="20" w:type="dxa"/>
              <w:bottom w:w="20" w:type="dxa"/>
              <w:right w:w="20" w:type="dxa"/>
            </w:tcMar>
            <w:vAlign w:val="cente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Opening Combined General Fund Balance</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sidR="00035E7C" w:rsidRPr="00035E7C">
              <w:rPr>
                <w:rFonts w:ascii="Verdana" w:eastAsia="Verdana" w:hAnsi="Verdana" w:cs="Verdana"/>
                <w:color w:val="000000"/>
                <w:sz w:val="16"/>
                <w:lang w:val="en-GB"/>
              </w:rPr>
              <w:t>17</w:t>
            </w:r>
            <w:r w:rsidRPr="00035E7C">
              <w:rPr>
                <w:rFonts w:ascii="Verdana" w:eastAsia="Verdana" w:hAnsi="Verdana" w:cs="Verdana"/>
                <w:color w:val="000000"/>
                <w:sz w:val="16"/>
                <w:lang w:val="en-GB"/>
              </w:rPr>
              <w:t>,</w:t>
            </w:r>
            <w:r w:rsidR="00035E7C" w:rsidRPr="00035E7C">
              <w:rPr>
                <w:rFonts w:ascii="Verdana" w:eastAsia="Verdana" w:hAnsi="Verdana" w:cs="Verdana"/>
                <w:color w:val="000000"/>
                <w:sz w:val="16"/>
                <w:lang w:val="en-GB"/>
              </w:rPr>
              <w:t>25</w:t>
            </w:r>
            <w:r w:rsidR="0044571C">
              <w:rPr>
                <w:rFonts w:ascii="Verdana" w:eastAsia="Verdana" w:hAnsi="Verdana" w:cs="Verdana"/>
                <w:color w:val="000000"/>
                <w:sz w:val="16"/>
                <w:lang w:val="en-GB"/>
              </w:rPr>
              <w:t>3</w:t>
            </w:r>
            <w:r w:rsidRPr="00035E7C">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r>
      <w:tr w:rsidR="004D417B" w:rsidRPr="00035E7C" w:rsidTr="00412EE1">
        <w:trPr>
          <w:trHeight w:hRule="exact" w:val="90"/>
          <w:jc w:val="center"/>
        </w:trPr>
        <w:tc>
          <w:tcPr>
            <w:tcW w:w="133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75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r>
      <w:tr w:rsidR="004D417B" w:rsidRPr="00035E7C" w:rsidTr="00412EE1">
        <w:trPr>
          <w:trHeight w:val="1335"/>
          <w:jc w:val="center"/>
        </w:trPr>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(4,19</w:t>
            </w:r>
            <w:r w:rsidR="0044571C">
              <w:rPr>
                <w:rFonts w:ascii="Verdana" w:eastAsia="Verdana" w:hAnsi="Verdana" w:cs="Verdana"/>
                <w:color w:val="000000"/>
                <w:sz w:val="16"/>
                <w:lang w:val="en-GB"/>
              </w:rPr>
              <w:t>9</w:t>
            </w:r>
            <w:r w:rsidRPr="00035E7C">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755" w:type="dxa"/>
            <w:shd w:val="clear" w:color="auto" w:fill="auto"/>
            <w:tcMar>
              <w:top w:w="20" w:type="dxa"/>
              <w:left w:w="20" w:type="dxa"/>
              <w:bottom w:w="20" w:type="dxa"/>
              <w:right w:w="20" w:type="dxa"/>
            </w:tcMar>
            <w:vAlign w:val="cente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Plus / less Surplus or Deficit on the General Fund Balance for the Year (Statutory basis)</w:t>
            </w:r>
          </w:p>
        </w:tc>
        <w:tc>
          <w:tcPr>
            <w:tcW w:w="1335"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sidR="00035E7C" w:rsidRPr="00035E7C">
              <w:rPr>
                <w:rFonts w:ascii="Verdana" w:eastAsia="Verdana" w:hAnsi="Verdana" w:cs="Verdana"/>
                <w:color w:val="000000"/>
                <w:sz w:val="16"/>
                <w:lang w:val="en-GB"/>
              </w:rPr>
              <w:t>2</w:t>
            </w:r>
            <w:r w:rsidRPr="00035E7C">
              <w:rPr>
                <w:rFonts w:ascii="Verdana" w:eastAsia="Verdana" w:hAnsi="Verdana" w:cs="Verdana"/>
                <w:color w:val="000000"/>
                <w:sz w:val="16"/>
                <w:lang w:val="en-GB"/>
              </w:rPr>
              <w:t>,</w:t>
            </w:r>
            <w:r w:rsidR="00035E7C" w:rsidRPr="00035E7C">
              <w:rPr>
                <w:rFonts w:ascii="Verdana" w:eastAsia="Verdana" w:hAnsi="Verdana" w:cs="Verdana"/>
                <w:color w:val="000000"/>
                <w:sz w:val="16"/>
                <w:lang w:val="en-GB"/>
              </w:rPr>
              <w:t>2</w:t>
            </w:r>
            <w:r w:rsidR="00B90E92">
              <w:rPr>
                <w:rFonts w:ascii="Verdana" w:eastAsia="Verdana" w:hAnsi="Verdana" w:cs="Verdana"/>
                <w:color w:val="000000"/>
                <w:sz w:val="16"/>
                <w:lang w:val="en-GB"/>
              </w:rPr>
              <w:t>4</w:t>
            </w:r>
            <w:r w:rsidR="00035E7C" w:rsidRPr="00035E7C">
              <w:rPr>
                <w:rFonts w:ascii="Verdana" w:eastAsia="Verdana" w:hAnsi="Verdana" w:cs="Verdana"/>
                <w:color w:val="000000"/>
                <w:sz w:val="16"/>
                <w:lang w:val="en-GB"/>
              </w:rPr>
              <w:t>8</w:t>
            </w:r>
            <w:r w:rsidRPr="00035E7C">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Calibri" w:eastAsia="Calibri" w:hAnsi="Calibri" w:cs="Calibri"/>
                <w:color w:val="000000"/>
                <w:sz w:val="2"/>
                <w:lang w:val="en-GB"/>
              </w:rPr>
            </w:pPr>
            <w:r w:rsidRPr="00035E7C">
              <w:rPr>
                <w:rFonts w:ascii="Calibri" w:eastAsia="Calibri" w:hAnsi="Calibri" w:cs="Calibri"/>
                <w:color w:val="000000"/>
                <w:sz w:val="2"/>
                <w:lang w:val="en-GB"/>
              </w:rPr>
              <w:t xml:space="preserve"> </w:t>
            </w:r>
          </w:p>
        </w:tc>
      </w:tr>
      <w:tr w:rsidR="004D417B" w:rsidRPr="00035E7C" w:rsidTr="00412EE1">
        <w:trPr>
          <w:trHeight w:hRule="exact" w:val="210"/>
          <w:jc w:val="center"/>
        </w:trPr>
        <w:tc>
          <w:tcPr>
            <w:tcW w:w="133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75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r>
      <w:tr w:rsidR="004D417B" w:rsidRPr="00035E7C" w:rsidTr="00A200D5">
        <w:trPr>
          <w:trHeight w:hRule="exact" w:val="92"/>
          <w:jc w:val="center"/>
        </w:trPr>
        <w:tc>
          <w:tcPr>
            <w:tcW w:w="133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75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r>
      <w:tr w:rsidR="004D417B" w:rsidTr="00412EE1">
        <w:trPr>
          <w:trHeight w:val="960"/>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(17,25</w:t>
            </w:r>
            <w:r w:rsidR="0044571C">
              <w:rPr>
                <w:rFonts w:ascii="Verdana" w:eastAsia="Verdana" w:hAnsi="Verdana" w:cs="Verdana"/>
                <w:b/>
                <w:color w:val="000000"/>
                <w:sz w:val="16"/>
                <w:lang w:val="en-GB"/>
              </w:rPr>
              <w:t>3</w:t>
            </w:r>
            <w:r w:rsidRPr="00035E7C">
              <w:rPr>
                <w:rFonts w:ascii="Verdana" w:eastAsia="Verdana" w:hAnsi="Verdana" w:cs="Verdana"/>
                <w:b/>
                <w:color w:val="000000"/>
                <w:sz w:val="16"/>
                <w:lang w:val="en-GB"/>
              </w:rPr>
              <w:t>)</w:t>
            </w:r>
          </w:p>
        </w:tc>
        <w:tc>
          <w:tcPr>
            <w:tcW w:w="1335" w:type="dxa"/>
            <w:shd w:val="clear" w:color="auto" w:fill="auto"/>
            <w:tcMar>
              <w:top w:w="20" w:type="dxa"/>
              <w:left w:w="20" w:type="dxa"/>
              <w:bottom w:w="20" w:type="dxa"/>
              <w:right w:w="20" w:type="dxa"/>
            </w:tcMar>
            <w:vAlign w:val="cente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75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035E7C" w:rsidRDefault="00CA6653">
            <w:pPr>
              <w:pStyle w:val="T1TableStyle"/>
              <w:rPr>
                <w:rFonts w:ascii="Verdana" w:eastAsia="Verdana" w:hAnsi="Verdana" w:cs="Verdana"/>
                <w:b/>
                <w:color w:val="000000"/>
                <w:sz w:val="16"/>
                <w:lang w:val="en-GB"/>
              </w:rPr>
            </w:pPr>
            <w:r w:rsidRPr="00035E7C">
              <w:rPr>
                <w:rFonts w:ascii="Verdana" w:eastAsia="Verdana" w:hAnsi="Verdana" w:cs="Verdana"/>
                <w:b/>
                <w:color w:val="000000"/>
                <w:sz w:val="16"/>
                <w:lang w:val="en-GB"/>
              </w:rPr>
              <w:t>Closing Combined General Fund Balance</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w:t>
            </w:r>
            <w:r w:rsidR="00035E7C" w:rsidRPr="00035E7C">
              <w:rPr>
                <w:rFonts w:ascii="Verdana" w:eastAsia="Verdana" w:hAnsi="Verdana" w:cs="Verdana"/>
                <w:b/>
                <w:color w:val="000000"/>
                <w:sz w:val="16"/>
                <w:lang w:val="en-GB"/>
              </w:rPr>
              <w:t>19</w:t>
            </w:r>
            <w:r w:rsidRPr="00035E7C">
              <w:rPr>
                <w:rFonts w:ascii="Verdana" w:eastAsia="Verdana" w:hAnsi="Verdana" w:cs="Verdana"/>
                <w:b/>
                <w:color w:val="000000"/>
                <w:sz w:val="16"/>
                <w:lang w:val="en-GB"/>
              </w:rPr>
              <w:t>,</w:t>
            </w:r>
            <w:r w:rsidR="00035E7C" w:rsidRPr="00035E7C">
              <w:rPr>
                <w:rFonts w:ascii="Verdana" w:eastAsia="Verdana" w:hAnsi="Verdana" w:cs="Verdana"/>
                <w:b/>
                <w:color w:val="000000"/>
                <w:sz w:val="16"/>
                <w:lang w:val="en-GB"/>
              </w:rPr>
              <w:t>5</w:t>
            </w:r>
            <w:r w:rsidR="00B90E92">
              <w:rPr>
                <w:rFonts w:ascii="Verdana" w:eastAsia="Verdana" w:hAnsi="Verdana" w:cs="Verdana"/>
                <w:b/>
                <w:color w:val="000000"/>
                <w:sz w:val="16"/>
                <w:lang w:val="en-GB"/>
              </w:rPr>
              <w:t>0</w:t>
            </w:r>
            <w:r w:rsidR="00DC7072">
              <w:rPr>
                <w:rFonts w:ascii="Verdana" w:eastAsia="Verdana" w:hAnsi="Verdana" w:cs="Verdana"/>
                <w:b/>
                <w:color w:val="000000"/>
                <w:sz w:val="16"/>
                <w:lang w:val="en-GB"/>
              </w:rPr>
              <w:t>1</w:t>
            </w:r>
            <w:r w:rsidRPr="00035E7C">
              <w:rPr>
                <w:rFonts w:ascii="Verdana" w:eastAsia="Verdana" w:hAnsi="Verdana" w:cs="Verdana"/>
                <w:b/>
                <w:color w:val="000000"/>
                <w:sz w:val="16"/>
                <w:lang w:val="en-GB"/>
              </w:rPr>
              <w:t>)</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r>
    </w:tbl>
    <w:p w:rsidR="00CA6653" w:rsidRDefault="00CA6653">
      <w:pPr>
        <w:pStyle w:val="T1TableStyle"/>
        <w:rPr>
          <w:lang w:val="en-GB"/>
        </w:rPr>
      </w:pPr>
    </w:p>
    <w:p w:rsidR="00CA6653" w:rsidRPr="00A200D5" w:rsidRDefault="00B56CE4">
      <w:pPr>
        <w:pStyle w:val="Normal0"/>
        <w:spacing w:after="160" w:line="259" w:lineRule="auto"/>
        <w:rPr>
          <w:rFonts w:ascii="Verdana" w:hAnsi="Verdana"/>
          <w:sz w:val="18"/>
          <w:szCs w:val="18"/>
          <w:lang w:val="en-GB"/>
        </w:rPr>
      </w:pPr>
      <w:r w:rsidRPr="00A200D5">
        <w:rPr>
          <w:rFonts w:ascii="Verdana" w:hAnsi="Verdana"/>
          <w:sz w:val="18"/>
          <w:szCs w:val="18"/>
          <w:lang w:val="en-GB"/>
        </w:rPr>
        <w:t>Depreciation/Amortisation in 19/20 includes a figure of £2</w:t>
      </w:r>
      <w:r w:rsidR="00543E1F">
        <w:rPr>
          <w:rFonts w:ascii="Verdana" w:hAnsi="Verdana"/>
          <w:sz w:val="18"/>
          <w:szCs w:val="18"/>
          <w:lang w:val="en-GB"/>
        </w:rPr>
        <w:t>.</w:t>
      </w:r>
      <w:r w:rsidRPr="00A200D5">
        <w:rPr>
          <w:rFonts w:ascii="Verdana" w:hAnsi="Verdana"/>
          <w:sz w:val="18"/>
          <w:szCs w:val="18"/>
          <w:lang w:val="en-GB"/>
        </w:rPr>
        <w:t>0</w:t>
      </w:r>
      <w:r w:rsidR="004C2A00" w:rsidRPr="00A200D5">
        <w:rPr>
          <w:rFonts w:ascii="Verdana" w:hAnsi="Verdana"/>
          <w:sz w:val="18"/>
          <w:szCs w:val="18"/>
          <w:lang w:val="en-GB"/>
        </w:rPr>
        <w:t>8</w:t>
      </w:r>
      <w:r w:rsidR="00E977FD" w:rsidRPr="00A200D5">
        <w:rPr>
          <w:rFonts w:ascii="Verdana" w:hAnsi="Verdana"/>
          <w:sz w:val="18"/>
          <w:szCs w:val="18"/>
          <w:lang w:val="en-GB"/>
        </w:rPr>
        <w:t>1</w:t>
      </w:r>
      <w:r w:rsidRPr="00A200D5">
        <w:rPr>
          <w:rFonts w:ascii="Verdana" w:hAnsi="Verdana"/>
          <w:sz w:val="18"/>
          <w:szCs w:val="18"/>
          <w:lang w:val="en-GB"/>
        </w:rPr>
        <w:t>m for downward PPE Revaluations.</w:t>
      </w:r>
    </w:p>
    <w:p w:rsidR="00CA6653" w:rsidRDefault="00CA6653">
      <w:pPr>
        <w:pStyle w:val="Normal0"/>
        <w:spacing w:after="160" w:line="259" w:lineRule="auto"/>
        <w:rPr>
          <w:sz w:val="22"/>
          <w:szCs w:val="22"/>
          <w:lang w:val="en-GB"/>
        </w:rPr>
      </w:pPr>
    </w:p>
    <w:p w:rsidR="00CA6653" w:rsidRDefault="00CA6653" w:rsidP="00CA6653">
      <w:pPr>
        <w:pStyle w:val="Normal0"/>
        <w:spacing w:line="240" w:lineRule="auto"/>
        <w:rPr>
          <w:rFonts w:ascii="Verdana" w:hAnsi="Verdana"/>
          <w:sz w:val="22"/>
          <w:szCs w:val="22"/>
          <w:lang w:val="en-GB"/>
        </w:rPr>
      </w:pPr>
    </w:p>
    <w:p w:rsidR="00CA6653" w:rsidRDefault="00CA6653" w:rsidP="00CA6653">
      <w:pPr>
        <w:pStyle w:val="Normal0"/>
        <w:spacing w:line="240" w:lineRule="auto"/>
        <w:rPr>
          <w:rFonts w:ascii="Verdana" w:hAnsi="Verdana"/>
          <w:sz w:val="22"/>
          <w:szCs w:val="22"/>
          <w:lang w:val="en-GB"/>
        </w:rPr>
      </w:pPr>
    </w:p>
    <w:p w:rsidR="003521A8" w:rsidRDefault="003521A8">
      <w:pPr>
        <w:rPr>
          <w:rFonts w:asciiTheme="majorHAnsi" w:eastAsiaTheme="majorEastAsia" w:hAnsiTheme="majorHAnsi" w:cstheme="majorBidi"/>
          <w:color w:val="2E74B5" w:themeColor="accent1" w:themeShade="BF"/>
          <w:sz w:val="32"/>
          <w:szCs w:val="32"/>
          <w:lang w:val="pt-BR"/>
        </w:rPr>
      </w:pPr>
      <w:r>
        <w:br w:type="page"/>
      </w:r>
    </w:p>
    <w:p w:rsidR="00CA6653" w:rsidRPr="00035E7C" w:rsidRDefault="00CA6653" w:rsidP="00A31A9E">
      <w:pPr>
        <w:pStyle w:val="Heading1"/>
      </w:pPr>
      <w:bookmarkStart w:id="17" w:name="_Toc55900408"/>
      <w:r w:rsidRPr="00035E7C">
        <w:t>Note 6 - Adjustments between Accounting Basis and Funding Basis under Regulations</w:t>
      </w:r>
      <w:bookmarkEnd w:id="17"/>
    </w:p>
    <w:p w:rsidR="00CA6653" w:rsidRPr="00035E7C" w:rsidRDefault="00CA6653">
      <w:pPr>
        <w:pStyle w:val="Normal0"/>
        <w:spacing w:after="160" w:line="259" w:lineRule="auto"/>
        <w:rPr>
          <w:rFonts w:ascii="Verdana" w:eastAsia="Verdana" w:hAnsi="Verdana" w:cs="Verdana"/>
          <w:sz w:val="22"/>
          <w:szCs w:val="22"/>
          <w:lang w:val="en-GB"/>
        </w:rPr>
      </w:pPr>
      <w:r w:rsidRPr="00035E7C">
        <w:rPr>
          <w:rFonts w:ascii="Verdana" w:eastAsia="Verdana" w:hAnsi="Verdana" w:cs="Verdana"/>
          <w:sz w:val="22"/>
          <w:szCs w:val="22"/>
          <w:lang w:val="en-GB"/>
        </w:rPr>
        <w:t>The table below details the adjustments made to the Total Comprehensive Income and Expenditure Statement recognised by the Group in the year, in accordance with proper accounting practice to the resources that are specified by statutory provisions as being available to the Group to meet future capital and revenue expenditure.</w:t>
      </w:r>
    </w:p>
    <w:p w:rsidR="00CA6653" w:rsidRPr="00035E7C" w:rsidRDefault="00CA6653">
      <w:pPr>
        <w:pStyle w:val="Normal0"/>
        <w:spacing w:after="160" w:line="259" w:lineRule="auto"/>
        <w:rPr>
          <w:rFonts w:ascii="Verdana" w:eastAsia="Verdana" w:hAnsi="Verdana" w:cs="Verdana"/>
          <w:sz w:val="22"/>
          <w:szCs w:val="22"/>
          <w:lang w:val="en-GB"/>
        </w:rPr>
      </w:pPr>
    </w:p>
    <w:tbl>
      <w:tblPr>
        <w:tblW w:w="0" w:type="auto"/>
        <w:jc w:val="center"/>
        <w:tblLayout w:type="fixed"/>
        <w:tblLook w:val="04A0" w:firstRow="1" w:lastRow="0" w:firstColumn="1" w:lastColumn="0" w:noHBand="0" w:noVBand="1"/>
      </w:tblPr>
      <w:tblGrid>
        <w:gridCol w:w="3396"/>
        <w:gridCol w:w="1184"/>
        <w:gridCol w:w="1184"/>
        <w:gridCol w:w="1184"/>
        <w:gridCol w:w="1188"/>
      </w:tblGrid>
      <w:tr w:rsidR="004D417B" w:rsidRPr="00035E7C" w:rsidTr="006C3861">
        <w:trPr>
          <w:trHeight w:val="374"/>
          <w:jc w:val="center"/>
        </w:trPr>
        <w:tc>
          <w:tcPr>
            <w:tcW w:w="3396" w:type="dxa"/>
            <w:shd w:val="clear" w:color="auto" w:fill="auto"/>
            <w:tcMar>
              <w:top w:w="20" w:type="dxa"/>
              <w:left w:w="20" w:type="dxa"/>
              <w:bottom w:w="20" w:type="dxa"/>
              <w:right w:w="20" w:type="dxa"/>
            </w:tcMar>
          </w:tcPr>
          <w:p w:rsidR="00CA6653" w:rsidRPr="00035E7C" w:rsidRDefault="0090362D">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 xml:space="preserve">Group </w:t>
            </w:r>
            <w:r w:rsidR="00CA6653" w:rsidRPr="00035E7C">
              <w:rPr>
                <w:rFonts w:ascii="Verdana" w:eastAsia="Verdana" w:hAnsi="Verdana" w:cs="Verdana"/>
                <w:b/>
                <w:color w:val="000000"/>
                <w:sz w:val="16"/>
                <w:lang w:val="en-GB"/>
              </w:rPr>
              <w:t>2019/2020</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General Fund Balance</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Capital Receipts Reserve</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Capital Grants Unapplied</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Movement in Unusable Reserves</w:t>
            </w:r>
          </w:p>
        </w:tc>
      </w:tr>
      <w:tr w:rsidR="004D417B" w:rsidRPr="00035E7C" w:rsidTr="006C3861">
        <w:trPr>
          <w:trHeight w:val="187"/>
          <w:jc w:val="center"/>
        </w:trPr>
        <w:tc>
          <w:tcPr>
            <w:tcW w:w="3396" w:type="dxa"/>
            <w:tcBorders>
              <w:bottom w:val="single" w:sz="2" w:space="0" w:color="000000"/>
            </w:tcBorders>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184" w:type="dxa"/>
            <w:tcBorders>
              <w:bottom w:val="single" w:sz="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184" w:type="dxa"/>
            <w:tcBorders>
              <w:bottom w:val="single" w:sz="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184" w:type="dxa"/>
            <w:tcBorders>
              <w:bottom w:val="single" w:sz="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184" w:type="dxa"/>
            <w:tcBorders>
              <w:bottom w:val="single" w:sz="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Adjustments to the Revenue Resources</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1184"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Pension cost (transferred to (or from) the Pensions Reserve)</w:t>
            </w:r>
          </w:p>
        </w:tc>
        <w:tc>
          <w:tcPr>
            <w:tcW w:w="1184" w:type="dxa"/>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4C2A00">
              <w:rPr>
                <w:rFonts w:ascii="Verdana" w:eastAsia="Verdana" w:hAnsi="Verdana" w:cs="Verdana"/>
                <w:color w:val="000000"/>
                <w:sz w:val="16"/>
                <w:lang w:val="en-GB"/>
              </w:rPr>
              <w:t>63</w:t>
            </w:r>
            <w:r w:rsidR="000D750D">
              <w:rPr>
                <w:rFonts w:ascii="Verdana" w:eastAsia="Verdana" w:hAnsi="Verdana" w:cs="Verdana"/>
                <w:color w:val="000000"/>
                <w:sz w:val="16"/>
                <w:lang w:val="en-GB"/>
              </w:rPr>
              <w:t>,</w:t>
            </w:r>
            <w:r w:rsidR="004C2A00">
              <w:rPr>
                <w:rFonts w:ascii="Verdana" w:eastAsia="Verdana" w:hAnsi="Verdana" w:cs="Verdana"/>
                <w:color w:val="000000"/>
                <w:sz w:val="16"/>
                <w:lang w:val="en-GB"/>
              </w:rPr>
              <w:t>0</w:t>
            </w:r>
            <w:r w:rsidRPr="00417212">
              <w:rPr>
                <w:rFonts w:ascii="Verdana" w:eastAsia="Verdana" w:hAnsi="Verdana" w:cs="Verdana"/>
                <w:color w:val="000000"/>
                <w:sz w:val="16"/>
                <w:lang w:val="en-GB"/>
              </w:rPr>
              <w:t>2</w:t>
            </w:r>
            <w:r w:rsidR="004C2A00">
              <w:rPr>
                <w:rFonts w:ascii="Verdana" w:eastAsia="Verdana" w:hAnsi="Verdana" w:cs="Verdana"/>
                <w:color w:val="000000"/>
                <w:sz w:val="16"/>
                <w:lang w:val="en-GB"/>
              </w:rPr>
              <w:t>6</w:t>
            </w:r>
            <w:r w:rsidRPr="00417212">
              <w:rPr>
                <w:rFonts w:ascii="Verdana" w:eastAsia="Verdana" w:hAnsi="Verdana" w:cs="Verdana"/>
                <w:color w:val="000000"/>
                <w:sz w:val="16"/>
                <w:lang w:val="en-GB"/>
              </w:rPr>
              <w:t>)</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4C2A0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63</w:t>
            </w:r>
            <w:r w:rsidR="005E24E3" w:rsidRPr="00417212">
              <w:rPr>
                <w:rFonts w:ascii="Verdana" w:eastAsia="Verdana" w:hAnsi="Verdana" w:cs="Verdana"/>
                <w:color w:val="000000"/>
                <w:sz w:val="16"/>
                <w:lang w:val="en-GB"/>
              </w:rPr>
              <w:t>,</w:t>
            </w:r>
            <w:r>
              <w:rPr>
                <w:rFonts w:ascii="Verdana" w:eastAsia="Verdana" w:hAnsi="Verdana" w:cs="Verdana"/>
                <w:color w:val="000000"/>
                <w:sz w:val="16"/>
                <w:lang w:val="en-GB"/>
              </w:rPr>
              <w:t>0</w:t>
            </w:r>
            <w:r w:rsidR="004A0F04" w:rsidRPr="00417212">
              <w:rPr>
                <w:rFonts w:ascii="Verdana" w:eastAsia="Verdana" w:hAnsi="Verdana" w:cs="Verdana"/>
                <w:color w:val="000000"/>
                <w:sz w:val="16"/>
                <w:lang w:val="en-GB"/>
              </w:rPr>
              <w:t>2</w:t>
            </w:r>
            <w:r>
              <w:rPr>
                <w:rFonts w:ascii="Verdana" w:eastAsia="Verdana" w:hAnsi="Verdana" w:cs="Verdana"/>
                <w:color w:val="000000"/>
                <w:sz w:val="16"/>
                <w:lang w:val="en-GB"/>
              </w:rPr>
              <w:t>6</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Council tax and NDR (transfers to or from the Collection Fund)</w:t>
            </w:r>
          </w:p>
        </w:tc>
        <w:tc>
          <w:tcPr>
            <w:tcW w:w="1184" w:type="dxa"/>
            <w:shd w:val="clear" w:color="auto" w:fill="auto"/>
            <w:tcMar>
              <w:top w:w="20" w:type="dxa"/>
              <w:left w:w="20" w:type="dxa"/>
              <w:bottom w:w="20" w:type="dxa"/>
              <w:right w:w="20" w:type="dxa"/>
            </w:tcMar>
          </w:tcPr>
          <w:p w:rsidR="00CA6653" w:rsidRPr="00417212" w:rsidRDefault="0068163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89</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7632E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(89)</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Holiday pay (transferred to the Accumulated Absences reserve)</w:t>
            </w:r>
          </w:p>
        </w:tc>
        <w:tc>
          <w:tcPr>
            <w:tcW w:w="1184" w:type="dxa"/>
            <w:shd w:val="clear" w:color="auto" w:fill="auto"/>
            <w:tcMar>
              <w:top w:w="20" w:type="dxa"/>
              <w:left w:w="20" w:type="dxa"/>
              <w:bottom w:w="20" w:type="dxa"/>
              <w:right w:w="20" w:type="dxa"/>
            </w:tcMar>
          </w:tcPr>
          <w:p w:rsidR="00CA6653" w:rsidRPr="00417212" w:rsidRDefault="00760CA2">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(14</w:t>
            </w:r>
            <w:r w:rsidR="0090362D">
              <w:rPr>
                <w:rFonts w:ascii="Verdana" w:eastAsia="Verdana" w:hAnsi="Verdana" w:cs="Verdana"/>
                <w:color w:val="000000"/>
                <w:sz w:val="16"/>
                <w:lang w:val="en-GB"/>
              </w:rPr>
              <w:t>6</w:t>
            </w:r>
            <w:r w:rsidRPr="00417212">
              <w:rPr>
                <w:rFonts w:ascii="Verdana" w:eastAsia="Verdana" w:hAnsi="Verdana" w:cs="Verdana"/>
                <w:color w:val="000000"/>
                <w:sz w:val="16"/>
                <w:lang w:val="en-GB"/>
              </w:rPr>
              <w:t>)</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4A0F04">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14</w:t>
            </w:r>
            <w:r w:rsidR="0090362D">
              <w:rPr>
                <w:rFonts w:ascii="Verdana" w:eastAsia="Verdana" w:hAnsi="Verdana" w:cs="Verdana"/>
                <w:color w:val="000000"/>
                <w:sz w:val="16"/>
                <w:lang w:val="en-GB"/>
              </w:rPr>
              <w:t>6</w:t>
            </w:r>
          </w:p>
        </w:tc>
      </w:tr>
      <w:tr w:rsidR="00417212" w:rsidRPr="00035E7C" w:rsidTr="006C3861">
        <w:trPr>
          <w:trHeight w:val="159"/>
          <w:jc w:val="center"/>
        </w:trPr>
        <w:tc>
          <w:tcPr>
            <w:tcW w:w="3396" w:type="dxa"/>
            <w:shd w:val="clear" w:color="auto" w:fill="auto"/>
            <w:tcMar>
              <w:top w:w="20" w:type="dxa"/>
              <w:left w:w="20" w:type="dxa"/>
              <w:bottom w:w="20" w:type="dxa"/>
              <w:right w:w="20" w:type="dxa"/>
            </w:tcMar>
          </w:tcPr>
          <w:p w:rsidR="00417212" w:rsidRPr="00417212" w:rsidRDefault="00417212">
            <w:pPr>
              <w:pStyle w:val="T1TableStyle"/>
              <w:rPr>
                <w:rFonts w:ascii="Verdana" w:eastAsia="Verdana" w:hAnsi="Verdana" w:cs="Verdana"/>
                <w:color w:val="000000"/>
                <w:sz w:val="16"/>
                <w:lang w:val="en-GB"/>
              </w:rPr>
            </w:pPr>
          </w:p>
        </w:tc>
        <w:tc>
          <w:tcPr>
            <w:tcW w:w="1184" w:type="dxa"/>
            <w:shd w:val="clear" w:color="auto" w:fill="auto"/>
            <w:tcMar>
              <w:top w:w="20" w:type="dxa"/>
              <w:left w:w="20" w:type="dxa"/>
              <w:bottom w:w="20" w:type="dxa"/>
              <w:right w:w="20" w:type="dxa"/>
            </w:tcMar>
          </w:tcPr>
          <w:p w:rsidR="00417212" w:rsidRPr="00417212" w:rsidRDefault="00417212">
            <w:pPr>
              <w:pStyle w:val="T1TableStyle"/>
              <w:jc w:val="right"/>
              <w:rPr>
                <w:rFonts w:ascii="Verdana" w:eastAsia="Verdana" w:hAnsi="Verdana" w:cs="Verdana"/>
                <w:color w:val="000000"/>
                <w:sz w:val="16"/>
                <w:lang w:val="en-GB"/>
              </w:rPr>
            </w:pPr>
          </w:p>
        </w:tc>
        <w:tc>
          <w:tcPr>
            <w:tcW w:w="1184" w:type="dxa"/>
            <w:shd w:val="clear" w:color="auto" w:fill="auto"/>
            <w:tcMar>
              <w:top w:w="20" w:type="dxa"/>
              <w:left w:w="20" w:type="dxa"/>
              <w:bottom w:w="20" w:type="dxa"/>
              <w:right w:w="20" w:type="dxa"/>
            </w:tcMar>
          </w:tcPr>
          <w:p w:rsidR="00417212" w:rsidRPr="00417212" w:rsidRDefault="00417212">
            <w:pPr>
              <w:pStyle w:val="T1TableStyle"/>
              <w:jc w:val="center"/>
              <w:rPr>
                <w:rFonts w:ascii="Verdana" w:eastAsia="Verdana" w:hAnsi="Verdana" w:cs="Verdana"/>
                <w:color w:val="000000"/>
                <w:sz w:val="2"/>
                <w:lang w:val="en-GB"/>
              </w:rPr>
            </w:pPr>
          </w:p>
        </w:tc>
        <w:tc>
          <w:tcPr>
            <w:tcW w:w="1184" w:type="dxa"/>
            <w:shd w:val="clear" w:color="auto" w:fill="auto"/>
            <w:tcMar>
              <w:top w:w="20" w:type="dxa"/>
              <w:left w:w="20" w:type="dxa"/>
              <w:bottom w:w="20" w:type="dxa"/>
              <w:right w:w="20" w:type="dxa"/>
            </w:tcMar>
          </w:tcPr>
          <w:p w:rsidR="00417212" w:rsidRPr="00417212" w:rsidRDefault="00417212">
            <w:pPr>
              <w:pStyle w:val="T1TableStyle"/>
              <w:jc w:val="center"/>
              <w:rPr>
                <w:rFonts w:ascii="Verdana" w:eastAsia="Verdana" w:hAnsi="Verdana" w:cs="Verdana"/>
                <w:color w:val="000000"/>
                <w:sz w:val="2"/>
                <w:lang w:val="en-GB"/>
              </w:rPr>
            </w:pPr>
          </w:p>
        </w:tc>
        <w:tc>
          <w:tcPr>
            <w:tcW w:w="1184" w:type="dxa"/>
            <w:shd w:val="clear" w:color="auto" w:fill="auto"/>
            <w:tcMar>
              <w:top w:w="20" w:type="dxa"/>
              <w:left w:w="20" w:type="dxa"/>
              <w:bottom w:w="20" w:type="dxa"/>
              <w:right w:w="20" w:type="dxa"/>
            </w:tcMar>
          </w:tcPr>
          <w:p w:rsidR="00417212" w:rsidRPr="00417212" w:rsidRDefault="00417212" w:rsidP="004A0F04">
            <w:pPr>
              <w:pStyle w:val="T1TableStyle"/>
              <w:jc w:val="right"/>
              <w:rPr>
                <w:rFonts w:ascii="Verdana" w:eastAsia="Verdana" w:hAnsi="Verdana" w:cs="Verdana"/>
                <w:color w:val="000000"/>
                <w:sz w:val="16"/>
                <w:lang w:val="en-GB"/>
              </w:rPr>
            </w:pPr>
          </w:p>
        </w:tc>
      </w:tr>
      <w:tr w:rsidR="004D417B" w:rsidRPr="00035E7C" w:rsidTr="006C3861">
        <w:trPr>
          <w:trHeight w:val="159"/>
          <w:jc w:val="center"/>
        </w:trPr>
        <w:tc>
          <w:tcPr>
            <w:tcW w:w="3396" w:type="dxa"/>
            <w:tcBorders>
              <w:bottom w:val="single" w:sz="2" w:space="0" w:color="000000"/>
            </w:tcBorders>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Reversal of entries included in the Surplus or Deficit on the Provision of Services in relation to capital expenditure (these items are charged to the Capital Adjustment Account)</w:t>
            </w:r>
          </w:p>
        </w:tc>
        <w:tc>
          <w:tcPr>
            <w:tcW w:w="1184" w:type="dxa"/>
            <w:tcBorders>
              <w:bottom w:val="single" w:sz="2" w:space="0" w:color="000000"/>
            </w:tcBorders>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760CA2" w:rsidRPr="00417212">
              <w:rPr>
                <w:rFonts w:ascii="Verdana" w:eastAsia="Verdana" w:hAnsi="Verdana" w:cs="Verdana"/>
                <w:color w:val="000000"/>
                <w:sz w:val="16"/>
                <w:lang w:val="en-GB"/>
              </w:rPr>
              <w:t>1</w:t>
            </w:r>
            <w:r w:rsidRPr="00417212">
              <w:rPr>
                <w:rFonts w:ascii="Verdana" w:eastAsia="Verdana" w:hAnsi="Verdana" w:cs="Verdana"/>
                <w:color w:val="000000"/>
                <w:sz w:val="16"/>
                <w:lang w:val="en-GB"/>
              </w:rPr>
              <w:t>1,</w:t>
            </w:r>
            <w:r w:rsidR="00681635">
              <w:rPr>
                <w:rFonts w:ascii="Verdana" w:eastAsia="Verdana" w:hAnsi="Verdana" w:cs="Verdana"/>
                <w:color w:val="000000"/>
                <w:sz w:val="16"/>
                <w:lang w:val="en-GB"/>
              </w:rPr>
              <w:t>360</w:t>
            </w:r>
            <w:r w:rsidRPr="00417212">
              <w:rPr>
                <w:rFonts w:ascii="Verdana" w:eastAsia="Verdana" w:hAnsi="Verdana" w:cs="Verdana"/>
                <w:color w:val="000000"/>
                <w:sz w:val="16"/>
                <w:lang w:val="en-GB"/>
              </w:rPr>
              <w:t>)</w:t>
            </w:r>
          </w:p>
        </w:tc>
        <w:tc>
          <w:tcPr>
            <w:tcW w:w="1184" w:type="dxa"/>
            <w:tcBorders>
              <w:bottom w:val="single" w:sz="2" w:space="0" w:color="000000"/>
            </w:tcBorders>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tcBorders>
              <w:bottom w:val="single" w:sz="2" w:space="0" w:color="000000"/>
            </w:tcBorders>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7632EB">
              <w:rPr>
                <w:rFonts w:ascii="Verdana" w:eastAsia="Verdana" w:hAnsi="Verdana" w:cs="Verdana"/>
                <w:color w:val="000000"/>
                <w:sz w:val="16"/>
                <w:lang w:val="en-GB"/>
              </w:rPr>
              <w:t>6</w:t>
            </w:r>
            <w:r w:rsidR="000E05B4" w:rsidRPr="00417212">
              <w:rPr>
                <w:rFonts w:ascii="Verdana" w:eastAsia="Verdana" w:hAnsi="Verdana" w:cs="Verdana"/>
                <w:color w:val="000000"/>
                <w:sz w:val="16"/>
                <w:lang w:val="en-GB"/>
              </w:rPr>
              <w:t>45</w:t>
            </w:r>
            <w:r w:rsidRPr="00417212">
              <w:rPr>
                <w:rFonts w:ascii="Verdana" w:eastAsia="Verdana" w:hAnsi="Verdana" w:cs="Verdana"/>
                <w:color w:val="000000"/>
                <w:sz w:val="16"/>
                <w:lang w:val="en-GB"/>
              </w:rPr>
              <w:t>)</w:t>
            </w:r>
          </w:p>
        </w:tc>
        <w:tc>
          <w:tcPr>
            <w:tcW w:w="1184" w:type="dxa"/>
            <w:tcBorders>
              <w:bottom w:val="single" w:sz="2" w:space="0" w:color="000000"/>
            </w:tcBorders>
            <w:shd w:val="clear" w:color="auto" w:fill="auto"/>
            <w:tcMar>
              <w:top w:w="20" w:type="dxa"/>
              <w:left w:w="20" w:type="dxa"/>
              <w:bottom w:w="20" w:type="dxa"/>
              <w:right w:w="20" w:type="dxa"/>
            </w:tcMar>
          </w:tcPr>
          <w:p w:rsidR="00CA6653" w:rsidRPr="00417212" w:rsidRDefault="004A0F04">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1</w:t>
            </w:r>
            <w:r w:rsidR="00CA6653" w:rsidRPr="00417212">
              <w:rPr>
                <w:rFonts w:ascii="Verdana" w:eastAsia="Verdana" w:hAnsi="Verdana" w:cs="Verdana"/>
                <w:color w:val="000000"/>
                <w:sz w:val="16"/>
                <w:lang w:val="en-GB"/>
              </w:rPr>
              <w:t>2,</w:t>
            </w:r>
            <w:r w:rsidR="00A669A8">
              <w:rPr>
                <w:rFonts w:ascii="Verdana" w:eastAsia="Verdana" w:hAnsi="Verdana" w:cs="Verdana"/>
                <w:color w:val="000000"/>
                <w:sz w:val="16"/>
                <w:lang w:val="en-GB"/>
              </w:rPr>
              <w:t>005</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Total Adjustments to Revenue Resources</w:t>
            </w:r>
          </w:p>
        </w:tc>
        <w:tc>
          <w:tcPr>
            <w:tcW w:w="1184" w:type="dxa"/>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4C2A00">
              <w:rPr>
                <w:rFonts w:ascii="Verdana" w:eastAsia="Verdana" w:hAnsi="Verdana" w:cs="Verdana"/>
                <w:color w:val="000000"/>
                <w:sz w:val="16"/>
                <w:lang w:val="en-GB"/>
              </w:rPr>
              <w:t>74</w:t>
            </w:r>
            <w:r w:rsidRPr="00417212">
              <w:rPr>
                <w:rFonts w:ascii="Verdana" w:eastAsia="Verdana" w:hAnsi="Verdana" w:cs="Verdana"/>
                <w:color w:val="000000"/>
                <w:sz w:val="16"/>
                <w:lang w:val="en-GB"/>
              </w:rPr>
              <w:t>,</w:t>
            </w:r>
            <w:r w:rsidR="004C2A00">
              <w:rPr>
                <w:rFonts w:ascii="Verdana" w:eastAsia="Verdana" w:hAnsi="Verdana" w:cs="Verdana"/>
                <w:color w:val="000000"/>
                <w:sz w:val="16"/>
                <w:lang w:val="en-GB"/>
              </w:rPr>
              <w:t>443</w:t>
            </w:r>
            <w:r w:rsidRPr="00417212">
              <w:rPr>
                <w:rFonts w:ascii="Verdana" w:eastAsia="Verdana" w:hAnsi="Verdana" w:cs="Verdana"/>
                <w:color w:val="000000"/>
                <w:sz w:val="16"/>
                <w:lang w:val="en-GB"/>
              </w:rPr>
              <w:t>)</w:t>
            </w:r>
          </w:p>
        </w:tc>
        <w:tc>
          <w:tcPr>
            <w:tcW w:w="1184" w:type="dxa"/>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0</w:t>
            </w:r>
          </w:p>
        </w:tc>
        <w:tc>
          <w:tcPr>
            <w:tcW w:w="1184" w:type="dxa"/>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7632EB">
              <w:rPr>
                <w:rFonts w:ascii="Verdana" w:eastAsia="Verdana" w:hAnsi="Verdana" w:cs="Verdana"/>
                <w:color w:val="000000"/>
                <w:sz w:val="16"/>
                <w:lang w:val="en-GB"/>
              </w:rPr>
              <w:t>6</w:t>
            </w:r>
            <w:r w:rsidR="000E05B4" w:rsidRPr="00417212">
              <w:rPr>
                <w:rFonts w:ascii="Verdana" w:eastAsia="Verdana" w:hAnsi="Verdana" w:cs="Verdana"/>
                <w:color w:val="000000"/>
                <w:sz w:val="16"/>
                <w:lang w:val="en-GB"/>
              </w:rPr>
              <w:t>45</w:t>
            </w:r>
            <w:r w:rsidRPr="00417212">
              <w:rPr>
                <w:rFonts w:ascii="Verdana" w:eastAsia="Verdana" w:hAnsi="Verdana" w:cs="Verdana"/>
                <w:color w:val="000000"/>
                <w:sz w:val="16"/>
                <w:lang w:val="en-GB"/>
              </w:rPr>
              <w:t>)</w:t>
            </w:r>
          </w:p>
        </w:tc>
        <w:tc>
          <w:tcPr>
            <w:tcW w:w="1184" w:type="dxa"/>
            <w:shd w:val="clear" w:color="auto" w:fill="auto"/>
            <w:tcMar>
              <w:top w:w="20" w:type="dxa"/>
              <w:left w:w="20" w:type="dxa"/>
              <w:bottom w:w="20" w:type="dxa"/>
              <w:right w:w="20" w:type="dxa"/>
            </w:tcMar>
          </w:tcPr>
          <w:p w:rsidR="00CA6653" w:rsidRPr="00417212" w:rsidRDefault="004C2A0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75</w:t>
            </w:r>
            <w:r w:rsidR="00CA6653" w:rsidRPr="00417212">
              <w:rPr>
                <w:rFonts w:ascii="Verdana" w:eastAsia="Verdana" w:hAnsi="Verdana" w:cs="Verdana"/>
                <w:color w:val="000000"/>
                <w:sz w:val="16"/>
                <w:lang w:val="en-GB"/>
              </w:rPr>
              <w:t>,</w:t>
            </w:r>
            <w:r>
              <w:rPr>
                <w:rFonts w:ascii="Verdana" w:eastAsia="Verdana" w:hAnsi="Verdana" w:cs="Verdana"/>
                <w:color w:val="000000"/>
                <w:sz w:val="16"/>
                <w:lang w:val="en-GB"/>
              </w:rPr>
              <w:t>088</w:t>
            </w:r>
          </w:p>
        </w:tc>
      </w:tr>
      <w:tr w:rsidR="004D417B" w:rsidRPr="00035E7C" w:rsidTr="006C3861">
        <w:trPr>
          <w:trHeight w:hRule="exact" w:val="93"/>
          <w:jc w:val="center"/>
        </w:trPr>
        <w:tc>
          <w:tcPr>
            <w:tcW w:w="3396"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681635"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Adjustments between Revenue and Capital Resources</w:t>
            </w:r>
            <w:r w:rsidR="00681635">
              <w:rPr>
                <w:rFonts w:ascii="Verdana" w:eastAsia="Verdana" w:hAnsi="Verdana" w:cs="Verdana"/>
                <w:color w:val="000000"/>
                <w:sz w:val="16"/>
                <w:lang w:val="en-GB"/>
              </w:rPr>
              <w:t xml:space="preserve"> </w:t>
            </w:r>
          </w:p>
          <w:p w:rsidR="00CA6653" w:rsidRPr="00417212" w:rsidRDefault="00681635">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Transfer Capital Receipts to Capital Receipts Reserve                                                                                        </w:t>
            </w:r>
          </w:p>
        </w:tc>
        <w:tc>
          <w:tcPr>
            <w:tcW w:w="1184" w:type="dxa"/>
            <w:shd w:val="clear" w:color="auto" w:fill="auto"/>
            <w:tcMar>
              <w:top w:w="20" w:type="dxa"/>
              <w:left w:w="20" w:type="dxa"/>
              <w:bottom w:w="20" w:type="dxa"/>
              <w:right w:w="20" w:type="dxa"/>
            </w:tcMar>
          </w:tcPr>
          <w:p w:rsidR="00681635"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r w:rsidR="00681635">
              <w:rPr>
                <w:rFonts w:ascii="Verdana" w:eastAsia="Verdana" w:hAnsi="Verdana" w:cs="Verdana"/>
                <w:color w:val="000000"/>
                <w:sz w:val="2"/>
                <w:lang w:val="en-GB"/>
              </w:rPr>
              <w:t>93099</w:t>
            </w:r>
          </w:p>
          <w:p w:rsidR="00681635" w:rsidRDefault="00681635" w:rsidP="00681635">
            <w:pPr>
              <w:rPr>
                <w:sz w:val="16"/>
                <w:szCs w:val="16"/>
                <w:lang w:val="en-GB"/>
              </w:rPr>
            </w:pPr>
            <w:r>
              <w:rPr>
                <w:lang w:val="en-GB"/>
              </w:rPr>
              <w:t xml:space="preserve">          </w:t>
            </w:r>
            <w:r w:rsidRPr="00A200D5">
              <w:rPr>
                <w:sz w:val="16"/>
                <w:szCs w:val="16"/>
                <w:lang w:val="en-GB"/>
              </w:rPr>
              <w:t xml:space="preserve">930  </w:t>
            </w:r>
          </w:p>
          <w:p w:rsidR="00681635" w:rsidRDefault="00681635" w:rsidP="00681635">
            <w:pPr>
              <w:rPr>
                <w:sz w:val="16"/>
                <w:szCs w:val="16"/>
                <w:lang w:val="en-GB"/>
              </w:rPr>
            </w:pPr>
          </w:p>
          <w:p w:rsidR="00CA6653" w:rsidRPr="00A200D5" w:rsidRDefault="00681635" w:rsidP="00A200D5">
            <w:pPr>
              <w:tabs>
                <w:tab w:val="left" w:pos="332"/>
                <w:tab w:val="center" w:pos="572"/>
              </w:tabs>
              <w:rPr>
                <w:sz w:val="16"/>
                <w:szCs w:val="16"/>
                <w:lang w:val="en-GB"/>
              </w:rPr>
            </w:pPr>
            <w:r>
              <w:rPr>
                <w:sz w:val="16"/>
                <w:szCs w:val="16"/>
                <w:lang w:val="en-GB"/>
              </w:rPr>
              <w:tab/>
              <w:t xml:space="preserve">        467</w:t>
            </w:r>
            <w:r w:rsidR="007632EB">
              <w:rPr>
                <w:sz w:val="16"/>
                <w:szCs w:val="16"/>
                <w:lang w:val="en-GB"/>
              </w:rPr>
              <w:t xml:space="preserve">                       </w:t>
            </w:r>
          </w:p>
        </w:tc>
        <w:tc>
          <w:tcPr>
            <w:tcW w:w="1184" w:type="dxa"/>
            <w:shd w:val="clear" w:color="auto" w:fill="auto"/>
            <w:tcMar>
              <w:top w:w="20" w:type="dxa"/>
              <w:left w:w="20" w:type="dxa"/>
              <w:bottom w:w="20" w:type="dxa"/>
              <w:right w:w="20" w:type="dxa"/>
            </w:tcMar>
          </w:tcPr>
          <w:p w:rsidR="007632EB"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r w:rsidR="007632EB">
              <w:rPr>
                <w:rFonts w:ascii="Verdana" w:eastAsia="Verdana" w:hAnsi="Verdana" w:cs="Verdana"/>
                <w:color w:val="000000"/>
                <w:sz w:val="2"/>
                <w:lang w:val="en-GB"/>
              </w:rPr>
              <w:t xml:space="preserve">  </w:t>
            </w:r>
          </w:p>
          <w:p w:rsidR="00E57F47" w:rsidRDefault="007632EB" w:rsidP="00A200D5">
            <w:pPr>
              <w:tabs>
                <w:tab w:val="left" w:pos="881"/>
              </w:tabs>
              <w:rPr>
                <w:sz w:val="16"/>
                <w:szCs w:val="16"/>
                <w:lang w:val="en-GB"/>
              </w:rPr>
            </w:pPr>
            <w:r w:rsidRPr="00A200D5">
              <w:rPr>
                <w:sz w:val="16"/>
                <w:szCs w:val="16"/>
                <w:lang w:val="en-GB"/>
              </w:rPr>
              <w:t xml:space="preserve">    </w:t>
            </w:r>
            <w:r>
              <w:rPr>
                <w:sz w:val="16"/>
                <w:szCs w:val="16"/>
                <w:lang w:val="en-GB"/>
              </w:rPr>
              <w:t xml:space="preserve">        </w:t>
            </w:r>
          </w:p>
          <w:p w:rsidR="00E57F47" w:rsidRDefault="00E57F47" w:rsidP="00A200D5">
            <w:pPr>
              <w:tabs>
                <w:tab w:val="left" w:pos="881"/>
              </w:tabs>
              <w:rPr>
                <w:sz w:val="16"/>
                <w:szCs w:val="16"/>
                <w:lang w:val="en-GB"/>
              </w:rPr>
            </w:pPr>
          </w:p>
          <w:p w:rsidR="007632EB" w:rsidRDefault="00A669A8" w:rsidP="00A200D5">
            <w:pPr>
              <w:tabs>
                <w:tab w:val="left" w:pos="881"/>
              </w:tabs>
              <w:jc w:val="right"/>
              <w:rPr>
                <w:sz w:val="16"/>
                <w:szCs w:val="16"/>
                <w:lang w:val="en-GB"/>
              </w:rPr>
            </w:pPr>
            <w:r>
              <w:rPr>
                <w:sz w:val="16"/>
                <w:szCs w:val="16"/>
                <w:lang w:val="en-GB"/>
              </w:rPr>
              <w:t>(467)</w:t>
            </w:r>
          </w:p>
          <w:p w:rsidR="00CA6653" w:rsidRPr="00A200D5" w:rsidRDefault="007632EB" w:rsidP="00A200D5">
            <w:pPr>
              <w:tabs>
                <w:tab w:val="left" w:pos="881"/>
              </w:tabs>
              <w:rPr>
                <w:sz w:val="16"/>
                <w:szCs w:val="16"/>
                <w:lang w:val="en-GB"/>
              </w:rPr>
            </w:pPr>
            <w:r>
              <w:rPr>
                <w:sz w:val="16"/>
                <w:szCs w:val="16"/>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A669A8"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r w:rsidR="00A669A8">
              <w:rPr>
                <w:rFonts w:ascii="Verdana" w:eastAsia="Verdana" w:hAnsi="Verdana" w:cs="Verdana"/>
                <w:color w:val="000000"/>
                <w:sz w:val="2"/>
                <w:lang w:val="en-GB"/>
              </w:rPr>
              <w:t>((99</w:t>
            </w:r>
          </w:p>
          <w:p w:rsidR="00CA6653" w:rsidRDefault="00A669A8" w:rsidP="00A200D5">
            <w:pPr>
              <w:tabs>
                <w:tab w:val="left" w:pos="559"/>
              </w:tabs>
              <w:rPr>
                <w:sz w:val="16"/>
                <w:szCs w:val="16"/>
                <w:lang w:val="en-GB"/>
              </w:rPr>
            </w:pPr>
            <w:r>
              <w:rPr>
                <w:lang w:val="en-GB"/>
              </w:rPr>
              <w:t xml:space="preserve">         </w:t>
            </w:r>
            <w:r w:rsidRPr="00A200D5">
              <w:rPr>
                <w:sz w:val="16"/>
                <w:szCs w:val="16"/>
                <w:lang w:val="en-GB"/>
              </w:rPr>
              <w:t>(930)</w:t>
            </w:r>
          </w:p>
          <w:p w:rsidR="00E57F47" w:rsidRDefault="00E57F47" w:rsidP="00A200D5">
            <w:pPr>
              <w:tabs>
                <w:tab w:val="left" w:pos="559"/>
              </w:tabs>
              <w:rPr>
                <w:sz w:val="16"/>
                <w:szCs w:val="16"/>
                <w:lang w:val="en-GB"/>
              </w:rPr>
            </w:pPr>
          </w:p>
          <w:p w:rsidR="00E57F47" w:rsidRPr="00A200D5" w:rsidRDefault="00E57F47" w:rsidP="00A200D5">
            <w:pPr>
              <w:tabs>
                <w:tab w:val="left" w:pos="559"/>
              </w:tabs>
              <w:jc w:val="right"/>
              <w:rPr>
                <w:sz w:val="16"/>
                <w:szCs w:val="16"/>
                <w:lang w:val="en-GB"/>
              </w:rPr>
            </w:pPr>
            <w:r>
              <w:rPr>
                <w:sz w:val="16"/>
                <w:szCs w:val="16"/>
                <w:lang w:val="en-GB"/>
              </w:rPr>
              <w:t>0</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Statutory Provision for the repayment of debt (transfer to the Capital Adjustment Account)</w:t>
            </w:r>
          </w:p>
        </w:tc>
        <w:tc>
          <w:tcPr>
            <w:tcW w:w="1184" w:type="dxa"/>
            <w:shd w:val="clear" w:color="auto" w:fill="auto"/>
            <w:tcMar>
              <w:top w:w="20" w:type="dxa"/>
              <w:left w:w="20" w:type="dxa"/>
              <w:bottom w:w="20" w:type="dxa"/>
              <w:right w:w="20" w:type="dxa"/>
            </w:tcMar>
          </w:tcPr>
          <w:p w:rsidR="00CA6653" w:rsidRPr="00417212" w:rsidRDefault="00760CA2" w:rsidP="00760CA2">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1</w:t>
            </w:r>
            <w:r w:rsidR="00CA6653" w:rsidRPr="00417212">
              <w:rPr>
                <w:rFonts w:ascii="Verdana" w:eastAsia="Verdana" w:hAnsi="Verdana" w:cs="Verdana"/>
                <w:color w:val="000000"/>
                <w:sz w:val="16"/>
                <w:lang w:val="en-GB"/>
              </w:rPr>
              <w:t>,</w:t>
            </w:r>
            <w:r w:rsidRPr="00417212">
              <w:rPr>
                <w:rFonts w:ascii="Verdana" w:eastAsia="Verdana" w:hAnsi="Verdana" w:cs="Verdana"/>
                <w:color w:val="000000"/>
                <w:sz w:val="16"/>
                <w:lang w:val="en-GB"/>
              </w:rPr>
              <w:t>3</w:t>
            </w:r>
            <w:r w:rsidR="000D750D">
              <w:rPr>
                <w:rFonts w:ascii="Verdana" w:eastAsia="Verdana" w:hAnsi="Verdana" w:cs="Verdana"/>
                <w:color w:val="000000"/>
                <w:sz w:val="16"/>
                <w:lang w:val="en-GB"/>
              </w:rPr>
              <w:t>6</w:t>
            </w:r>
            <w:r w:rsidRPr="00417212">
              <w:rPr>
                <w:rFonts w:ascii="Verdana" w:eastAsia="Verdana" w:hAnsi="Verdana" w:cs="Verdana"/>
                <w:color w:val="000000"/>
                <w:sz w:val="16"/>
                <w:lang w:val="en-GB"/>
              </w:rPr>
              <w:t>7</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r w:rsidR="007632EB">
              <w:rPr>
                <w:rFonts w:ascii="Verdana" w:eastAsia="Verdana" w:hAnsi="Verdana" w:cs="Verdana"/>
                <w:color w:val="000000"/>
                <w:sz w:val="2"/>
                <w:lang w:val="en-GB"/>
              </w:rPr>
              <w:t>(</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4A0F04" w:rsidRPr="00417212">
              <w:rPr>
                <w:rFonts w:ascii="Verdana" w:eastAsia="Verdana" w:hAnsi="Verdana" w:cs="Verdana"/>
                <w:color w:val="000000"/>
                <w:sz w:val="16"/>
                <w:lang w:val="en-GB"/>
              </w:rPr>
              <w:t>1</w:t>
            </w:r>
            <w:r w:rsidRPr="00417212">
              <w:rPr>
                <w:rFonts w:ascii="Verdana" w:eastAsia="Verdana" w:hAnsi="Verdana" w:cs="Verdana"/>
                <w:color w:val="000000"/>
                <w:sz w:val="16"/>
                <w:lang w:val="en-GB"/>
              </w:rPr>
              <w:t>,</w:t>
            </w:r>
            <w:r w:rsidR="004A0F04" w:rsidRPr="00417212">
              <w:rPr>
                <w:rFonts w:ascii="Verdana" w:eastAsia="Verdana" w:hAnsi="Verdana" w:cs="Verdana"/>
                <w:color w:val="000000"/>
                <w:sz w:val="16"/>
                <w:lang w:val="en-GB"/>
              </w:rPr>
              <w:t>3</w:t>
            </w:r>
            <w:r w:rsidR="000D750D">
              <w:rPr>
                <w:rFonts w:ascii="Verdana" w:eastAsia="Verdana" w:hAnsi="Verdana" w:cs="Verdana"/>
                <w:color w:val="000000"/>
                <w:sz w:val="16"/>
                <w:lang w:val="en-GB"/>
              </w:rPr>
              <w:t>6</w:t>
            </w:r>
            <w:r w:rsidR="004A0F04" w:rsidRPr="00417212">
              <w:rPr>
                <w:rFonts w:ascii="Verdana" w:eastAsia="Verdana" w:hAnsi="Verdana" w:cs="Verdana"/>
                <w:color w:val="000000"/>
                <w:sz w:val="16"/>
                <w:lang w:val="en-GB"/>
              </w:rPr>
              <w:t>7</w:t>
            </w:r>
            <w:r w:rsidRPr="00417212">
              <w:rPr>
                <w:rFonts w:ascii="Verdana" w:eastAsia="Verdana" w:hAnsi="Verdana" w:cs="Verdana"/>
                <w:color w:val="000000"/>
                <w:sz w:val="16"/>
                <w:lang w:val="en-GB"/>
              </w:rPr>
              <w:t>)</w:t>
            </w:r>
          </w:p>
        </w:tc>
      </w:tr>
      <w:tr w:rsidR="004D417B" w:rsidRPr="00035E7C" w:rsidTr="006C3861">
        <w:trPr>
          <w:trHeight w:val="159"/>
          <w:jc w:val="center"/>
        </w:trPr>
        <w:tc>
          <w:tcPr>
            <w:tcW w:w="3396" w:type="dxa"/>
            <w:tcBorders>
              <w:bottom w:val="single" w:sz="2" w:space="0" w:color="000000"/>
            </w:tcBorders>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Capital expenditure financed from revenue balances (transfer to the Capital Adjustment Account)</w:t>
            </w:r>
          </w:p>
        </w:tc>
        <w:tc>
          <w:tcPr>
            <w:tcW w:w="1184" w:type="dxa"/>
            <w:tcBorders>
              <w:bottom w:val="single" w:sz="2" w:space="0" w:color="000000"/>
            </w:tcBorders>
            <w:shd w:val="clear" w:color="auto" w:fill="auto"/>
            <w:tcMar>
              <w:top w:w="20" w:type="dxa"/>
              <w:left w:w="20" w:type="dxa"/>
              <w:bottom w:w="20" w:type="dxa"/>
              <w:right w:w="20" w:type="dxa"/>
            </w:tcMar>
          </w:tcPr>
          <w:p w:rsidR="00CA6653" w:rsidRPr="00417212" w:rsidRDefault="00C41F9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w:t>
            </w:r>
            <w:r w:rsidR="00760CA2" w:rsidRPr="00417212">
              <w:rPr>
                <w:rFonts w:ascii="Verdana" w:eastAsia="Verdana" w:hAnsi="Verdana" w:cs="Verdana"/>
                <w:color w:val="000000"/>
                <w:sz w:val="16"/>
                <w:lang w:val="en-GB"/>
              </w:rPr>
              <w:t>,4</w:t>
            </w:r>
            <w:r>
              <w:rPr>
                <w:rFonts w:ascii="Verdana" w:eastAsia="Verdana" w:hAnsi="Verdana" w:cs="Verdana"/>
                <w:color w:val="000000"/>
                <w:sz w:val="16"/>
                <w:lang w:val="en-GB"/>
              </w:rPr>
              <w:t>96</w:t>
            </w:r>
          </w:p>
        </w:tc>
        <w:tc>
          <w:tcPr>
            <w:tcW w:w="1184" w:type="dxa"/>
            <w:tcBorders>
              <w:bottom w:val="single" w:sz="2" w:space="0" w:color="000000"/>
            </w:tcBorders>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tcBorders>
              <w:bottom w:val="single" w:sz="2" w:space="0" w:color="000000"/>
            </w:tcBorders>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tcBorders>
              <w:bottom w:val="single" w:sz="2" w:space="0" w:color="000000"/>
            </w:tcBorders>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A669A8">
              <w:rPr>
                <w:rFonts w:ascii="Verdana" w:eastAsia="Verdana" w:hAnsi="Verdana" w:cs="Verdana"/>
                <w:color w:val="000000"/>
                <w:sz w:val="16"/>
                <w:lang w:val="en-GB"/>
              </w:rPr>
              <w:t>4</w:t>
            </w:r>
            <w:r w:rsidR="004A0F04" w:rsidRPr="00417212">
              <w:rPr>
                <w:rFonts w:ascii="Verdana" w:eastAsia="Verdana" w:hAnsi="Verdana" w:cs="Verdana"/>
                <w:color w:val="000000"/>
                <w:sz w:val="16"/>
                <w:lang w:val="en-GB"/>
              </w:rPr>
              <w:t>,4</w:t>
            </w:r>
            <w:r w:rsidR="00A669A8">
              <w:rPr>
                <w:rFonts w:ascii="Verdana" w:eastAsia="Verdana" w:hAnsi="Verdana" w:cs="Verdana"/>
                <w:color w:val="000000"/>
                <w:sz w:val="16"/>
                <w:lang w:val="en-GB"/>
              </w:rPr>
              <w:t>96</w:t>
            </w:r>
            <w:r w:rsidRPr="00417212">
              <w:rPr>
                <w:rFonts w:ascii="Verdana" w:eastAsia="Verdana" w:hAnsi="Verdana" w:cs="Verdana"/>
                <w:color w:val="000000"/>
                <w:sz w:val="16"/>
                <w:lang w:val="en-GB"/>
              </w:rPr>
              <w:t>)</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Total Adjustments between Revenue and Capital Resources</w:t>
            </w:r>
          </w:p>
        </w:tc>
        <w:tc>
          <w:tcPr>
            <w:tcW w:w="1184" w:type="dxa"/>
            <w:shd w:val="clear" w:color="auto" w:fill="auto"/>
            <w:tcMar>
              <w:top w:w="20" w:type="dxa"/>
              <w:left w:w="20" w:type="dxa"/>
              <w:bottom w:w="20" w:type="dxa"/>
              <w:right w:w="20" w:type="dxa"/>
            </w:tcMar>
          </w:tcPr>
          <w:p w:rsidR="00CA6653" w:rsidRPr="00417212" w:rsidRDefault="00C41F9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w:t>
            </w:r>
            <w:r w:rsidR="00CA6653" w:rsidRPr="00417212">
              <w:rPr>
                <w:rFonts w:ascii="Verdana" w:eastAsia="Verdana" w:hAnsi="Verdana" w:cs="Verdana"/>
                <w:color w:val="000000"/>
                <w:sz w:val="16"/>
                <w:lang w:val="en-GB"/>
              </w:rPr>
              <w:t>,</w:t>
            </w:r>
            <w:r w:rsidR="00760CA2" w:rsidRPr="00417212">
              <w:rPr>
                <w:rFonts w:ascii="Verdana" w:eastAsia="Verdana" w:hAnsi="Verdana" w:cs="Verdana"/>
                <w:color w:val="000000"/>
                <w:sz w:val="16"/>
                <w:lang w:val="en-GB"/>
              </w:rPr>
              <w:t>2</w:t>
            </w:r>
            <w:r>
              <w:rPr>
                <w:rFonts w:ascii="Verdana" w:eastAsia="Verdana" w:hAnsi="Verdana" w:cs="Verdana"/>
                <w:color w:val="000000"/>
                <w:sz w:val="16"/>
                <w:lang w:val="en-GB"/>
              </w:rPr>
              <w:t>60</w:t>
            </w:r>
          </w:p>
        </w:tc>
        <w:tc>
          <w:tcPr>
            <w:tcW w:w="1184" w:type="dxa"/>
            <w:shd w:val="clear" w:color="auto" w:fill="auto"/>
            <w:tcMar>
              <w:top w:w="20" w:type="dxa"/>
              <w:left w:w="20" w:type="dxa"/>
              <w:bottom w:w="20" w:type="dxa"/>
              <w:right w:w="20" w:type="dxa"/>
            </w:tcMar>
          </w:tcPr>
          <w:p w:rsidR="00CA6653" w:rsidRPr="00417212" w:rsidRDefault="007632E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 xml:space="preserve">   (467)</w:t>
            </w:r>
          </w:p>
        </w:tc>
        <w:tc>
          <w:tcPr>
            <w:tcW w:w="1184" w:type="dxa"/>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0</w:t>
            </w:r>
          </w:p>
        </w:tc>
        <w:tc>
          <w:tcPr>
            <w:tcW w:w="1184" w:type="dxa"/>
            <w:shd w:val="clear" w:color="auto" w:fill="auto"/>
            <w:tcMar>
              <w:top w:w="20" w:type="dxa"/>
              <w:left w:w="20" w:type="dxa"/>
              <w:bottom w:w="20" w:type="dxa"/>
              <w:right w:w="20" w:type="dxa"/>
            </w:tcMar>
          </w:tcPr>
          <w:p w:rsidR="00CA6653" w:rsidRPr="00417212" w:rsidRDefault="00CA6653">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4A0F04" w:rsidRPr="00417212">
              <w:rPr>
                <w:rFonts w:ascii="Verdana" w:eastAsia="Verdana" w:hAnsi="Verdana" w:cs="Verdana"/>
                <w:color w:val="000000"/>
                <w:sz w:val="16"/>
                <w:lang w:val="en-GB"/>
              </w:rPr>
              <w:t>6,7</w:t>
            </w:r>
            <w:r w:rsidR="00A669A8">
              <w:rPr>
                <w:rFonts w:ascii="Verdana" w:eastAsia="Verdana" w:hAnsi="Verdana" w:cs="Verdana"/>
                <w:color w:val="000000"/>
                <w:sz w:val="16"/>
                <w:lang w:val="en-GB"/>
              </w:rPr>
              <w:t>93</w:t>
            </w:r>
            <w:r w:rsidRPr="00417212">
              <w:rPr>
                <w:rFonts w:ascii="Verdana" w:eastAsia="Verdana" w:hAnsi="Verdana" w:cs="Verdana"/>
                <w:color w:val="000000"/>
                <w:sz w:val="16"/>
                <w:lang w:val="en-GB"/>
              </w:rPr>
              <w:t>)</w:t>
            </w:r>
          </w:p>
        </w:tc>
      </w:tr>
      <w:tr w:rsidR="004D417B" w:rsidRPr="00035E7C" w:rsidTr="006C3861">
        <w:trPr>
          <w:trHeight w:hRule="exact" w:val="93"/>
          <w:jc w:val="center"/>
        </w:trPr>
        <w:tc>
          <w:tcPr>
            <w:tcW w:w="3396"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417212" w:rsidRDefault="00CA6653">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r>
      <w:tr w:rsidR="004D417B" w:rsidRPr="00035E7C" w:rsidTr="006C3861">
        <w:trPr>
          <w:trHeight w:val="159"/>
          <w:jc w:val="center"/>
        </w:trPr>
        <w:tc>
          <w:tcPr>
            <w:tcW w:w="8136" w:type="dxa"/>
            <w:gridSpan w:val="5"/>
            <w:shd w:val="clear" w:color="auto" w:fill="auto"/>
            <w:tcMar>
              <w:top w:w="20" w:type="dxa"/>
              <w:left w:w="20" w:type="dxa"/>
              <w:bottom w:w="20" w:type="dxa"/>
              <w:right w:w="20" w:type="dxa"/>
            </w:tcMar>
          </w:tcPr>
          <w:p w:rsidR="00CA6653" w:rsidRPr="00417212" w:rsidRDefault="00CA6653">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Adjustments to Capital Resources</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Use of the Capital Receipts Reserve to finance capital expenditure</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7632E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w:t>
            </w:r>
            <w:r w:rsidR="00A669A8">
              <w:rPr>
                <w:rFonts w:ascii="Verdana" w:eastAsia="Verdana" w:hAnsi="Verdana" w:cs="Verdana"/>
                <w:color w:val="000000"/>
                <w:sz w:val="16"/>
                <w:lang w:val="en-GB"/>
              </w:rPr>
              <w:t>,</w:t>
            </w:r>
            <w:r>
              <w:rPr>
                <w:rFonts w:ascii="Verdana" w:eastAsia="Verdana" w:hAnsi="Verdana" w:cs="Verdana"/>
                <w:color w:val="000000"/>
                <w:sz w:val="16"/>
                <w:lang w:val="en-GB"/>
              </w:rPr>
              <w:t>266</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4A0F04">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sidR="00A669A8">
              <w:rPr>
                <w:rFonts w:ascii="Verdana" w:eastAsia="Verdana" w:hAnsi="Verdana" w:cs="Verdana"/>
                <w:color w:val="000000"/>
                <w:sz w:val="16"/>
                <w:lang w:val="en-GB"/>
              </w:rPr>
              <w:t>4</w:t>
            </w:r>
            <w:r w:rsidR="005E24E3">
              <w:rPr>
                <w:rFonts w:ascii="Verdana" w:eastAsia="Verdana" w:hAnsi="Verdana" w:cs="Verdana"/>
                <w:color w:val="000000"/>
                <w:sz w:val="16"/>
                <w:lang w:val="en-GB"/>
              </w:rPr>
              <w:t>,</w:t>
            </w:r>
            <w:r w:rsidR="00A669A8">
              <w:rPr>
                <w:rFonts w:ascii="Verdana" w:eastAsia="Verdana" w:hAnsi="Verdana" w:cs="Verdana"/>
                <w:color w:val="000000"/>
                <w:sz w:val="16"/>
                <w:lang w:val="en-GB"/>
              </w:rPr>
              <w:t>266</w:t>
            </w:r>
            <w:r w:rsidRPr="00035E7C">
              <w:rPr>
                <w:rFonts w:ascii="Verdana" w:eastAsia="Verdana" w:hAnsi="Verdana" w:cs="Verdana"/>
                <w:color w:val="000000"/>
                <w:sz w:val="16"/>
                <w:lang w:val="en-GB"/>
              </w:rPr>
              <w:t>)</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Application of capital grants to finance capital expenditure</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r w:rsidR="000E05B4" w:rsidRPr="00035E7C">
              <w:rPr>
                <w:rFonts w:ascii="Verdana" w:eastAsia="Verdana" w:hAnsi="Verdana" w:cs="Verdana"/>
                <w:color w:val="000000"/>
                <w:sz w:val="2"/>
                <w:lang w:val="en-GB"/>
              </w:rPr>
              <w:t>1134134</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7632E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w:t>
            </w:r>
            <w:r w:rsidR="000E05B4" w:rsidRPr="00035E7C">
              <w:rPr>
                <w:rFonts w:ascii="Verdana" w:eastAsia="Verdana" w:hAnsi="Verdana" w:cs="Verdana"/>
                <w:color w:val="000000"/>
                <w:sz w:val="16"/>
                <w:lang w:val="en-GB"/>
              </w:rPr>
              <w:t>45</w:t>
            </w:r>
          </w:p>
        </w:tc>
        <w:tc>
          <w:tcPr>
            <w:tcW w:w="1184"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sidR="00A669A8">
              <w:rPr>
                <w:rFonts w:ascii="Verdana" w:eastAsia="Verdana" w:hAnsi="Verdana" w:cs="Verdana"/>
                <w:color w:val="000000"/>
                <w:sz w:val="16"/>
                <w:lang w:val="en-GB"/>
              </w:rPr>
              <w:t>6</w:t>
            </w:r>
            <w:r w:rsidR="004A0F04" w:rsidRPr="00035E7C">
              <w:rPr>
                <w:rFonts w:ascii="Verdana" w:eastAsia="Verdana" w:hAnsi="Verdana" w:cs="Verdana"/>
                <w:color w:val="000000"/>
                <w:sz w:val="16"/>
                <w:lang w:val="en-GB"/>
              </w:rPr>
              <w:t>45</w:t>
            </w:r>
            <w:r w:rsidRPr="00035E7C">
              <w:rPr>
                <w:rFonts w:ascii="Verdana" w:eastAsia="Verdana" w:hAnsi="Verdana" w:cs="Verdana"/>
                <w:color w:val="000000"/>
                <w:sz w:val="16"/>
                <w:lang w:val="en-GB"/>
              </w:rPr>
              <w:t>)</w:t>
            </w:r>
          </w:p>
        </w:tc>
      </w:tr>
      <w:tr w:rsidR="004D417B" w:rsidRPr="00035E7C" w:rsidTr="006C3861">
        <w:trPr>
          <w:trHeight w:val="159"/>
          <w:jc w:val="center"/>
        </w:trPr>
        <w:tc>
          <w:tcPr>
            <w:tcW w:w="3396" w:type="dxa"/>
            <w:tcBorders>
              <w:top w:val="single" w:sz="2" w:space="0" w:color="000000"/>
            </w:tcBorders>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Total Adjustments to Capital Resources</w:t>
            </w:r>
          </w:p>
        </w:tc>
        <w:tc>
          <w:tcPr>
            <w:tcW w:w="1184" w:type="dxa"/>
            <w:tcBorders>
              <w:top w:val="single" w:sz="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184" w:type="dxa"/>
            <w:tcBorders>
              <w:top w:val="single" w:sz="2" w:space="0" w:color="000000"/>
            </w:tcBorders>
            <w:shd w:val="clear" w:color="auto" w:fill="auto"/>
            <w:tcMar>
              <w:top w:w="20" w:type="dxa"/>
              <w:left w:w="20" w:type="dxa"/>
              <w:bottom w:w="20" w:type="dxa"/>
              <w:right w:w="20" w:type="dxa"/>
            </w:tcMar>
          </w:tcPr>
          <w:p w:rsidR="00CA6653" w:rsidRPr="00035E7C" w:rsidRDefault="00A669A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w:t>
            </w:r>
            <w:r w:rsidR="005E24E3">
              <w:rPr>
                <w:rFonts w:ascii="Verdana" w:eastAsia="Verdana" w:hAnsi="Verdana" w:cs="Verdana"/>
                <w:color w:val="000000"/>
                <w:sz w:val="16"/>
                <w:lang w:val="en-GB"/>
              </w:rPr>
              <w:t>,</w:t>
            </w:r>
            <w:r>
              <w:rPr>
                <w:rFonts w:ascii="Verdana" w:eastAsia="Verdana" w:hAnsi="Verdana" w:cs="Verdana"/>
                <w:color w:val="000000"/>
                <w:sz w:val="16"/>
                <w:lang w:val="en-GB"/>
              </w:rPr>
              <w:t>266</w:t>
            </w:r>
          </w:p>
        </w:tc>
        <w:tc>
          <w:tcPr>
            <w:tcW w:w="1184" w:type="dxa"/>
            <w:tcBorders>
              <w:top w:val="single" w:sz="2" w:space="0" w:color="000000"/>
            </w:tcBorders>
            <w:shd w:val="clear" w:color="auto" w:fill="auto"/>
            <w:tcMar>
              <w:top w:w="20" w:type="dxa"/>
              <w:left w:w="20" w:type="dxa"/>
              <w:bottom w:w="20" w:type="dxa"/>
              <w:right w:w="20" w:type="dxa"/>
            </w:tcMar>
          </w:tcPr>
          <w:p w:rsidR="00CA6653" w:rsidRPr="00035E7C" w:rsidRDefault="007632E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w:t>
            </w:r>
            <w:r w:rsidR="000E05B4" w:rsidRPr="00035E7C">
              <w:rPr>
                <w:rFonts w:ascii="Verdana" w:eastAsia="Verdana" w:hAnsi="Verdana" w:cs="Verdana"/>
                <w:color w:val="000000"/>
                <w:sz w:val="16"/>
                <w:lang w:val="en-GB"/>
              </w:rPr>
              <w:t>45</w:t>
            </w:r>
          </w:p>
        </w:tc>
        <w:tc>
          <w:tcPr>
            <w:tcW w:w="1184" w:type="dxa"/>
            <w:tcBorders>
              <w:top w:val="single" w:sz="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sidR="00A669A8">
              <w:rPr>
                <w:rFonts w:ascii="Verdana" w:eastAsia="Verdana" w:hAnsi="Verdana" w:cs="Verdana"/>
                <w:color w:val="000000"/>
                <w:sz w:val="16"/>
                <w:lang w:val="en-GB"/>
              </w:rPr>
              <w:t>4</w:t>
            </w:r>
            <w:r w:rsidR="005E24E3">
              <w:rPr>
                <w:rFonts w:ascii="Verdana" w:eastAsia="Verdana" w:hAnsi="Verdana" w:cs="Verdana"/>
                <w:color w:val="000000"/>
                <w:sz w:val="16"/>
                <w:lang w:val="en-GB"/>
              </w:rPr>
              <w:t>,</w:t>
            </w:r>
            <w:r w:rsidR="00A669A8">
              <w:rPr>
                <w:rFonts w:ascii="Verdana" w:eastAsia="Verdana" w:hAnsi="Verdana" w:cs="Verdana"/>
                <w:color w:val="000000"/>
                <w:sz w:val="16"/>
                <w:lang w:val="en-GB"/>
              </w:rPr>
              <w:t>911</w:t>
            </w:r>
            <w:r w:rsidRPr="00035E7C">
              <w:rPr>
                <w:rFonts w:ascii="Verdana" w:eastAsia="Verdana" w:hAnsi="Verdana" w:cs="Verdana"/>
                <w:color w:val="000000"/>
                <w:sz w:val="16"/>
                <w:lang w:val="en-GB"/>
              </w:rPr>
              <w:t>)</w:t>
            </w:r>
          </w:p>
        </w:tc>
      </w:tr>
      <w:tr w:rsidR="004D417B" w:rsidRPr="00035E7C" w:rsidTr="006C3861">
        <w:trPr>
          <w:trHeight w:hRule="exact" w:val="93"/>
          <w:jc w:val="center"/>
        </w:trPr>
        <w:tc>
          <w:tcPr>
            <w:tcW w:w="3396"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r>
      <w:tr w:rsidR="004D417B" w:rsidRPr="00035E7C" w:rsidTr="006C3861">
        <w:trPr>
          <w:trHeight w:val="159"/>
          <w:jc w:val="center"/>
        </w:trPr>
        <w:tc>
          <w:tcPr>
            <w:tcW w:w="3396" w:type="dxa"/>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Other adjustments</w:t>
            </w:r>
          </w:p>
        </w:tc>
        <w:tc>
          <w:tcPr>
            <w:tcW w:w="1184" w:type="dxa"/>
            <w:shd w:val="clear" w:color="auto" w:fill="auto"/>
            <w:tcMar>
              <w:top w:w="20" w:type="dxa"/>
              <w:left w:w="20" w:type="dxa"/>
              <w:bottom w:w="20" w:type="dxa"/>
              <w:right w:w="20" w:type="dxa"/>
            </w:tcMar>
          </w:tcPr>
          <w:p w:rsidR="00CA6653" w:rsidRPr="00035E7C" w:rsidRDefault="000E05B4">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w:t>
            </w:r>
            <w:r w:rsidR="005E24E3">
              <w:rPr>
                <w:rFonts w:ascii="Verdana" w:eastAsia="Verdana" w:hAnsi="Verdana" w:cs="Verdana"/>
                <w:color w:val="000000"/>
                <w:sz w:val="16"/>
                <w:lang w:val="en-GB"/>
              </w:rPr>
              <w:t>,</w:t>
            </w:r>
            <w:r w:rsidR="00C41F9C">
              <w:rPr>
                <w:rFonts w:ascii="Verdana" w:eastAsia="Verdana" w:hAnsi="Verdana" w:cs="Verdana"/>
                <w:color w:val="000000"/>
                <w:sz w:val="16"/>
                <w:lang w:val="en-GB"/>
              </w:rPr>
              <w:t>060</w:t>
            </w:r>
          </w:p>
        </w:tc>
        <w:tc>
          <w:tcPr>
            <w:tcW w:w="1184" w:type="dxa"/>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184" w:type="dxa"/>
            <w:shd w:val="clear" w:color="auto" w:fill="auto"/>
            <w:tcMar>
              <w:top w:w="20" w:type="dxa"/>
              <w:left w:w="20" w:type="dxa"/>
              <w:bottom w:w="20" w:type="dxa"/>
              <w:right w:w="20" w:type="dxa"/>
            </w:tcMar>
          </w:tcPr>
          <w:p w:rsidR="00CA6653" w:rsidRPr="00035E7C" w:rsidRDefault="004A0F04">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w:t>
            </w:r>
            <w:r w:rsidR="005E24E3">
              <w:rPr>
                <w:rFonts w:ascii="Verdana" w:eastAsia="Verdana" w:hAnsi="Verdana" w:cs="Verdana"/>
                <w:color w:val="000000"/>
                <w:sz w:val="16"/>
                <w:lang w:val="en-GB"/>
              </w:rPr>
              <w:t>,</w:t>
            </w:r>
            <w:r w:rsidRPr="00035E7C">
              <w:rPr>
                <w:rFonts w:ascii="Verdana" w:eastAsia="Verdana" w:hAnsi="Verdana" w:cs="Verdana"/>
                <w:color w:val="000000"/>
                <w:sz w:val="16"/>
                <w:lang w:val="en-GB"/>
              </w:rPr>
              <w:t>6</w:t>
            </w:r>
            <w:r w:rsidR="007632EB">
              <w:rPr>
                <w:rFonts w:ascii="Verdana" w:eastAsia="Verdana" w:hAnsi="Verdana" w:cs="Verdana"/>
                <w:color w:val="000000"/>
                <w:sz w:val="16"/>
                <w:lang w:val="en-GB"/>
              </w:rPr>
              <w:t>29</w:t>
            </w:r>
            <w:r w:rsidRPr="00035E7C">
              <w:rPr>
                <w:rFonts w:ascii="Verdana" w:eastAsia="Verdana" w:hAnsi="Verdana" w:cs="Verdana"/>
                <w:color w:val="000000"/>
                <w:sz w:val="16"/>
                <w:lang w:val="en-GB"/>
              </w:rPr>
              <w:t>)</w:t>
            </w:r>
          </w:p>
        </w:tc>
        <w:tc>
          <w:tcPr>
            <w:tcW w:w="1184" w:type="dxa"/>
            <w:shd w:val="clear" w:color="auto" w:fill="auto"/>
            <w:tcMar>
              <w:top w:w="20" w:type="dxa"/>
              <w:left w:w="20" w:type="dxa"/>
              <w:bottom w:w="20" w:type="dxa"/>
              <w:right w:w="20" w:type="dxa"/>
            </w:tcMar>
          </w:tcPr>
          <w:p w:rsidR="00CA6653" w:rsidRPr="00035E7C" w:rsidRDefault="00A669A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569</w:t>
            </w:r>
          </w:p>
        </w:tc>
      </w:tr>
      <w:tr w:rsidR="004D417B" w:rsidRPr="00035E7C" w:rsidTr="006C3861">
        <w:trPr>
          <w:trHeight w:hRule="exact" w:val="93"/>
          <w:jc w:val="center"/>
        </w:trPr>
        <w:tc>
          <w:tcPr>
            <w:tcW w:w="3396"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CA6653" w:rsidRPr="00035E7C" w:rsidRDefault="00CA6653">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r>
      <w:tr w:rsidR="004D417B" w:rsidTr="006C3861">
        <w:trPr>
          <w:trHeight w:val="159"/>
          <w:jc w:val="center"/>
        </w:trPr>
        <w:tc>
          <w:tcPr>
            <w:tcW w:w="3396"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rPr>
                <w:rFonts w:ascii="Verdana" w:eastAsia="Verdana" w:hAnsi="Verdana" w:cs="Verdana"/>
                <w:b/>
                <w:color w:val="000000"/>
                <w:sz w:val="16"/>
                <w:lang w:val="en-GB"/>
              </w:rPr>
            </w:pPr>
            <w:r w:rsidRPr="00035E7C">
              <w:rPr>
                <w:rFonts w:ascii="Verdana" w:eastAsia="Verdana" w:hAnsi="Verdana" w:cs="Verdana"/>
                <w:b/>
                <w:color w:val="000000"/>
                <w:sz w:val="16"/>
                <w:lang w:val="en-GB"/>
              </w:rPr>
              <w:t>Total Adjustments</w:t>
            </w:r>
          </w:p>
        </w:tc>
        <w:tc>
          <w:tcPr>
            <w:tcW w:w="1184"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CA6653">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w:t>
            </w:r>
            <w:r w:rsidR="004C2A00">
              <w:rPr>
                <w:rFonts w:ascii="Verdana" w:eastAsia="Verdana" w:hAnsi="Verdana" w:cs="Verdana"/>
                <w:b/>
                <w:color w:val="000000"/>
                <w:sz w:val="16"/>
                <w:lang w:val="en-GB"/>
              </w:rPr>
              <w:t>66</w:t>
            </w:r>
            <w:r w:rsidRPr="00035E7C">
              <w:rPr>
                <w:rFonts w:ascii="Verdana" w:eastAsia="Verdana" w:hAnsi="Verdana" w:cs="Verdana"/>
                <w:b/>
                <w:color w:val="000000"/>
                <w:sz w:val="16"/>
                <w:lang w:val="en-GB"/>
              </w:rPr>
              <w:t>,</w:t>
            </w:r>
            <w:r w:rsidR="004C2A00">
              <w:rPr>
                <w:rFonts w:ascii="Verdana" w:eastAsia="Verdana" w:hAnsi="Verdana" w:cs="Verdana"/>
                <w:b/>
                <w:color w:val="000000"/>
                <w:sz w:val="16"/>
                <w:lang w:val="en-GB"/>
              </w:rPr>
              <w:t>1</w:t>
            </w:r>
            <w:r w:rsidR="007632EB">
              <w:rPr>
                <w:rFonts w:ascii="Verdana" w:eastAsia="Verdana" w:hAnsi="Verdana" w:cs="Verdana"/>
                <w:b/>
                <w:color w:val="000000"/>
                <w:sz w:val="16"/>
                <w:lang w:val="en-GB"/>
              </w:rPr>
              <w:t>2</w:t>
            </w:r>
            <w:r w:rsidR="004C2A00">
              <w:rPr>
                <w:rFonts w:ascii="Verdana" w:eastAsia="Verdana" w:hAnsi="Verdana" w:cs="Verdana"/>
                <w:b/>
                <w:color w:val="000000"/>
                <w:sz w:val="16"/>
                <w:lang w:val="en-GB"/>
              </w:rPr>
              <w:t>3</w:t>
            </w:r>
            <w:r w:rsidRPr="00035E7C">
              <w:rPr>
                <w:rFonts w:ascii="Verdana" w:eastAsia="Verdana" w:hAnsi="Verdana" w:cs="Verdana"/>
                <w:b/>
                <w:color w:val="000000"/>
                <w:sz w:val="16"/>
                <w:lang w:val="en-GB"/>
              </w:rPr>
              <w:t>)</w:t>
            </w:r>
          </w:p>
        </w:tc>
        <w:tc>
          <w:tcPr>
            <w:tcW w:w="1184"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000B3B" w:rsidP="00000B3B">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3</w:t>
            </w:r>
            <w:r w:rsidR="005E24E3">
              <w:rPr>
                <w:rFonts w:ascii="Verdana" w:eastAsia="Verdana" w:hAnsi="Verdana" w:cs="Verdana"/>
                <w:b/>
                <w:color w:val="000000"/>
                <w:sz w:val="16"/>
                <w:lang w:val="en-GB"/>
              </w:rPr>
              <w:t>,</w:t>
            </w:r>
            <w:r w:rsidRPr="00035E7C">
              <w:rPr>
                <w:rFonts w:ascii="Verdana" w:eastAsia="Verdana" w:hAnsi="Verdana" w:cs="Verdana"/>
                <w:b/>
                <w:color w:val="000000"/>
                <w:sz w:val="16"/>
                <w:lang w:val="en-GB"/>
              </w:rPr>
              <w:t>799</w:t>
            </w:r>
          </w:p>
        </w:tc>
        <w:tc>
          <w:tcPr>
            <w:tcW w:w="1184"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35E7C" w:rsidRDefault="004A0F04">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(1</w:t>
            </w:r>
            <w:r w:rsidR="00C8026A">
              <w:rPr>
                <w:rFonts w:ascii="Verdana" w:eastAsia="Verdana" w:hAnsi="Verdana" w:cs="Verdana"/>
                <w:b/>
                <w:color w:val="000000"/>
                <w:sz w:val="16"/>
                <w:lang w:val="en-GB"/>
              </w:rPr>
              <w:t>,</w:t>
            </w:r>
            <w:r w:rsidRPr="00035E7C">
              <w:rPr>
                <w:rFonts w:ascii="Verdana" w:eastAsia="Verdana" w:hAnsi="Verdana" w:cs="Verdana"/>
                <w:b/>
                <w:color w:val="000000"/>
                <w:sz w:val="16"/>
                <w:lang w:val="en-GB"/>
              </w:rPr>
              <w:t>6</w:t>
            </w:r>
            <w:r w:rsidR="007632EB">
              <w:rPr>
                <w:rFonts w:ascii="Verdana" w:eastAsia="Verdana" w:hAnsi="Verdana" w:cs="Verdana"/>
                <w:b/>
                <w:color w:val="000000"/>
                <w:sz w:val="16"/>
                <w:lang w:val="en-GB"/>
              </w:rPr>
              <w:t>29</w:t>
            </w:r>
            <w:r w:rsidRPr="00035E7C">
              <w:rPr>
                <w:rFonts w:ascii="Verdana" w:eastAsia="Verdana" w:hAnsi="Verdana" w:cs="Verdana"/>
                <w:b/>
                <w:color w:val="000000"/>
                <w:sz w:val="16"/>
                <w:lang w:val="en-GB"/>
              </w:rPr>
              <w:t>)</w:t>
            </w:r>
          </w:p>
        </w:tc>
        <w:tc>
          <w:tcPr>
            <w:tcW w:w="1184"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4C2A0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w:t>
            </w:r>
            <w:r w:rsidR="00A669A8">
              <w:rPr>
                <w:rFonts w:ascii="Verdana" w:eastAsia="Verdana" w:hAnsi="Verdana" w:cs="Verdana"/>
                <w:b/>
                <w:color w:val="000000"/>
                <w:sz w:val="16"/>
                <w:lang w:val="en-GB"/>
              </w:rPr>
              <w:t>,</w:t>
            </w:r>
            <w:r>
              <w:rPr>
                <w:rFonts w:ascii="Verdana" w:eastAsia="Verdana" w:hAnsi="Verdana" w:cs="Verdana"/>
                <w:b/>
                <w:color w:val="000000"/>
                <w:sz w:val="16"/>
                <w:lang w:val="en-GB"/>
              </w:rPr>
              <w:t>9</w:t>
            </w:r>
            <w:r w:rsidR="00A669A8">
              <w:rPr>
                <w:rFonts w:ascii="Verdana" w:eastAsia="Verdana" w:hAnsi="Verdana" w:cs="Verdana"/>
                <w:b/>
                <w:color w:val="000000"/>
                <w:sz w:val="16"/>
                <w:lang w:val="en-GB"/>
              </w:rPr>
              <w:t>5</w:t>
            </w:r>
            <w:r>
              <w:rPr>
                <w:rFonts w:ascii="Verdana" w:eastAsia="Verdana" w:hAnsi="Verdana" w:cs="Verdana"/>
                <w:b/>
                <w:color w:val="000000"/>
                <w:sz w:val="16"/>
                <w:lang w:val="en-GB"/>
              </w:rPr>
              <w:t>3</w:t>
            </w:r>
          </w:p>
        </w:tc>
      </w:tr>
    </w:tbl>
    <w:p w:rsidR="00CA6653" w:rsidRDefault="00CA6653">
      <w:pPr>
        <w:pStyle w:val="T1TableStyle"/>
        <w:rPr>
          <w:rFonts w:ascii="Verdana" w:eastAsia="Verdana" w:hAnsi="Verdana" w:cs="Verdana"/>
          <w:sz w:val="22"/>
          <w:lang w:val="en-GB"/>
        </w:rPr>
      </w:pPr>
    </w:p>
    <w:p w:rsidR="006C3861" w:rsidRDefault="006C3861">
      <w:pPr>
        <w:pStyle w:val="T1TableStyle"/>
        <w:rPr>
          <w:rFonts w:ascii="Verdana" w:eastAsia="Verdana" w:hAnsi="Verdana" w:cs="Verdana"/>
          <w:sz w:val="22"/>
          <w:lang w:val="en-GB"/>
        </w:rPr>
      </w:pPr>
    </w:p>
    <w:p w:rsidR="006C3861" w:rsidRDefault="006C3861">
      <w:pPr>
        <w:pStyle w:val="T1TableStyle"/>
        <w:rPr>
          <w:rFonts w:ascii="Verdana" w:eastAsia="Verdana" w:hAnsi="Verdana" w:cs="Verdana"/>
          <w:sz w:val="22"/>
          <w:lang w:val="en-GB"/>
        </w:rPr>
      </w:pPr>
    </w:p>
    <w:p w:rsidR="006C3861" w:rsidRDefault="006C3861">
      <w:pPr>
        <w:pStyle w:val="T1TableStyle"/>
        <w:rPr>
          <w:rFonts w:ascii="Verdana" w:eastAsia="Verdana" w:hAnsi="Verdana" w:cs="Verdana"/>
          <w:sz w:val="22"/>
          <w:lang w:val="en-GB"/>
        </w:rPr>
      </w:pPr>
    </w:p>
    <w:p w:rsidR="006C3861" w:rsidRDefault="006C3861">
      <w:pPr>
        <w:pStyle w:val="T1TableStyle"/>
        <w:rPr>
          <w:rFonts w:ascii="Verdana" w:eastAsia="Verdana" w:hAnsi="Verdana" w:cs="Verdana"/>
          <w:sz w:val="22"/>
          <w:lang w:val="en-GB"/>
        </w:rPr>
      </w:pPr>
    </w:p>
    <w:p w:rsidR="006C3861" w:rsidRDefault="006C3861">
      <w:pPr>
        <w:pStyle w:val="T1TableStyle"/>
        <w:rPr>
          <w:rFonts w:ascii="Verdana" w:eastAsia="Verdana" w:hAnsi="Verdana" w:cs="Verdana"/>
          <w:sz w:val="22"/>
          <w:lang w:val="en-GB"/>
        </w:rPr>
      </w:pPr>
    </w:p>
    <w:p w:rsidR="006C3861" w:rsidRDefault="006C3861">
      <w:pPr>
        <w:pStyle w:val="T1TableStyle"/>
        <w:rPr>
          <w:rFonts w:ascii="Verdana" w:eastAsia="Verdana" w:hAnsi="Verdana" w:cs="Verdana"/>
          <w:sz w:val="22"/>
          <w:lang w:val="en-GB"/>
        </w:rPr>
      </w:pPr>
    </w:p>
    <w:p w:rsidR="006C3861" w:rsidRDefault="006C3861">
      <w:pPr>
        <w:pStyle w:val="T1TableStyle"/>
        <w:rPr>
          <w:rFonts w:ascii="Verdana" w:eastAsia="Verdana" w:hAnsi="Verdana" w:cs="Verdana"/>
          <w:sz w:val="22"/>
          <w:lang w:val="en-GB"/>
        </w:rPr>
      </w:pPr>
    </w:p>
    <w:p w:rsidR="006C3861" w:rsidRDefault="006C3861">
      <w:pPr>
        <w:pStyle w:val="T1TableStyle"/>
        <w:rPr>
          <w:rFonts w:ascii="Verdana" w:eastAsia="Verdana" w:hAnsi="Verdana" w:cs="Verdana"/>
          <w:sz w:val="22"/>
          <w:lang w:val="en-GB"/>
        </w:rPr>
      </w:pPr>
    </w:p>
    <w:tbl>
      <w:tblPr>
        <w:tblW w:w="0" w:type="auto"/>
        <w:jc w:val="center"/>
        <w:tblLayout w:type="fixed"/>
        <w:tblLook w:val="04A0" w:firstRow="1" w:lastRow="0" w:firstColumn="1" w:lastColumn="0" w:noHBand="0" w:noVBand="1"/>
      </w:tblPr>
      <w:tblGrid>
        <w:gridCol w:w="3482"/>
        <w:gridCol w:w="1214"/>
        <w:gridCol w:w="1214"/>
        <w:gridCol w:w="1214"/>
        <w:gridCol w:w="1214"/>
      </w:tblGrid>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90362D">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 xml:space="preserve">Group </w:t>
            </w:r>
            <w:r w:rsidR="00CA6653">
              <w:rPr>
                <w:rFonts w:ascii="Verdana" w:eastAsia="Verdana" w:hAnsi="Verdana" w:cs="Verdana"/>
                <w:b/>
                <w:color w:val="000000"/>
                <w:sz w:val="16"/>
                <w:lang w:val="en-GB"/>
              </w:rPr>
              <w:t>2018/2019</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General Fund Balance</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Receipts Reserve</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Grants Unapplied</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Movement in Unusable Reserves</w:t>
            </w:r>
          </w:p>
        </w:tc>
      </w:tr>
      <w:tr w:rsidR="004D417B" w:rsidTr="006C3861">
        <w:trPr>
          <w:trHeight w:val="168"/>
          <w:jc w:val="center"/>
        </w:trPr>
        <w:tc>
          <w:tcPr>
            <w:tcW w:w="3482"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to the Revenue Resources</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1214"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Pension cost (transferred to (or from) the Pensions Reserve)</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(141,085)</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141,085</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Council tax and NDR (transfers to or from the Collection Fund)</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(715)</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715</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Holiday pay (transferred to the Accumulated Absences reserve)</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(306)</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306</w:t>
            </w:r>
          </w:p>
        </w:tc>
      </w:tr>
      <w:tr w:rsidR="004D417B" w:rsidTr="006C3861">
        <w:trPr>
          <w:trHeight w:val="168"/>
          <w:jc w:val="center"/>
        </w:trPr>
        <w:tc>
          <w:tcPr>
            <w:tcW w:w="3482"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Reversal of entries included in the Surplus or Deficit on the Provision of Services in relation to capital expenditure (these items are charged to the Capital Adjustment Account)</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(9,343)</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10,144</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Total Adjustments to Revenue Resources</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(151,449)</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152,250</w:t>
            </w:r>
          </w:p>
        </w:tc>
      </w:tr>
      <w:tr w:rsidR="004D417B" w:rsidTr="006C3861">
        <w:trPr>
          <w:trHeight w:hRule="exact" w:val="99"/>
          <w:jc w:val="center"/>
        </w:trPr>
        <w:tc>
          <w:tcPr>
            <w:tcW w:w="34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between Revenue and Capital Resources</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Transfer of non-current asset sale proceeds from revenue to the Capital Receipts Reserve</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1,022</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(1,022)</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Statutory Provision for the repayment of debt (transfer to the Capital Adjustment Account)</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415</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(415)</w:t>
            </w:r>
          </w:p>
        </w:tc>
      </w:tr>
      <w:tr w:rsidR="004D417B" w:rsidTr="006C3861">
        <w:trPr>
          <w:trHeight w:val="168"/>
          <w:jc w:val="center"/>
        </w:trPr>
        <w:tc>
          <w:tcPr>
            <w:tcW w:w="3482"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Capital expenditure financed from revenue balances (transfer to the Capital Adjustment Account)</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2,487</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(2,487)</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Total Adjustments between Revenue and Capital Resources</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3,924</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(1,022)</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(2,902)</w:t>
            </w:r>
          </w:p>
        </w:tc>
      </w:tr>
      <w:tr w:rsidR="004D417B" w:rsidTr="006C3861">
        <w:trPr>
          <w:trHeight w:hRule="exact" w:val="99"/>
          <w:jc w:val="center"/>
        </w:trPr>
        <w:tc>
          <w:tcPr>
            <w:tcW w:w="34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to Capital Resources</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Use of the Capital Receipts Reserve to finance capital expenditure</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5,832</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(5,832)</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Application of capital grants to finance capital expenditure</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r>
      <w:tr w:rsidR="004D417B" w:rsidTr="006C3861">
        <w:trPr>
          <w:trHeight w:val="168"/>
          <w:jc w:val="center"/>
        </w:trPr>
        <w:tc>
          <w:tcPr>
            <w:tcW w:w="3482"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Total Adjustments to Capital Resources</w:t>
            </w:r>
          </w:p>
        </w:tc>
        <w:tc>
          <w:tcPr>
            <w:tcW w:w="1214"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14"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5,832</w:t>
            </w:r>
          </w:p>
        </w:tc>
        <w:tc>
          <w:tcPr>
            <w:tcW w:w="1214"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214"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(6,633)</w:t>
            </w:r>
          </w:p>
        </w:tc>
      </w:tr>
      <w:tr w:rsidR="004D417B" w:rsidTr="006C3861">
        <w:trPr>
          <w:trHeight w:hRule="exact" w:val="99"/>
          <w:jc w:val="center"/>
        </w:trPr>
        <w:tc>
          <w:tcPr>
            <w:tcW w:w="34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6C3861">
        <w:trPr>
          <w:trHeight w:val="168"/>
          <w:jc w:val="center"/>
        </w:trPr>
        <w:tc>
          <w:tcPr>
            <w:tcW w:w="3482"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adjustments</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(318)</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285</w:t>
            </w:r>
          </w:p>
        </w:tc>
        <w:tc>
          <w:tcPr>
            <w:tcW w:w="121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33</w:t>
            </w:r>
          </w:p>
        </w:tc>
      </w:tr>
      <w:tr w:rsidR="004D417B" w:rsidTr="006C3861">
        <w:trPr>
          <w:trHeight w:hRule="exact" w:val="99"/>
          <w:jc w:val="center"/>
        </w:trPr>
        <w:tc>
          <w:tcPr>
            <w:tcW w:w="34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6C3861">
        <w:trPr>
          <w:trHeight w:val="168"/>
          <w:jc w:val="center"/>
        </w:trPr>
        <w:tc>
          <w:tcPr>
            <w:tcW w:w="3482"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Adjustments</w:t>
            </w:r>
          </w:p>
        </w:tc>
        <w:tc>
          <w:tcPr>
            <w:tcW w:w="1214"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(147,843)</w:t>
            </w:r>
          </w:p>
        </w:tc>
        <w:tc>
          <w:tcPr>
            <w:tcW w:w="1214"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4,810</w:t>
            </w:r>
          </w:p>
        </w:tc>
        <w:tc>
          <w:tcPr>
            <w:tcW w:w="1214"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285</w:t>
            </w:r>
          </w:p>
        </w:tc>
        <w:tc>
          <w:tcPr>
            <w:tcW w:w="1214"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142,748</w:t>
            </w:r>
          </w:p>
        </w:tc>
      </w:tr>
    </w:tbl>
    <w:p w:rsidR="00CA6653" w:rsidRDefault="00CA6653">
      <w:pPr>
        <w:pStyle w:val="T1TableStyle"/>
        <w:rPr>
          <w:rFonts w:ascii="Verdana" w:eastAsia="Verdana" w:hAnsi="Verdana" w:cs="Verdana"/>
          <w:sz w:val="22"/>
          <w:lang w:val="en-GB"/>
        </w:rPr>
      </w:pPr>
    </w:p>
    <w:p w:rsidR="00CA6653" w:rsidRDefault="00CA6653">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B61E9" w:rsidP="00A200D5">
      <w:pPr>
        <w:pStyle w:val="Normal0"/>
        <w:tabs>
          <w:tab w:val="left" w:pos="8381"/>
        </w:tabs>
        <w:spacing w:after="160" w:line="259" w:lineRule="auto"/>
        <w:rPr>
          <w:rFonts w:ascii="Verdana" w:eastAsia="Verdana" w:hAnsi="Verdana" w:cs="Verdana"/>
          <w:sz w:val="22"/>
          <w:szCs w:val="22"/>
          <w:lang w:val="en-GB"/>
        </w:rPr>
      </w:pPr>
      <w:r>
        <w:rPr>
          <w:rFonts w:ascii="Verdana" w:eastAsia="Verdana" w:hAnsi="Verdana" w:cs="Verdana"/>
          <w:sz w:val="22"/>
          <w:szCs w:val="22"/>
          <w:lang w:val="en-GB"/>
        </w:rPr>
        <w:tab/>
      </w: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CC5F3E" w:rsidRDefault="00CC5F3E">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CC5F3E" w:rsidRDefault="00CC5F3E">
      <w:pPr>
        <w:pStyle w:val="Normal0"/>
        <w:spacing w:after="160" w:line="259" w:lineRule="auto"/>
        <w:rPr>
          <w:rFonts w:ascii="Verdana" w:eastAsia="Verdana" w:hAnsi="Verdana" w:cs="Verdana"/>
          <w:sz w:val="22"/>
          <w:szCs w:val="22"/>
          <w:lang w:val="en-GB"/>
        </w:rPr>
      </w:pPr>
    </w:p>
    <w:p w:rsidR="00CC5F3E" w:rsidRDefault="00CC5F3E">
      <w:pPr>
        <w:pStyle w:val="Normal0"/>
        <w:spacing w:after="160" w:line="259" w:lineRule="auto"/>
        <w:rPr>
          <w:rFonts w:ascii="Verdana" w:eastAsia="Verdana" w:hAnsi="Verdana" w:cs="Verdana"/>
          <w:sz w:val="22"/>
          <w:szCs w:val="22"/>
          <w:lang w:val="en-GB"/>
        </w:rPr>
      </w:pPr>
      <w:r>
        <w:rPr>
          <w:rFonts w:ascii="Verdana" w:eastAsia="Verdana" w:hAnsi="Verdana" w:cs="Verdana"/>
          <w:sz w:val="22"/>
          <w:szCs w:val="22"/>
          <w:lang w:val="en-GB"/>
        </w:rPr>
        <w:tab/>
        <w:t xml:space="preserve">   PCC</w:t>
      </w:r>
    </w:p>
    <w:tbl>
      <w:tblPr>
        <w:tblW w:w="0" w:type="auto"/>
        <w:jc w:val="center"/>
        <w:tblLayout w:type="fixed"/>
        <w:tblLook w:val="04A0" w:firstRow="1" w:lastRow="0" w:firstColumn="1" w:lastColumn="0" w:noHBand="0" w:noVBand="1"/>
      </w:tblPr>
      <w:tblGrid>
        <w:gridCol w:w="3396"/>
        <w:gridCol w:w="1184"/>
        <w:gridCol w:w="1184"/>
        <w:gridCol w:w="1184"/>
        <w:gridCol w:w="1188"/>
      </w:tblGrid>
      <w:tr w:rsidR="00376C97" w:rsidRPr="00035E7C" w:rsidTr="00A200D5">
        <w:trPr>
          <w:trHeight w:val="374"/>
          <w:jc w:val="center"/>
        </w:trPr>
        <w:tc>
          <w:tcPr>
            <w:tcW w:w="3396" w:type="dxa"/>
            <w:shd w:val="clear" w:color="auto" w:fill="auto"/>
            <w:tcMar>
              <w:top w:w="20" w:type="dxa"/>
              <w:left w:w="20" w:type="dxa"/>
              <w:bottom w:w="20" w:type="dxa"/>
              <w:right w:w="20" w:type="dxa"/>
            </w:tcMar>
          </w:tcPr>
          <w:p w:rsidR="00376C97" w:rsidRPr="00035E7C" w:rsidRDefault="0090362D" w:rsidP="00CC5F3E">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 xml:space="preserve">PCC </w:t>
            </w:r>
            <w:r w:rsidR="00376C97" w:rsidRPr="00035E7C">
              <w:rPr>
                <w:rFonts w:ascii="Verdana" w:eastAsia="Verdana" w:hAnsi="Verdana" w:cs="Verdana"/>
                <w:b/>
                <w:color w:val="000000"/>
                <w:sz w:val="16"/>
                <w:lang w:val="en-GB"/>
              </w:rPr>
              <w:t>2019/2020</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General Fund Balance</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Capital Receipts Reserve</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Capital Grants Unapplied</w:t>
            </w:r>
          </w:p>
        </w:tc>
        <w:tc>
          <w:tcPr>
            <w:tcW w:w="1188"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b/>
                <w:color w:val="000000"/>
                <w:sz w:val="16"/>
                <w:lang w:val="en-GB"/>
              </w:rPr>
            </w:pPr>
            <w:r w:rsidRPr="00035E7C">
              <w:rPr>
                <w:rFonts w:ascii="Verdana" w:eastAsia="Verdana" w:hAnsi="Verdana" w:cs="Verdana"/>
                <w:b/>
                <w:color w:val="000000"/>
                <w:sz w:val="16"/>
                <w:lang w:val="en-GB"/>
              </w:rPr>
              <w:t>Movement in Unusable Reserves</w:t>
            </w:r>
          </w:p>
        </w:tc>
      </w:tr>
      <w:tr w:rsidR="00376C97" w:rsidRPr="00035E7C" w:rsidTr="00A200D5">
        <w:trPr>
          <w:trHeight w:val="187"/>
          <w:jc w:val="center"/>
        </w:trPr>
        <w:tc>
          <w:tcPr>
            <w:tcW w:w="3396" w:type="dxa"/>
            <w:tcBorders>
              <w:bottom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184" w:type="dxa"/>
            <w:tcBorders>
              <w:bottom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184" w:type="dxa"/>
            <w:tcBorders>
              <w:bottom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184" w:type="dxa"/>
            <w:tcBorders>
              <w:bottom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c>
          <w:tcPr>
            <w:tcW w:w="1188" w:type="dxa"/>
            <w:tcBorders>
              <w:bottom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£000</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035E7C" w:rsidRDefault="00376C97" w:rsidP="00CC5F3E">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Adjustments to the Revenue Resources</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c>
          <w:tcPr>
            <w:tcW w:w="1188"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b/>
                <w:color w:val="000000"/>
                <w:sz w:val="2"/>
                <w:lang w:val="en-GB"/>
              </w:rPr>
            </w:pPr>
            <w:r w:rsidRPr="00035E7C">
              <w:rPr>
                <w:rFonts w:ascii="Verdana" w:eastAsia="Verdana" w:hAnsi="Verdana" w:cs="Verdana"/>
                <w:b/>
                <w:color w:val="000000"/>
                <w:sz w:val="2"/>
                <w:lang w:val="en-GB"/>
              </w:rPr>
              <w:t xml:space="preserve"> </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Pension cost (transferred to (or from) the Pensions Reserve)</w:t>
            </w:r>
          </w:p>
        </w:tc>
        <w:tc>
          <w:tcPr>
            <w:tcW w:w="1184" w:type="dxa"/>
            <w:shd w:val="clear" w:color="auto" w:fill="auto"/>
            <w:tcMar>
              <w:top w:w="20" w:type="dxa"/>
              <w:left w:w="20" w:type="dxa"/>
              <w:bottom w:w="20" w:type="dxa"/>
              <w:right w:w="20" w:type="dxa"/>
            </w:tcMar>
          </w:tcPr>
          <w:p w:rsidR="00376C97" w:rsidRPr="00417212" w:rsidRDefault="00376C97">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3B61E9">
              <w:rPr>
                <w:rFonts w:ascii="Verdana" w:eastAsia="Verdana" w:hAnsi="Verdana" w:cs="Verdana"/>
                <w:color w:val="000000"/>
                <w:sz w:val="16"/>
                <w:lang w:val="en-GB"/>
              </w:rPr>
              <w:t>1</w:t>
            </w:r>
            <w:r w:rsidR="00017322">
              <w:rPr>
                <w:rFonts w:ascii="Verdana" w:eastAsia="Verdana" w:hAnsi="Verdana" w:cs="Verdana"/>
                <w:color w:val="000000"/>
                <w:sz w:val="16"/>
                <w:lang w:val="en-GB"/>
              </w:rPr>
              <w:t>41</w:t>
            </w:r>
            <w:r w:rsidRPr="00417212">
              <w:rPr>
                <w:rFonts w:ascii="Verdana" w:eastAsia="Verdana" w:hAnsi="Verdana" w:cs="Verdana"/>
                <w:color w:val="000000"/>
                <w:sz w:val="16"/>
                <w:lang w:val="en-GB"/>
              </w:rPr>
              <w:t>)</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Pr="00417212" w:rsidRDefault="003B61E9">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017322">
              <w:rPr>
                <w:rFonts w:ascii="Verdana" w:eastAsia="Verdana" w:hAnsi="Verdana" w:cs="Verdana"/>
                <w:color w:val="000000"/>
                <w:sz w:val="16"/>
                <w:lang w:val="en-GB"/>
              </w:rPr>
              <w:t>41</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Council tax and NDR (transfers to or from the Collection Fund)</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89</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(89)</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p>
        </w:tc>
        <w:tc>
          <w:tcPr>
            <w:tcW w:w="1188"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p>
        </w:tc>
      </w:tr>
      <w:tr w:rsidR="00376C97" w:rsidRPr="00035E7C" w:rsidTr="00A200D5">
        <w:trPr>
          <w:trHeight w:val="159"/>
          <w:jc w:val="center"/>
        </w:trPr>
        <w:tc>
          <w:tcPr>
            <w:tcW w:w="3396"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Reversal of entries included in the Surplus or Deficit on the Provision of Services in relation to capital expenditure (these items are charged to the Capital Adjustment Account)</w:t>
            </w:r>
          </w:p>
        </w:tc>
        <w:tc>
          <w:tcPr>
            <w:tcW w:w="1184"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(11,</w:t>
            </w:r>
            <w:r>
              <w:rPr>
                <w:rFonts w:ascii="Verdana" w:eastAsia="Verdana" w:hAnsi="Verdana" w:cs="Verdana"/>
                <w:color w:val="000000"/>
                <w:sz w:val="16"/>
                <w:lang w:val="en-GB"/>
              </w:rPr>
              <w:t>360</w:t>
            </w:r>
            <w:r w:rsidRPr="00417212">
              <w:rPr>
                <w:rFonts w:ascii="Verdana" w:eastAsia="Verdana" w:hAnsi="Verdana" w:cs="Verdana"/>
                <w:color w:val="000000"/>
                <w:sz w:val="16"/>
                <w:lang w:val="en-GB"/>
              </w:rPr>
              <w:t>)</w:t>
            </w:r>
          </w:p>
        </w:tc>
        <w:tc>
          <w:tcPr>
            <w:tcW w:w="1184"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Pr>
                <w:rFonts w:ascii="Verdana" w:eastAsia="Verdana" w:hAnsi="Verdana" w:cs="Verdana"/>
                <w:color w:val="000000"/>
                <w:sz w:val="16"/>
                <w:lang w:val="en-GB"/>
              </w:rPr>
              <w:t>6</w:t>
            </w:r>
            <w:r w:rsidRPr="00417212">
              <w:rPr>
                <w:rFonts w:ascii="Verdana" w:eastAsia="Verdana" w:hAnsi="Verdana" w:cs="Verdana"/>
                <w:color w:val="000000"/>
                <w:sz w:val="16"/>
                <w:lang w:val="en-GB"/>
              </w:rPr>
              <w:t>45)</w:t>
            </w:r>
          </w:p>
        </w:tc>
        <w:tc>
          <w:tcPr>
            <w:tcW w:w="1188"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12,</w:t>
            </w:r>
            <w:r>
              <w:rPr>
                <w:rFonts w:ascii="Verdana" w:eastAsia="Verdana" w:hAnsi="Verdana" w:cs="Verdana"/>
                <w:color w:val="000000"/>
                <w:sz w:val="16"/>
                <w:lang w:val="en-GB"/>
              </w:rPr>
              <w:t>005</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Total Adjustments to Revenue Resources</w:t>
            </w:r>
          </w:p>
        </w:tc>
        <w:tc>
          <w:tcPr>
            <w:tcW w:w="1184" w:type="dxa"/>
            <w:shd w:val="clear" w:color="auto" w:fill="auto"/>
            <w:tcMar>
              <w:top w:w="20" w:type="dxa"/>
              <w:left w:w="20" w:type="dxa"/>
              <w:bottom w:w="20" w:type="dxa"/>
              <w:right w:w="20" w:type="dxa"/>
            </w:tcMar>
          </w:tcPr>
          <w:p w:rsidR="00376C97" w:rsidRPr="00417212" w:rsidRDefault="00376C97">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sidR="003B61E9">
              <w:rPr>
                <w:rFonts w:ascii="Verdana" w:eastAsia="Verdana" w:hAnsi="Verdana" w:cs="Verdana"/>
                <w:color w:val="000000"/>
                <w:sz w:val="16"/>
                <w:lang w:val="en-GB"/>
              </w:rPr>
              <w:t>11</w:t>
            </w:r>
            <w:r w:rsidRPr="00417212">
              <w:rPr>
                <w:rFonts w:ascii="Verdana" w:eastAsia="Verdana" w:hAnsi="Verdana" w:cs="Verdana"/>
                <w:color w:val="000000"/>
                <w:sz w:val="16"/>
                <w:lang w:val="en-GB"/>
              </w:rPr>
              <w:t>,</w:t>
            </w:r>
            <w:r w:rsidR="003B61E9">
              <w:rPr>
                <w:rFonts w:ascii="Verdana" w:eastAsia="Verdana" w:hAnsi="Verdana" w:cs="Verdana"/>
                <w:color w:val="000000"/>
                <w:sz w:val="16"/>
                <w:lang w:val="en-GB"/>
              </w:rPr>
              <w:t>4</w:t>
            </w:r>
            <w:r w:rsidR="00017322">
              <w:rPr>
                <w:rFonts w:ascii="Verdana" w:eastAsia="Verdana" w:hAnsi="Verdana" w:cs="Verdana"/>
                <w:color w:val="000000"/>
                <w:sz w:val="16"/>
                <w:lang w:val="en-GB"/>
              </w:rPr>
              <w:t>12</w:t>
            </w:r>
            <w:r w:rsidRPr="00417212">
              <w:rPr>
                <w:rFonts w:ascii="Verdana" w:eastAsia="Verdana" w:hAnsi="Verdana" w:cs="Verdana"/>
                <w:color w:val="000000"/>
                <w:sz w:val="16"/>
                <w:lang w:val="en-GB"/>
              </w:rPr>
              <w:t>)</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0</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Pr>
                <w:rFonts w:ascii="Verdana" w:eastAsia="Verdana" w:hAnsi="Verdana" w:cs="Verdana"/>
                <w:color w:val="000000"/>
                <w:sz w:val="16"/>
                <w:lang w:val="en-GB"/>
              </w:rPr>
              <w:t>6</w:t>
            </w:r>
            <w:r w:rsidRPr="00417212">
              <w:rPr>
                <w:rFonts w:ascii="Verdana" w:eastAsia="Verdana" w:hAnsi="Verdana" w:cs="Verdana"/>
                <w:color w:val="000000"/>
                <w:sz w:val="16"/>
                <w:lang w:val="en-GB"/>
              </w:rPr>
              <w:t>45)</w:t>
            </w:r>
          </w:p>
        </w:tc>
        <w:tc>
          <w:tcPr>
            <w:tcW w:w="1188" w:type="dxa"/>
            <w:shd w:val="clear" w:color="auto" w:fill="auto"/>
            <w:tcMar>
              <w:top w:w="20" w:type="dxa"/>
              <w:left w:w="20" w:type="dxa"/>
              <w:bottom w:w="20" w:type="dxa"/>
              <w:right w:w="20" w:type="dxa"/>
            </w:tcMar>
          </w:tcPr>
          <w:p w:rsidR="00376C97" w:rsidRPr="00417212" w:rsidRDefault="00376C97">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1</w:t>
            </w:r>
            <w:r w:rsidR="00017322">
              <w:rPr>
                <w:rFonts w:ascii="Verdana" w:eastAsia="Verdana" w:hAnsi="Verdana" w:cs="Verdana"/>
                <w:color w:val="000000"/>
                <w:sz w:val="16"/>
                <w:lang w:val="en-GB"/>
              </w:rPr>
              <w:t>2</w:t>
            </w:r>
            <w:r w:rsidR="00F10514">
              <w:rPr>
                <w:rFonts w:ascii="Verdana" w:eastAsia="Verdana" w:hAnsi="Verdana" w:cs="Verdana"/>
                <w:color w:val="000000"/>
                <w:sz w:val="16"/>
                <w:lang w:val="en-GB"/>
              </w:rPr>
              <w:t>,</w:t>
            </w:r>
            <w:r w:rsidR="00017322">
              <w:rPr>
                <w:rFonts w:ascii="Verdana" w:eastAsia="Verdana" w:hAnsi="Verdana" w:cs="Verdana"/>
                <w:color w:val="000000"/>
                <w:sz w:val="16"/>
                <w:lang w:val="en-GB"/>
              </w:rPr>
              <w:t>057</w:t>
            </w:r>
          </w:p>
        </w:tc>
      </w:tr>
      <w:tr w:rsidR="00376C97" w:rsidRPr="00035E7C" w:rsidTr="00A200D5">
        <w:trPr>
          <w:trHeight w:hRule="exact" w:val="93"/>
          <w:jc w:val="center"/>
        </w:trPr>
        <w:tc>
          <w:tcPr>
            <w:tcW w:w="3396"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Adjustments between Revenue and Capital Resources</w:t>
            </w:r>
            <w:r>
              <w:rPr>
                <w:rFonts w:ascii="Verdana" w:eastAsia="Verdana" w:hAnsi="Verdana" w:cs="Verdana"/>
                <w:color w:val="000000"/>
                <w:sz w:val="16"/>
                <w:lang w:val="en-GB"/>
              </w:rPr>
              <w:t xml:space="preserve"> </w:t>
            </w:r>
          </w:p>
          <w:p w:rsidR="00376C97" w:rsidRPr="00417212"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Transfer Capital Receipts to Capital Receipts Reserve                                                                                        </w:t>
            </w:r>
          </w:p>
        </w:tc>
        <w:tc>
          <w:tcPr>
            <w:tcW w:w="1184" w:type="dxa"/>
            <w:shd w:val="clear" w:color="auto" w:fill="auto"/>
            <w:tcMar>
              <w:top w:w="20" w:type="dxa"/>
              <w:left w:w="20" w:type="dxa"/>
              <w:bottom w:w="20" w:type="dxa"/>
              <w:right w:w="20" w:type="dxa"/>
            </w:tcMar>
          </w:tcPr>
          <w:p w:rsidR="00376C97" w:rsidRDefault="00376C97" w:rsidP="00A200D5">
            <w:pPr>
              <w:pStyle w:val="T1TableStyle"/>
              <w:rPr>
                <w:rFonts w:ascii="Verdana" w:eastAsia="Verdana" w:hAnsi="Verdana" w:cs="Verdana"/>
                <w:color w:val="000000"/>
                <w:sz w:val="2"/>
                <w:lang w:val="en-GB"/>
              </w:rPr>
            </w:pPr>
          </w:p>
          <w:p w:rsidR="00376C97" w:rsidRDefault="00376C97" w:rsidP="00CC5F3E">
            <w:pPr>
              <w:rPr>
                <w:sz w:val="16"/>
                <w:szCs w:val="16"/>
                <w:lang w:val="en-GB"/>
              </w:rPr>
            </w:pPr>
            <w:r>
              <w:rPr>
                <w:lang w:val="en-GB"/>
              </w:rPr>
              <w:t xml:space="preserve">          </w:t>
            </w:r>
            <w:r w:rsidRPr="00421A2A">
              <w:rPr>
                <w:sz w:val="16"/>
                <w:szCs w:val="16"/>
                <w:lang w:val="en-GB"/>
              </w:rPr>
              <w:t xml:space="preserve">930  </w:t>
            </w:r>
          </w:p>
          <w:p w:rsidR="00376C97" w:rsidRDefault="00376C97" w:rsidP="00CC5F3E">
            <w:pPr>
              <w:rPr>
                <w:sz w:val="16"/>
                <w:szCs w:val="16"/>
                <w:lang w:val="en-GB"/>
              </w:rPr>
            </w:pPr>
          </w:p>
          <w:p w:rsidR="00376C97" w:rsidRPr="00421A2A" w:rsidRDefault="00376C97" w:rsidP="00CC5F3E">
            <w:pPr>
              <w:tabs>
                <w:tab w:val="left" w:pos="332"/>
                <w:tab w:val="center" w:pos="572"/>
              </w:tabs>
              <w:rPr>
                <w:sz w:val="16"/>
                <w:szCs w:val="16"/>
                <w:lang w:val="en-GB"/>
              </w:rPr>
            </w:pPr>
            <w:r>
              <w:rPr>
                <w:sz w:val="16"/>
                <w:szCs w:val="16"/>
                <w:lang w:val="en-GB"/>
              </w:rPr>
              <w:tab/>
              <w:t xml:space="preserve">        467                       </w:t>
            </w:r>
          </w:p>
        </w:tc>
        <w:tc>
          <w:tcPr>
            <w:tcW w:w="118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r>
              <w:rPr>
                <w:rFonts w:ascii="Verdana" w:eastAsia="Verdana" w:hAnsi="Verdana" w:cs="Verdana"/>
                <w:color w:val="000000"/>
                <w:sz w:val="2"/>
                <w:lang w:val="en-GB"/>
              </w:rPr>
              <w:t xml:space="preserve">  </w:t>
            </w:r>
          </w:p>
          <w:p w:rsidR="00376C97" w:rsidRDefault="00376C97" w:rsidP="00CC5F3E">
            <w:pPr>
              <w:rPr>
                <w:lang w:val="en-GB"/>
              </w:rPr>
            </w:pPr>
          </w:p>
          <w:p w:rsidR="00376C97" w:rsidRDefault="00376C97" w:rsidP="00CC5F3E">
            <w:pPr>
              <w:tabs>
                <w:tab w:val="left" w:pos="881"/>
              </w:tabs>
              <w:rPr>
                <w:sz w:val="16"/>
                <w:szCs w:val="16"/>
                <w:lang w:val="en-GB"/>
              </w:rPr>
            </w:pPr>
            <w:r w:rsidRPr="00421A2A">
              <w:rPr>
                <w:sz w:val="16"/>
                <w:szCs w:val="16"/>
                <w:lang w:val="en-GB"/>
              </w:rPr>
              <w:t xml:space="preserve">    </w:t>
            </w:r>
            <w:r>
              <w:rPr>
                <w:sz w:val="16"/>
                <w:szCs w:val="16"/>
                <w:lang w:val="en-GB"/>
              </w:rPr>
              <w:t xml:space="preserve">        (467)</w:t>
            </w:r>
          </w:p>
          <w:p w:rsidR="00376C97" w:rsidRPr="00421A2A" w:rsidRDefault="00376C97" w:rsidP="00CC5F3E">
            <w:pPr>
              <w:tabs>
                <w:tab w:val="left" w:pos="881"/>
              </w:tabs>
              <w:rPr>
                <w:sz w:val="16"/>
                <w:szCs w:val="16"/>
                <w:lang w:val="en-GB"/>
              </w:rPr>
            </w:pPr>
            <w:r>
              <w:rPr>
                <w:sz w:val="16"/>
                <w:szCs w:val="16"/>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Default="00376C97" w:rsidP="00A200D5">
            <w:pPr>
              <w:pStyle w:val="T1TableStyle"/>
              <w:rPr>
                <w:rFonts w:ascii="Verdana" w:eastAsia="Verdana" w:hAnsi="Verdana" w:cs="Verdana"/>
                <w:color w:val="000000"/>
                <w:sz w:val="2"/>
                <w:lang w:val="en-GB"/>
              </w:rPr>
            </w:pPr>
          </w:p>
          <w:p w:rsidR="00376C97" w:rsidRPr="00421A2A" w:rsidRDefault="00376C97" w:rsidP="00CC5F3E">
            <w:pPr>
              <w:tabs>
                <w:tab w:val="left" w:pos="559"/>
              </w:tabs>
              <w:rPr>
                <w:sz w:val="16"/>
                <w:szCs w:val="16"/>
                <w:lang w:val="en-GB"/>
              </w:rPr>
            </w:pPr>
            <w:r>
              <w:rPr>
                <w:lang w:val="en-GB"/>
              </w:rPr>
              <w:t xml:space="preserve">         </w:t>
            </w:r>
            <w:r w:rsidRPr="00421A2A">
              <w:rPr>
                <w:sz w:val="16"/>
                <w:szCs w:val="16"/>
                <w:lang w:val="en-GB"/>
              </w:rPr>
              <w:t>(930)</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Statutory Provision for the repayment of debt (transfer to the Capital Adjustment Account)</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1,3</w:t>
            </w:r>
            <w:r>
              <w:rPr>
                <w:rFonts w:ascii="Verdana" w:eastAsia="Verdana" w:hAnsi="Verdana" w:cs="Verdana"/>
                <w:color w:val="000000"/>
                <w:sz w:val="16"/>
                <w:lang w:val="en-GB"/>
              </w:rPr>
              <w:t>6</w:t>
            </w:r>
            <w:r w:rsidRPr="00417212">
              <w:rPr>
                <w:rFonts w:ascii="Verdana" w:eastAsia="Verdana" w:hAnsi="Verdana" w:cs="Verdana"/>
                <w:color w:val="000000"/>
                <w:sz w:val="16"/>
                <w:lang w:val="en-GB"/>
              </w:rPr>
              <w:t>7</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r>
              <w:rPr>
                <w:rFonts w:ascii="Verdana" w:eastAsia="Verdana" w:hAnsi="Verdana" w:cs="Verdana"/>
                <w:color w:val="000000"/>
                <w:sz w:val="2"/>
                <w:lang w:val="en-GB"/>
              </w:rPr>
              <w:t>(</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(1,3</w:t>
            </w:r>
            <w:r>
              <w:rPr>
                <w:rFonts w:ascii="Verdana" w:eastAsia="Verdana" w:hAnsi="Verdana" w:cs="Verdana"/>
                <w:color w:val="000000"/>
                <w:sz w:val="16"/>
                <w:lang w:val="en-GB"/>
              </w:rPr>
              <w:t>6</w:t>
            </w:r>
            <w:r w:rsidRPr="00417212">
              <w:rPr>
                <w:rFonts w:ascii="Verdana" w:eastAsia="Verdana" w:hAnsi="Verdana" w:cs="Verdana"/>
                <w:color w:val="000000"/>
                <w:sz w:val="16"/>
                <w:lang w:val="en-GB"/>
              </w:rPr>
              <w:t>7)</w:t>
            </w:r>
          </w:p>
        </w:tc>
      </w:tr>
      <w:tr w:rsidR="00376C97" w:rsidRPr="00035E7C" w:rsidTr="00A200D5">
        <w:trPr>
          <w:trHeight w:val="159"/>
          <w:jc w:val="center"/>
        </w:trPr>
        <w:tc>
          <w:tcPr>
            <w:tcW w:w="3396"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Capital expenditure financed from revenue balances (transfer to the Capital Adjustment Account)</w:t>
            </w:r>
          </w:p>
        </w:tc>
        <w:tc>
          <w:tcPr>
            <w:tcW w:w="1184"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w:t>
            </w:r>
            <w:r w:rsidRPr="00417212">
              <w:rPr>
                <w:rFonts w:ascii="Verdana" w:eastAsia="Verdana" w:hAnsi="Verdana" w:cs="Verdana"/>
                <w:color w:val="000000"/>
                <w:sz w:val="16"/>
                <w:lang w:val="en-GB"/>
              </w:rPr>
              <w:t>,4</w:t>
            </w:r>
            <w:r>
              <w:rPr>
                <w:rFonts w:ascii="Verdana" w:eastAsia="Verdana" w:hAnsi="Verdana" w:cs="Verdana"/>
                <w:color w:val="000000"/>
                <w:sz w:val="16"/>
                <w:lang w:val="en-GB"/>
              </w:rPr>
              <w:t>96</w:t>
            </w:r>
          </w:p>
        </w:tc>
        <w:tc>
          <w:tcPr>
            <w:tcW w:w="1184"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8" w:type="dxa"/>
            <w:tcBorders>
              <w:bottom w:val="single" w:sz="2" w:space="0" w:color="000000"/>
            </w:tcBorders>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w:t>
            </w:r>
            <w:r>
              <w:rPr>
                <w:rFonts w:ascii="Verdana" w:eastAsia="Verdana" w:hAnsi="Verdana" w:cs="Verdana"/>
                <w:color w:val="000000"/>
                <w:sz w:val="16"/>
                <w:lang w:val="en-GB"/>
              </w:rPr>
              <w:t>4</w:t>
            </w:r>
            <w:r w:rsidRPr="00417212">
              <w:rPr>
                <w:rFonts w:ascii="Verdana" w:eastAsia="Verdana" w:hAnsi="Verdana" w:cs="Verdana"/>
                <w:color w:val="000000"/>
                <w:sz w:val="16"/>
                <w:lang w:val="en-GB"/>
              </w:rPr>
              <w:t>,4</w:t>
            </w:r>
            <w:r>
              <w:rPr>
                <w:rFonts w:ascii="Verdana" w:eastAsia="Verdana" w:hAnsi="Verdana" w:cs="Verdana"/>
                <w:color w:val="000000"/>
                <w:sz w:val="16"/>
                <w:lang w:val="en-GB"/>
              </w:rPr>
              <w:t>96</w:t>
            </w:r>
            <w:r w:rsidRPr="00417212">
              <w:rPr>
                <w:rFonts w:ascii="Verdana" w:eastAsia="Verdana" w:hAnsi="Verdana" w:cs="Verdana"/>
                <w:color w:val="000000"/>
                <w:sz w:val="16"/>
                <w:lang w:val="en-GB"/>
              </w:rPr>
              <w:t>)</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Total Adjustments between Revenue and Capital Resources</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w:t>
            </w:r>
            <w:r w:rsidRPr="00417212">
              <w:rPr>
                <w:rFonts w:ascii="Verdana" w:eastAsia="Verdana" w:hAnsi="Verdana" w:cs="Verdana"/>
                <w:color w:val="000000"/>
                <w:sz w:val="16"/>
                <w:lang w:val="en-GB"/>
              </w:rPr>
              <w:t>,2</w:t>
            </w:r>
            <w:r>
              <w:rPr>
                <w:rFonts w:ascii="Verdana" w:eastAsia="Verdana" w:hAnsi="Verdana" w:cs="Verdana"/>
                <w:color w:val="000000"/>
                <w:sz w:val="16"/>
                <w:lang w:val="en-GB"/>
              </w:rPr>
              <w:t>60</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 xml:space="preserve">   (467)</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0</w:t>
            </w:r>
          </w:p>
        </w:tc>
        <w:tc>
          <w:tcPr>
            <w:tcW w:w="1188" w:type="dxa"/>
            <w:shd w:val="clear" w:color="auto" w:fill="auto"/>
            <w:tcMar>
              <w:top w:w="20" w:type="dxa"/>
              <w:left w:w="20" w:type="dxa"/>
              <w:bottom w:w="20" w:type="dxa"/>
              <w:right w:w="20" w:type="dxa"/>
            </w:tcMar>
          </w:tcPr>
          <w:p w:rsidR="00376C97" w:rsidRPr="00417212" w:rsidRDefault="00376C97" w:rsidP="00CC5F3E">
            <w:pPr>
              <w:pStyle w:val="T1TableStyle"/>
              <w:jc w:val="right"/>
              <w:rPr>
                <w:rFonts w:ascii="Verdana" w:eastAsia="Verdana" w:hAnsi="Verdana" w:cs="Verdana"/>
                <w:color w:val="000000"/>
                <w:sz w:val="16"/>
                <w:lang w:val="en-GB"/>
              </w:rPr>
            </w:pPr>
            <w:r w:rsidRPr="00417212">
              <w:rPr>
                <w:rFonts w:ascii="Verdana" w:eastAsia="Verdana" w:hAnsi="Verdana" w:cs="Verdana"/>
                <w:color w:val="000000"/>
                <w:sz w:val="16"/>
                <w:lang w:val="en-GB"/>
              </w:rPr>
              <w:t>(6,7</w:t>
            </w:r>
            <w:r>
              <w:rPr>
                <w:rFonts w:ascii="Verdana" w:eastAsia="Verdana" w:hAnsi="Verdana" w:cs="Verdana"/>
                <w:color w:val="000000"/>
                <w:sz w:val="16"/>
                <w:lang w:val="en-GB"/>
              </w:rPr>
              <w:t>93</w:t>
            </w:r>
            <w:r w:rsidRPr="00417212">
              <w:rPr>
                <w:rFonts w:ascii="Verdana" w:eastAsia="Verdana" w:hAnsi="Verdana" w:cs="Verdana"/>
                <w:color w:val="000000"/>
                <w:sz w:val="16"/>
                <w:lang w:val="en-GB"/>
              </w:rPr>
              <w:t>)</w:t>
            </w:r>
          </w:p>
        </w:tc>
      </w:tr>
      <w:tr w:rsidR="00376C97" w:rsidRPr="00035E7C" w:rsidTr="00A200D5">
        <w:trPr>
          <w:trHeight w:hRule="exact" w:val="93"/>
          <w:jc w:val="center"/>
        </w:trPr>
        <w:tc>
          <w:tcPr>
            <w:tcW w:w="3396"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Pr="00417212" w:rsidRDefault="00376C97" w:rsidP="00CC5F3E">
            <w:pPr>
              <w:pStyle w:val="T1TableStyle"/>
              <w:jc w:val="center"/>
              <w:rPr>
                <w:rFonts w:ascii="Verdana" w:eastAsia="Verdana" w:hAnsi="Verdana" w:cs="Verdana"/>
                <w:color w:val="000000"/>
                <w:sz w:val="2"/>
                <w:lang w:val="en-GB"/>
              </w:rPr>
            </w:pPr>
            <w:r w:rsidRPr="00417212">
              <w:rPr>
                <w:rFonts w:ascii="Verdana" w:eastAsia="Verdana" w:hAnsi="Verdana" w:cs="Verdana"/>
                <w:color w:val="000000"/>
                <w:sz w:val="2"/>
                <w:lang w:val="en-GB"/>
              </w:rPr>
              <w:t xml:space="preserve"> </w:t>
            </w:r>
          </w:p>
        </w:tc>
      </w:tr>
      <w:tr w:rsidR="00376C97" w:rsidRPr="00035E7C" w:rsidTr="00CC5F3E">
        <w:trPr>
          <w:trHeight w:val="159"/>
          <w:jc w:val="center"/>
        </w:trPr>
        <w:tc>
          <w:tcPr>
            <w:tcW w:w="8136" w:type="dxa"/>
            <w:gridSpan w:val="5"/>
            <w:shd w:val="clear" w:color="auto" w:fill="auto"/>
            <w:tcMar>
              <w:top w:w="20" w:type="dxa"/>
              <w:left w:w="20" w:type="dxa"/>
              <w:bottom w:w="20" w:type="dxa"/>
              <w:right w:w="20" w:type="dxa"/>
            </w:tcMar>
          </w:tcPr>
          <w:p w:rsidR="00376C97" w:rsidRPr="00417212" w:rsidRDefault="00376C97" w:rsidP="00CC5F3E">
            <w:pPr>
              <w:pStyle w:val="T1TableStyle"/>
              <w:rPr>
                <w:rFonts w:ascii="Verdana" w:eastAsia="Verdana" w:hAnsi="Verdana" w:cs="Verdana"/>
                <w:color w:val="000000"/>
                <w:sz w:val="16"/>
                <w:lang w:val="en-GB"/>
              </w:rPr>
            </w:pPr>
            <w:r w:rsidRPr="00417212">
              <w:rPr>
                <w:rFonts w:ascii="Verdana" w:eastAsia="Verdana" w:hAnsi="Verdana" w:cs="Verdana"/>
                <w:color w:val="000000"/>
                <w:sz w:val="16"/>
                <w:lang w:val="en-GB"/>
              </w:rPr>
              <w:t>Adjustments to Capital Resources</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035E7C" w:rsidRDefault="00376C97" w:rsidP="00CC5F3E">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Use of the Capital Receipts Reserve to finance capital expenditure</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4,266</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Pr>
                <w:rFonts w:ascii="Verdana" w:eastAsia="Verdana" w:hAnsi="Verdana" w:cs="Verdana"/>
                <w:color w:val="000000"/>
                <w:sz w:val="16"/>
                <w:lang w:val="en-GB"/>
              </w:rPr>
              <w:t>4,266</w:t>
            </w:r>
            <w:r w:rsidRPr="00035E7C">
              <w:rPr>
                <w:rFonts w:ascii="Verdana" w:eastAsia="Verdana" w:hAnsi="Verdana" w:cs="Verdana"/>
                <w:color w:val="000000"/>
                <w:sz w:val="16"/>
                <w:lang w:val="en-GB"/>
              </w:rPr>
              <w:t>)</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035E7C" w:rsidRDefault="00376C97" w:rsidP="00CC5F3E">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Application of capital grants to finance capital expenditure</w:t>
            </w:r>
          </w:p>
        </w:tc>
        <w:tc>
          <w:tcPr>
            <w:tcW w:w="1184" w:type="dxa"/>
            <w:shd w:val="clear" w:color="auto" w:fill="auto"/>
            <w:tcMar>
              <w:top w:w="20" w:type="dxa"/>
              <w:left w:w="20" w:type="dxa"/>
              <w:bottom w:w="20" w:type="dxa"/>
              <w:right w:w="20" w:type="dxa"/>
            </w:tcMar>
          </w:tcPr>
          <w:p w:rsidR="00376C97" w:rsidRPr="00035E7C" w:rsidRDefault="00376C97" w:rsidP="00A200D5">
            <w:pPr>
              <w:pStyle w:val="T1TableStyle"/>
              <w:rPr>
                <w:rFonts w:ascii="Verdana" w:eastAsia="Verdana" w:hAnsi="Verdana" w:cs="Verdana"/>
                <w:color w:val="000000"/>
                <w:sz w:val="2"/>
                <w:lang w:val="en-GB"/>
              </w:rPr>
            </w:pP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w:t>
            </w:r>
            <w:r w:rsidRPr="00035E7C">
              <w:rPr>
                <w:rFonts w:ascii="Verdana" w:eastAsia="Verdana" w:hAnsi="Verdana" w:cs="Verdana"/>
                <w:color w:val="000000"/>
                <w:sz w:val="16"/>
                <w:lang w:val="en-GB"/>
              </w:rPr>
              <w:t>45</w:t>
            </w:r>
          </w:p>
        </w:tc>
        <w:tc>
          <w:tcPr>
            <w:tcW w:w="1188" w:type="dxa"/>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Pr>
                <w:rFonts w:ascii="Verdana" w:eastAsia="Verdana" w:hAnsi="Verdana" w:cs="Verdana"/>
                <w:color w:val="000000"/>
                <w:sz w:val="16"/>
                <w:lang w:val="en-GB"/>
              </w:rPr>
              <w:t>6</w:t>
            </w:r>
            <w:r w:rsidRPr="00035E7C">
              <w:rPr>
                <w:rFonts w:ascii="Verdana" w:eastAsia="Verdana" w:hAnsi="Verdana" w:cs="Verdana"/>
                <w:color w:val="000000"/>
                <w:sz w:val="16"/>
                <w:lang w:val="en-GB"/>
              </w:rPr>
              <w:t>45)</w:t>
            </w:r>
          </w:p>
        </w:tc>
      </w:tr>
      <w:tr w:rsidR="00376C97" w:rsidRPr="00035E7C" w:rsidTr="00A200D5">
        <w:trPr>
          <w:trHeight w:val="159"/>
          <w:jc w:val="center"/>
        </w:trPr>
        <w:tc>
          <w:tcPr>
            <w:tcW w:w="3396" w:type="dxa"/>
            <w:tcBorders>
              <w:top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Total Adjustments to Capital Resources</w:t>
            </w:r>
          </w:p>
        </w:tc>
        <w:tc>
          <w:tcPr>
            <w:tcW w:w="1184" w:type="dxa"/>
            <w:tcBorders>
              <w:top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184" w:type="dxa"/>
            <w:tcBorders>
              <w:top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4,266</w:t>
            </w:r>
          </w:p>
        </w:tc>
        <w:tc>
          <w:tcPr>
            <w:tcW w:w="1184" w:type="dxa"/>
            <w:tcBorders>
              <w:top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w:t>
            </w:r>
            <w:r w:rsidRPr="00035E7C">
              <w:rPr>
                <w:rFonts w:ascii="Verdana" w:eastAsia="Verdana" w:hAnsi="Verdana" w:cs="Verdana"/>
                <w:color w:val="000000"/>
                <w:sz w:val="16"/>
                <w:lang w:val="en-GB"/>
              </w:rPr>
              <w:t>45</w:t>
            </w:r>
          </w:p>
        </w:tc>
        <w:tc>
          <w:tcPr>
            <w:tcW w:w="1188" w:type="dxa"/>
            <w:tcBorders>
              <w:top w:val="single" w:sz="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w:t>
            </w:r>
            <w:r>
              <w:rPr>
                <w:rFonts w:ascii="Verdana" w:eastAsia="Verdana" w:hAnsi="Verdana" w:cs="Verdana"/>
                <w:color w:val="000000"/>
                <w:sz w:val="16"/>
                <w:lang w:val="en-GB"/>
              </w:rPr>
              <w:t>4,911</w:t>
            </w:r>
            <w:r w:rsidRPr="00035E7C">
              <w:rPr>
                <w:rFonts w:ascii="Verdana" w:eastAsia="Verdana" w:hAnsi="Verdana" w:cs="Verdana"/>
                <w:color w:val="000000"/>
                <w:sz w:val="16"/>
                <w:lang w:val="en-GB"/>
              </w:rPr>
              <w:t>)</w:t>
            </w:r>
          </w:p>
        </w:tc>
      </w:tr>
      <w:tr w:rsidR="00376C97" w:rsidRPr="00035E7C" w:rsidTr="00A200D5">
        <w:trPr>
          <w:trHeight w:hRule="exact" w:val="93"/>
          <w:jc w:val="center"/>
        </w:trPr>
        <w:tc>
          <w:tcPr>
            <w:tcW w:w="3396"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r>
      <w:tr w:rsidR="00376C97" w:rsidRPr="00035E7C" w:rsidTr="00A200D5">
        <w:trPr>
          <w:trHeight w:val="159"/>
          <w:jc w:val="center"/>
        </w:trPr>
        <w:tc>
          <w:tcPr>
            <w:tcW w:w="3396" w:type="dxa"/>
            <w:shd w:val="clear" w:color="auto" w:fill="auto"/>
            <w:tcMar>
              <w:top w:w="20" w:type="dxa"/>
              <w:left w:w="20" w:type="dxa"/>
              <w:bottom w:w="20" w:type="dxa"/>
              <w:right w:w="20" w:type="dxa"/>
            </w:tcMar>
          </w:tcPr>
          <w:p w:rsidR="00376C97" w:rsidRPr="00035E7C" w:rsidRDefault="00376C97" w:rsidP="00CC5F3E">
            <w:pPr>
              <w:pStyle w:val="T1TableStyle"/>
              <w:rPr>
                <w:rFonts w:ascii="Verdana" w:eastAsia="Verdana" w:hAnsi="Verdana" w:cs="Verdana"/>
                <w:color w:val="000000"/>
                <w:sz w:val="16"/>
                <w:lang w:val="en-GB"/>
              </w:rPr>
            </w:pPr>
            <w:r w:rsidRPr="00035E7C">
              <w:rPr>
                <w:rFonts w:ascii="Verdana" w:eastAsia="Verdana" w:hAnsi="Verdana" w:cs="Verdana"/>
                <w:color w:val="000000"/>
                <w:sz w:val="16"/>
                <w:lang w:val="en-GB"/>
              </w:rPr>
              <w:t>Other adjustments</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w:t>
            </w:r>
            <w:r>
              <w:rPr>
                <w:rFonts w:ascii="Verdana" w:eastAsia="Verdana" w:hAnsi="Verdana" w:cs="Verdana"/>
                <w:color w:val="000000"/>
                <w:sz w:val="16"/>
                <w:lang w:val="en-GB"/>
              </w:rPr>
              <w:t>,060</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0</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sidRPr="00035E7C">
              <w:rPr>
                <w:rFonts w:ascii="Verdana" w:eastAsia="Verdana" w:hAnsi="Verdana" w:cs="Verdana"/>
                <w:color w:val="000000"/>
                <w:sz w:val="16"/>
                <w:lang w:val="en-GB"/>
              </w:rPr>
              <w:t>(1</w:t>
            </w:r>
            <w:r>
              <w:rPr>
                <w:rFonts w:ascii="Verdana" w:eastAsia="Verdana" w:hAnsi="Verdana" w:cs="Verdana"/>
                <w:color w:val="000000"/>
                <w:sz w:val="16"/>
                <w:lang w:val="en-GB"/>
              </w:rPr>
              <w:t>,</w:t>
            </w:r>
            <w:r w:rsidRPr="00035E7C">
              <w:rPr>
                <w:rFonts w:ascii="Verdana" w:eastAsia="Verdana" w:hAnsi="Verdana" w:cs="Verdana"/>
                <w:color w:val="000000"/>
                <w:sz w:val="16"/>
                <w:lang w:val="en-GB"/>
              </w:rPr>
              <w:t>6</w:t>
            </w:r>
            <w:r>
              <w:rPr>
                <w:rFonts w:ascii="Verdana" w:eastAsia="Verdana" w:hAnsi="Verdana" w:cs="Verdana"/>
                <w:color w:val="000000"/>
                <w:sz w:val="16"/>
                <w:lang w:val="en-GB"/>
              </w:rPr>
              <w:t>29</w:t>
            </w:r>
            <w:r w:rsidRPr="00035E7C">
              <w:rPr>
                <w:rFonts w:ascii="Verdana" w:eastAsia="Verdana" w:hAnsi="Verdana" w:cs="Verdana"/>
                <w:color w:val="000000"/>
                <w:sz w:val="16"/>
                <w:lang w:val="en-GB"/>
              </w:rPr>
              <w:t>)</w:t>
            </w:r>
          </w:p>
        </w:tc>
        <w:tc>
          <w:tcPr>
            <w:tcW w:w="1188" w:type="dxa"/>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569</w:t>
            </w:r>
          </w:p>
        </w:tc>
      </w:tr>
      <w:tr w:rsidR="00376C97" w:rsidRPr="00035E7C" w:rsidTr="00A200D5">
        <w:trPr>
          <w:trHeight w:hRule="exact" w:val="93"/>
          <w:jc w:val="center"/>
        </w:trPr>
        <w:tc>
          <w:tcPr>
            <w:tcW w:w="3396"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4"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c>
          <w:tcPr>
            <w:tcW w:w="1188" w:type="dxa"/>
            <w:shd w:val="clear" w:color="auto" w:fill="auto"/>
            <w:tcMar>
              <w:top w:w="20" w:type="dxa"/>
              <w:left w:w="20" w:type="dxa"/>
              <w:bottom w:w="20" w:type="dxa"/>
              <w:right w:w="20" w:type="dxa"/>
            </w:tcMar>
          </w:tcPr>
          <w:p w:rsidR="00376C97" w:rsidRPr="00035E7C" w:rsidRDefault="00376C97" w:rsidP="00CC5F3E">
            <w:pPr>
              <w:pStyle w:val="T1TableStyle"/>
              <w:jc w:val="center"/>
              <w:rPr>
                <w:rFonts w:ascii="Verdana" w:eastAsia="Verdana" w:hAnsi="Verdana" w:cs="Verdana"/>
                <w:color w:val="000000"/>
                <w:sz w:val="2"/>
                <w:lang w:val="en-GB"/>
              </w:rPr>
            </w:pPr>
            <w:r w:rsidRPr="00035E7C">
              <w:rPr>
                <w:rFonts w:ascii="Verdana" w:eastAsia="Verdana" w:hAnsi="Verdana" w:cs="Verdana"/>
                <w:color w:val="000000"/>
                <w:sz w:val="2"/>
                <w:lang w:val="en-GB"/>
              </w:rPr>
              <w:t xml:space="preserve"> </w:t>
            </w:r>
          </w:p>
        </w:tc>
      </w:tr>
      <w:tr w:rsidR="00376C97" w:rsidTr="00A200D5">
        <w:trPr>
          <w:trHeight w:val="159"/>
          <w:jc w:val="center"/>
        </w:trPr>
        <w:tc>
          <w:tcPr>
            <w:tcW w:w="3396"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Pr="00035E7C" w:rsidRDefault="00376C97" w:rsidP="00CC5F3E">
            <w:pPr>
              <w:pStyle w:val="T1TableStyle"/>
              <w:rPr>
                <w:rFonts w:ascii="Verdana" w:eastAsia="Verdana" w:hAnsi="Verdana" w:cs="Verdana"/>
                <w:b/>
                <w:color w:val="000000"/>
                <w:sz w:val="16"/>
                <w:lang w:val="en-GB"/>
              </w:rPr>
            </w:pPr>
            <w:r w:rsidRPr="00035E7C">
              <w:rPr>
                <w:rFonts w:ascii="Verdana" w:eastAsia="Verdana" w:hAnsi="Verdana" w:cs="Verdana"/>
                <w:b/>
                <w:color w:val="000000"/>
                <w:sz w:val="16"/>
                <w:lang w:val="en-GB"/>
              </w:rPr>
              <w:t>Total Adjustments</w:t>
            </w:r>
          </w:p>
        </w:tc>
        <w:tc>
          <w:tcPr>
            <w:tcW w:w="1184"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Pr="00035E7C" w:rsidRDefault="00376C97">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w:t>
            </w:r>
            <w:r w:rsidR="003B61E9">
              <w:rPr>
                <w:rFonts w:ascii="Verdana" w:eastAsia="Verdana" w:hAnsi="Verdana" w:cs="Verdana"/>
                <w:b/>
                <w:color w:val="000000"/>
                <w:sz w:val="16"/>
                <w:lang w:val="en-GB"/>
              </w:rPr>
              <w:t>3</w:t>
            </w:r>
            <w:r w:rsidRPr="00035E7C">
              <w:rPr>
                <w:rFonts w:ascii="Verdana" w:eastAsia="Verdana" w:hAnsi="Verdana" w:cs="Verdana"/>
                <w:b/>
                <w:color w:val="000000"/>
                <w:sz w:val="16"/>
                <w:lang w:val="en-GB"/>
              </w:rPr>
              <w:t>,</w:t>
            </w:r>
            <w:r w:rsidR="003B61E9">
              <w:rPr>
                <w:rFonts w:ascii="Verdana" w:eastAsia="Verdana" w:hAnsi="Verdana" w:cs="Verdana"/>
                <w:b/>
                <w:color w:val="000000"/>
                <w:sz w:val="16"/>
                <w:lang w:val="en-GB"/>
              </w:rPr>
              <w:t>0</w:t>
            </w:r>
            <w:r w:rsidR="00017322">
              <w:rPr>
                <w:rFonts w:ascii="Verdana" w:eastAsia="Verdana" w:hAnsi="Verdana" w:cs="Verdana"/>
                <w:b/>
                <w:color w:val="000000"/>
                <w:sz w:val="16"/>
                <w:lang w:val="en-GB"/>
              </w:rPr>
              <w:t>92</w:t>
            </w:r>
            <w:r w:rsidRPr="00035E7C">
              <w:rPr>
                <w:rFonts w:ascii="Verdana" w:eastAsia="Verdana" w:hAnsi="Verdana" w:cs="Verdana"/>
                <w:b/>
                <w:color w:val="000000"/>
                <w:sz w:val="16"/>
                <w:lang w:val="en-GB"/>
              </w:rPr>
              <w:t>)</w:t>
            </w:r>
          </w:p>
        </w:tc>
        <w:tc>
          <w:tcPr>
            <w:tcW w:w="1184"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3</w:t>
            </w:r>
            <w:r>
              <w:rPr>
                <w:rFonts w:ascii="Verdana" w:eastAsia="Verdana" w:hAnsi="Verdana" w:cs="Verdana"/>
                <w:b/>
                <w:color w:val="000000"/>
                <w:sz w:val="16"/>
                <w:lang w:val="en-GB"/>
              </w:rPr>
              <w:t>,</w:t>
            </w:r>
            <w:r w:rsidRPr="00035E7C">
              <w:rPr>
                <w:rFonts w:ascii="Verdana" w:eastAsia="Verdana" w:hAnsi="Verdana" w:cs="Verdana"/>
                <w:b/>
                <w:color w:val="000000"/>
                <w:sz w:val="16"/>
                <w:lang w:val="en-GB"/>
              </w:rPr>
              <w:t>799</w:t>
            </w:r>
          </w:p>
        </w:tc>
        <w:tc>
          <w:tcPr>
            <w:tcW w:w="1184"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Pr="00035E7C" w:rsidRDefault="00376C97" w:rsidP="00CC5F3E">
            <w:pPr>
              <w:pStyle w:val="T1TableStyle"/>
              <w:jc w:val="right"/>
              <w:rPr>
                <w:rFonts w:ascii="Verdana" w:eastAsia="Verdana" w:hAnsi="Verdana" w:cs="Verdana"/>
                <w:b/>
                <w:color w:val="000000"/>
                <w:sz w:val="16"/>
                <w:lang w:val="en-GB"/>
              </w:rPr>
            </w:pPr>
            <w:r w:rsidRPr="00035E7C">
              <w:rPr>
                <w:rFonts w:ascii="Verdana" w:eastAsia="Verdana" w:hAnsi="Verdana" w:cs="Verdana"/>
                <w:b/>
                <w:color w:val="000000"/>
                <w:sz w:val="16"/>
                <w:lang w:val="en-GB"/>
              </w:rPr>
              <w:t>(1</w:t>
            </w:r>
            <w:r>
              <w:rPr>
                <w:rFonts w:ascii="Verdana" w:eastAsia="Verdana" w:hAnsi="Verdana" w:cs="Verdana"/>
                <w:b/>
                <w:color w:val="000000"/>
                <w:sz w:val="16"/>
                <w:lang w:val="en-GB"/>
              </w:rPr>
              <w:t>,</w:t>
            </w:r>
            <w:r w:rsidRPr="00035E7C">
              <w:rPr>
                <w:rFonts w:ascii="Verdana" w:eastAsia="Verdana" w:hAnsi="Verdana" w:cs="Verdana"/>
                <w:b/>
                <w:color w:val="000000"/>
                <w:sz w:val="16"/>
                <w:lang w:val="en-GB"/>
              </w:rPr>
              <w:t>6</w:t>
            </w:r>
            <w:r>
              <w:rPr>
                <w:rFonts w:ascii="Verdana" w:eastAsia="Verdana" w:hAnsi="Verdana" w:cs="Verdana"/>
                <w:b/>
                <w:color w:val="000000"/>
                <w:sz w:val="16"/>
                <w:lang w:val="en-GB"/>
              </w:rPr>
              <w:t>29</w:t>
            </w:r>
            <w:r w:rsidRPr="00035E7C">
              <w:rPr>
                <w:rFonts w:ascii="Verdana" w:eastAsia="Verdana" w:hAnsi="Verdana" w:cs="Verdana"/>
                <w:b/>
                <w:color w:val="000000"/>
                <w:sz w:val="16"/>
                <w:lang w:val="en-GB"/>
              </w:rPr>
              <w:t>)</w:t>
            </w:r>
          </w:p>
        </w:tc>
        <w:tc>
          <w:tcPr>
            <w:tcW w:w="1188"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Default="003B61E9">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w:t>
            </w:r>
            <w:r w:rsidR="00017322">
              <w:rPr>
                <w:rFonts w:ascii="Verdana" w:eastAsia="Verdana" w:hAnsi="Verdana" w:cs="Verdana"/>
                <w:b/>
                <w:color w:val="000000"/>
                <w:sz w:val="16"/>
                <w:lang w:val="en-GB"/>
              </w:rPr>
              <w:t>22</w:t>
            </w:r>
          </w:p>
        </w:tc>
      </w:tr>
    </w:tbl>
    <w:p w:rsidR="00CA6653" w:rsidRDefault="00CA6653">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4D0657" w:rsidRDefault="004D065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376C97" w:rsidRDefault="00376C97">
      <w:pPr>
        <w:pStyle w:val="Normal0"/>
        <w:spacing w:after="160" w:line="259" w:lineRule="auto"/>
        <w:rPr>
          <w:rFonts w:ascii="Verdana" w:eastAsia="Verdana" w:hAnsi="Verdana" w:cs="Verdana"/>
          <w:sz w:val="22"/>
          <w:szCs w:val="22"/>
          <w:lang w:val="en-GB"/>
        </w:rPr>
      </w:pPr>
    </w:p>
    <w:p w:rsidR="00CC5F3E" w:rsidRDefault="00CC5F3E">
      <w:pPr>
        <w:pStyle w:val="Normal0"/>
        <w:spacing w:after="160" w:line="259" w:lineRule="auto"/>
        <w:rPr>
          <w:rFonts w:ascii="Verdana" w:eastAsia="Verdana" w:hAnsi="Verdana" w:cs="Verdana"/>
          <w:sz w:val="22"/>
          <w:szCs w:val="22"/>
          <w:lang w:val="en-GB"/>
        </w:rPr>
      </w:pPr>
      <w:r>
        <w:rPr>
          <w:rFonts w:ascii="Verdana" w:eastAsia="Verdana" w:hAnsi="Verdana" w:cs="Verdana"/>
          <w:sz w:val="22"/>
          <w:szCs w:val="22"/>
          <w:lang w:val="en-GB"/>
        </w:rPr>
        <w:tab/>
        <w:t>PCC</w:t>
      </w:r>
    </w:p>
    <w:tbl>
      <w:tblPr>
        <w:tblW w:w="0" w:type="auto"/>
        <w:jc w:val="center"/>
        <w:tblLayout w:type="fixed"/>
        <w:tblLook w:val="04A0" w:firstRow="1" w:lastRow="0" w:firstColumn="1" w:lastColumn="0" w:noHBand="0" w:noVBand="1"/>
      </w:tblPr>
      <w:tblGrid>
        <w:gridCol w:w="3482"/>
        <w:gridCol w:w="1214"/>
        <w:gridCol w:w="1214"/>
        <w:gridCol w:w="1214"/>
        <w:gridCol w:w="1214"/>
      </w:tblGrid>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B47955" w:rsidP="00CC5F3E">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 xml:space="preserve">PCC </w:t>
            </w:r>
            <w:r w:rsidR="00376C97">
              <w:rPr>
                <w:rFonts w:ascii="Verdana" w:eastAsia="Verdana" w:hAnsi="Verdana" w:cs="Verdana"/>
                <w:b/>
                <w:color w:val="000000"/>
                <w:sz w:val="16"/>
                <w:lang w:val="en-GB"/>
              </w:rPr>
              <w:t>2018/2019</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General Fund Balance</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Receipts Reserve</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Capital Grants Unapplied</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Movement in Unusable Reserves</w:t>
            </w:r>
          </w:p>
        </w:tc>
      </w:tr>
      <w:tr w:rsidR="00376C97" w:rsidTr="00CC5F3E">
        <w:trPr>
          <w:trHeight w:val="168"/>
          <w:jc w:val="center"/>
        </w:trPr>
        <w:tc>
          <w:tcPr>
            <w:tcW w:w="3482"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to the Revenue Resources</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Amounts by which income and expenditure included in the Comprehensive Income and Expenditure Statement are different from revenue for the year calculated in accordance with statutory requirements:</w:t>
            </w:r>
          </w:p>
        </w:tc>
        <w:tc>
          <w:tcPr>
            <w:tcW w:w="1214"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Council tax and NDR (transfers to or from the Collection Fund)</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(715)</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715</w:t>
            </w:r>
          </w:p>
        </w:tc>
      </w:tr>
      <w:tr w:rsidR="00376C97" w:rsidTr="00CC5F3E">
        <w:trPr>
          <w:trHeight w:val="168"/>
          <w:jc w:val="center"/>
        </w:trPr>
        <w:tc>
          <w:tcPr>
            <w:tcW w:w="3482"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Reversal of entries included in the Surplus or Deficit on the Provision of Services in relation to capital expenditure (these items are charged to the Capital Adjustment Account)</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(9,343)</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10,144</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Total Adjustments to Revenue Resources</w:t>
            </w:r>
          </w:p>
        </w:tc>
        <w:tc>
          <w:tcPr>
            <w:tcW w:w="1214" w:type="dxa"/>
            <w:shd w:val="clear" w:color="auto" w:fill="auto"/>
            <w:tcMar>
              <w:top w:w="20" w:type="dxa"/>
              <w:left w:w="20" w:type="dxa"/>
              <w:bottom w:w="20" w:type="dxa"/>
              <w:right w:w="20" w:type="dxa"/>
            </w:tcMar>
          </w:tcPr>
          <w:p w:rsidR="00376C97" w:rsidRDefault="00376C97">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CC5F3E">
              <w:rPr>
                <w:rFonts w:ascii="Verdana" w:eastAsia="Verdana" w:hAnsi="Verdana" w:cs="Verdana"/>
                <w:color w:val="000000"/>
                <w:sz w:val="16"/>
                <w:lang w:val="en-GB"/>
              </w:rPr>
              <w:t>10,058</w:t>
            </w:r>
            <w:r>
              <w:rPr>
                <w:rFonts w:ascii="Verdana" w:eastAsia="Verdana" w:hAnsi="Verdana" w:cs="Verdana"/>
                <w:color w:val="000000"/>
                <w:sz w:val="16"/>
                <w:lang w:val="en-GB"/>
              </w:rPr>
              <w:t>)</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214" w:type="dxa"/>
            <w:shd w:val="clear" w:color="auto" w:fill="auto"/>
            <w:tcMar>
              <w:top w:w="20" w:type="dxa"/>
              <w:left w:w="20" w:type="dxa"/>
              <w:bottom w:w="20" w:type="dxa"/>
              <w:right w:w="20" w:type="dxa"/>
            </w:tcMar>
          </w:tcPr>
          <w:p w:rsidR="00376C97" w:rsidRDefault="00CC5F3E"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10,859</w:t>
            </w:r>
          </w:p>
        </w:tc>
      </w:tr>
      <w:tr w:rsidR="00376C97" w:rsidTr="00CC5F3E">
        <w:trPr>
          <w:trHeight w:hRule="exact" w:val="99"/>
          <w:jc w:val="center"/>
        </w:trPr>
        <w:tc>
          <w:tcPr>
            <w:tcW w:w="3482"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between Revenue and Capital Resources</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Transfer of non-current asset sale proceeds from revenue to the Capital Receipts Reserve</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1,022</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(1,022)</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Statutory Provision for the repayment of debt (transfer to the Capital Adjustment Account)</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415</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(415)</w:t>
            </w:r>
          </w:p>
        </w:tc>
      </w:tr>
      <w:tr w:rsidR="00376C97" w:rsidTr="00CC5F3E">
        <w:trPr>
          <w:trHeight w:val="168"/>
          <w:jc w:val="center"/>
        </w:trPr>
        <w:tc>
          <w:tcPr>
            <w:tcW w:w="3482"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Capital expenditure financed from revenue balances (transfer to the Capital Adjustment Account)</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2,487</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tcBorders>
              <w:bottom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(2,487)</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Total Adjustments between Revenue and Capital Resources</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3,924</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(1,022)</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(2,902)</w:t>
            </w:r>
          </w:p>
        </w:tc>
      </w:tr>
      <w:tr w:rsidR="00376C97" w:rsidTr="00CC5F3E">
        <w:trPr>
          <w:trHeight w:hRule="exact" w:val="99"/>
          <w:jc w:val="center"/>
        </w:trPr>
        <w:tc>
          <w:tcPr>
            <w:tcW w:w="3482"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Adjustments to Capital Resources</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Use of the Capital Receipts Reserve to finance capital expenditure</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5,832</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(5,832)</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Application of capital grants to finance capital expenditure</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r>
      <w:tr w:rsidR="00376C97" w:rsidTr="00CC5F3E">
        <w:trPr>
          <w:trHeight w:val="168"/>
          <w:jc w:val="center"/>
        </w:trPr>
        <w:tc>
          <w:tcPr>
            <w:tcW w:w="3482" w:type="dxa"/>
            <w:tcBorders>
              <w:top w:val="single" w:sz="2" w:space="0" w:color="000000"/>
            </w:tcBorders>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Total Adjustments to Capital Resources</w:t>
            </w:r>
          </w:p>
        </w:tc>
        <w:tc>
          <w:tcPr>
            <w:tcW w:w="1214" w:type="dxa"/>
            <w:tcBorders>
              <w:top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14" w:type="dxa"/>
            <w:tcBorders>
              <w:top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5,832</w:t>
            </w:r>
          </w:p>
        </w:tc>
        <w:tc>
          <w:tcPr>
            <w:tcW w:w="1214" w:type="dxa"/>
            <w:tcBorders>
              <w:top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214" w:type="dxa"/>
            <w:tcBorders>
              <w:top w:val="single" w:sz="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(6,633)</w:t>
            </w:r>
          </w:p>
        </w:tc>
      </w:tr>
      <w:tr w:rsidR="00376C97" w:rsidTr="00CC5F3E">
        <w:trPr>
          <w:trHeight w:hRule="exact" w:val="99"/>
          <w:jc w:val="center"/>
        </w:trPr>
        <w:tc>
          <w:tcPr>
            <w:tcW w:w="3482"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376C97" w:rsidTr="00CC5F3E">
        <w:trPr>
          <w:trHeight w:val="168"/>
          <w:jc w:val="center"/>
        </w:trPr>
        <w:tc>
          <w:tcPr>
            <w:tcW w:w="3482" w:type="dxa"/>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adjustments</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(318)</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285</w:t>
            </w:r>
          </w:p>
        </w:tc>
        <w:tc>
          <w:tcPr>
            <w:tcW w:w="1214" w:type="dxa"/>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33</w:t>
            </w:r>
          </w:p>
        </w:tc>
      </w:tr>
      <w:tr w:rsidR="00376C97" w:rsidTr="00CC5F3E">
        <w:trPr>
          <w:trHeight w:hRule="exact" w:val="99"/>
          <w:jc w:val="center"/>
        </w:trPr>
        <w:tc>
          <w:tcPr>
            <w:tcW w:w="3482"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214" w:type="dxa"/>
            <w:shd w:val="clear" w:color="auto" w:fill="auto"/>
            <w:tcMar>
              <w:top w:w="20" w:type="dxa"/>
              <w:left w:w="20" w:type="dxa"/>
              <w:bottom w:w="20" w:type="dxa"/>
              <w:right w:w="20" w:type="dxa"/>
            </w:tcMar>
          </w:tcPr>
          <w:p w:rsidR="00376C97" w:rsidRDefault="00376C97" w:rsidP="00CC5F3E">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376C97" w:rsidTr="00CC5F3E">
        <w:trPr>
          <w:trHeight w:val="168"/>
          <w:jc w:val="center"/>
        </w:trPr>
        <w:tc>
          <w:tcPr>
            <w:tcW w:w="3482"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Default="00376C97" w:rsidP="00CC5F3E">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Adjustments</w:t>
            </w:r>
          </w:p>
        </w:tc>
        <w:tc>
          <w:tcPr>
            <w:tcW w:w="1214"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Default="00376C97">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221488">
              <w:rPr>
                <w:rFonts w:ascii="Verdana" w:eastAsia="Verdana" w:hAnsi="Verdana" w:cs="Verdana"/>
                <w:b/>
                <w:color w:val="000000"/>
                <w:sz w:val="16"/>
                <w:lang w:val="en-GB"/>
              </w:rPr>
              <w:t>6,452</w:t>
            </w:r>
            <w:r>
              <w:rPr>
                <w:rFonts w:ascii="Verdana" w:eastAsia="Verdana" w:hAnsi="Verdana" w:cs="Verdana"/>
                <w:b/>
                <w:color w:val="000000"/>
                <w:sz w:val="16"/>
                <w:lang w:val="en-GB"/>
              </w:rPr>
              <w:t>)</w:t>
            </w:r>
          </w:p>
        </w:tc>
        <w:tc>
          <w:tcPr>
            <w:tcW w:w="1214"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4,810</w:t>
            </w:r>
          </w:p>
        </w:tc>
        <w:tc>
          <w:tcPr>
            <w:tcW w:w="1214"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Default="00376C97" w:rsidP="00CC5F3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285</w:t>
            </w:r>
          </w:p>
        </w:tc>
        <w:tc>
          <w:tcPr>
            <w:tcW w:w="1214" w:type="dxa"/>
            <w:tcBorders>
              <w:top w:val="single" w:sz="2" w:space="0" w:color="000000"/>
              <w:bottom w:val="single" w:sz="12" w:space="0" w:color="000000"/>
            </w:tcBorders>
            <w:shd w:val="clear" w:color="auto" w:fill="auto"/>
            <w:tcMar>
              <w:top w:w="20" w:type="dxa"/>
              <w:left w:w="20" w:type="dxa"/>
              <w:bottom w:w="20" w:type="dxa"/>
              <w:right w:w="20" w:type="dxa"/>
            </w:tcMar>
          </w:tcPr>
          <w:p w:rsidR="00376C97" w:rsidRDefault="00221488" w:rsidP="00CC5F3E">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1,357</w:t>
            </w:r>
          </w:p>
        </w:tc>
      </w:tr>
    </w:tbl>
    <w:p w:rsidR="00376C97" w:rsidRDefault="00376C97">
      <w:pPr>
        <w:pStyle w:val="Normal0"/>
        <w:spacing w:after="160" w:line="259" w:lineRule="auto"/>
        <w:rPr>
          <w:rFonts w:ascii="Verdana" w:eastAsia="Verdana" w:hAnsi="Verdana" w:cs="Verdana"/>
          <w:sz w:val="22"/>
          <w:szCs w:val="22"/>
          <w:lang w:val="en-GB"/>
        </w:rPr>
        <w:sectPr w:rsidR="00376C97" w:rsidSect="00CA6653">
          <w:pgSz w:w="11900" w:h="16840"/>
          <w:pgMar w:top="720" w:right="720" w:bottom="720" w:left="720" w:header="708" w:footer="708" w:gutter="0"/>
          <w:cols w:space="708"/>
          <w:docGrid w:linePitch="360"/>
        </w:sectPr>
      </w:pPr>
    </w:p>
    <w:p w:rsidR="00CA6653" w:rsidRDefault="00CA6653" w:rsidP="00A31A9E">
      <w:pPr>
        <w:pStyle w:val="Heading1"/>
      </w:pPr>
      <w:bookmarkStart w:id="18" w:name="_Toc55900409"/>
      <w:r w:rsidRPr="0031501D">
        <w:t>Note 7 - Transfers to/from Earmarked Reserves</w:t>
      </w:r>
      <w:bookmarkEnd w:id="18"/>
      <w:r w:rsidRPr="0031501D">
        <w:t xml:space="preserve"> </w:t>
      </w:r>
    </w:p>
    <w:p w:rsidR="00CA6653" w:rsidRDefault="00CA6653" w:rsidP="00C80C35">
      <w:pPr>
        <w:pStyle w:val="Normal0"/>
        <w:spacing w:after="160" w:line="259" w:lineRule="auto"/>
        <w:jc w:val="both"/>
        <w:rPr>
          <w:rFonts w:ascii="Verdana" w:eastAsia="Verdana" w:hAnsi="Verdana" w:cs="Verdana"/>
          <w:sz w:val="22"/>
          <w:szCs w:val="22"/>
          <w:lang w:val="en-GB"/>
        </w:rPr>
      </w:pPr>
      <w:r>
        <w:rPr>
          <w:rFonts w:ascii="Verdana" w:eastAsia="Verdana" w:hAnsi="Verdana" w:cs="Verdana"/>
          <w:sz w:val="22"/>
          <w:szCs w:val="22"/>
          <w:lang w:val="en-GB"/>
        </w:rPr>
        <w:t>The table below sets out the amounts set aside from the General Fund in earmarked reserves to provide financing for future expenditure plans and the amounts posted back from earmarked reserves to meet General Fund expenditure in 201</w:t>
      </w:r>
      <w:r w:rsidR="006C3861">
        <w:rPr>
          <w:rFonts w:ascii="Verdana" w:eastAsia="Verdana" w:hAnsi="Verdana" w:cs="Verdana"/>
          <w:sz w:val="22"/>
          <w:szCs w:val="22"/>
          <w:lang w:val="en-GB"/>
        </w:rPr>
        <w:t>9</w:t>
      </w:r>
      <w:r>
        <w:rPr>
          <w:rFonts w:ascii="Verdana" w:eastAsia="Verdana" w:hAnsi="Verdana" w:cs="Verdana"/>
          <w:sz w:val="22"/>
          <w:szCs w:val="22"/>
          <w:lang w:val="en-GB"/>
        </w:rPr>
        <w:t>/</w:t>
      </w:r>
      <w:r w:rsidR="006C3861">
        <w:rPr>
          <w:rFonts w:ascii="Verdana" w:eastAsia="Verdana" w:hAnsi="Verdana" w:cs="Verdana"/>
          <w:sz w:val="22"/>
          <w:szCs w:val="22"/>
          <w:lang w:val="en-GB"/>
        </w:rPr>
        <w:t>20</w:t>
      </w:r>
      <w:r>
        <w:rPr>
          <w:rFonts w:ascii="Verdana" w:eastAsia="Verdana" w:hAnsi="Verdana" w:cs="Verdana"/>
          <w:sz w:val="22"/>
          <w:szCs w:val="22"/>
          <w:lang w:val="en-GB"/>
        </w:rPr>
        <w:t>.</w:t>
      </w:r>
    </w:p>
    <w:p w:rsidR="00395DBB" w:rsidRDefault="00395DBB" w:rsidP="00C80C35">
      <w:pPr>
        <w:pStyle w:val="Normal0"/>
        <w:spacing w:after="160" w:line="259" w:lineRule="auto"/>
        <w:jc w:val="both"/>
        <w:rPr>
          <w:rFonts w:ascii="Verdana" w:eastAsia="Verdana" w:hAnsi="Verdana" w:cs="Verdana"/>
          <w:sz w:val="22"/>
          <w:szCs w:val="22"/>
          <w:lang w:val="en-GB"/>
        </w:rPr>
      </w:pPr>
    </w:p>
    <w:tbl>
      <w:tblPr>
        <w:tblW w:w="9630" w:type="dxa"/>
        <w:jc w:val="center"/>
        <w:tblLayout w:type="fixed"/>
        <w:tblLook w:val="04A0" w:firstRow="1" w:lastRow="0" w:firstColumn="1" w:lastColumn="0" w:noHBand="0" w:noVBand="1"/>
      </w:tblPr>
      <w:tblGrid>
        <w:gridCol w:w="1860"/>
        <w:gridCol w:w="1110"/>
        <w:gridCol w:w="1110"/>
        <w:gridCol w:w="1110"/>
        <w:gridCol w:w="1110"/>
        <w:gridCol w:w="1110"/>
        <w:gridCol w:w="1110"/>
        <w:gridCol w:w="1110"/>
      </w:tblGrid>
      <w:tr w:rsidR="00395DBB" w:rsidTr="005272A1">
        <w:trPr>
          <w:trHeight w:val="840"/>
          <w:jc w:val="center"/>
        </w:trPr>
        <w:tc>
          <w:tcPr>
            <w:tcW w:w="186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color w:val="000000"/>
                <w:sz w:val="2"/>
                <w:lang w:val="en-GB"/>
              </w:rPr>
            </w:pP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Balance at 1 April 2018</w:t>
            </w:r>
          </w:p>
        </w:tc>
        <w:tc>
          <w:tcPr>
            <w:tcW w:w="1110" w:type="dxa"/>
            <w:shd w:val="clear" w:color="auto" w:fill="auto"/>
            <w:tcMar>
              <w:top w:w="20" w:type="dxa"/>
              <w:left w:w="20" w:type="dxa"/>
              <w:bottom w:w="20" w:type="dxa"/>
              <w:right w:w="20" w:type="dxa"/>
            </w:tcMar>
          </w:tcPr>
          <w:p w:rsidR="00560063" w:rsidRDefault="00395DBB" w:rsidP="005272A1">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 xml:space="preserve">Transfers In </w:t>
            </w:r>
          </w:p>
          <w:p w:rsidR="00395DBB" w:rsidRDefault="00395DBB" w:rsidP="005272A1">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2018/19</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Transfers Out 2018/19</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Balance at 31 March 2019</w:t>
            </w:r>
          </w:p>
        </w:tc>
        <w:tc>
          <w:tcPr>
            <w:tcW w:w="1110" w:type="dxa"/>
            <w:shd w:val="clear" w:color="auto" w:fill="auto"/>
            <w:tcMar>
              <w:top w:w="20" w:type="dxa"/>
              <w:left w:w="20" w:type="dxa"/>
              <w:bottom w:w="20" w:type="dxa"/>
              <w:right w:w="20" w:type="dxa"/>
            </w:tcMar>
          </w:tcPr>
          <w:p w:rsidR="00560063" w:rsidRDefault="00395DBB" w:rsidP="005272A1">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 xml:space="preserve">Transfers In </w:t>
            </w:r>
          </w:p>
          <w:p w:rsidR="00395DBB" w:rsidRDefault="00395DBB" w:rsidP="005272A1">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Transfers Out 2019/20</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Balance at 31 March 2020</w:t>
            </w:r>
          </w:p>
        </w:tc>
      </w:tr>
      <w:tr w:rsidR="00395DBB" w:rsidTr="005272A1">
        <w:trPr>
          <w:trHeight w:val="300"/>
          <w:jc w:val="center"/>
        </w:trPr>
        <w:tc>
          <w:tcPr>
            <w:tcW w:w="186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10" w:type="dxa"/>
            <w:tcBorders>
              <w:bottom w:val="single" w:sz="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10" w:type="dxa"/>
            <w:tcBorders>
              <w:bottom w:val="single" w:sz="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10" w:type="dxa"/>
            <w:tcBorders>
              <w:bottom w:val="single" w:sz="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10" w:type="dxa"/>
            <w:tcBorders>
              <w:bottom w:val="single" w:sz="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10" w:type="dxa"/>
            <w:tcBorders>
              <w:bottom w:val="single" w:sz="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10" w:type="dxa"/>
            <w:tcBorders>
              <w:bottom w:val="single" w:sz="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10" w:type="dxa"/>
            <w:tcBorders>
              <w:bottom w:val="single" w:sz="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General Fund Reserves:</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10" w:type="dxa"/>
            <w:shd w:val="clear" w:color="auto" w:fill="auto"/>
            <w:tcMar>
              <w:top w:w="20" w:type="dxa"/>
              <w:left w:w="20" w:type="dxa"/>
              <w:bottom w:w="20" w:type="dxa"/>
              <w:right w:w="20" w:type="dxa"/>
            </w:tcMar>
          </w:tcPr>
          <w:p w:rsidR="00395DBB" w:rsidRDefault="00395DBB" w:rsidP="005272A1">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Chief Constable Reserve</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(571)</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(571)</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(500)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1,071</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Estate Maintenance Reserve</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(250)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202</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(48)</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48</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Corporate Communications Local Reserve</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(73)</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(73)</w:t>
            </w:r>
          </w:p>
        </w:tc>
        <w:tc>
          <w:tcPr>
            <w:tcW w:w="1110" w:type="dxa"/>
            <w:shd w:val="clear" w:color="auto" w:fill="auto"/>
            <w:tcMar>
              <w:top w:w="20" w:type="dxa"/>
              <w:left w:w="20" w:type="dxa"/>
              <w:bottom w:w="20" w:type="dxa"/>
              <w:right w:w="20" w:type="dxa"/>
            </w:tcMar>
          </w:tcPr>
          <w:p w:rsidR="00395DBB" w:rsidRDefault="004D0657">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4D0657"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73</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Insurance Reserve - Legal</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(361)</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(361)</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(361)</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Insurance Reserve</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(2,260)</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color w:val="000000"/>
                <w:sz w:val="16"/>
                <w:lang w:val="en-GB"/>
              </w:rPr>
            </w:pPr>
            <w:r w:rsidRPr="005772FB">
              <w:rPr>
                <w:rFonts w:ascii="Verdana" w:eastAsia="Verdana" w:hAnsi="Verdana" w:cs="Verdana"/>
                <w:color w:val="000000"/>
                <w:sz w:val="16"/>
                <w:lang w:val="en-GB"/>
              </w:rPr>
              <w:t>(1,005)</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color w:val="000000"/>
                <w:sz w:val="16"/>
                <w:lang w:val="en-GB"/>
              </w:rPr>
            </w:pPr>
            <w:r w:rsidRPr="005772FB">
              <w:rPr>
                <w:rFonts w:ascii="Verdana" w:eastAsia="Verdana" w:hAnsi="Verdana" w:cs="Verdana"/>
                <w:color w:val="000000"/>
                <w:sz w:val="16"/>
                <w:lang w:val="en-GB"/>
              </w:rPr>
              <w:t>338</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(2,927)</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color w:val="000000"/>
                <w:sz w:val="16"/>
                <w:lang w:val="en-GB"/>
              </w:rPr>
            </w:pPr>
            <w:r w:rsidRPr="005772FB">
              <w:rPr>
                <w:rFonts w:ascii="Verdana" w:eastAsia="Verdana" w:hAnsi="Verdana" w:cs="Verdana"/>
                <w:color w:val="000000"/>
                <w:sz w:val="16"/>
                <w:lang w:val="en-GB"/>
              </w:rPr>
              <w:t>(779)</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color w:val="000000"/>
                <w:sz w:val="16"/>
                <w:lang w:val="en-GB"/>
              </w:rPr>
            </w:pPr>
            <w:r w:rsidRPr="005772FB">
              <w:rPr>
                <w:rFonts w:ascii="Verdana" w:eastAsia="Verdana" w:hAnsi="Verdana" w:cs="Verdana"/>
                <w:color w:val="000000"/>
                <w:sz w:val="16"/>
                <w:lang w:val="en-GB"/>
              </w:rPr>
              <w:t>688</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b/>
                <w:color w:val="000000"/>
                <w:sz w:val="16"/>
                <w:lang w:val="en-GB"/>
              </w:rPr>
            </w:pPr>
            <w:r w:rsidRPr="005772FB">
              <w:rPr>
                <w:rFonts w:ascii="Verdana" w:eastAsia="Verdana" w:hAnsi="Verdana" w:cs="Verdana"/>
                <w:b/>
                <w:color w:val="000000"/>
                <w:sz w:val="16"/>
                <w:lang w:val="en-GB"/>
              </w:rPr>
              <w:t>(3,018)</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Ill Health Reserve</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(2,492)</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color w:val="000000"/>
                <w:sz w:val="16"/>
                <w:lang w:val="en-GB"/>
              </w:rPr>
            </w:pPr>
            <w:r w:rsidRPr="005772FB">
              <w:rPr>
                <w:rFonts w:ascii="Verdana" w:eastAsia="Verdana" w:hAnsi="Verdana" w:cs="Verdana"/>
                <w:color w:val="000000"/>
                <w:sz w:val="16"/>
                <w:lang w:val="en-GB"/>
              </w:rPr>
              <w:t>(148)</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color w:val="000000"/>
                <w:sz w:val="16"/>
                <w:lang w:val="en-GB"/>
              </w:rPr>
            </w:pPr>
            <w:r w:rsidRPr="005772FB">
              <w:rPr>
                <w:rFonts w:ascii="Verdana" w:eastAsia="Verdana" w:hAnsi="Verdana" w:cs="Verdana"/>
                <w:color w:val="000000"/>
                <w:sz w:val="16"/>
                <w:lang w:val="en-GB"/>
              </w:rPr>
              <w:t>922</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(1,718)</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color w:val="000000"/>
                <w:sz w:val="16"/>
                <w:lang w:val="en-GB"/>
              </w:rPr>
            </w:pPr>
            <w:r w:rsidRPr="005772FB">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color w:val="000000"/>
                <w:sz w:val="16"/>
                <w:lang w:val="en-GB"/>
              </w:rPr>
            </w:pPr>
            <w:r w:rsidRPr="005772FB">
              <w:rPr>
                <w:rFonts w:ascii="Verdana" w:eastAsia="Verdana" w:hAnsi="Verdana" w:cs="Verdana"/>
                <w:color w:val="000000"/>
                <w:sz w:val="16"/>
                <w:lang w:val="en-GB"/>
              </w:rPr>
              <w:t>80</w:t>
            </w:r>
          </w:p>
        </w:tc>
        <w:tc>
          <w:tcPr>
            <w:tcW w:w="1110" w:type="dxa"/>
            <w:shd w:val="clear" w:color="auto" w:fill="auto"/>
            <w:tcMar>
              <w:top w:w="20" w:type="dxa"/>
              <w:left w:w="20" w:type="dxa"/>
              <w:bottom w:w="20" w:type="dxa"/>
              <w:right w:w="20" w:type="dxa"/>
            </w:tcMar>
          </w:tcPr>
          <w:p w:rsidR="00395DBB" w:rsidRPr="005772FB" w:rsidRDefault="00395DBB" w:rsidP="005272A1">
            <w:pPr>
              <w:pStyle w:val="T1TableStyle"/>
              <w:jc w:val="right"/>
              <w:rPr>
                <w:rFonts w:ascii="Verdana" w:eastAsia="Verdana" w:hAnsi="Verdana" w:cs="Verdana"/>
                <w:b/>
                <w:color w:val="000000"/>
                <w:sz w:val="16"/>
                <w:lang w:val="en-GB"/>
              </w:rPr>
            </w:pPr>
            <w:r w:rsidRPr="005772FB">
              <w:rPr>
                <w:rFonts w:ascii="Verdana" w:eastAsia="Verdana" w:hAnsi="Verdana" w:cs="Verdana"/>
                <w:b/>
                <w:color w:val="000000"/>
                <w:sz w:val="16"/>
                <w:lang w:val="en-GB"/>
              </w:rPr>
              <w:t>(1,638)</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PCC Operational Reserve</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(500)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(500)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(500)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(1,000)</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PCC Estate Strategy Reserve</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(400)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(2,400)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(2,800)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(2,800)</w:t>
            </w:r>
          </w:p>
        </w:tc>
      </w:tr>
      <w:tr w:rsidR="00395DBB" w:rsidTr="005272A1">
        <w:trPr>
          <w:trHeight w:val="240"/>
          <w:jc w:val="center"/>
        </w:trPr>
        <w:tc>
          <w:tcPr>
            <w:tcW w:w="1860" w:type="dxa"/>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Cost of Change Reserve</w:t>
            </w:r>
          </w:p>
          <w:p w:rsidR="00395DBB" w:rsidRDefault="00395DBB" w:rsidP="005272A1">
            <w:pPr>
              <w:pStyle w:val="T1TableStyle"/>
              <w:rPr>
                <w:rFonts w:ascii="Verdana" w:eastAsia="Verdana" w:hAnsi="Verdana" w:cs="Verdana"/>
                <w:color w:val="000000"/>
                <w:sz w:val="16"/>
                <w:lang w:val="en-GB"/>
              </w:rPr>
            </w:pPr>
            <w:r>
              <w:rPr>
                <w:rFonts w:ascii="Verdana" w:eastAsia="Verdana" w:hAnsi="Verdana" w:cs="Verdana"/>
                <w:color w:val="000000"/>
                <w:sz w:val="16"/>
                <w:lang w:val="en-GB"/>
              </w:rPr>
              <w:t>COVID19 Reserve</w:t>
            </w:r>
          </w:p>
          <w:p w:rsidR="00395DBB" w:rsidRDefault="00395DBB" w:rsidP="005272A1">
            <w:pPr>
              <w:pStyle w:val="T1TableStyle"/>
              <w:rPr>
                <w:rFonts w:ascii="Verdana" w:eastAsia="Verdana" w:hAnsi="Verdana" w:cs="Verdana"/>
                <w:color w:val="000000"/>
                <w:sz w:val="16"/>
                <w:lang w:val="en-GB"/>
              </w:rPr>
            </w:pP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p w:rsidR="00395DBB" w:rsidRDefault="00395DBB" w:rsidP="005272A1">
            <w:pPr>
              <w:pStyle w:val="T1TableStyle"/>
              <w:jc w:val="right"/>
              <w:rPr>
                <w:rFonts w:ascii="Verdana" w:eastAsia="Verdana" w:hAnsi="Verdana" w:cs="Verdana"/>
                <w:color w:val="000000"/>
                <w:sz w:val="16"/>
                <w:lang w:val="en-GB"/>
              </w:rPr>
            </w:pPr>
          </w:p>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(1,443)</w:t>
            </w:r>
          </w:p>
          <w:p w:rsidR="00395DBB" w:rsidRDefault="00395DBB" w:rsidP="005272A1">
            <w:pPr>
              <w:pStyle w:val="T1TableStyle"/>
              <w:jc w:val="right"/>
              <w:rPr>
                <w:rFonts w:ascii="Verdana" w:eastAsia="Verdana" w:hAnsi="Verdana" w:cs="Verdana"/>
                <w:color w:val="000000"/>
                <w:sz w:val="16"/>
                <w:lang w:val="en-GB"/>
              </w:rPr>
            </w:pPr>
          </w:p>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p w:rsidR="00395DBB" w:rsidRDefault="00395DBB" w:rsidP="005272A1">
            <w:pPr>
              <w:pStyle w:val="T1TableStyle"/>
              <w:jc w:val="right"/>
              <w:rPr>
                <w:rFonts w:ascii="Verdana" w:eastAsia="Verdana" w:hAnsi="Verdana" w:cs="Verdana"/>
                <w:color w:val="000000"/>
                <w:sz w:val="16"/>
                <w:lang w:val="en-GB"/>
              </w:rPr>
            </w:pPr>
          </w:p>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(1,443)</w:t>
            </w:r>
          </w:p>
          <w:p w:rsidR="00395DBB" w:rsidRDefault="00395DBB" w:rsidP="005272A1">
            <w:pPr>
              <w:pStyle w:val="T1TableStyle"/>
              <w:jc w:val="right"/>
              <w:rPr>
                <w:rFonts w:ascii="Verdana" w:eastAsia="Verdana" w:hAnsi="Verdana" w:cs="Verdana"/>
                <w:b/>
                <w:color w:val="000000"/>
                <w:sz w:val="16"/>
                <w:lang w:val="en-GB"/>
              </w:rPr>
            </w:pPr>
          </w:p>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(121)</w:t>
            </w:r>
          </w:p>
          <w:p w:rsidR="00395DBB" w:rsidRDefault="00395DBB" w:rsidP="005272A1">
            <w:pPr>
              <w:pStyle w:val="T1TableStyle"/>
              <w:jc w:val="right"/>
              <w:rPr>
                <w:rFonts w:ascii="Verdana" w:eastAsia="Verdana" w:hAnsi="Verdana" w:cs="Verdana"/>
                <w:color w:val="000000"/>
                <w:sz w:val="16"/>
                <w:lang w:val="en-GB"/>
              </w:rPr>
            </w:pPr>
          </w:p>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(1,000)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p w:rsidR="00395DBB" w:rsidRDefault="00395DBB" w:rsidP="005272A1">
            <w:pPr>
              <w:pStyle w:val="T1TableStyle"/>
              <w:jc w:val="right"/>
              <w:rPr>
                <w:rFonts w:ascii="Verdana" w:eastAsia="Verdana" w:hAnsi="Verdana" w:cs="Verdana"/>
                <w:color w:val="000000"/>
                <w:sz w:val="16"/>
                <w:lang w:val="en-GB"/>
              </w:rPr>
            </w:pPr>
          </w:p>
          <w:p w:rsidR="00395DBB" w:rsidRDefault="00395DBB" w:rsidP="005272A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10" w:type="dxa"/>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(1,564)</w:t>
            </w:r>
          </w:p>
          <w:p w:rsidR="00395DBB" w:rsidRDefault="00395DBB" w:rsidP="005272A1">
            <w:pPr>
              <w:pStyle w:val="T1TableStyle"/>
              <w:jc w:val="right"/>
              <w:rPr>
                <w:rFonts w:ascii="Verdana" w:eastAsia="Verdana" w:hAnsi="Verdana" w:cs="Verdana"/>
                <w:b/>
                <w:color w:val="000000"/>
                <w:sz w:val="16"/>
                <w:lang w:val="en-GB"/>
              </w:rPr>
            </w:pPr>
          </w:p>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(1,000)</w:t>
            </w:r>
          </w:p>
          <w:p w:rsidR="00395DBB" w:rsidRDefault="00395DBB" w:rsidP="005272A1">
            <w:pPr>
              <w:pStyle w:val="T1TableStyle"/>
              <w:jc w:val="right"/>
              <w:rPr>
                <w:rFonts w:ascii="Verdana" w:eastAsia="Verdana" w:hAnsi="Verdana" w:cs="Verdana"/>
                <w:b/>
                <w:color w:val="000000"/>
                <w:sz w:val="16"/>
                <w:lang w:val="en-GB"/>
              </w:rPr>
            </w:pPr>
          </w:p>
        </w:tc>
      </w:tr>
      <w:tr w:rsidR="00395DBB" w:rsidTr="005272A1">
        <w:trPr>
          <w:trHeight w:val="240"/>
          <w:jc w:val="center"/>
        </w:trPr>
        <w:tc>
          <w:tcPr>
            <w:tcW w:w="1860" w:type="dxa"/>
            <w:tcBorders>
              <w:top w:val="single" w:sz="2" w:space="0" w:color="000000"/>
              <w:bottom w:val="single" w:sz="12" w:space="0" w:color="000000"/>
            </w:tcBorders>
            <w:shd w:val="clear" w:color="auto" w:fill="auto"/>
            <w:tcMar>
              <w:top w:w="20" w:type="dxa"/>
              <w:left w:w="20" w:type="dxa"/>
              <w:bottom w:w="20" w:type="dxa"/>
              <w:right w:w="20" w:type="dxa"/>
            </w:tcMar>
          </w:tcPr>
          <w:p w:rsidR="00395DBB" w:rsidRDefault="00395DBB" w:rsidP="005272A1">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General Fund</w:t>
            </w:r>
          </w:p>
        </w:tc>
        <w:tc>
          <w:tcPr>
            <w:tcW w:w="1110" w:type="dxa"/>
            <w:tcBorders>
              <w:top w:val="single" w:sz="2" w:space="0" w:color="000000"/>
              <w:bottom w:val="single" w:sz="1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(6,907)</w:t>
            </w:r>
          </w:p>
        </w:tc>
        <w:tc>
          <w:tcPr>
            <w:tcW w:w="1110" w:type="dxa"/>
            <w:tcBorders>
              <w:top w:val="single" w:sz="2" w:space="0" w:color="000000"/>
              <w:bottom w:val="single" w:sz="1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(4,996)</w:t>
            </w:r>
          </w:p>
        </w:tc>
        <w:tc>
          <w:tcPr>
            <w:tcW w:w="1110" w:type="dxa"/>
            <w:tcBorders>
              <w:top w:val="single" w:sz="2" w:space="0" w:color="000000"/>
              <w:bottom w:val="single" w:sz="1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1,462</w:t>
            </w:r>
          </w:p>
        </w:tc>
        <w:tc>
          <w:tcPr>
            <w:tcW w:w="1110" w:type="dxa"/>
            <w:tcBorders>
              <w:top w:val="single" w:sz="2" w:space="0" w:color="000000"/>
              <w:bottom w:val="single" w:sz="1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(10,441)</w:t>
            </w:r>
          </w:p>
        </w:tc>
        <w:tc>
          <w:tcPr>
            <w:tcW w:w="1110" w:type="dxa"/>
            <w:tcBorders>
              <w:top w:val="single" w:sz="2" w:space="0" w:color="000000"/>
              <w:bottom w:val="single" w:sz="12" w:space="0" w:color="000000"/>
            </w:tcBorders>
            <w:shd w:val="clear" w:color="auto" w:fill="auto"/>
            <w:tcMar>
              <w:top w:w="20" w:type="dxa"/>
              <w:left w:w="20" w:type="dxa"/>
              <w:bottom w:w="20" w:type="dxa"/>
              <w:right w:w="20" w:type="dxa"/>
            </w:tcMar>
          </w:tcPr>
          <w:p w:rsidR="00395DBB" w:rsidRDefault="00395DB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DD2511">
              <w:rPr>
                <w:rFonts w:ascii="Verdana" w:eastAsia="Verdana" w:hAnsi="Verdana" w:cs="Verdana"/>
                <w:b/>
                <w:color w:val="000000"/>
                <w:sz w:val="16"/>
                <w:lang w:val="en-GB"/>
              </w:rPr>
              <w:t>90</w:t>
            </w:r>
            <w:r w:rsidR="004D0657">
              <w:rPr>
                <w:rFonts w:ascii="Verdana" w:eastAsia="Verdana" w:hAnsi="Verdana" w:cs="Verdana"/>
                <w:b/>
                <w:color w:val="000000"/>
                <w:sz w:val="16"/>
                <w:lang w:val="en-GB"/>
              </w:rPr>
              <w:t>0</w:t>
            </w:r>
            <w:r>
              <w:rPr>
                <w:rFonts w:ascii="Verdana" w:eastAsia="Verdana" w:hAnsi="Verdana" w:cs="Verdana"/>
                <w:b/>
                <w:color w:val="000000"/>
                <w:sz w:val="16"/>
                <w:lang w:val="en-GB"/>
              </w:rPr>
              <w:t>)</w:t>
            </w:r>
          </w:p>
        </w:tc>
        <w:tc>
          <w:tcPr>
            <w:tcW w:w="1110" w:type="dxa"/>
            <w:tcBorders>
              <w:top w:val="single" w:sz="2" w:space="0" w:color="000000"/>
              <w:bottom w:val="single" w:sz="12" w:space="0" w:color="000000"/>
            </w:tcBorders>
            <w:shd w:val="clear" w:color="auto" w:fill="auto"/>
            <w:tcMar>
              <w:top w:w="20" w:type="dxa"/>
              <w:left w:w="20" w:type="dxa"/>
              <w:bottom w:w="20" w:type="dxa"/>
              <w:right w:w="20" w:type="dxa"/>
            </w:tcMar>
          </w:tcPr>
          <w:p w:rsidR="00395DBB" w:rsidRDefault="00395DB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r w:rsidR="004D0657">
              <w:rPr>
                <w:rFonts w:ascii="Verdana" w:eastAsia="Verdana" w:hAnsi="Verdana" w:cs="Verdana"/>
                <w:b/>
                <w:color w:val="000000"/>
                <w:sz w:val="16"/>
                <w:lang w:val="en-GB"/>
              </w:rPr>
              <w:t>960</w:t>
            </w:r>
          </w:p>
        </w:tc>
        <w:tc>
          <w:tcPr>
            <w:tcW w:w="1110" w:type="dxa"/>
            <w:tcBorders>
              <w:top w:val="single" w:sz="2" w:space="0" w:color="000000"/>
              <w:bottom w:val="single" w:sz="12" w:space="0" w:color="000000"/>
            </w:tcBorders>
            <w:shd w:val="clear" w:color="auto" w:fill="auto"/>
            <w:tcMar>
              <w:top w:w="20" w:type="dxa"/>
              <w:left w:w="20" w:type="dxa"/>
              <w:bottom w:w="20" w:type="dxa"/>
              <w:right w:w="20" w:type="dxa"/>
            </w:tcMar>
          </w:tcPr>
          <w:p w:rsidR="00395DBB" w:rsidRDefault="00395DBB" w:rsidP="005272A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(11,381)</w:t>
            </w:r>
          </w:p>
        </w:tc>
      </w:tr>
    </w:tbl>
    <w:p w:rsidR="00C80C35" w:rsidRDefault="00C80C35">
      <w:pPr>
        <w:pStyle w:val="Normal0"/>
        <w:spacing w:after="160" w:line="259" w:lineRule="auto"/>
        <w:rPr>
          <w:rFonts w:ascii="Verdana" w:eastAsia="Verdana" w:hAnsi="Verdana" w:cs="Verdana"/>
          <w:b/>
          <w:sz w:val="22"/>
          <w:szCs w:val="22"/>
          <w:lang w:val="en-GB"/>
        </w:rPr>
      </w:pPr>
    </w:p>
    <w:p w:rsidR="00C80C35" w:rsidRDefault="00C80C35">
      <w:pPr>
        <w:pStyle w:val="Normal0"/>
        <w:spacing w:after="160" w:line="259" w:lineRule="auto"/>
        <w:rPr>
          <w:rFonts w:ascii="Verdana" w:eastAsia="Verdana" w:hAnsi="Verdana" w:cs="Verdana"/>
          <w:sz w:val="22"/>
          <w:szCs w:val="22"/>
          <w:lang w:val="en-GB"/>
        </w:rPr>
      </w:pPr>
      <w:r w:rsidRPr="00C80C35">
        <w:rPr>
          <w:rFonts w:ascii="Verdana" w:eastAsia="Verdana" w:hAnsi="Verdana" w:cs="Verdana"/>
          <w:sz w:val="22"/>
          <w:szCs w:val="22"/>
          <w:lang w:val="en-GB"/>
        </w:rPr>
        <w:t xml:space="preserve">The following </w:t>
      </w:r>
      <w:r>
        <w:rPr>
          <w:rFonts w:ascii="Verdana" w:eastAsia="Verdana" w:hAnsi="Verdana" w:cs="Verdana"/>
          <w:sz w:val="22"/>
          <w:szCs w:val="22"/>
          <w:lang w:val="en-GB"/>
        </w:rPr>
        <w:t>table details the usable reserves and the purpose for which are held by Surrey Police:</w:t>
      </w:r>
    </w:p>
    <w:tbl>
      <w:tblPr>
        <w:tblW w:w="10103" w:type="dxa"/>
        <w:tblLook w:val="04A0" w:firstRow="1" w:lastRow="0" w:firstColumn="1" w:lastColumn="0" w:noHBand="0" w:noVBand="1"/>
      </w:tblPr>
      <w:tblGrid>
        <w:gridCol w:w="2097"/>
        <w:gridCol w:w="5972"/>
        <w:gridCol w:w="2034"/>
      </w:tblGrid>
      <w:tr w:rsidR="00C80C35" w:rsidRPr="007438BA" w:rsidTr="00395DBB">
        <w:trPr>
          <w:trHeight w:val="282"/>
        </w:trPr>
        <w:tc>
          <w:tcPr>
            <w:tcW w:w="2097" w:type="dxa"/>
            <w:tcBorders>
              <w:top w:val="single" w:sz="4" w:space="0" w:color="auto"/>
              <w:left w:val="single" w:sz="4" w:space="0" w:color="auto"/>
              <w:bottom w:val="single" w:sz="4" w:space="0" w:color="auto"/>
              <w:right w:val="nil"/>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Reserve</w:t>
            </w:r>
          </w:p>
        </w:tc>
        <w:tc>
          <w:tcPr>
            <w:tcW w:w="5972" w:type="dxa"/>
            <w:tcBorders>
              <w:top w:val="single" w:sz="4" w:space="0" w:color="auto"/>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 </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Level or Target</w:t>
            </w:r>
          </w:p>
        </w:tc>
      </w:tr>
      <w:tr w:rsidR="00C80C35" w:rsidRPr="007438BA" w:rsidTr="00395DBB">
        <w:trPr>
          <w:trHeight w:val="282"/>
        </w:trPr>
        <w:tc>
          <w:tcPr>
            <w:tcW w:w="2097" w:type="dxa"/>
            <w:tcBorders>
              <w:top w:val="nil"/>
              <w:left w:val="single" w:sz="4" w:space="0" w:color="auto"/>
              <w:bottom w:val="single" w:sz="4" w:space="0" w:color="auto"/>
              <w:right w:val="nil"/>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General</w:t>
            </w:r>
          </w:p>
        </w:tc>
        <w:tc>
          <w:tcPr>
            <w:tcW w:w="5972" w:type="dxa"/>
            <w:tcBorders>
              <w:top w:val="nil"/>
              <w:left w:val="nil"/>
              <w:bottom w:val="single" w:sz="4" w:space="0" w:color="auto"/>
              <w:right w:val="nil"/>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 </w:t>
            </w:r>
          </w:p>
        </w:tc>
        <w:tc>
          <w:tcPr>
            <w:tcW w:w="2033"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 </w:t>
            </w:r>
          </w:p>
        </w:tc>
      </w:tr>
      <w:tr w:rsidR="00C80C35" w:rsidRPr="007438BA" w:rsidTr="00395DBB">
        <w:trPr>
          <w:trHeight w:val="2699"/>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0000"/>
                <w:lang w:eastAsia="en-GB"/>
              </w:rPr>
            </w:pPr>
            <w:r w:rsidRPr="007438BA">
              <w:rPr>
                <w:rFonts w:ascii="Calibri" w:hAnsi="Calibri" w:cs="Times New Roman"/>
                <w:b/>
                <w:bCs/>
                <w:color w:val="000000"/>
                <w:lang w:eastAsia="en-GB"/>
              </w:rPr>
              <w:t>General Reserve</w:t>
            </w:r>
            <w:r>
              <w:rPr>
                <w:rFonts w:ascii="Calibri" w:hAnsi="Calibri" w:cs="Times New Roman"/>
                <w:b/>
                <w:bCs/>
                <w:color w:val="000000"/>
                <w:lang w:eastAsia="en-GB"/>
              </w:rPr>
              <w:t>s</w:t>
            </w:r>
          </w:p>
        </w:tc>
        <w:tc>
          <w:tcPr>
            <w:tcW w:w="5972" w:type="dxa"/>
            <w:tcBorders>
              <w:top w:val="nil"/>
              <w:left w:val="nil"/>
              <w:bottom w:val="single" w:sz="4" w:space="0" w:color="auto"/>
              <w:right w:val="single" w:sz="4" w:space="0" w:color="auto"/>
            </w:tcBorders>
            <w:shd w:val="clear" w:color="auto" w:fill="auto"/>
            <w:vAlign w:val="center"/>
            <w:hideMark/>
          </w:tcPr>
          <w:p w:rsidR="00C80C35" w:rsidRDefault="00C80C35" w:rsidP="00C80C35">
            <w:pPr>
              <w:rPr>
                <w:rFonts w:ascii="Calibri" w:hAnsi="Calibri" w:cs="Times New Roman"/>
                <w:color w:val="000000"/>
                <w:lang w:eastAsia="en-GB"/>
              </w:rPr>
            </w:pPr>
            <w:r w:rsidRPr="007438BA">
              <w:rPr>
                <w:rFonts w:ascii="Calibri" w:hAnsi="Calibri" w:cs="Times New Roman"/>
                <w:color w:val="000000"/>
                <w:lang w:eastAsia="en-GB"/>
              </w:rPr>
              <w:t>Provides a working balance to cover day to day cash flow requirements and to cover exceptional unforeseen financial and operati</w:t>
            </w:r>
            <w:r>
              <w:rPr>
                <w:rFonts w:ascii="Calibri" w:hAnsi="Calibri" w:cs="Times New Roman"/>
                <w:color w:val="000000"/>
                <w:lang w:eastAsia="en-GB"/>
              </w:rPr>
              <w:t>onal risks. The target level for</w:t>
            </w:r>
            <w:r w:rsidRPr="007438BA">
              <w:rPr>
                <w:rFonts w:ascii="Calibri" w:hAnsi="Calibri" w:cs="Times New Roman"/>
                <w:color w:val="000000"/>
                <w:lang w:eastAsia="en-GB"/>
              </w:rPr>
              <w:t xml:space="preserve"> the reserve is reviewed as part of the annual budget setting process.</w:t>
            </w:r>
          </w:p>
          <w:p w:rsidR="00C80C35" w:rsidRDefault="00C80C35" w:rsidP="00C80C35">
            <w:pPr>
              <w:rPr>
                <w:rFonts w:ascii="Calibri" w:hAnsi="Calibri" w:cs="Times New Roman"/>
                <w:color w:val="000000"/>
                <w:lang w:eastAsia="en-GB"/>
              </w:rPr>
            </w:pPr>
            <w:r w:rsidRPr="007438BA">
              <w:rPr>
                <w:rFonts w:ascii="Calibri" w:hAnsi="Calibri" w:cs="Times New Roman"/>
                <w:color w:val="000000"/>
                <w:lang w:eastAsia="en-GB"/>
              </w:rPr>
              <w:br/>
            </w:r>
            <w:r>
              <w:rPr>
                <w:rFonts w:ascii="Calibri" w:hAnsi="Calibri" w:cs="Times New Roman"/>
                <w:color w:val="000000"/>
                <w:lang w:eastAsia="en-GB"/>
              </w:rPr>
              <w:t xml:space="preserve">This includes a separately identified Chief Constable </w:t>
            </w:r>
          </w:p>
          <w:p w:rsidR="00C80C35" w:rsidRDefault="00C80C35" w:rsidP="00C80C35">
            <w:pPr>
              <w:rPr>
                <w:rFonts w:ascii="Calibri" w:hAnsi="Calibri" w:cs="Times New Roman"/>
                <w:color w:val="000000"/>
                <w:lang w:eastAsia="en-GB"/>
              </w:rPr>
            </w:pPr>
            <w:r>
              <w:rPr>
                <w:rFonts w:ascii="Calibri" w:hAnsi="Calibri" w:cs="Times New Roman"/>
                <w:color w:val="000000"/>
                <w:lang w:eastAsia="en-GB"/>
              </w:rPr>
              <w:t xml:space="preserve">Operational Reserve to provide access to funding for immediate operational policing demands without need for further approval from the PCC. Prior to 2019/20 this reserve was included within the earmarked reserves category. </w:t>
            </w:r>
          </w:p>
          <w:p w:rsidR="00395DBB" w:rsidRPr="007438BA" w:rsidRDefault="00395DBB" w:rsidP="00C80C35">
            <w:pPr>
              <w:rPr>
                <w:rFonts w:ascii="Calibri" w:hAnsi="Calibri" w:cs="Times New Roman"/>
                <w:color w:val="000000"/>
                <w:lang w:eastAsia="en-GB"/>
              </w:rPr>
            </w:pPr>
          </w:p>
        </w:tc>
        <w:tc>
          <w:tcPr>
            <w:tcW w:w="2033"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3% of Net Revenue Expenditure Budget as at 31 March each year.</w:t>
            </w:r>
          </w:p>
        </w:tc>
      </w:tr>
      <w:tr w:rsidR="00C80C35" w:rsidRPr="007438BA" w:rsidTr="00395DBB">
        <w:trPr>
          <w:trHeight w:val="282"/>
        </w:trPr>
        <w:tc>
          <w:tcPr>
            <w:tcW w:w="10103" w:type="dxa"/>
            <w:gridSpan w:val="3"/>
            <w:tcBorders>
              <w:top w:val="nil"/>
              <w:left w:val="single" w:sz="4" w:space="0" w:color="auto"/>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Contingency and Risk </w:t>
            </w:r>
          </w:p>
        </w:tc>
      </w:tr>
      <w:tr w:rsidR="00303CEA" w:rsidRPr="007438BA" w:rsidTr="00395DBB">
        <w:trPr>
          <w:trHeight w:val="1342"/>
        </w:trPr>
        <w:tc>
          <w:tcPr>
            <w:tcW w:w="2097" w:type="dxa"/>
            <w:tcBorders>
              <w:top w:val="nil"/>
              <w:left w:val="single" w:sz="4" w:space="0" w:color="auto"/>
              <w:bottom w:val="single" w:sz="4" w:space="0" w:color="auto"/>
              <w:right w:val="single" w:sz="4" w:space="0" w:color="auto"/>
            </w:tcBorders>
            <w:shd w:val="clear" w:color="auto" w:fill="auto"/>
            <w:vAlign w:val="center"/>
          </w:tcPr>
          <w:p w:rsidR="00303CEA" w:rsidRPr="007438BA" w:rsidRDefault="00303CEA" w:rsidP="00303CEA">
            <w:pPr>
              <w:rPr>
                <w:rFonts w:ascii="Calibri" w:hAnsi="Calibri" w:cs="Times New Roman"/>
                <w:b/>
                <w:bCs/>
                <w:color w:val="000000"/>
                <w:lang w:eastAsia="en-GB"/>
              </w:rPr>
            </w:pPr>
            <w:r w:rsidRPr="007438BA">
              <w:rPr>
                <w:rFonts w:ascii="Calibri" w:hAnsi="Calibri" w:cs="Times New Roman"/>
                <w:b/>
                <w:bCs/>
                <w:color w:val="000000"/>
                <w:lang w:eastAsia="en-GB"/>
              </w:rPr>
              <w:t>Police Officer Ill Health Pension Reserve</w:t>
            </w:r>
          </w:p>
        </w:tc>
        <w:tc>
          <w:tcPr>
            <w:tcW w:w="5972" w:type="dxa"/>
            <w:tcBorders>
              <w:top w:val="nil"/>
              <w:left w:val="nil"/>
              <w:bottom w:val="single" w:sz="4" w:space="0" w:color="auto"/>
              <w:right w:val="single" w:sz="4" w:space="0" w:color="auto"/>
            </w:tcBorders>
            <w:shd w:val="clear" w:color="auto" w:fill="auto"/>
            <w:vAlign w:val="center"/>
          </w:tcPr>
          <w:p w:rsidR="00303CEA" w:rsidRDefault="00303CEA" w:rsidP="00303CEA">
            <w:pPr>
              <w:rPr>
                <w:rFonts w:ascii="Calibri" w:hAnsi="Calibri" w:cs="Times New Roman"/>
                <w:color w:val="000000"/>
                <w:lang w:eastAsia="en-GB"/>
              </w:rPr>
            </w:pPr>
            <w:r w:rsidRPr="007438BA">
              <w:rPr>
                <w:rFonts w:ascii="Calibri" w:hAnsi="Calibri" w:cs="Times New Roman"/>
                <w:color w:val="000000"/>
                <w:lang w:eastAsia="en-GB"/>
              </w:rPr>
              <w:t>This reserve provides for the self-funding of police officer ill health and injury payments not covered by the pension grant funding.</w:t>
            </w:r>
          </w:p>
          <w:p w:rsidR="00303CEA" w:rsidRPr="007438BA" w:rsidRDefault="00303CEA" w:rsidP="00303CEA">
            <w:pPr>
              <w:rPr>
                <w:rFonts w:ascii="Calibri" w:hAnsi="Calibri" w:cs="Times New Roman"/>
                <w:color w:val="000000"/>
                <w:lang w:eastAsia="en-GB"/>
              </w:rPr>
            </w:pPr>
            <w:r w:rsidRPr="007438BA">
              <w:rPr>
                <w:rFonts w:ascii="Calibri" w:hAnsi="Calibri" w:cs="Times New Roman"/>
                <w:color w:val="000000"/>
                <w:lang w:eastAsia="en-GB"/>
              </w:rPr>
              <w:br/>
              <w:t>This reserve is maintained to meet the capital charge made by the Home Office for each officer that retires du</w:t>
            </w:r>
            <w:r>
              <w:rPr>
                <w:rFonts w:ascii="Calibri" w:hAnsi="Calibri" w:cs="Times New Roman"/>
                <w:color w:val="000000"/>
                <w:lang w:eastAsia="en-GB"/>
              </w:rPr>
              <w:t>e to ill health. A percentage of the</w:t>
            </w:r>
            <w:r w:rsidRPr="007438BA">
              <w:rPr>
                <w:rFonts w:ascii="Calibri" w:hAnsi="Calibri" w:cs="Times New Roman"/>
                <w:color w:val="000000"/>
                <w:lang w:eastAsia="en-GB"/>
              </w:rPr>
              <w:t xml:space="preserve"> police officer cost as recommended by the Home Office is added to this reserve and the level will fluctuate from year to year depending on the number of police officer retirees.</w:t>
            </w:r>
          </w:p>
        </w:tc>
        <w:tc>
          <w:tcPr>
            <w:tcW w:w="2033" w:type="dxa"/>
            <w:tcBorders>
              <w:top w:val="nil"/>
              <w:left w:val="nil"/>
              <w:bottom w:val="single" w:sz="4" w:space="0" w:color="auto"/>
              <w:right w:val="single" w:sz="4" w:space="0" w:color="auto"/>
            </w:tcBorders>
            <w:shd w:val="clear" w:color="auto" w:fill="auto"/>
            <w:vAlign w:val="center"/>
          </w:tcPr>
          <w:p w:rsidR="00303CEA" w:rsidRPr="007438BA" w:rsidRDefault="00303CEA" w:rsidP="00303CEA">
            <w:pPr>
              <w:rPr>
                <w:rFonts w:ascii="Calibri" w:hAnsi="Calibri" w:cs="Times New Roman"/>
                <w:color w:val="000000"/>
                <w:lang w:eastAsia="en-GB"/>
              </w:rPr>
            </w:pPr>
            <w:r w:rsidRPr="007438BA">
              <w:rPr>
                <w:rFonts w:ascii="Calibri" w:hAnsi="Calibri" w:cs="Times New Roman"/>
                <w:color w:val="000000"/>
                <w:lang w:eastAsia="en-GB"/>
              </w:rPr>
              <w:t>Assessed as part of the medium term financial planning process.</w:t>
            </w:r>
          </w:p>
        </w:tc>
      </w:tr>
      <w:tr w:rsidR="00C80C35" w:rsidRPr="007438BA" w:rsidTr="00395DBB">
        <w:trPr>
          <w:trHeight w:val="482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0000"/>
                <w:lang w:eastAsia="en-GB"/>
              </w:rPr>
            </w:pPr>
            <w:r w:rsidRPr="007438BA">
              <w:rPr>
                <w:rFonts w:ascii="Calibri" w:hAnsi="Calibri" w:cs="Times New Roman"/>
                <w:b/>
                <w:bCs/>
                <w:color w:val="000000"/>
                <w:lang w:eastAsia="en-GB"/>
              </w:rPr>
              <w:t>Insurance Reserve</w:t>
            </w:r>
          </w:p>
        </w:tc>
        <w:tc>
          <w:tcPr>
            <w:tcW w:w="5972"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Provides for the self-funding of certain uninsurable risks, such as payments of compensation or damages</w:t>
            </w:r>
            <w:r>
              <w:rPr>
                <w:rFonts w:ascii="Calibri" w:hAnsi="Calibri" w:cs="Times New Roman"/>
                <w:color w:val="000000"/>
                <w:lang w:eastAsia="en-GB"/>
              </w:rPr>
              <w:t>, or below the excess level such as motor claims</w:t>
            </w:r>
            <w:r w:rsidRPr="007438BA">
              <w:rPr>
                <w:rFonts w:ascii="Calibri" w:hAnsi="Calibri" w:cs="Times New Roman"/>
                <w:color w:val="000000"/>
                <w:lang w:eastAsia="en-GB"/>
              </w:rPr>
              <w:t>. This R</w:t>
            </w:r>
            <w:r>
              <w:rPr>
                <w:rFonts w:ascii="Calibri" w:hAnsi="Calibri" w:cs="Times New Roman"/>
                <w:color w:val="000000"/>
                <w:lang w:eastAsia="en-GB"/>
              </w:rPr>
              <w:t>eserve is funded from revenue or</w:t>
            </w:r>
            <w:r w:rsidRPr="007438BA">
              <w:rPr>
                <w:rFonts w:ascii="Calibri" w:hAnsi="Calibri" w:cs="Times New Roman"/>
                <w:color w:val="000000"/>
                <w:lang w:eastAsia="en-GB"/>
              </w:rPr>
              <w:t xml:space="preserve"> transfers from other reserves and is adjusted annually, following an independent actuarial review, to reflect up to date management information on inflation and risk.</w:t>
            </w:r>
            <w:r w:rsidRPr="007438BA">
              <w:rPr>
                <w:rFonts w:ascii="Calibri" w:hAnsi="Calibri" w:cs="Times New Roman"/>
                <w:color w:val="000000"/>
                <w:lang w:eastAsia="en-GB"/>
              </w:rPr>
              <w:br/>
            </w:r>
            <w:r w:rsidRPr="007438BA">
              <w:rPr>
                <w:rFonts w:ascii="Calibri" w:hAnsi="Calibri" w:cs="Times New Roman"/>
                <w:color w:val="000000"/>
                <w:lang w:eastAsia="en-GB"/>
              </w:rPr>
              <w:br/>
              <w:t xml:space="preserve">To improve consistency in funding claims, there is a need to split claims between a provision on the Balance Sheet for the cost of claims received and outstanding; and funds held in the reserve to cover claims incurred but not received or quantified. Claims that have been reported and assessed as more likely to be settled are carried as a financial provision whilst known incidents where no claim has yet been made, are covered by the insurance reserve. The revenue account </w:t>
            </w:r>
            <w:r>
              <w:rPr>
                <w:rFonts w:ascii="Calibri" w:hAnsi="Calibri" w:cs="Times New Roman"/>
                <w:color w:val="000000"/>
                <w:lang w:eastAsia="en-GB"/>
              </w:rPr>
              <w:t xml:space="preserve">makes a contribution to the reserve each year that in-year liabilities, as they arise, are charged against. </w:t>
            </w:r>
            <w:r w:rsidRPr="007438BA">
              <w:rPr>
                <w:rFonts w:ascii="Calibri" w:hAnsi="Calibri" w:cs="Times New Roman"/>
                <w:color w:val="000000"/>
                <w:lang w:eastAsia="en-GB"/>
              </w:rPr>
              <w:t>The level of the reserve is reviewed annually.</w:t>
            </w:r>
          </w:p>
        </w:tc>
        <w:tc>
          <w:tcPr>
            <w:tcW w:w="2033"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Assessed as part of the annual insurance actuarial review.</w:t>
            </w:r>
          </w:p>
        </w:tc>
      </w:tr>
      <w:tr w:rsidR="00C80C35" w:rsidRPr="007438BA" w:rsidTr="00395DBB">
        <w:trPr>
          <w:trHeight w:val="282"/>
        </w:trPr>
        <w:tc>
          <w:tcPr>
            <w:tcW w:w="2097" w:type="dxa"/>
            <w:tcBorders>
              <w:top w:val="single" w:sz="4" w:space="0" w:color="auto"/>
              <w:left w:val="single" w:sz="4" w:space="0" w:color="auto"/>
              <w:bottom w:val="single" w:sz="4" w:space="0" w:color="auto"/>
              <w:right w:val="nil"/>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Investment</w:t>
            </w:r>
          </w:p>
        </w:tc>
        <w:tc>
          <w:tcPr>
            <w:tcW w:w="5972" w:type="dxa"/>
            <w:tcBorders>
              <w:top w:val="single" w:sz="4" w:space="0" w:color="auto"/>
              <w:left w:val="nil"/>
              <w:bottom w:val="single" w:sz="4" w:space="0" w:color="auto"/>
              <w:right w:val="nil"/>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 </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 </w:t>
            </w:r>
          </w:p>
        </w:tc>
      </w:tr>
      <w:tr w:rsidR="00C80C35" w:rsidRPr="007438BA" w:rsidTr="00395DBB">
        <w:trPr>
          <w:trHeight w:val="85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0000"/>
                <w:lang w:eastAsia="en-GB"/>
              </w:rPr>
            </w:pPr>
            <w:r w:rsidRPr="007438BA">
              <w:rPr>
                <w:rFonts w:ascii="Calibri" w:hAnsi="Calibri" w:cs="Times New Roman"/>
                <w:b/>
                <w:bCs/>
                <w:color w:val="000000"/>
                <w:lang w:eastAsia="en-GB"/>
              </w:rPr>
              <w:t>Capital Receipts Reserve</w:t>
            </w:r>
          </w:p>
        </w:tc>
        <w:tc>
          <w:tcPr>
            <w:tcW w:w="5972"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This reserve holds the proceeds from the sale of assets, and can only be used for financing capital expenditure in accordance with regulations.</w:t>
            </w:r>
          </w:p>
        </w:tc>
        <w:tc>
          <w:tcPr>
            <w:tcW w:w="2033"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Receipts from the sale of assets are taken to this reserve.</w:t>
            </w:r>
          </w:p>
        </w:tc>
      </w:tr>
      <w:tr w:rsidR="00C80C35" w:rsidRPr="007438BA" w:rsidTr="00395DBB">
        <w:trPr>
          <w:trHeight w:val="85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0000"/>
                <w:lang w:eastAsia="en-GB"/>
              </w:rPr>
            </w:pPr>
            <w:r w:rsidRPr="007438BA">
              <w:rPr>
                <w:rFonts w:ascii="Calibri" w:hAnsi="Calibri" w:cs="Times New Roman"/>
                <w:b/>
                <w:bCs/>
                <w:color w:val="000000"/>
                <w:lang w:eastAsia="en-GB"/>
              </w:rPr>
              <w:t>Capital Grants &amp; Contributions Unapplied Reserve</w:t>
            </w:r>
          </w:p>
        </w:tc>
        <w:tc>
          <w:tcPr>
            <w:tcW w:w="5972"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This reserve holds unused elements of grant and other external funding to be spend in the following financial year in line with the conditions of the grant or external funding.</w:t>
            </w:r>
          </w:p>
        </w:tc>
        <w:tc>
          <w:tcPr>
            <w:tcW w:w="2033"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As determined by the closure of accounts process.</w:t>
            </w:r>
          </w:p>
        </w:tc>
      </w:tr>
      <w:tr w:rsidR="00C80C35" w:rsidRPr="007438BA" w:rsidTr="00395DBB">
        <w:trPr>
          <w:trHeight w:val="282"/>
        </w:trPr>
        <w:tc>
          <w:tcPr>
            <w:tcW w:w="2097" w:type="dxa"/>
            <w:tcBorders>
              <w:top w:val="nil"/>
              <w:left w:val="single" w:sz="4" w:space="0" w:color="auto"/>
              <w:bottom w:val="single" w:sz="4" w:space="0" w:color="auto"/>
              <w:right w:val="nil"/>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Single Use</w:t>
            </w:r>
          </w:p>
        </w:tc>
        <w:tc>
          <w:tcPr>
            <w:tcW w:w="5972" w:type="dxa"/>
            <w:tcBorders>
              <w:top w:val="nil"/>
              <w:left w:val="nil"/>
              <w:bottom w:val="single" w:sz="4" w:space="0" w:color="auto"/>
              <w:right w:val="nil"/>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 </w:t>
            </w:r>
          </w:p>
        </w:tc>
        <w:tc>
          <w:tcPr>
            <w:tcW w:w="2033"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9999"/>
                <w:lang w:eastAsia="en-GB"/>
              </w:rPr>
            </w:pPr>
            <w:r w:rsidRPr="007438BA">
              <w:rPr>
                <w:rFonts w:ascii="Calibri" w:hAnsi="Calibri" w:cs="Times New Roman"/>
                <w:b/>
                <w:bCs/>
                <w:color w:val="009999"/>
                <w:lang w:eastAsia="en-GB"/>
              </w:rPr>
              <w:t> </w:t>
            </w:r>
          </w:p>
        </w:tc>
      </w:tr>
      <w:tr w:rsidR="00C80C35" w:rsidRPr="007438BA" w:rsidTr="00395DBB">
        <w:trPr>
          <w:trHeight w:val="85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0000"/>
                <w:lang w:eastAsia="en-GB"/>
              </w:rPr>
            </w:pPr>
            <w:r w:rsidRPr="007438BA">
              <w:rPr>
                <w:rFonts w:ascii="Calibri" w:hAnsi="Calibri" w:cs="Times New Roman"/>
                <w:b/>
                <w:bCs/>
                <w:color w:val="000000"/>
                <w:lang w:eastAsia="en-GB"/>
              </w:rPr>
              <w:t>PCC Operational Reserve</w:t>
            </w:r>
          </w:p>
        </w:tc>
        <w:tc>
          <w:tcPr>
            <w:tcW w:w="5972"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This reserve was set up to facilitate transformational change that will deliver future savings and repay investment.</w:t>
            </w:r>
          </w:p>
        </w:tc>
        <w:tc>
          <w:tcPr>
            <w:tcW w:w="2033"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Assessed as part of the medium term financial planning process.</w:t>
            </w:r>
          </w:p>
        </w:tc>
      </w:tr>
      <w:tr w:rsidR="00C80C35" w:rsidRPr="007438BA" w:rsidTr="00395DBB">
        <w:trPr>
          <w:trHeight w:val="850"/>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0000"/>
                <w:lang w:eastAsia="en-GB"/>
              </w:rPr>
            </w:pPr>
            <w:r w:rsidRPr="007438BA">
              <w:rPr>
                <w:rFonts w:ascii="Calibri" w:hAnsi="Calibri" w:cs="Times New Roman"/>
                <w:b/>
                <w:bCs/>
                <w:color w:val="000000"/>
                <w:lang w:eastAsia="en-GB"/>
              </w:rPr>
              <w:t>PCC Estate Strategy Reserve</w:t>
            </w:r>
          </w:p>
        </w:tc>
        <w:tc>
          <w:tcPr>
            <w:tcW w:w="5972"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This reserve was created to manage the transition costs involved in delivering the Estate Strategy w</w:t>
            </w:r>
            <w:r>
              <w:rPr>
                <w:rFonts w:ascii="Calibri" w:hAnsi="Calibri" w:cs="Times New Roman"/>
                <w:color w:val="000000"/>
                <w:lang w:eastAsia="en-GB"/>
              </w:rPr>
              <w:t>hich involves rationalising som</w:t>
            </w:r>
            <w:r w:rsidRPr="007438BA">
              <w:rPr>
                <w:rFonts w:ascii="Calibri" w:hAnsi="Calibri" w:cs="Times New Roman"/>
                <w:color w:val="000000"/>
                <w:lang w:eastAsia="en-GB"/>
              </w:rPr>
              <w:t>e</w:t>
            </w:r>
            <w:r>
              <w:rPr>
                <w:rFonts w:ascii="Calibri" w:hAnsi="Calibri" w:cs="Times New Roman"/>
                <w:color w:val="000000"/>
                <w:lang w:eastAsia="en-GB"/>
              </w:rPr>
              <w:t xml:space="preserve"> </w:t>
            </w:r>
            <w:r w:rsidRPr="007438BA">
              <w:rPr>
                <w:rFonts w:ascii="Calibri" w:hAnsi="Calibri" w:cs="Times New Roman"/>
                <w:color w:val="000000"/>
                <w:lang w:eastAsia="en-GB"/>
              </w:rPr>
              <w:t>of the current estate and building a new operational headquarters.</w:t>
            </w:r>
          </w:p>
        </w:tc>
        <w:tc>
          <w:tcPr>
            <w:tcW w:w="2033"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Assessed as part of the medium term financial planning process.</w:t>
            </w:r>
          </w:p>
        </w:tc>
      </w:tr>
      <w:tr w:rsidR="00C80C35" w:rsidRPr="007438BA" w:rsidTr="00395DBB">
        <w:trPr>
          <w:trHeight w:val="1133"/>
        </w:trPr>
        <w:tc>
          <w:tcPr>
            <w:tcW w:w="2097" w:type="dxa"/>
            <w:tcBorders>
              <w:top w:val="nil"/>
              <w:left w:val="single" w:sz="4" w:space="0" w:color="auto"/>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b/>
                <w:bCs/>
                <w:color w:val="000000"/>
                <w:lang w:eastAsia="en-GB"/>
              </w:rPr>
            </w:pPr>
            <w:r w:rsidRPr="007438BA">
              <w:rPr>
                <w:rFonts w:ascii="Calibri" w:hAnsi="Calibri" w:cs="Times New Roman"/>
                <w:b/>
                <w:bCs/>
                <w:color w:val="000000"/>
                <w:lang w:eastAsia="en-GB"/>
              </w:rPr>
              <w:t>PCC Cost of Change Reserve</w:t>
            </w:r>
          </w:p>
        </w:tc>
        <w:tc>
          <w:tcPr>
            <w:tcW w:w="5972"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This reserve funds projects that enhance the policing in Surrey and/or deliver savings. In practice the proposal is that any under spend from the operational budget in excess of General Reserve requirements is transfer</w:t>
            </w:r>
            <w:r>
              <w:rPr>
                <w:rFonts w:ascii="Calibri" w:hAnsi="Calibri" w:cs="Times New Roman"/>
                <w:color w:val="000000"/>
                <w:lang w:eastAsia="en-GB"/>
              </w:rPr>
              <w:t>red to this reserve at the year-</w:t>
            </w:r>
            <w:r w:rsidRPr="007438BA">
              <w:rPr>
                <w:rFonts w:ascii="Calibri" w:hAnsi="Calibri" w:cs="Times New Roman"/>
                <w:color w:val="000000"/>
                <w:lang w:eastAsia="en-GB"/>
              </w:rPr>
              <w:t>end subject to PCC approval.</w:t>
            </w:r>
          </w:p>
        </w:tc>
        <w:tc>
          <w:tcPr>
            <w:tcW w:w="2033" w:type="dxa"/>
            <w:tcBorders>
              <w:top w:val="nil"/>
              <w:left w:val="nil"/>
              <w:bottom w:val="single" w:sz="4" w:space="0" w:color="auto"/>
              <w:right w:val="single" w:sz="4" w:space="0" w:color="auto"/>
            </w:tcBorders>
            <w:shd w:val="clear" w:color="auto" w:fill="auto"/>
            <w:vAlign w:val="center"/>
            <w:hideMark/>
          </w:tcPr>
          <w:p w:rsidR="00C80C35" w:rsidRPr="007438BA" w:rsidRDefault="00C80C35" w:rsidP="00C80C35">
            <w:pPr>
              <w:rPr>
                <w:rFonts w:ascii="Calibri" w:hAnsi="Calibri" w:cs="Times New Roman"/>
                <w:color w:val="000000"/>
                <w:lang w:eastAsia="en-GB"/>
              </w:rPr>
            </w:pPr>
            <w:r w:rsidRPr="007438BA">
              <w:rPr>
                <w:rFonts w:ascii="Calibri" w:hAnsi="Calibri" w:cs="Times New Roman"/>
                <w:color w:val="000000"/>
                <w:lang w:eastAsia="en-GB"/>
              </w:rPr>
              <w:t>Assessed as part of the medium term financial planning process.</w:t>
            </w:r>
          </w:p>
        </w:tc>
      </w:tr>
      <w:tr w:rsidR="00C80C35" w:rsidRPr="007438BA" w:rsidTr="00395DBB">
        <w:trPr>
          <w:trHeight w:val="1133"/>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C80C35" w:rsidRPr="007438BA" w:rsidRDefault="00C80C35" w:rsidP="00C80C35">
            <w:pPr>
              <w:rPr>
                <w:rFonts w:ascii="Calibri" w:hAnsi="Calibri" w:cs="Times New Roman"/>
                <w:b/>
                <w:bCs/>
                <w:color w:val="000000"/>
                <w:lang w:eastAsia="en-GB"/>
              </w:rPr>
            </w:pPr>
            <w:r>
              <w:rPr>
                <w:rFonts w:ascii="Calibri" w:hAnsi="Calibri" w:cs="Times New Roman"/>
                <w:b/>
                <w:bCs/>
                <w:color w:val="000000"/>
                <w:lang w:eastAsia="en-GB"/>
              </w:rPr>
              <w:t>Covid 19 Reserve</w:t>
            </w:r>
          </w:p>
        </w:tc>
        <w:tc>
          <w:tcPr>
            <w:tcW w:w="5972" w:type="dxa"/>
            <w:tcBorders>
              <w:top w:val="single" w:sz="4" w:space="0" w:color="auto"/>
              <w:left w:val="nil"/>
              <w:bottom w:val="single" w:sz="4" w:space="0" w:color="auto"/>
              <w:right w:val="single" w:sz="4" w:space="0" w:color="auto"/>
            </w:tcBorders>
            <w:shd w:val="clear" w:color="auto" w:fill="auto"/>
            <w:vAlign w:val="center"/>
          </w:tcPr>
          <w:p w:rsidR="00C80C35" w:rsidRPr="007438BA" w:rsidRDefault="00C80C35" w:rsidP="00C80C35">
            <w:pPr>
              <w:rPr>
                <w:rFonts w:ascii="Calibri" w:hAnsi="Calibri" w:cs="Times New Roman"/>
                <w:color w:val="000000"/>
                <w:lang w:eastAsia="en-GB"/>
              </w:rPr>
            </w:pPr>
            <w:r>
              <w:rPr>
                <w:rFonts w:ascii="Calibri" w:hAnsi="Calibri" w:cs="Times New Roman"/>
                <w:color w:val="000000"/>
                <w:lang w:eastAsia="en-GB"/>
              </w:rPr>
              <w:t>This reserve was set up to facilitate additional cost pressures likely to arise in 2020/21 as a result of the Coronavirus pandemic.</w:t>
            </w:r>
          </w:p>
        </w:tc>
        <w:tc>
          <w:tcPr>
            <w:tcW w:w="2033" w:type="dxa"/>
            <w:tcBorders>
              <w:top w:val="single" w:sz="4" w:space="0" w:color="auto"/>
              <w:left w:val="nil"/>
              <w:bottom w:val="single" w:sz="4" w:space="0" w:color="auto"/>
              <w:right w:val="single" w:sz="4" w:space="0" w:color="auto"/>
            </w:tcBorders>
            <w:shd w:val="clear" w:color="auto" w:fill="auto"/>
            <w:vAlign w:val="center"/>
          </w:tcPr>
          <w:p w:rsidR="00C80C35" w:rsidRPr="007438BA" w:rsidRDefault="00C80C35" w:rsidP="00C80C35">
            <w:pPr>
              <w:rPr>
                <w:rFonts w:ascii="Calibri" w:hAnsi="Calibri" w:cs="Times New Roman"/>
                <w:color w:val="000000"/>
                <w:lang w:eastAsia="en-GB"/>
              </w:rPr>
            </w:pPr>
            <w:r>
              <w:rPr>
                <w:rFonts w:ascii="Calibri" w:hAnsi="Calibri" w:cs="Times New Roman"/>
                <w:color w:val="000000"/>
                <w:lang w:eastAsia="en-GB"/>
              </w:rPr>
              <w:t>Recommended by the closure of accounts process.</w:t>
            </w:r>
          </w:p>
        </w:tc>
      </w:tr>
    </w:tbl>
    <w:p w:rsidR="00114798" w:rsidRDefault="00114798" w:rsidP="00C80C35">
      <w:pPr>
        <w:pStyle w:val="Normal0"/>
        <w:spacing w:after="160" w:line="259" w:lineRule="auto"/>
        <w:jc w:val="both"/>
        <w:rPr>
          <w:rFonts w:ascii="Verdana" w:eastAsia="Verdana" w:hAnsi="Verdana" w:cs="Verdana"/>
          <w:b/>
          <w:sz w:val="22"/>
          <w:szCs w:val="22"/>
          <w:lang w:val="en-GB"/>
        </w:rPr>
      </w:pPr>
    </w:p>
    <w:p w:rsidR="00C80C35" w:rsidRPr="00114798" w:rsidRDefault="00C80C35" w:rsidP="00C80C35">
      <w:pPr>
        <w:pStyle w:val="Normal0"/>
        <w:spacing w:after="160" w:line="259" w:lineRule="auto"/>
        <w:jc w:val="both"/>
        <w:rPr>
          <w:rFonts w:ascii="Verdana" w:eastAsia="Verdana" w:hAnsi="Verdana" w:cs="Verdana"/>
          <w:sz w:val="22"/>
          <w:szCs w:val="22"/>
          <w:lang w:val="en-GB"/>
        </w:rPr>
      </w:pPr>
    </w:p>
    <w:p w:rsidR="00CA6653" w:rsidRDefault="00CA6653" w:rsidP="00A31A9E">
      <w:pPr>
        <w:pStyle w:val="Heading1"/>
      </w:pPr>
      <w:bookmarkStart w:id="19" w:name="_Toc55900410"/>
      <w:r w:rsidRPr="00A31A9E">
        <w:t>Note</w:t>
      </w:r>
      <w:r>
        <w:t xml:space="preserve"> 8 - Taxation and Non-Specific Grant Income</w:t>
      </w:r>
      <w:bookmarkEnd w:id="19"/>
      <w:r>
        <w:t xml:space="preserve"> </w:t>
      </w:r>
    </w:p>
    <w:p w:rsidR="00CA6653" w:rsidRDefault="00CA6653">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The group credited the following grants, contributions and donations to the Comprehensive Income and Expenditure Statement in 201</w:t>
      </w:r>
      <w:r w:rsidR="00C04F26">
        <w:rPr>
          <w:rFonts w:ascii="Verdana" w:eastAsia="Verdana" w:hAnsi="Verdana" w:cs="Verdana"/>
          <w:sz w:val="22"/>
          <w:szCs w:val="22"/>
          <w:lang w:val="en-GB"/>
        </w:rPr>
        <w:t>9</w:t>
      </w:r>
      <w:r>
        <w:rPr>
          <w:rFonts w:ascii="Verdana" w:eastAsia="Verdana" w:hAnsi="Verdana" w:cs="Verdana"/>
          <w:sz w:val="22"/>
          <w:szCs w:val="22"/>
          <w:lang w:val="en-GB"/>
        </w:rPr>
        <w:t>/</w:t>
      </w:r>
      <w:r w:rsidR="00C04F26">
        <w:rPr>
          <w:rFonts w:ascii="Verdana" w:eastAsia="Verdana" w:hAnsi="Verdana" w:cs="Verdana"/>
          <w:sz w:val="22"/>
          <w:szCs w:val="22"/>
          <w:lang w:val="en-GB"/>
        </w:rPr>
        <w:t>20</w:t>
      </w:r>
      <w:r>
        <w:rPr>
          <w:rFonts w:ascii="Verdana" w:eastAsia="Verdana" w:hAnsi="Verdana" w:cs="Verdana"/>
          <w:sz w:val="22"/>
          <w:szCs w:val="22"/>
          <w:lang w:val="en-GB"/>
        </w:rPr>
        <w:t>:</w:t>
      </w:r>
    </w:p>
    <w:tbl>
      <w:tblPr>
        <w:tblW w:w="0" w:type="auto"/>
        <w:jc w:val="center"/>
        <w:tblLayout w:type="fixed"/>
        <w:tblLook w:val="04A0" w:firstRow="1" w:lastRow="0" w:firstColumn="1" w:lastColumn="0" w:noHBand="0" w:noVBand="1"/>
      </w:tblPr>
      <w:tblGrid>
        <w:gridCol w:w="1335"/>
        <w:gridCol w:w="180"/>
        <w:gridCol w:w="3315"/>
        <w:gridCol w:w="1335"/>
      </w:tblGrid>
      <w:tr w:rsidR="004D417B" w:rsidTr="00412EE1">
        <w:trPr>
          <w:trHeight w:val="300"/>
          <w:jc w:val="center"/>
        </w:trPr>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2018/19</w:t>
            </w:r>
          </w:p>
        </w:tc>
        <w:tc>
          <w:tcPr>
            <w:tcW w:w="1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31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w:t>
            </w:r>
          </w:p>
        </w:tc>
      </w:tr>
      <w:tr w:rsidR="004D417B" w:rsidTr="00412EE1">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31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412EE1">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(118,447)</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31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Council tax income</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(130,</w:t>
            </w:r>
            <w:r w:rsidR="006E5554">
              <w:rPr>
                <w:rFonts w:ascii="Verdana" w:eastAsia="Verdana" w:hAnsi="Verdana" w:cs="Verdana"/>
                <w:color w:val="000000"/>
                <w:sz w:val="16"/>
                <w:lang w:val="en-GB"/>
              </w:rPr>
              <w:t>913</w:t>
            </w:r>
            <w:r>
              <w:rPr>
                <w:rFonts w:ascii="Verdana" w:eastAsia="Verdana" w:hAnsi="Verdana" w:cs="Verdana"/>
                <w:color w:val="000000"/>
                <w:sz w:val="16"/>
                <w:lang w:val="en-GB"/>
              </w:rPr>
              <w:t>)</w:t>
            </w:r>
          </w:p>
        </w:tc>
      </w:tr>
      <w:tr w:rsidR="004D417B" w:rsidTr="00412EE1">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(118,454)</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31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Non-ringfenced government grants</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(120,55</w:t>
            </w:r>
            <w:r w:rsidR="006E5554">
              <w:rPr>
                <w:rFonts w:ascii="Verdana" w:eastAsia="Verdana" w:hAnsi="Verdana" w:cs="Verdana"/>
                <w:color w:val="000000"/>
                <w:sz w:val="16"/>
                <w:lang w:val="en-GB"/>
              </w:rPr>
              <w:t>9</w:t>
            </w:r>
            <w:r>
              <w:rPr>
                <w:rFonts w:ascii="Verdana" w:eastAsia="Verdana" w:hAnsi="Verdana" w:cs="Verdana"/>
                <w:color w:val="000000"/>
                <w:sz w:val="16"/>
                <w:lang w:val="en-GB"/>
              </w:rPr>
              <w:t>)</w:t>
            </w:r>
          </w:p>
        </w:tc>
      </w:tr>
      <w:tr w:rsidR="004D417B" w:rsidTr="00412EE1">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31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Capital grants and contributions</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(1,345)</w:t>
            </w:r>
          </w:p>
        </w:tc>
      </w:tr>
      <w:tr w:rsidR="004D417B" w:rsidTr="00412EE1">
        <w:trPr>
          <w:trHeight w:val="31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(237,702)</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31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(252,</w:t>
            </w:r>
            <w:r w:rsidR="006E5554">
              <w:rPr>
                <w:rFonts w:ascii="Verdana" w:eastAsia="Verdana" w:hAnsi="Verdana" w:cs="Verdana"/>
                <w:b/>
                <w:color w:val="000000"/>
                <w:sz w:val="16"/>
                <w:lang w:val="en-GB"/>
              </w:rPr>
              <w:t>817</w:t>
            </w:r>
            <w:r>
              <w:rPr>
                <w:rFonts w:ascii="Verdana" w:eastAsia="Verdana" w:hAnsi="Verdana" w:cs="Verdana"/>
                <w:b/>
                <w:color w:val="000000"/>
                <w:sz w:val="16"/>
                <w:lang w:val="en-GB"/>
              </w:rPr>
              <w:t>)</w:t>
            </w:r>
          </w:p>
        </w:tc>
      </w:tr>
    </w:tbl>
    <w:p w:rsidR="00CA6653" w:rsidRDefault="00CA6653">
      <w:pPr>
        <w:pStyle w:val="T1TableStyle"/>
        <w:rPr>
          <w:rFonts w:ascii="Verdana" w:eastAsia="Verdana" w:hAnsi="Verdana" w:cs="Verdana"/>
          <w:sz w:val="22"/>
          <w:lang w:val="en-GB"/>
        </w:rPr>
      </w:pPr>
    </w:p>
    <w:p w:rsidR="00A31A9E" w:rsidRDefault="00CA6653" w:rsidP="00A31A9E">
      <w:pPr>
        <w:pStyle w:val="Heading1"/>
      </w:pPr>
      <w:bookmarkStart w:id="20" w:name="_Toc55900411"/>
      <w:r w:rsidRPr="00A31A9E">
        <w:t>Note</w:t>
      </w:r>
      <w:r w:rsidRPr="0031501D">
        <w:t xml:space="preserve"> 9 - Grant Income</w:t>
      </w:r>
      <w:bookmarkEnd w:id="20"/>
    </w:p>
    <w:p w:rsidR="004736CD" w:rsidRDefault="004736CD" w:rsidP="00A200D5">
      <w:pPr>
        <w:jc w:val="center"/>
      </w:pPr>
      <w:r w:rsidRPr="004736CD">
        <w:rPr>
          <w:noProof/>
          <w:lang w:val="en-GB" w:eastAsia="en-GB"/>
        </w:rPr>
        <w:drawing>
          <wp:inline distT="0" distB="0" distL="0" distR="0">
            <wp:extent cx="4793615" cy="4531360"/>
            <wp:effectExtent l="0" t="0" r="698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3615" cy="4531360"/>
                    </a:xfrm>
                    <a:prstGeom prst="rect">
                      <a:avLst/>
                    </a:prstGeom>
                    <a:noFill/>
                    <a:ln>
                      <a:noFill/>
                    </a:ln>
                  </pic:spPr>
                </pic:pic>
              </a:graphicData>
            </a:graphic>
          </wp:inline>
        </w:drawing>
      </w:r>
    </w:p>
    <w:p w:rsidR="004736CD" w:rsidRPr="003A7354" w:rsidRDefault="004736CD" w:rsidP="00A200D5"/>
    <w:p w:rsidR="00900264" w:rsidRDefault="00900264">
      <w:pPr>
        <w:pStyle w:val="Normal0"/>
        <w:spacing w:after="160" w:line="259" w:lineRule="auto"/>
        <w:rPr>
          <w:rFonts w:ascii="Verdana" w:eastAsia="Verdana" w:hAnsi="Verdana" w:cs="Verdana"/>
          <w:b/>
          <w:sz w:val="22"/>
          <w:szCs w:val="22"/>
          <w:lang w:val="en-GB"/>
        </w:rPr>
      </w:pPr>
    </w:p>
    <w:p w:rsidR="00CA6653" w:rsidRPr="009E19C5" w:rsidRDefault="00CA6653">
      <w:pPr>
        <w:pStyle w:val="Normal0"/>
        <w:spacing w:after="160" w:line="259" w:lineRule="auto"/>
        <w:rPr>
          <w:rFonts w:ascii="Verdana" w:eastAsia="Verdana" w:hAnsi="Verdana" w:cs="Verdana"/>
          <w:b/>
          <w:sz w:val="22"/>
          <w:szCs w:val="22"/>
          <w:lang w:val="en-GB"/>
        </w:rPr>
      </w:pPr>
      <w:r w:rsidRPr="009E19C5">
        <w:rPr>
          <w:rFonts w:ascii="Verdana" w:eastAsia="Verdana" w:hAnsi="Verdana" w:cs="Verdana"/>
          <w:b/>
          <w:sz w:val="22"/>
          <w:szCs w:val="22"/>
          <w:lang w:val="en-GB"/>
        </w:rPr>
        <w:t>Counter Terrorism</w:t>
      </w:r>
    </w:p>
    <w:p w:rsidR="00CA6653" w:rsidRDefault="00CA6653">
      <w:pPr>
        <w:pStyle w:val="Normal0"/>
        <w:spacing w:after="160" w:line="259" w:lineRule="auto"/>
        <w:rPr>
          <w:rFonts w:ascii="Verdana" w:eastAsia="Verdana" w:hAnsi="Verdana" w:cs="Verdana"/>
          <w:sz w:val="22"/>
          <w:szCs w:val="22"/>
          <w:lang w:val="en-GB"/>
        </w:rPr>
      </w:pPr>
      <w:r>
        <w:rPr>
          <w:rFonts w:ascii="Verdana" w:eastAsia="Verdana" w:hAnsi="Verdana" w:cs="Verdana"/>
          <w:sz w:val="22"/>
          <w:szCs w:val="22"/>
          <w:lang w:val="en-GB"/>
        </w:rPr>
        <w:t>A Home Office grant to cover the costs of specific counter terrorist and royalty protection posts.</w:t>
      </w:r>
    </w:p>
    <w:p w:rsidR="00CA6653" w:rsidRPr="009E19C5" w:rsidRDefault="00CA6653">
      <w:pPr>
        <w:pStyle w:val="Normal0"/>
        <w:spacing w:after="160" w:line="259" w:lineRule="auto"/>
        <w:rPr>
          <w:rFonts w:ascii="Verdana" w:eastAsia="Verdana" w:hAnsi="Verdana" w:cs="Verdana"/>
          <w:b/>
          <w:sz w:val="22"/>
          <w:szCs w:val="22"/>
          <w:lang w:val="en-GB"/>
        </w:rPr>
      </w:pPr>
      <w:r w:rsidRPr="009E19C5">
        <w:rPr>
          <w:rFonts w:ascii="Verdana" w:eastAsia="Verdana" w:hAnsi="Verdana" w:cs="Verdana"/>
          <w:b/>
          <w:sz w:val="22"/>
          <w:szCs w:val="22"/>
          <w:lang w:val="en-GB"/>
        </w:rPr>
        <w:t>Victim Support Grant</w:t>
      </w:r>
    </w:p>
    <w:p w:rsidR="00CA6653" w:rsidRDefault="00CA6653">
      <w:pPr>
        <w:pStyle w:val="Normal0"/>
        <w:spacing w:after="160" w:line="259" w:lineRule="auto"/>
        <w:rPr>
          <w:rFonts w:ascii="Verdana" w:eastAsia="Verdana" w:hAnsi="Verdana" w:cs="Verdana"/>
          <w:sz w:val="22"/>
          <w:szCs w:val="22"/>
          <w:lang w:val="en-GB"/>
        </w:rPr>
      </w:pPr>
      <w:r>
        <w:rPr>
          <w:rFonts w:ascii="Verdana" w:eastAsia="Verdana" w:hAnsi="Verdana" w:cs="Verdana"/>
          <w:sz w:val="22"/>
          <w:szCs w:val="22"/>
          <w:lang w:val="en-GB"/>
        </w:rPr>
        <w:t>A grant provided by the Ministry of Justice to provide funding for organisations and charities who are supporting victims of crime.</w:t>
      </w:r>
    </w:p>
    <w:p w:rsidR="00CA6653" w:rsidRPr="009E19C5" w:rsidRDefault="00CA6653">
      <w:pPr>
        <w:pStyle w:val="Normal0"/>
        <w:spacing w:after="160" w:line="259" w:lineRule="auto"/>
        <w:rPr>
          <w:rFonts w:ascii="Verdana" w:eastAsia="Verdana" w:hAnsi="Verdana" w:cs="Verdana"/>
          <w:b/>
          <w:sz w:val="22"/>
          <w:szCs w:val="22"/>
          <w:lang w:val="en-GB"/>
        </w:rPr>
      </w:pPr>
      <w:r w:rsidRPr="009E19C5">
        <w:rPr>
          <w:rFonts w:ascii="Verdana" w:eastAsia="Verdana" w:hAnsi="Verdana" w:cs="Verdana"/>
          <w:b/>
          <w:sz w:val="22"/>
          <w:szCs w:val="22"/>
          <w:lang w:val="en-GB"/>
        </w:rPr>
        <w:t xml:space="preserve">Home Office grant payable to the cost of retirement benefits </w:t>
      </w:r>
    </w:p>
    <w:p w:rsidR="00CA6653" w:rsidRDefault="00CA6653">
      <w:pPr>
        <w:pStyle w:val="Normal0"/>
        <w:spacing w:after="160" w:line="259" w:lineRule="auto"/>
        <w:rPr>
          <w:rFonts w:ascii="Verdana" w:eastAsia="Verdana" w:hAnsi="Verdana" w:cs="Verdana"/>
          <w:sz w:val="22"/>
          <w:szCs w:val="22"/>
          <w:lang w:val="en-GB"/>
        </w:rPr>
      </w:pPr>
      <w:r>
        <w:rPr>
          <w:rFonts w:ascii="Verdana" w:eastAsia="Verdana" w:hAnsi="Verdana" w:cs="Verdana"/>
          <w:sz w:val="22"/>
          <w:szCs w:val="22"/>
          <w:lang w:val="en-GB"/>
        </w:rPr>
        <w:t>A Home Office grant to cover the projected shortfall on the cost of police pensions under the new pensions financing arrangements which came into effect on 1st April 2006.</w:t>
      </w:r>
    </w:p>
    <w:p w:rsidR="00CA6653" w:rsidRPr="009E19C5" w:rsidRDefault="00CA6653">
      <w:pPr>
        <w:pStyle w:val="Normal0"/>
        <w:spacing w:after="160" w:line="259" w:lineRule="auto"/>
        <w:rPr>
          <w:rFonts w:ascii="Verdana" w:eastAsia="Verdana" w:hAnsi="Verdana" w:cs="Verdana"/>
          <w:b/>
          <w:sz w:val="22"/>
          <w:szCs w:val="22"/>
          <w:lang w:val="en-GB"/>
        </w:rPr>
      </w:pPr>
      <w:r w:rsidRPr="009E19C5">
        <w:rPr>
          <w:rFonts w:ascii="Verdana" w:eastAsia="Verdana" w:hAnsi="Verdana" w:cs="Verdana"/>
          <w:b/>
          <w:sz w:val="22"/>
          <w:szCs w:val="22"/>
          <w:lang w:val="en-GB"/>
        </w:rPr>
        <w:t>Council Tax Freeze Grant</w:t>
      </w:r>
    </w:p>
    <w:p w:rsidR="00CA6653" w:rsidRDefault="00CA6653">
      <w:pPr>
        <w:pStyle w:val="Normal0"/>
        <w:spacing w:after="160" w:line="259" w:lineRule="auto"/>
        <w:rPr>
          <w:rFonts w:ascii="Verdana" w:eastAsia="Verdana" w:hAnsi="Verdana" w:cs="Verdana"/>
          <w:sz w:val="22"/>
          <w:szCs w:val="22"/>
          <w:lang w:val="en-GB"/>
        </w:rPr>
      </w:pPr>
      <w:r>
        <w:rPr>
          <w:rFonts w:ascii="Verdana" w:eastAsia="Verdana" w:hAnsi="Verdana" w:cs="Verdana"/>
          <w:sz w:val="22"/>
          <w:szCs w:val="22"/>
          <w:lang w:val="en-GB"/>
        </w:rPr>
        <w:t>Government funding to compensate for reduced Council Tax Revenue.</w:t>
      </w:r>
    </w:p>
    <w:p w:rsidR="00900264" w:rsidRDefault="00900264">
      <w:pPr>
        <w:pStyle w:val="Normal0"/>
        <w:spacing w:after="160" w:line="259" w:lineRule="auto"/>
        <w:rPr>
          <w:rFonts w:ascii="Verdana" w:eastAsia="Verdana" w:hAnsi="Verdana" w:cs="Verdana"/>
          <w:sz w:val="22"/>
          <w:szCs w:val="22"/>
          <w:lang w:val="en-GB"/>
        </w:rPr>
      </w:pPr>
    </w:p>
    <w:p w:rsidR="00CA6653" w:rsidRDefault="00CA6653" w:rsidP="00A31A9E">
      <w:pPr>
        <w:pStyle w:val="Heading1"/>
      </w:pPr>
      <w:bookmarkStart w:id="21" w:name="_Toc55900412"/>
      <w:r>
        <w:t>Note 10 - Capital Expenditure and Capital Financing</w:t>
      </w:r>
      <w:bookmarkEnd w:id="21"/>
      <w:r>
        <w:t xml:space="preserve"> </w:t>
      </w:r>
    </w:p>
    <w:p w:rsidR="00CA6653" w:rsidRDefault="00CA6653" w:rsidP="00A31A9E">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This table shows details of expenditure on capital items as defined within the Accounting Policies, together with the resources that have been used to finance it. Capital expenditure increases the asset worth of the Group, as shown in the Balance Sheet and associated </w:t>
      </w:r>
      <w:r w:rsidR="00A31A9E">
        <w:rPr>
          <w:rFonts w:ascii="Verdana" w:eastAsia="Verdana" w:hAnsi="Verdana" w:cs="Verdana"/>
          <w:sz w:val="22"/>
          <w:szCs w:val="22"/>
          <w:lang w:val="en-GB"/>
        </w:rPr>
        <w:t>Property, Plant and Equipment (N</w:t>
      </w:r>
      <w:r>
        <w:rPr>
          <w:rFonts w:ascii="Verdana" w:eastAsia="Verdana" w:hAnsi="Verdana" w:cs="Verdana"/>
          <w:sz w:val="22"/>
          <w:szCs w:val="22"/>
          <w:lang w:val="en-GB"/>
        </w:rPr>
        <w:t>ote 11).</w:t>
      </w:r>
    </w:p>
    <w:p w:rsidR="00CA6653" w:rsidRDefault="00CA6653" w:rsidP="00A31A9E">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Where capital expenditure is to be financed in future years by charges to revenue as assets are used by the Group, this results in an increase in the Capital Financing Requirement, a measure of capital expenditure incurred historically by the Group that has yet to be financed. </w:t>
      </w:r>
    </w:p>
    <w:p w:rsidR="00900264" w:rsidRDefault="00900264">
      <w:pPr>
        <w:pStyle w:val="Normal0"/>
        <w:spacing w:after="160"/>
        <w:rPr>
          <w:rFonts w:ascii="Verdana" w:eastAsia="Verdana" w:hAnsi="Verdana" w:cs="Verdana"/>
          <w:sz w:val="22"/>
          <w:szCs w:val="22"/>
          <w:lang w:val="en-GB"/>
        </w:rPr>
      </w:pPr>
    </w:p>
    <w:tbl>
      <w:tblPr>
        <w:tblW w:w="0" w:type="auto"/>
        <w:jc w:val="center"/>
        <w:tblLayout w:type="fixed"/>
        <w:tblLook w:val="04A0" w:firstRow="1" w:lastRow="0" w:firstColumn="1" w:lastColumn="0" w:noHBand="0" w:noVBand="1"/>
      </w:tblPr>
      <w:tblGrid>
        <w:gridCol w:w="2025"/>
        <w:gridCol w:w="180"/>
        <w:gridCol w:w="4200"/>
        <w:gridCol w:w="2025"/>
      </w:tblGrid>
      <w:tr w:rsidR="004D417B" w:rsidTr="00412EE1">
        <w:trPr>
          <w:trHeight w:val="300"/>
          <w:jc w:val="center"/>
        </w:trPr>
        <w:tc>
          <w:tcPr>
            <w:tcW w:w="8430" w:type="dxa"/>
            <w:gridSpan w:val="4"/>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lang w:val="en-GB"/>
              </w:rPr>
            </w:pPr>
            <w:r>
              <w:rPr>
                <w:rFonts w:ascii="Verdana" w:eastAsia="Verdana" w:hAnsi="Verdana" w:cs="Verdana"/>
                <w:b/>
                <w:color w:val="000000"/>
                <w:lang w:val="en-GB"/>
              </w:rPr>
              <w:t xml:space="preserve">Capital Expenditure and Capital Financing </w:t>
            </w:r>
          </w:p>
        </w:tc>
      </w:tr>
      <w:tr w:rsidR="004D417B" w:rsidTr="00412EE1">
        <w:trPr>
          <w:trHeight w:hRule="exact" w:val="300"/>
          <w:jc w:val="center"/>
        </w:trPr>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412EE1">
        <w:trPr>
          <w:trHeight w:val="300"/>
          <w:jc w:val="center"/>
        </w:trPr>
        <w:tc>
          <w:tcPr>
            <w:tcW w:w="202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02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412EE1">
        <w:trPr>
          <w:trHeight w:val="300"/>
          <w:jc w:val="center"/>
        </w:trPr>
        <w:tc>
          <w:tcPr>
            <w:tcW w:w="20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0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Pr="00A200D5" w:rsidRDefault="00CA6653" w:rsidP="007C358B">
            <w:pPr>
              <w:pStyle w:val="T1TableStyle"/>
              <w:jc w:val="right"/>
              <w:rPr>
                <w:rFonts w:ascii="Verdana" w:eastAsia="Verdana" w:hAnsi="Verdana" w:cs="Verdana"/>
                <w:b/>
                <w:color w:val="000000"/>
                <w:sz w:val="16"/>
                <w:lang w:val="en-GB"/>
              </w:rPr>
            </w:pPr>
            <w:r w:rsidRPr="00A200D5">
              <w:rPr>
                <w:rFonts w:ascii="Verdana" w:eastAsia="Verdana" w:hAnsi="Verdana" w:cs="Verdana"/>
                <w:b/>
                <w:color w:val="000000"/>
                <w:sz w:val="16"/>
                <w:lang w:val="en-GB"/>
              </w:rPr>
              <w:t>7,6</w:t>
            </w:r>
            <w:r w:rsidR="007C358B" w:rsidRPr="00A200D5">
              <w:rPr>
                <w:rFonts w:ascii="Verdana" w:eastAsia="Verdana" w:hAnsi="Verdana" w:cs="Verdana"/>
                <w:b/>
                <w:color w:val="000000"/>
                <w:sz w:val="16"/>
                <w:lang w:val="en-GB"/>
              </w:rPr>
              <w:t>70</w:t>
            </w:r>
          </w:p>
        </w:tc>
        <w:tc>
          <w:tcPr>
            <w:tcW w:w="180" w:type="dxa"/>
            <w:shd w:val="clear" w:color="auto" w:fill="auto"/>
            <w:tcMar>
              <w:top w:w="20" w:type="dxa"/>
              <w:left w:w="20" w:type="dxa"/>
              <w:bottom w:w="20" w:type="dxa"/>
              <w:right w:w="20" w:type="dxa"/>
            </w:tcMar>
          </w:tcPr>
          <w:p w:rsidR="00CA6653" w:rsidRPr="00F10514" w:rsidRDefault="00CA6653">
            <w:pPr>
              <w:pStyle w:val="T1TableStyle"/>
              <w:jc w:val="right"/>
              <w:rPr>
                <w:rFonts w:ascii="Verdana" w:eastAsia="Verdana" w:hAnsi="Verdana" w:cs="Verdana"/>
                <w:b/>
                <w:color w:val="000000"/>
                <w:sz w:val="2"/>
                <w:lang w:val="en-GB"/>
              </w:rPr>
            </w:pPr>
            <w:r w:rsidRPr="00F10514">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Pr="00A200D5" w:rsidRDefault="00CA6653">
            <w:pPr>
              <w:pStyle w:val="T1TableStyle"/>
              <w:rPr>
                <w:rFonts w:ascii="Verdana" w:eastAsia="Verdana" w:hAnsi="Verdana" w:cs="Verdana"/>
                <w:b/>
                <w:color w:val="000000"/>
                <w:sz w:val="16"/>
                <w:lang w:val="en-GB"/>
              </w:rPr>
            </w:pPr>
            <w:r w:rsidRPr="00A200D5">
              <w:rPr>
                <w:rFonts w:ascii="Verdana" w:eastAsia="Verdana" w:hAnsi="Verdana" w:cs="Verdana"/>
                <w:b/>
                <w:color w:val="000000"/>
                <w:sz w:val="16"/>
                <w:lang w:val="en-GB"/>
              </w:rPr>
              <w:t>Opening Capital Financing Requirement</w:t>
            </w:r>
          </w:p>
        </w:tc>
        <w:tc>
          <w:tcPr>
            <w:tcW w:w="2025" w:type="dxa"/>
            <w:shd w:val="clear" w:color="auto" w:fill="auto"/>
            <w:tcMar>
              <w:top w:w="20" w:type="dxa"/>
              <w:left w:w="20" w:type="dxa"/>
              <w:bottom w:w="20" w:type="dxa"/>
              <w:right w:w="20" w:type="dxa"/>
            </w:tcMar>
          </w:tcPr>
          <w:p w:rsidR="00CA6653" w:rsidRPr="00A200D5" w:rsidRDefault="00900264" w:rsidP="007C358B">
            <w:pPr>
              <w:pStyle w:val="T1TableStyle"/>
              <w:jc w:val="right"/>
              <w:rPr>
                <w:rFonts w:ascii="Verdana" w:eastAsia="Verdana" w:hAnsi="Verdana" w:cs="Verdana"/>
                <w:b/>
                <w:color w:val="000000"/>
                <w:sz w:val="16"/>
                <w:lang w:val="en-GB"/>
              </w:rPr>
            </w:pPr>
            <w:r w:rsidRPr="00A200D5">
              <w:rPr>
                <w:rFonts w:ascii="Verdana" w:eastAsia="Verdana" w:hAnsi="Verdana" w:cs="Verdana"/>
                <w:b/>
                <w:color w:val="000000"/>
                <w:sz w:val="16"/>
                <w:lang w:val="en-GB"/>
              </w:rPr>
              <w:t>28,24</w:t>
            </w:r>
            <w:r w:rsidR="007C358B" w:rsidRPr="00A200D5">
              <w:rPr>
                <w:rFonts w:ascii="Verdana" w:eastAsia="Verdana" w:hAnsi="Verdana" w:cs="Verdana"/>
                <w:b/>
                <w:color w:val="000000"/>
                <w:sz w:val="16"/>
                <w:lang w:val="en-GB"/>
              </w:rPr>
              <w:t>5</w:t>
            </w:r>
          </w:p>
        </w:tc>
      </w:tr>
      <w:tr w:rsidR="004D417B" w:rsidTr="00412EE1">
        <w:trPr>
          <w:trHeight w:hRule="exact" w:val="300"/>
          <w:jc w:val="center"/>
        </w:trPr>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Capital Investment:</w:t>
            </w:r>
          </w:p>
        </w:tc>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29,634</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Property Plant and Equipment</w:t>
            </w:r>
          </w:p>
        </w:tc>
        <w:tc>
          <w:tcPr>
            <w:tcW w:w="2025" w:type="dxa"/>
            <w:shd w:val="clear" w:color="auto" w:fill="auto"/>
            <w:tcMar>
              <w:top w:w="20" w:type="dxa"/>
              <w:left w:w="20" w:type="dxa"/>
              <w:bottom w:w="20" w:type="dxa"/>
              <w:right w:w="20" w:type="dxa"/>
            </w:tcMar>
          </w:tcPr>
          <w:p w:rsidR="00CA6653" w:rsidRDefault="003C336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7,561</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476</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Intangible Assets</w:t>
            </w:r>
          </w:p>
        </w:tc>
        <w:tc>
          <w:tcPr>
            <w:tcW w:w="2025" w:type="dxa"/>
            <w:shd w:val="clear" w:color="auto" w:fill="auto"/>
            <w:tcMar>
              <w:top w:w="20" w:type="dxa"/>
              <w:left w:w="20" w:type="dxa"/>
              <w:bottom w:w="20" w:type="dxa"/>
              <w:right w:w="20" w:type="dxa"/>
            </w:tcMar>
          </w:tcPr>
          <w:p w:rsidR="00CA6653" w:rsidRDefault="003C336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1,846</w:t>
            </w:r>
          </w:p>
        </w:tc>
      </w:tr>
      <w:tr w:rsidR="004D417B" w:rsidTr="00412EE1">
        <w:trPr>
          <w:trHeight w:val="300"/>
          <w:jc w:val="center"/>
        </w:trPr>
        <w:tc>
          <w:tcPr>
            <w:tcW w:w="2025"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30,110</w:t>
            </w:r>
          </w:p>
        </w:tc>
        <w:tc>
          <w:tcPr>
            <w:tcW w:w="180"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Capital Spending</w:t>
            </w:r>
          </w:p>
        </w:tc>
        <w:tc>
          <w:tcPr>
            <w:tcW w:w="2025" w:type="dxa"/>
            <w:tcBorders>
              <w:top w:val="single" w:sz="2" w:space="0" w:color="000000"/>
            </w:tcBorders>
            <w:shd w:val="clear" w:color="auto" w:fill="auto"/>
            <w:tcMar>
              <w:top w:w="20" w:type="dxa"/>
              <w:left w:w="20" w:type="dxa"/>
              <w:bottom w:w="20" w:type="dxa"/>
              <w:right w:w="20" w:type="dxa"/>
            </w:tcMar>
          </w:tcPr>
          <w:p w:rsidR="00CA6653" w:rsidRDefault="0090026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9,40</w:t>
            </w:r>
            <w:r w:rsidR="003C336A">
              <w:rPr>
                <w:rFonts w:ascii="Verdana" w:eastAsia="Verdana" w:hAnsi="Verdana" w:cs="Verdana"/>
                <w:b/>
                <w:color w:val="000000"/>
                <w:sz w:val="16"/>
                <w:lang w:val="en-GB"/>
              </w:rPr>
              <w:t>7</w:t>
            </w:r>
          </w:p>
        </w:tc>
      </w:tr>
      <w:tr w:rsidR="004D417B" w:rsidTr="00412EE1">
        <w:trPr>
          <w:trHeight w:hRule="exact" w:val="300"/>
          <w:jc w:val="center"/>
        </w:trPr>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Sources of Finance:</w:t>
            </w:r>
          </w:p>
        </w:tc>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(5,832)</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Capital receipts</w:t>
            </w:r>
          </w:p>
        </w:tc>
        <w:tc>
          <w:tcPr>
            <w:tcW w:w="2025" w:type="dxa"/>
            <w:shd w:val="clear" w:color="auto" w:fill="auto"/>
            <w:tcMar>
              <w:top w:w="20" w:type="dxa"/>
              <w:left w:w="20" w:type="dxa"/>
              <w:bottom w:w="20" w:type="dxa"/>
              <w:right w:w="20" w:type="dxa"/>
            </w:tcMar>
          </w:tcPr>
          <w:p w:rsidR="00CA6653" w:rsidRDefault="0090026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(4,266)</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Government Grants and other contributions</w:t>
            </w:r>
          </w:p>
        </w:tc>
        <w:tc>
          <w:tcPr>
            <w:tcW w:w="2025" w:type="dxa"/>
            <w:shd w:val="clear" w:color="auto" w:fill="auto"/>
            <w:tcMar>
              <w:top w:w="20" w:type="dxa"/>
              <w:left w:w="20" w:type="dxa"/>
              <w:bottom w:w="20" w:type="dxa"/>
              <w:right w:w="20" w:type="dxa"/>
            </w:tcMar>
          </w:tcPr>
          <w:p w:rsidR="00CA6653" w:rsidRDefault="0090026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3C336A">
              <w:rPr>
                <w:rFonts w:ascii="Verdana" w:eastAsia="Verdana" w:hAnsi="Verdana" w:cs="Verdana"/>
                <w:color w:val="000000"/>
                <w:sz w:val="16"/>
                <w:lang w:val="en-GB"/>
              </w:rPr>
              <w:t>64</w:t>
            </w:r>
            <w:r w:rsidR="0069772D">
              <w:rPr>
                <w:rFonts w:ascii="Verdana" w:eastAsia="Verdana" w:hAnsi="Verdana" w:cs="Verdana"/>
                <w:color w:val="000000"/>
                <w:sz w:val="16"/>
                <w:lang w:val="en-GB"/>
              </w:rPr>
              <w:t>5</w:t>
            </w:r>
            <w:r w:rsidR="00CA6653">
              <w:rPr>
                <w:rFonts w:ascii="Verdana" w:eastAsia="Verdana" w:hAnsi="Verdana" w:cs="Verdana"/>
                <w:color w:val="000000"/>
                <w:sz w:val="16"/>
                <w:lang w:val="en-GB"/>
              </w:rPr>
              <w:t>)</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Sums set aside from revenue:</w:t>
            </w:r>
          </w:p>
        </w:tc>
        <w:tc>
          <w:tcPr>
            <w:tcW w:w="20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(2,487)</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 Direct revenue contributions</w:t>
            </w:r>
          </w:p>
        </w:tc>
        <w:tc>
          <w:tcPr>
            <w:tcW w:w="20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w:t>
            </w:r>
            <w:r w:rsidR="003C336A">
              <w:rPr>
                <w:rFonts w:ascii="Verdana" w:eastAsia="Verdana" w:hAnsi="Verdana" w:cs="Verdana"/>
                <w:color w:val="000000"/>
                <w:sz w:val="16"/>
                <w:lang w:val="en-GB"/>
              </w:rPr>
              <w:t>496</w:t>
            </w:r>
            <w:r>
              <w:rPr>
                <w:rFonts w:ascii="Verdana" w:eastAsia="Verdana" w:hAnsi="Verdana" w:cs="Verdana"/>
                <w:color w:val="000000"/>
                <w:sz w:val="16"/>
                <w:lang w:val="en-GB"/>
              </w:rPr>
              <w:t>)</w:t>
            </w:r>
          </w:p>
        </w:tc>
      </w:tr>
      <w:tr w:rsidR="004D417B" w:rsidTr="00412EE1">
        <w:trPr>
          <w:trHeight w:val="300"/>
          <w:jc w:val="center"/>
        </w:trPr>
        <w:tc>
          <w:tcPr>
            <w:tcW w:w="20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(415)</w:t>
            </w:r>
          </w:p>
        </w:tc>
        <w:tc>
          <w:tcPr>
            <w:tcW w:w="18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 Minimum revenue provision</w:t>
            </w:r>
          </w:p>
        </w:tc>
        <w:tc>
          <w:tcPr>
            <w:tcW w:w="202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69772D">
              <w:rPr>
                <w:rFonts w:ascii="Verdana" w:eastAsia="Verdana" w:hAnsi="Verdana" w:cs="Verdana"/>
                <w:color w:val="000000"/>
                <w:sz w:val="16"/>
                <w:lang w:val="en-GB"/>
              </w:rPr>
              <w:t>1</w:t>
            </w:r>
            <w:r w:rsidR="00BF1530">
              <w:rPr>
                <w:rFonts w:ascii="Verdana" w:eastAsia="Verdana" w:hAnsi="Verdana" w:cs="Verdana"/>
                <w:color w:val="000000"/>
                <w:sz w:val="16"/>
                <w:lang w:val="en-GB"/>
              </w:rPr>
              <w:t>,</w:t>
            </w:r>
            <w:r w:rsidR="0069772D">
              <w:rPr>
                <w:rFonts w:ascii="Verdana" w:eastAsia="Verdana" w:hAnsi="Verdana" w:cs="Verdana"/>
                <w:color w:val="000000"/>
                <w:sz w:val="16"/>
                <w:lang w:val="en-GB"/>
              </w:rPr>
              <w:t>3</w:t>
            </w:r>
            <w:r w:rsidR="003C336A">
              <w:rPr>
                <w:rFonts w:ascii="Verdana" w:eastAsia="Verdana" w:hAnsi="Verdana" w:cs="Verdana"/>
                <w:color w:val="000000"/>
                <w:sz w:val="16"/>
                <w:lang w:val="en-GB"/>
              </w:rPr>
              <w:t>6</w:t>
            </w:r>
            <w:r w:rsidR="00932E28">
              <w:rPr>
                <w:rFonts w:ascii="Verdana" w:eastAsia="Verdana" w:hAnsi="Verdana" w:cs="Verdana"/>
                <w:color w:val="000000"/>
                <w:sz w:val="16"/>
                <w:lang w:val="en-GB"/>
              </w:rPr>
              <w:t>7</w:t>
            </w:r>
            <w:r>
              <w:rPr>
                <w:rFonts w:ascii="Verdana" w:eastAsia="Verdana" w:hAnsi="Verdana" w:cs="Verdana"/>
                <w:color w:val="000000"/>
                <w:sz w:val="16"/>
                <w:lang w:val="en-GB"/>
              </w:rPr>
              <w:t>)</w:t>
            </w:r>
          </w:p>
        </w:tc>
      </w:tr>
      <w:tr w:rsidR="004D417B" w:rsidTr="00412EE1">
        <w:trPr>
          <w:trHeight w:val="300"/>
          <w:jc w:val="center"/>
        </w:trPr>
        <w:tc>
          <w:tcPr>
            <w:tcW w:w="2025"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(9,535)</w:t>
            </w:r>
          </w:p>
        </w:tc>
        <w:tc>
          <w:tcPr>
            <w:tcW w:w="180"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Sources of Finance</w:t>
            </w:r>
          </w:p>
        </w:tc>
        <w:tc>
          <w:tcPr>
            <w:tcW w:w="2025"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900264">
              <w:rPr>
                <w:rFonts w:ascii="Verdana" w:eastAsia="Verdana" w:hAnsi="Verdana" w:cs="Verdana"/>
                <w:b/>
                <w:color w:val="000000"/>
                <w:sz w:val="16"/>
                <w:lang w:val="en-GB"/>
              </w:rPr>
              <w:t>1</w:t>
            </w:r>
            <w:r w:rsidR="003C336A">
              <w:rPr>
                <w:rFonts w:ascii="Verdana" w:eastAsia="Verdana" w:hAnsi="Verdana" w:cs="Verdana"/>
                <w:b/>
                <w:color w:val="000000"/>
                <w:sz w:val="16"/>
                <w:lang w:val="en-GB"/>
              </w:rPr>
              <w:t>0</w:t>
            </w:r>
            <w:r w:rsidR="00900264">
              <w:rPr>
                <w:rFonts w:ascii="Verdana" w:eastAsia="Verdana" w:hAnsi="Verdana" w:cs="Verdana"/>
                <w:b/>
                <w:color w:val="000000"/>
                <w:sz w:val="16"/>
                <w:lang w:val="en-GB"/>
              </w:rPr>
              <w:t>,</w:t>
            </w:r>
            <w:r w:rsidR="003C336A">
              <w:rPr>
                <w:rFonts w:ascii="Verdana" w:eastAsia="Verdana" w:hAnsi="Verdana" w:cs="Verdana"/>
                <w:b/>
                <w:color w:val="000000"/>
                <w:sz w:val="16"/>
                <w:lang w:val="en-GB"/>
              </w:rPr>
              <w:t>774</w:t>
            </w:r>
            <w:r>
              <w:rPr>
                <w:rFonts w:ascii="Verdana" w:eastAsia="Verdana" w:hAnsi="Verdana" w:cs="Verdana"/>
                <w:b/>
                <w:color w:val="000000"/>
                <w:sz w:val="16"/>
                <w:lang w:val="en-GB"/>
              </w:rPr>
              <w:t>)</w:t>
            </w:r>
          </w:p>
        </w:tc>
      </w:tr>
      <w:tr w:rsidR="004D417B" w:rsidTr="00412EE1">
        <w:trPr>
          <w:trHeight w:val="315"/>
          <w:jc w:val="center"/>
        </w:trPr>
        <w:tc>
          <w:tcPr>
            <w:tcW w:w="202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7C358B">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28,245</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420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Closing Capital Financing Requirement</w:t>
            </w:r>
          </w:p>
        </w:tc>
        <w:tc>
          <w:tcPr>
            <w:tcW w:w="202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90026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2</w:t>
            </w:r>
            <w:r w:rsidR="0069772D">
              <w:rPr>
                <w:rFonts w:ascii="Verdana" w:eastAsia="Verdana" w:hAnsi="Verdana" w:cs="Verdana"/>
                <w:b/>
                <w:color w:val="000000"/>
                <w:sz w:val="16"/>
                <w:lang w:val="en-GB"/>
              </w:rPr>
              <w:t>6</w:t>
            </w:r>
            <w:r>
              <w:rPr>
                <w:rFonts w:ascii="Verdana" w:eastAsia="Verdana" w:hAnsi="Verdana" w:cs="Verdana"/>
                <w:b/>
                <w:color w:val="000000"/>
                <w:sz w:val="16"/>
                <w:lang w:val="en-GB"/>
              </w:rPr>
              <w:t>,</w:t>
            </w:r>
            <w:r w:rsidR="003C336A">
              <w:rPr>
                <w:rFonts w:ascii="Verdana" w:eastAsia="Verdana" w:hAnsi="Verdana" w:cs="Verdana"/>
                <w:b/>
                <w:color w:val="000000"/>
                <w:sz w:val="16"/>
                <w:lang w:val="en-GB"/>
              </w:rPr>
              <w:t>878</w:t>
            </w:r>
          </w:p>
        </w:tc>
      </w:tr>
    </w:tbl>
    <w:p w:rsidR="00CA6653" w:rsidRDefault="00CA6653">
      <w:pPr>
        <w:pStyle w:val="T1TableStyle"/>
        <w:rPr>
          <w:rFonts w:ascii="Verdana" w:eastAsia="Verdana" w:hAnsi="Verdana" w:cs="Verdana"/>
          <w:sz w:val="22"/>
          <w:lang w:val="en-GB"/>
        </w:rPr>
      </w:pPr>
    </w:p>
    <w:p w:rsidR="00CA6653" w:rsidRDefault="00CA6653" w:rsidP="00CA6653">
      <w:pPr>
        <w:pStyle w:val="Normal0"/>
        <w:spacing w:after="160"/>
        <w:rPr>
          <w:rFonts w:ascii="Verdana" w:hAnsi="Verdana"/>
          <w:sz w:val="22"/>
          <w:szCs w:val="22"/>
          <w:lang w:val="en-GB"/>
        </w:rPr>
        <w:sectPr w:rsidR="00CA6653" w:rsidSect="00CA6653">
          <w:pgSz w:w="11900" w:h="16840"/>
          <w:pgMar w:top="720" w:right="720" w:bottom="720" w:left="720" w:header="708" w:footer="708" w:gutter="0"/>
          <w:cols w:space="708"/>
          <w:docGrid w:linePitch="360"/>
        </w:sectPr>
      </w:pPr>
    </w:p>
    <w:p w:rsidR="00CA6653" w:rsidRPr="00223A32" w:rsidRDefault="00CA6653" w:rsidP="00A31A9E">
      <w:pPr>
        <w:pStyle w:val="Heading1"/>
      </w:pPr>
      <w:bookmarkStart w:id="22" w:name="_Toc55900413"/>
      <w:r w:rsidRPr="00223A32">
        <w:t>Note 11 - Property, Plant and Equipment</w:t>
      </w:r>
      <w:bookmarkEnd w:id="22"/>
      <w:r w:rsidRPr="00223A32">
        <w:t xml:space="preserve"> </w:t>
      </w:r>
    </w:p>
    <w:p w:rsidR="00CA6653" w:rsidRPr="00223A32" w:rsidRDefault="00223F80" w:rsidP="00A200D5">
      <w:pPr>
        <w:pStyle w:val="Normal0"/>
        <w:spacing w:after="160" w:line="259" w:lineRule="auto"/>
        <w:jc w:val="both"/>
        <w:rPr>
          <w:rFonts w:ascii="Verdana" w:eastAsia="Verdana" w:hAnsi="Verdana" w:cs="Verdana"/>
          <w:sz w:val="22"/>
          <w:szCs w:val="22"/>
          <w:lang w:val="en-GB"/>
        </w:rPr>
      </w:pPr>
      <w:r>
        <w:rPr>
          <w:rFonts w:ascii="Verdana" w:eastAsia="Verdana" w:hAnsi="Verdana" w:cs="Verdana"/>
          <w:sz w:val="22"/>
          <w:szCs w:val="22"/>
          <w:lang w:val="en-GB"/>
        </w:rPr>
        <w:t>The balance sheet shows assets at fair value by consider</w:t>
      </w:r>
      <w:r w:rsidR="006B744E">
        <w:rPr>
          <w:rFonts w:ascii="Verdana" w:eastAsia="Verdana" w:hAnsi="Verdana" w:cs="Verdana"/>
          <w:sz w:val="22"/>
          <w:szCs w:val="22"/>
          <w:lang w:val="en-GB"/>
        </w:rPr>
        <w:t>ing</w:t>
      </w:r>
      <w:r>
        <w:rPr>
          <w:rFonts w:ascii="Verdana" w:eastAsia="Verdana" w:hAnsi="Verdana" w:cs="Verdana"/>
          <w:sz w:val="22"/>
          <w:szCs w:val="22"/>
          <w:lang w:val="en-GB"/>
        </w:rPr>
        <w:t xml:space="preserve"> their initial valuation plus additions for capital expenditure in the year, revaluation adjustments less disposals and depreciation. This value is shown for the purposes of capital accounting requirements and does not purport to represent the market values of the assets. </w:t>
      </w:r>
      <w:r w:rsidR="00CA6653" w:rsidRPr="00223A32">
        <w:rPr>
          <w:rFonts w:ascii="Verdana" w:eastAsia="Verdana" w:hAnsi="Verdana" w:cs="Verdana"/>
          <w:sz w:val="22"/>
          <w:szCs w:val="22"/>
          <w:lang w:val="en-GB"/>
        </w:rPr>
        <w:t>Changes in Non-Current Assets are summarised below:</w:t>
      </w:r>
    </w:p>
    <w:tbl>
      <w:tblPr>
        <w:tblW w:w="0" w:type="auto"/>
        <w:jc w:val="center"/>
        <w:tblLayout w:type="fixed"/>
        <w:tblLook w:val="04A0" w:firstRow="1" w:lastRow="0" w:firstColumn="1" w:lastColumn="0" w:noHBand="0" w:noVBand="1"/>
      </w:tblPr>
      <w:tblGrid>
        <w:gridCol w:w="2805"/>
        <w:gridCol w:w="1230"/>
        <w:gridCol w:w="1230"/>
        <w:gridCol w:w="1230"/>
        <w:gridCol w:w="1230"/>
        <w:gridCol w:w="1230"/>
      </w:tblGrid>
      <w:tr w:rsidR="00485158" w:rsidRPr="00485158" w:rsidTr="00A200D5">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Movements to 31 March 2020</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r>
      <w:tr w:rsidR="00485158" w:rsidRPr="00485158" w:rsidTr="00A200D5">
        <w:trPr>
          <w:trHeight w:val="255"/>
          <w:jc w:val="center"/>
        </w:trPr>
        <w:tc>
          <w:tcPr>
            <w:tcW w:w="2805" w:type="dxa"/>
            <w:tcBorders>
              <w:bottom w:val="single" w:sz="4" w:space="0" w:color="auto"/>
            </w:tcBorders>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p>
        </w:tc>
        <w:tc>
          <w:tcPr>
            <w:tcW w:w="1230" w:type="dxa"/>
            <w:tcBorders>
              <w:bottom w:val="single" w:sz="4" w:space="0" w:color="auto"/>
            </w:tcBorders>
            <w:shd w:val="clear" w:color="auto" w:fill="auto"/>
            <w:tcMar>
              <w:top w:w="20" w:type="dxa"/>
              <w:left w:w="20" w:type="dxa"/>
              <w:bottom w:w="20" w:type="dxa"/>
              <w:right w:w="20" w:type="dxa"/>
            </w:tcMar>
          </w:tcPr>
          <w:p w:rsidR="00485158" w:rsidRPr="00485158" w:rsidRDefault="00485158" w:rsidP="00A200D5">
            <w:pPr>
              <w:jc w:val="center"/>
              <w:rPr>
                <w:rFonts w:eastAsia="Verdana" w:cs="Verdana"/>
                <w:b/>
                <w:color w:val="000000"/>
                <w:sz w:val="16"/>
                <w:lang w:val="en-GB"/>
              </w:rPr>
            </w:pPr>
            <w:r w:rsidRPr="00485158">
              <w:rPr>
                <w:rFonts w:eastAsia="Verdana" w:cs="Verdana"/>
                <w:b/>
                <w:color w:val="000000"/>
                <w:sz w:val="16"/>
                <w:lang w:val="en-GB"/>
              </w:rPr>
              <w:t>Land  and Buildings</w:t>
            </w:r>
          </w:p>
        </w:tc>
        <w:tc>
          <w:tcPr>
            <w:tcW w:w="1230" w:type="dxa"/>
            <w:tcBorders>
              <w:bottom w:val="single" w:sz="4" w:space="0" w:color="auto"/>
            </w:tcBorders>
            <w:shd w:val="clear" w:color="auto" w:fill="auto"/>
            <w:tcMar>
              <w:top w:w="20" w:type="dxa"/>
              <w:left w:w="20" w:type="dxa"/>
              <w:bottom w:w="20" w:type="dxa"/>
              <w:right w:w="20" w:type="dxa"/>
            </w:tcMar>
          </w:tcPr>
          <w:p w:rsidR="00485158" w:rsidRPr="00485158" w:rsidRDefault="00485158" w:rsidP="00A200D5">
            <w:pPr>
              <w:jc w:val="center"/>
              <w:rPr>
                <w:rFonts w:eastAsia="Verdana" w:cs="Verdana"/>
                <w:b/>
                <w:color w:val="000000"/>
                <w:sz w:val="16"/>
                <w:lang w:val="en-GB"/>
              </w:rPr>
            </w:pPr>
            <w:r w:rsidRPr="00485158">
              <w:rPr>
                <w:rFonts w:eastAsia="Verdana" w:cs="Verdana"/>
                <w:b/>
                <w:color w:val="000000"/>
                <w:sz w:val="16"/>
                <w:lang w:val="en-GB"/>
              </w:rPr>
              <w:t>Vehicles, Plant, Furniture &amp; Equipment</w:t>
            </w:r>
          </w:p>
        </w:tc>
        <w:tc>
          <w:tcPr>
            <w:tcW w:w="1230" w:type="dxa"/>
            <w:tcBorders>
              <w:bottom w:val="single" w:sz="4" w:space="0" w:color="auto"/>
            </w:tcBorders>
            <w:shd w:val="clear" w:color="auto" w:fill="auto"/>
            <w:tcMar>
              <w:top w:w="20" w:type="dxa"/>
              <w:left w:w="20" w:type="dxa"/>
              <w:bottom w:w="20" w:type="dxa"/>
              <w:right w:w="20" w:type="dxa"/>
            </w:tcMar>
          </w:tcPr>
          <w:p w:rsidR="00485158" w:rsidRPr="00485158" w:rsidRDefault="00485158" w:rsidP="00A200D5">
            <w:pPr>
              <w:jc w:val="center"/>
              <w:rPr>
                <w:rFonts w:eastAsia="Verdana" w:cs="Verdana"/>
                <w:b/>
                <w:color w:val="000000"/>
                <w:sz w:val="16"/>
                <w:lang w:val="en-GB"/>
              </w:rPr>
            </w:pPr>
            <w:r w:rsidRPr="00485158">
              <w:rPr>
                <w:rFonts w:eastAsia="Verdana" w:cs="Verdana"/>
                <w:b/>
                <w:color w:val="000000"/>
                <w:sz w:val="16"/>
                <w:lang w:val="en-GB"/>
              </w:rPr>
              <w:t>Surplus Assets</w:t>
            </w:r>
          </w:p>
        </w:tc>
        <w:tc>
          <w:tcPr>
            <w:tcW w:w="1230" w:type="dxa"/>
            <w:tcBorders>
              <w:bottom w:val="single" w:sz="4" w:space="0" w:color="auto"/>
            </w:tcBorders>
            <w:shd w:val="clear" w:color="auto" w:fill="auto"/>
            <w:tcMar>
              <w:top w:w="20" w:type="dxa"/>
              <w:left w:w="20" w:type="dxa"/>
              <w:bottom w:w="20" w:type="dxa"/>
              <w:right w:w="20" w:type="dxa"/>
            </w:tcMar>
          </w:tcPr>
          <w:p w:rsidR="00485158" w:rsidRPr="00485158" w:rsidRDefault="00485158" w:rsidP="00A200D5">
            <w:pPr>
              <w:jc w:val="center"/>
              <w:rPr>
                <w:rFonts w:eastAsia="Verdana" w:cs="Verdana"/>
                <w:b/>
                <w:color w:val="000000"/>
                <w:sz w:val="16"/>
                <w:lang w:val="en-GB"/>
              </w:rPr>
            </w:pPr>
            <w:r w:rsidRPr="00485158">
              <w:rPr>
                <w:rFonts w:eastAsia="Verdana" w:cs="Verdana"/>
                <w:b/>
                <w:color w:val="000000"/>
                <w:sz w:val="16"/>
                <w:lang w:val="en-GB"/>
              </w:rPr>
              <w:t>Assets Under Construction</w:t>
            </w:r>
          </w:p>
        </w:tc>
        <w:tc>
          <w:tcPr>
            <w:tcW w:w="1230" w:type="dxa"/>
            <w:tcBorders>
              <w:bottom w:val="single" w:sz="4" w:space="0" w:color="auto"/>
            </w:tcBorders>
            <w:shd w:val="clear" w:color="auto" w:fill="auto"/>
            <w:tcMar>
              <w:top w:w="20" w:type="dxa"/>
              <w:left w:w="20" w:type="dxa"/>
              <w:bottom w:w="20" w:type="dxa"/>
              <w:right w:w="20" w:type="dxa"/>
            </w:tcMar>
          </w:tcPr>
          <w:p w:rsidR="00485158" w:rsidRPr="00485158" w:rsidRDefault="00485158" w:rsidP="00A200D5">
            <w:pPr>
              <w:jc w:val="center"/>
              <w:rPr>
                <w:rFonts w:eastAsia="Verdana" w:cs="Verdana"/>
                <w:b/>
                <w:color w:val="000000"/>
                <w:sz w:val="16"/>
                <w:lang w:val="en-GB"/>
              </w:rPr>
            </w:pPr>
            <w:r w:rsidRPr="00485158">
              <w:rPr>
                <w:rFonts w:eastAsia="Verdana" w:cs="Verdana"/>
                <w:b/>
                <w:color w:val="000000"/>
                <w:sz w:val="16"/>
                <w:lang w:val="en-GB"/>
              </w:rPr>
              <w:t>Total Property, Plant and Equipment</w:t>
            </w:r>
          </w:p>
        </w:tc>
      </w:tr>
      <w:tr w:rsidR="00485158" w:rsidRPr="00485158" w:rsidTr="00A200D5">
        <w:trPr>
          <w:trHeight w:val="255"/>
          <w:jc w:val="center"/>
        </w:trPr>
        <w:tc>
          <w:tcPr>
            <w:tcW w:w="2805" w:type="dxa"/>
            <w:tcBorders>
              <w:top w:val="single" w:sz="4" w:space="0" w:color="auto"/>
            </w:tcBorders>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£000</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£000</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£000</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£000</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£000</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Cost or Valuation</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at 1 April 2019</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79,224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42,919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27,868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5,961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155,972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Additions</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2,937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4,624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7,561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Revaluation increases/(decreases) recognised in the Revaluation Reserve</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4,652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1,853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6,505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Revaluation increases/(decreases) recognised in the Surplus/Deficit on the Provision of Services</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(1,438)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(1,400)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(2,838)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De</w:t>
            </w:r>
            <w:r w:rsidR="006016A8" w:rsidRPr="00A200D5">
              <w:rPr>
                <w:rFonts w:eastAsia="Verdana" w:cs="Verdana"/>
                <w:color w:val="000000"/>
                <w:sz w:val="16"/>
                <w:lang w:val="en-GB"/>
              </w:rPr>
              <w:t>-</w:t>
            </w:r>
            <w:r w:rsidRPr="00A200D5">
              <w:rPr>
                <w:rFonts w:eastAsia="Verdana" w:cs="Verdana"/>
                <w:color w:val="000000"/>
                <w:sz w:val="16"/>
                <w:lang w:val="en-GB"/>
              </w:rPr>
              <w:t>recognition – disposals</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(1,721)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(1,721)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Assets reclassified (to)/from Surplus Assets</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5,877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(5,877)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0  </w:t>
            </w:r>
          </w:p>
        </w:tc>
      </w:tr>
      <w:tr w:rsidR="00485158" w:rsidRPr="00485158" w:rsidTr="00A200D5">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Assets reclassified (to)/from Investment Properties</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(1,355)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(1,355) </w:t>
            </w:r>
          </w:p>
        </w:tc>
      </w:tr>
      <w:tr w:rsidR="00485158" w:rsidRPr="00485158" w:rsidTr="00A200D5">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Assets reclassified (to)/from Held for Sale</w:t>
            </w:r>
          </w:p>
        </w:tc>
        <w:tc>
          <w:tcPr>
            <w:tcW w:w="1230" w:type="dxa"/>
            <w:tcBorders>
              <w:bottom w:val="single" w:sz="4" w:space="0" w:color="auto"/>
            </w:tcBorders>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(368) </w:t>
            </w:r>
          </w:p>
        </w:tc>
        <w:tc>
          <w:tcPr>
            <w:tcW w:w="1230" w:type="dxa"/>
            <w:tcBorders>
              <w:bottom w:val="single" w:sz="4" w:space="0" w:color="auto"/>
            </w:tcBorders>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tcBorders>
              <w:bottom w:val="single" w:sz="4" w:space="0" w:color="auto"/>
            </w:tcBorders>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(596) </w:t>
            </w:r>
          </w:p>
        </w:tc>
        <w:tc>
          <w:tcPr>
            <w:tcW w:w="1230" w:type="dxa"/>
            <w:tcBorders>
              <w:bottom w:val="single" w:sz="4" w:space="0" w:color="auto"/>
            </w:tcBorders>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tcBorders>
              <w:bottom w:val="single" w:sz="4" w:space="0" w:color="auto"/>
            </w:tcBorders>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(964) </w:t>
            </w:r>
          </w:p>
        </w:tc>
      </w:tr>
      <w:tr w:rsidR="00485158" w:rsidRPr="00485158" w:rsidTr="00A200D5">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at 31 March 2020</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87,947  </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44,135  </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20,493  </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10,585  </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163,160  </w:t>
            </w:r>
          </w:p>
        </w:tc>
      </w:tr>
      <w:tr w:rsidR="00485158" w:rsidRPr="00485158" w:rsidTr="00A200D5">
        <w:trPr>
          <w:trHeight w:val="52"/>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Accumulated Depreciation and Impairment</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 xml:space="preserve">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at 1 April 2019</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(773)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(30,665)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(117)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0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(31,555)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Depreciation charge</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(2,307)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(4,129)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(903)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(7,339)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Depreciation written out to the Revaluation Reserve</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2,737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217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2,954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Depreciation written out to Revenue</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757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757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485158" w:rsidP="00485158">
            <w:pPr>
              <w:rPr>
                <w:rFonts w:eastAsia="Verdana" w:cs="Verdana"/>
                <w:color w:val="000000"/>
                <w:sz w:val="16"/>
                <w:lang w:val="en-GB"/>
              </w:rPr>
            </w:pPr>
            <w:r w:rsidRPr="00A200D5">
              <w:rPr>
                <w:rFonts w:eastAsia="Verdana" w:cs="Verdana"/>
                <w:color w:val="000000"/>
                <w:sz w:val="16"/>
                <w:lang w:val="en-GB"/>
              </w:rPr>
              <w:t>De</w:t>
            </w:r>
            <w:r w:rsidR="006016A8" w:rsidRPr="00A200D5">
              <w:rPr>
                <w:rFonts w:eastAsia="Verdana" w:cs="Verdana"/>
                <w:color w:val="000000"/>
                <w:sz w:val="16"/>
                <w:lang w:val="en-GB"/>
              </w:rPr>
              <w:t>-</w:t>
            </w:r>
            <w:r w:rsidRPr="00A200D5">
              <w:rPr>
                <w:rFonts w:eastAsia="Verdana" w:cs="Verdana"/>
                <w:color w:val="000000"/>
                <w:sz w:val="16"/>
                <w:lang w:val="en-GB"/>
              </w:rPr>
              <w:t>recognition – disposals</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1,549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1,549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A200D5" w:rsidRDefault="00DE629F">
            <w:pPr>
              <w:rPr>
                <w:rFonts w:eastAsia="Verdana" w:cs="Verdana"/>
                <w:color w:val="000000"/>
                <w:sz w:val="16"/>
                <w:lang w:val="en-GB"/>
              </w:rPr>
            </w:pPr>
            <w:r>
              <w:rPr>
                <w:rFonts w:eastAsia="Verdana" w:cs="Verdana"/>
                <w:color w:val="000000"/>
                <w:sz w:val="16"/>
                <w:lang w:val="en-GB"/>
              </w:rPr>
              <w:t>Rounding</w:t>
            </w:r>
            <w:r w:rsidR="00485158" w:rsidRPr="00A200D5">
              <w:rPr>
                <w:rFonts w:eastAsia="Verdana" w:cs="Verdana"/>
                <w:color w:val="000000"/>
                <w:sz w:val="16"/>
                <w:lang w:val="en-GB"/>
              </w:rPr>
              <w:t xml:space="preserve"> on </w:t>
            </w:r>
            <w:r w:rsidR="006016A8" w:rsidRPr="00A200D5">
              <w:rPr>
                <w:rFonts w:eastAsia="Verdana" w:cs="Verdana"/>
                <w:color w:val="000000"/>
                <w:sz w:val="16"/>
                <w:lang w:val="en-GB"/>
              </w:rPr>
              <w:t>transfer</w:t>
            </w:r>
            <w:r w:rsidR="00485158" w:rsidRPr="00A200D5">
              <w:rPr>
                <w:rFonts w:eastAsia="Verdana" w:cs="Verdana"/>
                <w:color w:val="000000"/>
                <w:sz w:val="16"/>
                <w:lang w:val="en-GB"/>
              </w:rPr>
              <w:t xml:space="preserve"> to A</w:t>
            </w:r>
            <w:r w:rsidR="006016A8" w:rsidRPr="00A200D5">
              <w:rPr>
                <w:rFonts w:eastAsia="Verdana" w:cs="Verdana"/>
                <w:color w:val="000000"/>
                <w:sz w:val="16"/>
                <w:lang w:val="en-GB"/>
              </w:rPr>
              <w:t xml:space="preserve">ssets </w:t>
            </w:r>
            <w:r w:rsidR="00485158" w:rsidRPr="00A200D5">
              <w:rPr>
                <w:rFonts w:eastAsia="Verdana" w:cs="Verdana"/>
                <w:color w:val="000000"/>
                <w:sz w:val="16"/>
                <w:lang w:val="en-GB"/>
              </w:rPr>
              <w:t>H</w:t>
            </w:r>
            <w:r w:rsidR="006016A8" w:rsidRPr="00A200D5">
              <w:rPr>
                <w:rFonts w:eastAsia="Verdana" w:cs="Verdana"/>
                <w:color w:val="000000"/>
                <w:sz w:val="16"/>
                <w:lang w:val="en-GB"/>
              </w:rPr>
              <w:t xml:space="preserve">eld </w:t>
            </w:r>
            <w:r w:rsidR="00485158" w:rsidRPr="00A200D5">
              <w:rPr>
                <w:rFonts w:eastAsia="Verdana" w:cs="Verdana"/>
                <w:color w:val="000000"/>
                <w:sz w:val="16"/>
                <w:lang w:val="en-GB"/>
              </w:rPr>
              <w:t>F</w:t>
            </w:r>
            <w:r w:rsidR="006016A8" w:rsidRPr="00A200D5">
              <w:rPr>
                <w:rFonts w:eastAsia="Verdana" w:cs="Verdana"/>
                <w:color w:val="000000"/>
                <w:sz w:val="16"/>
                <w:lang w:val="en-GB"/>
              </w:rPr>
              <w:t xml:space="preserve">or </w:t>
            </w:r>
            <w:r w:rsidR="00485158" w:rsidRPr="00A200D5">
              <w:rPr>
                <w:rFonts w:eastAsia="Verdana" w:cs="Verdana"/>
                <w:color w:val="000000"/>
                <w:sz w:val="16"/>
                <w:lang w:val="en-GB"/>
              </w:rPr>
              <w:t>S</w:t>
            </w:r>
            <w:r w:rsidR="006016A8" w:rsidRPr="00A200D5">
              <w:rPr>
                <w:rFonts w:eastAsia="Verdana" w:cs="Verdana"/>
                <w:color w:val="000000"/>
                <w:sz w:val="16"/>
                <w:lang w:val="en-GB"/>
              </w:rPr>
              <w:t>ale</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2  </w:t>
            </w:r>
          </w:p>
        </w:tc>
      </w:tr>
      <w:tr w:rsidR="00485158" w:rsidRPr="00485158" w:rsidTr="00A200D5">
        <w:trPr>
          <w:trHeight w:val="255"/>
          <w:jc w:val="center"/>
        </w:trPr>
        <w:tc>
          <w:tcPr>
            <w:tcW w:w="2805" w:type="dxa"/>
            <w:shd w:val="clear" w:color="auto" w:fill="auto"/>
            <w:tcMar>
              <w:top w:w="20" w:type="dxa"/>
              <w:left w:w="20" w:type="dxa"/>
              <w:bottom w:w="20" w:type="dxa"/>
              <w:right w:w="20" w:type="dxa"/>
            </w:tcMar>
          </w:tcPr>
          <w:p w:rsidR="00485158" w:rsidRPr="00A200D5" w:rsidRDefault="00485158">
            <w:pPr>
              <w:rPr>
                <w:rFonts w:eastAsia="Verdana" w:cs="Verdana"/>
                <w:color w:val="000000"/>
                <w:sz w:val="16"/>
                <w:lang w:val="en-GB"/>
              </w:rPr>
            </w:pPr>
            <w:r w:rsidRPr="00A200D5">
              <w:rPr>
                <w:rFonts w:eastAsia="Verdana" w:cs="Verdana"/>
                <w:color w:val="000000"/>
                <w:sz w:val="16"/>
                <w:lang w:val="en-GB"/>
              </w:rPr>
              <w:t xml:space="preserve">Eliminated on </w:t>
            </w:r>
            <w:r w:rsidR="006016A8" w:rsidRPr="00A200D5">
              <w:rPr>
                <w:rFonts w:eastAsia="Verdana" w:cs="Verdana"/>
                <w:color w:val="000000"/>
                <w:sz w:val="16"/>
                <w:lang w:val="en-GB"/>
              </w:rPr>
              <w:t>transfer</w:t>
            </w:r>
            <w:r w:rsidRPr="00A200D5">
              <w:rPr>
                <w:rFonts w:eastAsia="Verdana" w:cs="Verdana"/>
                <w:color w:val="000000"/>
                <w:sz w:val="16"/>
                <w:lang w:val="en-GB"/>
              </w:rPr>
              <w:t xml:space="preserve"> to Surplus Assets</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(13)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13  </w:t>
            </w: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p>
        </w:tc>
        <w:tc>
          <w:tcPr>
            <w:tcW w:w="1230" w:type="dxa"/>
            <w:shd w:val="clear" w:color="auto" w:fill="auto"/>
            <w:tcMar>
              <w:top w:w="20" w:type="dxa"/>
              <w:left w:w="20" w:type="dxa"/>
              <w:bottom w:w="20" w:type="dxa"/>
              <w:right w:w="20" w:type="dxa"/>
            </w:tcMar>
          </w:tcPr>
          <w:p w:rsidR="00485158" w:rsidRPr="00A200D5" w:rsidRDefault="00485158" w:rsidP="00A200D5">
            <w:pPr>
              <w:jc w:val="right"/>
              <w:rPr>
                <w:rFonts w:eastAsia="Verdana" w:cs="Verdana"/>
                <w:color w:val="000000"/>
                <w:sz w:val="16"/>
                <w:lang w:val="en-GB"/>
              </w:rPr>
            </w:pPr>
            <w:r w:rsidRPr="00A200D5">
              <w:rPr>
                <w:rFonts w:eastAsia="Verdana" w:cs="Verdana"/>
                <w:color w:val="000000"/>
                <w:sz w:val="16"/>
                <w:lang w:val="en-GB"/>
              </w:rPr>
              <w:t xml:space="preserve">0  </w:t>
            </w:r>
          </w:p>
        </w:tc>
      </w:tr>
      <w:tr w:rsidR="00485158" w:rsidRPr="00485158" w:rsidTr="00A200D5">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at 31 March 2020</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(355) </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(33,245) </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(32) </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0  </w:t>
            </w:r>
          </w:p>
        </w:tc>
        <w:tc>
          <w:tcPr>
            <w:tcW w:w="1230" w:type="dxa"/>
            <w:tcBorders>
              <w:top w:val="single" w:sz="4" w:space="0" w:color="auto"/>
            </w:tcBorders>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(33,632)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Net Book Value</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at 31 March 2020</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87,592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10,890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20,461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10,585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129,528  </w:t>
            </w:r>
          </w:p>
        </w:tc>
      </w:tr>
      <w:tr w:rsidR="00485158" w:rsidRPr="00485158" w:rsidTr="00485158">
        <w:trPr>
          <w:trHeight w:val="255"/>
          <w:jc w:val="center"/>
        </w:trPr>
        <w:tc>
          <w:tcPr>
            <w:tcW w:w="2805" w:type="dxa"/>
            <w:shd w:val="clear" w:color="auto" w:fill="auto"/>
            <w:tcMar>
              <w:top w:w="20" w:type="dxa"/>
              <w:left w:w="20" w:type="dxa"/>
              <w:bottom w:w="20" w:type="dxa"/>
              <w:right w:w="20" w:type="dxa"/>
            </w:tcMar>
          </w:tcPr>
          <w:p w:rsidR="00485158" w:rsidRPr="00485158" w:rsidRDefault="00485158" w:rsidP="00485158">
            <w:pPr>
              <w:rPr>
                <w:rFonts w:eastAsia="Verdana" w:cs="Verdana"/>
                <w:b/>
                <w:color w:val="000000"/>
                <w:sz w:val="16"/>
                <w:lang w:val="en-GB"/>
              </w:rPr>
            </w:pPr>
            <w:r w:rsidRPr="00485158">
              <w:rPr>
                <w:rFonts w:eastAsia="Verdana" w:cs="Verdana"/>
                <w:b/>
                <w:color w:val="000000"/>
                <w:sz w:val="16"/>
                <w:lang w:val="en-GB"/>
              </w:rPr>
              <w:t>at 31 March 2019</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78,451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12,254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27,751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5,961  </w:t>
            </w:r>
          </w:p>
        </w:tc>
        <w:tc>
          <w:tcPr>
            <w:tcW w:w="1230" w:type="dxa"/>
            <w:shd w:val="clear" w:color="auto" w:fill="auto"/>
            <w:tcMar>
              <w:top w:w="20" w:type="dxa"/>
              <w:left w:w="20" w:type="dxa"/>
              <w:bottom w:w="20" w:type="dxa"/>
              <w:right w:w="20" w:type="dxa"/>
            </w:tcMar>
          </w:tcPr>
          <w:p w:rsidR="00485158" w:rsidRPr="00485158" w:rsidRDefault="00485158" w:rsidP="00A200D5">
            <w:pPr>
              <w:jc w:val="right"/>
              <w:rPr>
                <w:rFonts w:eastAsia="Verdana" w:cs="Verdana"/>
                <w:b/>
                <w:color w:val="000000"/>
                <w:sz w:val="16"/>
                <w:lang w:val="en-GB"/>
              </w:rPr>
            </w:pPr>
            <w:r w:rsidRPr="00485158">
              <w:rPr>
                <w:rFonts w:eastAsia="Verdana" w:cs="Verdana"/>
                <w:b/>
                <w:color w:val="000000"/>
                <w:sz w:val="16"/>
                <w:lang w:val="en-GB"/>
              </w:rPr>
              <w:t xml:space="preserve">124,417  </w:t>
            </w:r>
          </w:p>
        </w:tc>
      </w:tr>
    </w:tbl>
    <w:p w:rsidR="006B744E" w:rsidRDefault="006B744E" w:rsidP="00A200D5">
      <w:pPr>
        <w:pStyle w:val="Normal0"/>
        <w:spacing w:after="160" w:line="259" w:lineRule="auto"/>
        <w:jc w:val="both"/>
        <w:rPr>
          <w:rFonts w:ascii="Verdana" w:hAnsi="Verdana"/>
          <w:sz w:val="18"/>
          <w:szCs w:val="18"/>
          <w:lang w:val="en-GB"/>
        </w:rPr>
      </w:pPr>
    </w:p>
    <w:p w:rsidR="00E012F8" w:rsidRPr="00A200D5" w:rsidRDefault="00E012F8" w:rsidP="00A200D5">
      <w:pPr>
        <w:pStyle w:val="Normal0"/>
        <w:spacing w:after="160" w:line="259" w:lineRule="auto"/>
        <w:jc w:val="both"/>
        <w:rPr>
          <w:rFonts w:ascii="Verdana" w:hAnsi="Verdana"/>
          <w:sz w:val="18"/>
          <w:szCs w:val="18"/>
          <w:lang w:val="en-GB"/>
        </w:rPr>
      </w:pPr>
      <w:r w:rsidRPr="00A200D5">
        <w:rPr>
          <w:rFonts w:ascii="Verdana" w:hAnsi="Verdana"/>
          <w:sz w:val="18"/>
          <w:szCs w:val="18"/>
          <w:lang w:val="en-GB"/>
        </w:rPr>
        <w:t xml:space="preserve">Total </w:t>
      </w:r>
      <w:r w:rsidR="00EA30F0" w:rsidRPr="00A200D5">
        <w:rPr>
          <w:rFonts w:ascii="Verdana" w:hAnsi="Verdana"/>
          <w:sz w:val="18"/>
          <w:szCs w:val="18"/>
          <w:lang w:val="en-GB"/>
        </w:rPr>
        <w:t xml:space="preserve">downward </w:t>
      </w:r>
      <w:r w:rsidRPr="00A200D5">
        <w:rPr>
          <w:rFonts w:ascii="Verdana" w:hAnsi="Verdana"/>
          <w:sz w:val="18"/>
          <w:szCs w:val="18"/>
          <w:lang w:val="en-GB"/>
        </w:rPr>
        <w:t>revaluation</w:t>
      </w:r>
      <w:r w:rsidR="00EA30F0" w:rsidRPr="00A200D5">
        <w:rPr>
          <w:rFonts w:ascii="Verdana" w:hAnsi="Verdana"/>
          <w:sz w:val="18"/>
          <w:szCs w:val="18"/>
          <w:lang w:val="en-GB"/>
        </w:rPr>
        <w:t xml:space="preserve">s of property, plant and equipment recognised in cost of services </w:t>
      </w:r>
      <w:r w:rsidR="00CC5A31" w:rsidRPr="00A200D5">
        <w:rPr>
          <w:rFonts w:ascii="Verdana" w:hAnsi="Verdana"/>
          <w:sz w:val="18"/>
          <w:szCs w:val="18"/>
          <w:lang w:val="en-GB"/>
        </w:rPr>
        <w:t xml:space="preserve">within </w:t>
      </w:r>
      <w:r w:rsidR="00EA30F0" w:rsidRPr="00A200D5">
        <w:rPr>
          <w:rFonts w:ascii="Verdana" w:hAnsi="Verdana"/>
          <w:sz w:val="18"/>
          <w:szCs w:val="18"/>
          <w:lang w:val="en-GB"/>
        </w:rPr>
        <w:t xml:space="preserve">the CIES (surplus)/deficit on provision of services is £2.081m. This is made up of cost revaluation </w:t>
      </w:r>
      <w:r w:rsidRPr="00A200D5">
        <w:rPr>
          <w:rFonts w:ascii="Verdana" w:hAnsi="Verdana"/>
          <w:sz w:val="18"/>
          <w:szCs w:val="18"/>
          <w:lang w:val="en-GB"/>
        </w:rPr>
        <w:t>increases/(decreases)</w:t>
      </w:r>
      <w:r w:rsidR="00CC5A31" w:rsidRPr="00A200D5">
        <w:rPr>
          <w:rFonts w:ascii="Verdana" w:hAnsi="Verdana"/>
          <w:sz w:val="18"/>
          <w:szCs w:val="18"/>
          <w:lang w:val="en-GB"/>
        </w:rPr>
        <w:t xml:space="preserve"> of (£2.838m) and depreciation written out to revenue of £0.757m.</w:t>
      </w:r>
      <w:r w:rsidRPr="00A200D5">
        <w:rPr>
          <w:rFonts w:ascii="Verdana" w:hAnsi="Verdana"/>
          <w:sz w:val="18"/>
          <w:szCs w:val="18"/>
          <w:lang w:val="en-GB"/>
        </w:rPr>
        <w:t xml:space="preserve"> </w:t>
      </w:r>
    </w:p>
    <w:p w:rsidR="00E012F8" w:rsidRPr="00A200D5" w:rsidRDefault="00E012F8" w:rsidP="00A200D5">
      <w:pPr>
        <w:pStyle w:val="Normal0"/>
        <w:spacing w:after="160" w:line="259" w:lineRule="auto"/>
        <w:jc w:val="both"/>
        <w:rPr>
          <w:rFonts w:ascii="Verdana" w:hAnsi="Verdana"/>
          <w:sz w:val="18"/>
          <w:szCs w:val="18"/>
          <w:lang w:val="en-GB"/>
        </w:rPr>
      </w:pPr>
      <w:r w:rsidRPr="00A200D5">
        <w:rPr>
          <w:rFonts w:ascii="Verdana" w:hAnsi="Verdana"/>
          <w:sz w:val="18"/>
          <w:szCs w:val="18"/>
          <w:lang w:val="en-GB"/>
        </w:rPr>
        <w:t xml:space="preserve">Total </w:t>
      </w:r>
      <w:r w:rsidR="00EA30F0" w:rsidRPr="00A200D5">
        <w:rPr>
          <w:rFonts w:ascii="Verdana" w:hAnsi="Verdana"/>
          <w:sz w:val="18"/>
          <w:szCs w:val="18"/>
          <w:lang w:val="en-GB"/>
        </w:rPr>
        <w:t>(</w:t>
      </w:r>
      <w:r w:rsidRPr="00A200D5">
        <w:rPr>
          <w:rFonts w:ascii="Verdana" w:hAnsi="Verdana"/>
          <w:sz w:val="18"/>
          <w:szCs w:val="18"/>
          <w:lang w:val="en-GB"/>
        </w:rPr>
        <w:t>surplus</w:t>
      </w:r>
      <w:r w:rsidR="00EA30F0" w:rsidRPr="00A200D5">
        <w:rPr>
          <w:rFonts w:ascii="Verdana" w:hAnsi="Verdana"/>
          <w:sz w:val="18"/>
          <w:szCs w:val="18"/>
          <w:lang w:val="en-GB"/>
        </w:rPr>
        <w:t>)</w:t>
      </w:r>
      <w:r w:rsidRPr="00A200D5">
        <w:rPr>
          <w:rFonts w:ascii="Verdana" w:hAnsi="Verdana"/>
          <w:sz w:val="18"/>
          <w:szCs w:val="18"/>
          <w:lang w:val="en-GB"/>
        </w:rPr>
        <w:t>/deficit on revaluation of property, plant and equipment recognised in Other CIE</w:t>
      </w:r>
      <w:r w:rsidR="00CC5A31" w:rsidRPr="00A200D5">
        <w:rPr>
          <w:rFonts w:ascii="Verdana" w:hAnsi="Verdana"/>
          <w:sz w:val="18"/>
          <w:szCs w:val="18"/>
          <w:lang w:val="en-GB"/>
        </w:rPr>
        <w:t>S</w:t>
      </w:r>
      <w:r w:rsidRPr="00A200D5">
        <w:rPr>
          <w:rFonts w:ascii="Verdana" w:hAnsi="Verdana"/>
          <w:sz w:val="18"/>
          <w:szCs w:val="18"/>
          <w:lang w:val="en-GB"/>
        </w:rPr>
        <w:t xml:space="preserve"> is </w:t>
      </w:r>
      <w:r w:rsidR="00CC5A31" w:rsidRPr="00A200D5">
        <w:rPr>
          <w:rFonts w:ascii="Verdana" w:hAnsi="Verdana"/>
          <w:sz w:val="18"/>
          <w:szCs w:val="18"/>
          <w:lang w:val="en-GB"/>
        </w:rPr>
        <w:t>(</w:t>
      </w:r>
      <w:r w:rsidRPr="00A200D5">
        <w:rPr>
          <w:rFonts w:ascii="Verdana" w:hAnsi="Verdana"/>
          <w:sz w:val="18"/>
          <w:szCs w:val="18"/>
          <w:lang w:val="en-GB"/>
        </w:rPr>
        <w:t>£</w:t>
      </w:r>
      <w:r w:rsidR="00CC5A31" w:rsidRPr="00A200D5">
        <w:rPr>
          <w:rFonts w:ascii="Verdana" w:hAnsi="Verdana"/>
          <w:sz w:val="18"/>
          <w:szCs w:val="18"/>
          <w:lang w:val="en-GB"/>
        </w:rPr>
        <w:t>9.</w:t>
      </w:r>
      <w:r w:rsidRPr="00A200D5">
        <w:rPr>
          <w:rFonts w:ascii="Verdana" w:hAnsi="Verdana"/>
          <w:sz w:val="18"/>
          <w:szCs w:val="18"/>
          <w:lang w:val="en-GB"/>
        </w:rPr>
        <w:t>459</w:t>
      </w:r>
      <w:r w:rsidR="00CC5A31" w:rsidRPr="00A200D5">
        <w:rPr>
          <w:rFonts w:ascii="Verdana" w:hAnsi="Verdana"/>
          <w:sz w:val="18"/>
          <w:szCs w:val="18"/>
          <w:lang w:val="en-GB"/>
        </w:rPr>
        <w:t>m)</w:t>
      </w:r>
      <w:r w:rsidRPr="00A200D5">
        <w:rPr>
          <w:rFonts w:ascii="Verdana" w:hAnsi="Verdana"/>
          <w:sz w:val="18"/>
          <w:szCs w:val="18"/>
          <w:lang w:val="en-GB"/>
        </w:rPr>
        <w:t xml:space="preserve">. This is made up of cost increases/(decreases) of </w:t>
      </w:r>
      <w:r w:rsidR="00CC5A31" w:rsidRPr="00A200D5">
        <w:rPr>
          <w:rFonts w:ascii="Verdana" w:hAnsi="Verdana"/>
          <w:sz w:val="18"/>
          <w:szCs w:val="18"/>
          <w:lang w:val="en-GB"/>
        </w:rPr>
        <w:t>£6.</w:t>
      </w:r>
      <w:r w:rsidRPr="00A200D5">
        <w:rPr>
          <w:rFonts w:ascii="Verdana" w:hAnsi="Verdana"/>
          <w:sz w:val="18"/>
          <w:szCs w:val="18"/>
          <w:lang w:val="en-GB"/>
        </w:rPr>
        <w:t>505</w:t>
      </w:r>
      <w:r w:rsidR="00CC5A31" w:rsidRPr="00A200D5">
        <w:rPr>
          <w:rFonts w:ascii="Verdana" w:hAnsi="Verdana"/>
          <w:sz w:val="18"/>
          <w:szCs w:val="18"/>
          <w:lang w:val="en-GB"/>
        </w:rPr>
        <w:t>m</w:t>
      </w:r>
      <w:r w:rsidRPr="00A200D5">
        <w:rPr>
          <w:rFonts w:ascii="Verdana" w:hAnsi="Verdana"/>
          <w:sz w:val="18"/>
          <w:szCs w:val="18"/>
          <w:lang w:val="en-GB"/>
        </w:rPr>
        <w:t xml:space="preserve"> and depreciation written out to the revaluation reserve of £</w:t>
      </w:r>
      <w:r w:rsidR="00CC5A31" w:rsidRPr="00A200D5">
        <w:rPr>
          <w:rFonts w:ascii="Verdana" w:hAnsi="Verdana"/>
          <w:sz w:val="18"/>
          <w:szCs w:val="18"/>
          <w:lang w:val="en-GB"/>
        </w:rPr>
        <w:t>2.</w:t>
      </w:r>
      <w:r w:rsidRPr="00A200D5">
        <w:rPr>
          <w:rFonts w:ascii="Verdana" w:hAnsi="Verdana"/>
          <w:sz w:val="18"/>
          <w:szCs w:val="18"/>
          <w:lang w:val="en-GB"/>
        </w:rPr>
        <w:t>954</w:t>
      </w:r>
      <w:r w:rsidR="00CC5A31" w:rsidRPr="00A200D5">
        <w:rPr>
          <w:rFonts w:ascii="Verdana" w:hAnsi="Verdana"/>
          <w:sz w:val="18"/>
          <w:szCs w:val="18"/>
          <w:lang w:val="en-GB"/>
        </w:rPr>
        <w:t>m</w:t>
      </w:r>
      <w:r w:rsidRPr="00A200D5">
        <w:rPr>
          <w:rFonts w:ascii="Verdana" w:hAnsi="Verdana"/>
          <w:sz w:val="18"/>
          <w:szCs w:val="18"/>
          <w:lang w:val="en-GB"/>
        </w:rPr>
        <w:t>.</w:t>
      </w:r>
    </w:p>
    <w:p w:rsidR="00CA6653" w:rsidRPr="007C358B" w:rsidRDefault="00CA6653">
      <w:pPr>
        <w:pStyle w:val="Normal0"/>
        <w:spacing w:after="160" w:line="259" w:lineRule="auto"/>
        <w:rPr>
          <w:sz w:val="22"/>
          <w:szCs w:val="22"/>
          <w:highlight w:val="yellow"/>
          <w:lang w:val="en-GB"/>
        </w:rPr>
      </w:pPr>
      <w:r w:rsidRPr="007C358B">
        <w:rPr>
          <w:sz w:val="22"/>
          <w:szCs w:val="22"/>
          <w:highlight w:val="yellow"/>
          <w:lang w:val="en-GB"/>
        </w:rPr>
        <w:br w:type="page"/>
      </w:r>
    </w:p>
    <w:p w:rsidR="00CA6653" w:rsidRPr="007C358B" w:rsidRDefault="00CA6653" w:rsidP="00CA6653">
      <w:pPr>
        <w:pStyle w:val="Normal0"/>
        <w:spacing w:after="160" w:line="259" w:lineRule="auto"/>
        <w:rPr>
          <w:sz w:val="22"/>
          <w:szCs w:val="22"/>
          <w:lang w:val="en-GB"/>
        </w:rPr>
      </w:pPr>
    </w:p>
    <w:tbl>
      <w:tblPr>
        <w:tblW w:w="0" w:type="auto"/>
        <w:jc w:val="center"/>
        <w:tblLayout w:type="fixed"/>
        <w:tblLook w:val="04A0" w:firstRow="1" w:lastRow="0" w:firstColumn="1" w:lastColumn="0" w:noHBand="0" w:noVBand="1"/>
      </w:tblPr>
      <w:tblGrid>
        <w:gridCol w:w="2805"/>
        <w:gridCol w:w="1230"/>
        <w:gridCol w:w="1230"/>
        <w:gridCol w:w="1230"/>
        <w:gridCol w:w="1230"/>
        <w:gridCol w:w="1230"/>
      </w:tblGrid>
      <w:tr w:rsidR="004D417B" w:rsidRPr="007C358B" w:rsidTr="00F32EC6">
        <w:trPr>
          <w:trHeight w:val="435"/>
          <w:jc w:val="center"/>
        </w:trPr>
        <w:tc>
          <w:tcPr>
            <w:tcW w:w="2805" w:type="dxa"/>
            <w:shd w:val="clear" w:color="auto" w:fill="auto"/>
            <w:tcMar>
              <w:top w:w="20" w:type="dxa"/>
              <w:left w:w="20" w:type="dxa"/>
              <w:bottom w:w="20" w:type="dxa"/>
              <w:right w:w="20" w:type="dxa"/>
            </w:tcMar>
            <w:vAlign w:val="bottom"/>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Movements to 31 March 2019</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r>
      <w:tr w:rsidR="004D417B" w:rsidRPr="007C358B" w:rsidTr="00F32EC6">
        <w:trPr>
          <w:trHeight w:val="870"/>
          <w:jc w:val="center"/>
        </w:trPr>
        <w:tc>
          <w:tcPr>
            <w:tcW w:w="2805" w:type="dxa"/>
            <w:shd w:val="clear" w:color="auto" w:fill="auto"/>
            <w:tcMar>
              <w:top w:w="20" w:type="dxa"/>
              <w:left w:w="20" w:type="dxa"/>
              <w:bottom w:w="20" w:type="dxa"/>
              <w:right w:w="20" w:type="dxa"/>
            </w:tcMar>
            <w:vAlign w:val="bottom"/>
          </w:tcPr>
          <w:p w:rsidR="00CA6653" w:rsidRPr="007C358B" w:rsidRDefault="00CA6653">
            <w:pPr>
              <w:pStyle w:val="T1TableStyle"/>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 xml:space="preserve">Land </w:t>
            </w:r>
            <w:r w:rsidRPr="007C358B">
              <w:rPr>
                <w:rFonts w:ascii="Verdana" w:eastAsia="Verdana" w:hAnsi="Verdana" w:cs="Verdana"/>
                <w:b/>
                <w:color w:val="000000"/>
                <w:sz w:val="16"/>
                <w:lang w:val="en-GB"/>
              </w:rPr>
              <w:br/>
              <w:t xml:space="preserve">and </w:t>
            </w:r>
            <w:r w:rsidRPr="007C358B">
              <w:rPr>
                <w:rFonts w:ascii="Verdana" w:eastAsia="Verdana" w:hAnsi="Verdana" w:cs="Verdana"/>
                <w:b/>
                <w:color w:val="000000"/>
                <w:sz w:val="16"/>
                <w:lang w:val="en-GB"/>
              </w:rPr>
              <w:br/>
              <w:t>Buildings</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Vehicles, Plant, Furniture &amp; Equipment</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Surplus Assets</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Assets Under Construction</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Total Property, Plant and Equipment</w:t>
            </w:r>
          </w:p>
        </w:tc>
      </w:tr>
      <w:tr w:rsidR="004D417B" w:rsidRPr="007C358B" w:rsidTr="00F32EC6">
        <w:trPr>
          <w:trHeight w:val="285"/>
          <w:jc w:val="center"/>
        </w:trPr>
        <w:tc>
          <w:tcPr>
            <w:tcW w:w="2805" w:type="dxa"/>
            <w:tcBorders>
              <w:bottom w:val="single" w:sz="2" w:space="0" w:color="000000"/>
            </w:tcBorders>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£000</w:t>
            </w:r>
          </w:p>
        </w:tc>
        <w:tc>
          <w:tcPr>
            <w:tcW w:w="1230" w:type="dxa"/>
            <w:tcBorders>
              <w:bottom w:val="single" w:sz="2" w:space="0" w:color="000000"/>
            </w:tcBorders>
            <w:shd w:val="clear" w:color="auto" w:fill="auto"/>
            <w:tcMar>
              <w:top w:w="20" w:type="dxa"/>
              <w:left w:w="20" w:type="dxa"/>
              <w:bottom w:w="20" w:type="dxa"/>
              <w:right w:w="20" w:type="dxa"/>
            </w:tcMar>
            <w:vAlign w:val="bottom"/>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£000</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Cost or Valuation</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r>
      <w:tr w:rsidR="004D417B" w:rsidRPr="007C358B" w:rsidTr="00F32EC6">
        <w:trPr>
          <w:trHeight w:val="22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at 1 April 2018</w:t>
            </w:r>
          </w:p>
        </w:tc>
        <w:tc>
          <w:tcPr>
            <w:tcW w:w="1230" w:type="dxa"/>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79,94</w:t>
            </w:r>
            <w:r w:rsidR="007C358B" w:rsidRPr="007C358B">
              <w:rPr>
                <w:rFonts w:ascii="Verdana" w:eastAsia="Verdana" w:hAnsi="Verdana" w:cs="Verdana"/>
                <w:color w:val="000000"/>
                <w:sz w:val="16"/>
                <w:lang w:val="en-GB"/>
              </w:rPr>
              <w:t>7</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41,776</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5,197</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5,318</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132,238</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Additions</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1,003</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3,517</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20,485</w:t>
            </w:r>
          </w:p>
        </w:tc>
        <w:tc>
          <w:tcPr>
            <w:tcW w:w="1230" w:type="dxa"/>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4,6</w:t>
            </w:r>
            <w:r w:rsidR="007C358B" w:rsidRPr="007C358B">
              <w:rPr>
                <w:rFonts w:ascii="Verdana" w:eastAsia="Verdana" w:hAnsi="Verdana" w:cs="Verdana"/>
                <w:color w:val="000000"/>
                <w:sz w:val="16"/>
                <w:lang w:val="en-GB"/>
              </w:rPr>
              <w:t>29</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29,634</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Revaluation increases/(decreases) recognised in the Revaluation Reserve</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166</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318</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48</w:t>
            </w:r>
            <w:r w:rsidR="007C358B" w:rsidRPr="007C358B">
              <w:rPr>
                <w:rFonts w:ascii="Verdana" w:eastAsia="Verdana" w:hAnsi="Verdana" w:cs="Verdana"/>
                <w:b/>
                <w:color w:val="000000"/>
                <w:sz w:val="16"/>
                <w:lang w:val="en-GB"/>
              </w:rPr>
              <w:t>5</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Revaluation increases/(decreases) recognised in the Surplus/Deficit on the Provision of Services</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126</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126</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De</w:t>
            </w:r>
            <w:r w:rsidR="00BF1530">
              <w:rPr>
                <w:rFonts w:ascii="Verdana" w:eastAsia="Verdana" w:hAnsi="Verdana" w:cs="Verdana"/>
                <w:color w:val="000000"/>
                <w:sz w:val="16"/>
                <w:lang w:val="en-GB"/>
              </w:rPr>
              <w:t>-</w:t>
            </w:r>
            <w:r w:rsidRPr="007C358B">
              <w:rPr>
                <w:rFonts w:ascii="Verdana" w:eastAsia="Verdana" w:hAnsi="Verdana" w:cs="Verdana"/>
                <w:color w:val="000000"/>
                <w:sz w:val="16"/>
                <w:lang w:val="en-GB"/>
              </w:rPr>
              <w:t>recognition – disposals</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(3,788)</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(11)</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(3,799)</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De</w:t>
            </w:r>
            <w:r w:rsidR="00BF1530">
              <w:rPr>
                <w:rFonts w:ascii="Verdana" w:eastAsia="Verdana" w:hAnsi="Verdana" w:cs="Verdana"/>
                <w:color w:val="000000"/>
                <w:sz w:val="16"/>
                <w:lang w:val="en-GB"/>
              </w:rPr>
              <w:t>-</w:t>
            </w:r>
            <w:r w:rsidRPr="007C358B">
              <w:rPr>
                <w:rFonts w:ascii="Verdana" w:eastAsia="Verdana" w:hAnsi="Verdana" w:cs="Verdana"/>
                <w:color w:val="000000"/>
                <w:sz w:val="16"/>
                <w:lang w:val="en-GB"/>
              </w:rPr>
              <w:t>recognition – other</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(95)</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(95)</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Reclassifications and transfer</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(1,152)</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1,414</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1,878</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(3,891)</w:t>
            </w:r>
          </w:p>
        </w:tc>
        <w:tc>
          <w:tcPr>
            <w:tcW w:w="1230" w:type="dxa"/>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(1,75</w:t>
            </w:r>
            <w:r w:rsidR="007C358B" w:rsidRPr="007C358B">
              <w:rPr>
                <w:rFonts w:ascii="Verdana" w:eastAsia="Verdana" w:hAnsi="Verdana" w:cs="Verdana"/>
                <w:b/>
                <w:color w:val="000000"/>
                <w:sz w:val="16"/>
                <w:lang w:val="en-GB"/>
              </w:rPr>
              <w:t>1</w:t>
            </w:r>
            <w:r w:rsidRPr="007C358B">
              <w:rPr>
                <w:rFonts w:ascii="Verdana" w:eastAsia="Verdana" w:hAnsi="Verdana" w:cs="Verdana"/>
                <w:b/>
                <w:color w:val="000000"/>
                <w:sz w:val="16"/>
                <w:lang w:val="en-GB"/>
              </w:rPr>
              <w:t>)</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Assets reclassified (to)/from Held for Sale</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(866)</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(866)</w:t>
            </w:r>
          </w:p>
        </w:tc>
      </w:tr>
      <w:tr w:rsidR="00A31224" w:rsidRPr="007C358B" w:rsidTr="00F32EC6">
        <w:trPr>
          <w:trHeight w:val="255"/>
          <w:jc w:val="center"/>
        </w:trPr>
        <w:tc>
          <w:tcPr>
            <w:tcW w:w="2805" w:type="dxa"/>
            <w:shd w:val="clear" w:color="auto" w:fill="auto"/>
            <w:tcMar>
              <w:top w:w="20" w:type="dxa"/>
              <w:left w:w="20" w:type="dxa"/>
              <w:bottom w:w="20" w:type="dxa"/>
              <w:right w:w="20" w:type="dxa"/>
            </w:tcMar>
          </w:tcPr>
          <w:p w:rsidR="00A31224" w:rsidRPr="007C358B" w:rsidRDefault="00A31224">
            <w:pPr>
              <w:pStyle w:val="T1TableStyle"/>
              <w:rPr>
                <w:rFonts w:ascii="Verdana" w:eastAsia="Verdana" w:hAnsi="Verdana" w:cs="Verdana"/>
                <w:color w:val="000000"/>
                <w:sz w:val="16"/>
                <w:lang w:val="en-GB"/>
              </w:rPr>
            </w:pPr>
            <w:r>
              <w:rPr>
                <w:rFonts w:ascii="Verdana" w:eastAsia="Verdana" w:hAnsi="Verdana" w:cs="Verdana"/>
                <w:color w:val="000000"/>
                <w:sz w:val="16"/>
                <w:lang w:val="en-GB"/>
              </w:rPr>
              <w:t>Rounding</w:t>
            </w:r>
          </w:p>
        </w:tc>
        <w:tc>
          <w:tcPr>
            <w:tcW w:w="1230" w:type="dxa"/>
            <w:shd w:val="clear" w:color="auto" w:fill="auto"/>
            <w:tcMar>
              <w:top w:w="20" w:type="dxa"/>
              <w:left w:w="20" w:type="dxa"/>
              <w:bottom w:w="20" w:type="dxa"/>
              <w:right w:w="20" w:type="dxa"/>
            </w:tcMar>
          </w:tcPr>
          <w:p w:rsidR="00A31224" w:rsidRPr="007C358B" w:rsidRDefault="00A3122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A31224" w:rsidRPr="007C358B" w:rsidRDefault="00A3122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A31224" w:rsidRPr="007C358B" w:rsidRDefault="00A3122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c>
          <w:tcPr>
            <w:tcW w:w="1230" w:type="dxa"/>
            <w:shd w:val="clear" w:color="auto" w:fill="auto"/>
            <w:tcMar>
              <w:top w:w="20" w:type="dxa"/>
              <w:left w:w="20" w:type="dxa"/>
              <w:bottom w:w="20" w:type="dxa"/>
              <w:right w:w="20" w:type="dxa"/>
            </w:tcMar>
          </w:tcPr>
          <w:p w:rsidR="00A31224" w:rsidRPr="007C358B" w:rsidRDefault="00A31224">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A31224" w:rsidRPr="007C358B" w:rsidRDefault="00A31224">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p>
        </w:tc>
      </w:tr>
      <w:tr w:rsidR="004D417B" w:rsidRPr="007C358B" w:rsidTr="00F32EC6">
        <w:trPr>
          <w:trHeight w:val="300"/>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at 31 March 2019</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79,224</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42,919</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27,868</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5,961</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155,972</w:t>
            </w:r>
          </w:p>
        </w:tc>
      </w:tr>
      <w:tr w:rsidR="004D417B" w:rsidRPr="007C358B" w:rsidTr="00F32EC6">
        <w:trPr>
          <w:trHeight w:hRule="exact" w:val="300"/>
          <w:jc w:val="center"/>
        </w:trPr>
        <w:tc>
          <w:tcPr>
            <w:tcW w:w="2805"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vAlign w:val="bottom"/>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r>
      <w:tr w:rsidR="004D417B" w:rsidRPr="007C358B" w:rsidTr="00F32EC6">
        <w:trPr>
          <w:trHeight w:val="420"/>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Accumulated Depreciation and Impairment</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color w:val="000000"/>
                <w:sz w:val="2"/>
                <w:lang w:val="en-GB"/>
              </w:rPr>
            </w:pPr>
            <w:r w:rsidRPr="007C358B">
              <w:rPr>
                <w:rFonts w:ascii="Verdana" w:eastAsia="Verdana" w:hAnsi="Verdana" w:cs="Verdana"/>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at 1 April 2018</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(2,111)</w:t>
            </w:r>
          </w:p>
        </w:tc>
        <w:tc>
          <w:tcPr>
            <w:tcW w:w="1230" w:type="dxa"/>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(29,</w:t>
            </w:r>
            <w:r w:rsidR="007C358B" w:rsidRPr="007C358B">
              <w:rPr>
                <w:rFonts w:ascii="Verdana" w:eastAsia="Verdana" w:hAnsi="Verdana" w:cs="Verdana"/>
                <w:color w:val="000000"/>
                <w:sz w:val="16"/>
                <w:lang w:val="en-GB"/>
              </w:rPr>
              <w:t>800</w:t>
            </w:r>
            <w:r w:rsidRPr="007C358B">
              <w:rPr>
                <w:rFonts w:ascii="Verdana" w:eastAsia="Verdana" w:hAnsi="Verdana" w:cs="Verdana"/>
                <w:color w:val="000000"/>
                <w:sz w:val="16"/>
                <w:lang w:val="en-GB"/>
              </w:rPr>
              <w:t>)</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(357)</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(32,26</w:t>
            </w:r>
            <w:r w:rsidR="007C358B" w:rsidRPr="007C358B">
              <w:rPr>
                <w:rFonts w:ascii="Verdana" w:eastAsia="Verdana" w:hAnsi="Verdana" w:cs="Verdana"/>
                <w:b/>
                <w:color w:val="000000"/>
                <w:sz w:val="16"/>
                <w:lang w:val="en-GB"/>
              </w:rPr>
              <w:t>8</w:t>
            </w:r>
            <w:r w:rsidRPr="007C358B">
              <w:rPr>
                <w:rFonts w:ascii="Verdana" w:eastAsia="Verdana" w:hAnsi="Verdana" w:cs="Verdana"/>
                <w:b/>
                <w:color w:val="000000"/>
                <w:sz w:val="16"/>
                <w:lang w:val="en-GB"/>
              </w:rPr>
              <w:t>)</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Depreciation charge</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(2,933)</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(4,361)</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(260)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(7,554)</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Depreciation written out to the Revaluation Reserve</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4,304</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467</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4,771</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De</w:t>
            </w:r>
            <w:r w:rsidR="00BF1530">
              <w:rPr>
                <w:rFonts w:ascii="Verdana" w:eastAsia="Verdana" w:hAnsi="Verdana" w:cs="Verdana"/>
                <w:color w:val="000000"/>
                <w:sz w:val="16"/>
                <w:lang w:val="en-GB"/>
              </w:rPr>
              <w:t>-</w:t>
            </w:r>
            <w:r w:rsidRPr="007C358B">
              <w:rPr>
                <w:rFonts w:ascii="Verdana" w:eastAsia="Verdana" w:hAnsi="Verdana" w:cs="Verdana"/>
                <w:color w:val="000000"/>
                <w:sz w:val="16"/>
                <w:lang w:val="en-GB"/>
              </w:rPr>
              <w:t>recognition – disposals</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3,496</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3,496</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color w:val="000000"/>
                <w:sz w:val="16"/>
                <w:lang w:val="en-GB"/>
              </w:rPr>
            </w:pPr>
            <w:r w:rsidRPr="007C358B">
              <w:rPr>
                <w:rFonts w:ascii="Verdana" w:eastAsia="Verdana" w:hAnsi="Verdana" w:cs="Verdana"/>
                <w:color w:val="000000"/>
                <w:sz w:val="16"/>
                <w:lang w:val="en-GB"/>
              </w:rPr>
              <w:t>Reclassifications and transfers</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(33)</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33</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color w:val="000000"/>
                <w:sz w:val="16"/>
                <w:lang w:val="en-GB"/>
              </w:rPr>
            </w:pPr>
            <w:r w:rsidRPr="007C358B">
              <w:rPr>
                <w:rFonts w:ascii="Verdana" w:eastAsia="Verdana" w:hAnsi="Verdana" w:cs="Verdana"/>
                <w:color w:val="000000"/>
                <w:sz w:val="16"/>
                <w:lang w:val="en-GB"/>
              </w:rPr>
              <w:t>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0</w:t>
            </w:r>
          </w:p>
        </w:tc>
      </w:tr>
      <w:tr w:rsidR="004D417B" w:rsidRPr="007C358B" w:rsidTr="00F32EC6">
        <w:trPr>
          <w:trHeight w:val="300"/>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at 31 March 2019</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(773)</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(30,665)</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(117)</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0</w:t>
            </w:r>
          </w:p>
        </w:tc>
        <w:tc>
          <w:tcPr>
            <w:tcW w:w="1230" w:type="dxa"/>
            <w:tcBorders>
              <w:top w:val="single" w:sz="2" w:space="0" w:color="000000"/>
            </w:tcBorders>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(31,55</w:t>
            </w:r>
            <w:r w:rsidR="007C358B" w:rsidRPr="007C358B">
              <w:rPr>
                <w:rFonts w:ascii="Verdana" w:eastAsia="Verdana" w:hAnsi="Verdana" w:cs="Verdana"/>
                <w:b/>
                <w:color w:val="000000"/>
                <w:sz w:val="16"/>
                <w:lang w:val="en-GB"/>
              </w:rPr>
              <w:t>5</w:t>
            </w:r>
            <w:r w:rsidRPr="007C358B">
              <w:rPr>
                <w:rFonts w:ascii="Verdana" w:eastAsia="Verdana" w:hAnsi="Verdana" w:cs="Verdana"/>
                <w:b/>
                <w:color w:val="000000"/>
                <w:sz w:val="16"/>
                <w:lang w:val="en-GB"/>
              </w:rPr>
              <w:t>)</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Net Book Value</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c>
          <w:tcPr>
            <w:tcW w:w="1230" w:type="dxa"/>
            <w:shd w:val="clear" w:color="auto" w:fill="auto"/>
            <w:tcMar>
              <w:top w:w="20" w:type="dxa"/>
              <w:left w:w="20" w:type="dxa"/>
              <w:bottom w:w="20" w:type="dxa"/>
              <w:right w:w="20" w:type="dxa"/>
            </w:tcMar>
          </w:tcPr>
          <w:p w:rsidR="00CA6653" w:rsidRPr="007C358B" w:rsidRDefault="00CA6653">
            <w:pPr>
              <w:pStyle w:val="T1TableStyle"/>
              <w:jc w:val="center"/>
              <w:rPr>
                <w:rFonts w:ascii="Verdana" w:eastAsia="Verdana" w:hAnsi="Verdana" w:cs="Verdana"/>
                <w:b/>
                <w:color w:val="000000"/>
                <w:sz w:val="2"/>
                <w:lang w:val="en-GB"/>
              </w:rPr>
            </w:pPr>
            <w:r w:rsidRPr="007C358B">
              <w:rPr>
                <w:rFonts w:ascii="Verdana" w:eastAsia="Verdana" w:hAnsi="Verdana" w:cs="Verdana"/>
                <w:b/>
                <w:color w:val="000000"/>
                <w:sz w:val="2"/>
                <w:lang w:val="en-GB"/>
              </w:rPr>
              <w:t xml:space="preserve"> </w:t>
            </w:r>
          </w:p>
        </w:tc>
      </w:tr>
      <w:tr w:rsidR="004D417B" w:rsidRPr="007C358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at 31 March 2019</w:t>
            </w:r>
          </w:p>
        </w:tc>
        <w:tc>
          <w:tcPr>
            <w:tcW w:w="1230" w:type="dxa"/>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78,45</w:t>
            </w:r>
            <w:r w:rsidR="007C358B" w:rsidRPr="007C358B">
              <w:rPr>
                <w:rFonts w:ascii="Verdana" w:eastAsia="Verdana" w:hAnsi="Verdana" w:cs="Verdana"/>
                <w:b/>
                <w:color w:val="000000"/>
                <w:sz w:val="16"/>
                <w:lang w:val="en-GB"/>
              </w:rPr>
              <w:t>1</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12,254</w:t>
            </w:r>
          </w:p>
        </w:tc>
        <w:tc>
          <w:tcPr>
            <w:tcW w:w="1230" w:type="dxa"/>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27,75</w:t>
            </w:r>
            <w:r w:rsidR="007C358B" w:rsidRPr="007C358B">
              <w:rPr>
                <w:rFonts w:ascii="Verdana" w:eastAsia="Verdana" w:hAnsi="Verdana" w:cs="Verdana"/>
                <w:b/>
                <w:color w:val="000000"/>
                <w:sz w:val="16"/>
                <w:lang w:val="en-GB"/>
              </w:rPr>
              <w:t>1</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5,961</w:t>
            </w:r>
          </w:p>
        </w:tc>
        <w:tc>
          <w:tcPr>
            <w:tcW w:w="1230" w:type="dxa"/>
            <w:shd w:val="clear" w:color="auto" w:fill="auto"/>
            <w:tcMar>
              <w:top w:w="20" w:type="dxa"/>
              <w:left w:w="20" w:type="dxa"/>
              <w:bottom w:w="20" w:type="dxa"/>
              <w:right w:w="20" w:type="dxa"/>
            </w:tcMar>
          </w:tcPr>
          <w:p w:rsidR="00CA6653" w:rsidRPr="007C358B" w:rsidRDefault="00CA6653" w:rsidP="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124,41</w:t>
            </w:r>
            <w:r w:rsidR="007C358B" w:rsidRPr="007C358B">
              <w:rPr>
                <w:rFonts w:ascii="Verdana" w:eastAsia="Verdana" w:hAnsi="Verdana" w:cs="Verdana"/>
                <w:b/>
                <w:color w:val="000000"/>
                <w:sz w:val="16"/>
                <w:lang w:val="en-GB"/>
              </w:rPr>
              <w:t>7</w:t>
            </w:r>
          </w:p>
        </w:tc>
      </w:tr>
      <w:tr w:rsidR="004D417B" w:rsidTr="00F32EC6">
        <w:trPr>
          <w:trHeight w:val="255"/>
          <w:jc w:val="center"/>
        </w:trPr>
        <w:tc>
          <w:tcPr>
            <w:tcW w:w="2805" w:type="dxa"/>
            <w:shd w:val="clear" w:color="auto" w:fill="auto"/>
            <w:tcMar>
              <w:top w:w="20" w:type="dxa"/>
              <w:left w:w="20" w:type="dxa"/>
              <w:bottom w:w="20" w:type="dxa"/>
              <w:right w:w="20" w:type="dxa"/>
            </w:tcMar>
          </w:tcPr>
          <w:p w:rsidR="00CA6653" w:rsidRPr="007C358B" w:rsidRDefault="00CA6653">
            <w:pPr>
              <w:pStyle w:val="T1TableStyle"/>
              <w:rPr>
                <w:rFonts w:ascii="Verdana" w:eastAsia="Verdana" w:hAnsi="Verdana" w:cs="Verdana"/>
                <w:b/>
                <w:color w:val="000000"/>
                <w:sz w:val="16"/>
                <w:lang w:val="en-GB"/>
              </w:rPr>
            </w:pPr>
            <w:r w:rsidRPr="007C358B">
              <w:rPr>
                <w:rFonts w:ascii="Verdana" w:eastAsia="Verdana" w:hAnsi="Verdana" w:cs="Verdana"/>
                <w:b/>
                <w:color w:val="000000"/>
                <w:sz w:val="16"/>
                <w:lang w:val="en-GB"/>
              </w:rPr>
              <w:t>at 31 March 2018</w:t>
            </w:r>
          </w:p>
        </w:tc>
        <w:tc>
          <w:tcPr>
            <w:tcW w:w="1230" w:type="dxa"/>
            <w:shd w:val="clear" w:color="auto" w:fill="auto"/>
            <w:tcMar>
              <w:top w:w="20" w:type="dxa"/>
              <w:left w:w="20" w:type="dxa"/>
              <w:bottom w:w="20" w:type="dxa"/>
              <w:right w:w="20" w:type="dxa"/>
            </w:tcMar>
          </w:tcPr>
          <w:p w:rsidR="00CA6653" w:rsidRPr="007C358B" w:rsidRDefault="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77,836</w:t>
            </w:r>
          </w:p>
        </w:tc>
        <w:tc>
          <w:tcPr>
            <w:tcW w:w="1230" w:type="dxa"/>
            <w:shd w:val="clear" w:color="auto" w:fill="auto"/>
            <w:tcMar>
              <w:top w:w="20" w:type="dxa"/>
              <w:left w:w="20" w:type="dxa"/>
              <w:bottom w:w="20" w:type="dxa"/>
              <w:right w:w="20" w:type="dxa"/>
            </w:tcMar>
          </w:tcPr>
          <w:p w:rsidR="00CA6653" w:rsidRPr="007C358B" w:rsidRDefault="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11,976</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4,840</w:t>
            </w:r>
          </w:p>
        </w:tc>
        <w:tc>
          <w:tcPr>
            <w:tcW w:w="1230" w:type="dxa"/>
            <w:shd w:val="clear" w:color="auto" w:fill="auto"/>
            <w:tcMar>
              <w:top w:w="20" w:type="dxa"/>
              <w:left w:w="20" w:type="dxa"/>
              <w:bottom w:w="20" w:type="dxa"/>
              <w:right w:w="20" w:type="dxa"/>
            </w:tcMar>
          </w:tcPr>
          <w:p w:rsidR="00CA6653" w:rsidRPr="007C358B" w:rsidRDefault="00CA6653">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5,318</w:t>
            </w:r>
          </w:p>
        </w:tc>
        <w:tc>
          <w:tcPr>
            <w:tcW w:w="1230" w:type="dxa"/>
            <w:shd w:val="clear" w:color="auto" w:fill="auto"/>
            <w:tcMar>
              <w:top w:w="20" w:type="dxa"/>
              <w:left w:w="20" w:type="dxa"/>
              <w:bottom w:w="20" w:type="dxa"/>
              <w:right w:w="20" w:type="dxa"/>
            </w:tcMar>
          </w:tcPr>
          <w:p w:rsidR="00CA6653" w:rsidRDefault="007C358B">
            <w:pPr>
              <w:pStyle w:val="T1TableStyle"/>
              <w:jc w:val="right"/>
              <w:rPr>
                <w:rFonts w:ascii="Verdana" w:eastAsia="Verdana" w:hAnsi="Verdana" w:cs="Verdana"/>
                <w:b/>
                <w:color w:val="000000"/>
                <w:sz w:val="16"/>
                <w:lang w:val="en-GB"/>
              </w:rPr>
            </w:pPr>
            <w:r w:rsidRPr="007C358B">
              <w:rPr>
                <w:rFonts w:ascii="Verdana" w:eastAsia="Verdana" w:hAnsi="Verdana" w:cs="Verdana"/>
                <w:b/>
                <w:color w:val="000000"/>
                <w:sz w:val="16"/>
                <w:lang w:val="en-GB"/>
              </w:rPr>
              <w:t>99,970</w:t>
            </w:r>
          </w:p>
        </w:tc>
      </w:tr>
    </w:tbl>
    <w:p w:rsidR="007C358B" w:rsidRDefault="007C358B" w:rsidP="00CA6653">
      <w:pPr>
        <w:pStyle w:val="Normal0"/>
        <w:jc w:val="both"/>
        <w:rPr>
          <w:rFonts w:ascii="Verdana" w:eastAsia="Calibri" w:hAnsi="Verdana" w:cs="Times New Roman"/>
          <w:b/>
          <w:bCs/>
        </w:rPr>
      </w:pPr>
    </w:p>
    <w:p w:rsidR="00CA6653" w:rsidRPr="003E15DC" w:rsidRDefault="00CA6653" w:rsidP="00CA6653">
      <w:pPr>
        <w:pStyle w:val="Normal0"/>
        <w:jc w:val="both"/>
        <w:rPr>
          <w:rFonts w:ascii="Verdana" w:hAnsi="Verdana" w:cs="Times New Roman"/>
          <w:b/>
          <w:bCs/>
          <w:sz w:val="22"/>
          <w:szCs w:val="22"/>
        </w:rPr>
      </w:pPr>
      <w:r w:rsidRPr="003E15DC">
        <w:rPr>
          <w:rFonts w:ascii="Verdana" w:eastAsia="Calibri" w:hAnsi="Verdana" w:cs="Times New Roman"/>
          <w:b/>
          <w:bCs/>
          <w:sz w:val="22"/>
          <w:szCs w:val="22"/>
        </w:rPr>
        <w:t>Depreciation</w:t>
      </w:r>
    </w:p>
    <w:p w:rsidR="006B744E" w:rsidRDefault="006B744E" w:rsidP="003E15DC">
      <w:pPr>
        <w:pStyle w:val="Normal0"/>
        <w:jc w:val="both"/>
        <w:rPr>
          <w:rFonts w:ascii="Verdana" w:eastAsia="Calibri" w:hAnsi="Verdana" w:cs="Times New Roman"/>
          <w:bCs/>
          <w:sz w:val="22"/>
          <w:szCs w:val="22"/>
        </w:rPr>
      </w:pPr>
    </w:p>
    <w:p w:rsidR="00CA6653" w:rsidRPr="003E15DC" w:rsidRDefault="00CA6653" w:rsidP="003E15DC">
      <w:pPr>
        <w:pStyle w:val="Normal0"/>
        <w:jc w:val="both"/>
        <w:rPr>
          <w:rFonts w:ascii="Verdana" w:hAnsi="Verdana" w:cs="Times New Roman"/>
          <w:bCs/>
          <w:sz w:val="22"/>
          <w:szCs w:val="22"/>
        </w:rPr>
      </w:pPr>
      <w:r w:rsidRPr="003E15DC">
        <w:rPr>
          <w:rFonts w:ascii="Verdana" w:eastAsia="Calibri" w:hAnsi="Verdana" w:cs="Times New Roman"/>
          <w:bCs/>
          <w:sz w:val="22"/>
          <w:szCs w:val="22"/>
        </w:rPr>
        <w:t>Depreciation is calculated on a straight-line basis over the estimated life of the asset. Although it is calculated on the estimated life of the specific individual asset concerned, the approximate average depreciation periods are as follows:</w:t>
      </w:r>
    </w:p>
    <w:p w:rsidR="00CA6653" w:rsidRPr="003E15DC" w:rsidRDefault="00CA6653" w:rsidP="003E15DC">
      <w:pPr>
        <w:pStyle w:val="Normal0"/>
        <w:ind w:firstLine="720"/>
        <w:jc w:val="both"/>
        <w:rPr>
          <w:rFonts w:ascii="Verdana" w:hAnsi="Verdana" w:cs="Times New Roman"/>
          <w:bCs/>
          <w:sz w:val="22"/>
          <w:szCs w:val="22"/>
        </w:rPr>
      </w:pPr>
      <w:r w:rsidRPr="003E15DC">
        <w:rPr>
          <w:rFonts w:ascii="Verdana" w:eastAsia="Calibri" w:hAnsi="Verdana" w:cs="Times New Roman"/>
          <w:bCs/>
          <w:sz w:val="22"/>
          <w:szCs w:val="22"/>
        </w:rPr>
        <w:t>Buildings</w:t>
      </w:r>
      <w:r w:rsidRPr="003E15DC">
        <w:rPr>
          <w:rFonts w:ascii="Verdana" w:eastAsia="Calibri" w:hAnsi="Verdana" w:cs="Times New Roman"/>
          <w:bCs/>
          <w:sz w:val="22"/>
          <w:szCs w:val="22"/>
        </w:rPr>
        <w:tab/>
      </w:r>
      <w:r w:rsidRPr="003E15DC">
        <w:rPr>
          <w:rFonts w:ascii="Verdana" w:eastAsia="Calibri" w:hAnsi="Verdana" w:cs="Times New Roman"/>
          <w:bCs/>
          <w:sz w:val="22"/>
          <w:szCs w:val="22"/>
        </w:rPr>
        <w:tab/>
      </w:r>
      <w:r w:rsidRPr="003E15DC">
        <w:rPr>
          <w:rFonts w:ascii="Verdana" w:eastAsia="Calibri" w:hAnsi="Verdana" w:cs="Times New Roman"/>
          <w:bCs/>
          <w:sz w:val="22"/>
          <w:szCs w:val="22"/>
        </w:rPr>
        <w:tab/>
      </w:r>
      <w:r w:rsidRPr="003E15DC">
        <w:rPr>
          <w:rFonts w:ascii="Verdana" w:eastAsia="Calibri" w:hAnsi="Verdana" w:cs="Times New Roman"/>
          <w:bCs/>
          <w:sz w:val="22"/>
          <w:szCs w:val="22"/>
        </w:rPr>
        <w:tab/>
      </w:r>
      <w:r w:rsidRPr="003E15DC">
        <w:rPr>
          <w:rFonts w:ascii="Verdana" w:eastAsia="Calibri" w:hAnsi="Verdana" w:cs="Times New Roman"/>
          <w:bCs/>
          <w:sz w:val="22"/>
          <w:szCs w:val="22"/>
        </w:rPr>
        <w:tab/>
        <w:t>25 years</w:t>
      </w:r>
    </w:p>
    <w:p w:rsidR="00CA6653" w:rsidRPr="003E15DC" w:rsidRDefault="00CA6653" w:rsidP="003E15DC">
      <w:pPr>
        <w:pStyle w:val="Normal0"/>
        <w:ind w:firstLine="720"/>
        <w:jc w:val="both"/>
        <w:rPr>
          <w:rFonts w:ascii="Verdana" w:hAnsi="Verdana" w:cs="Times New Roman"/>
          <w:bCs/>
          <w:sz w:val="22"/>
          <w:szCs w:val="22"/>
        </w:rPr>
      </w:pPr>
      <w:r w:rsidRPr="003E15DC">
        <w:rPr>
          <w:rFonts w:ascii="Verdana" w:eastAsia="Calibri" w:hAnsi="Verdana" w:cs="Times New Roman"/>
          <w:bCs/>
          <w:sz w:val="22"/>
          <w:szCs w:val="22"/>
        </w:rPr>
        <w:t>Plant, Furniture &amp; Equipment</w:t>
      </w:r>
      <w:r w:rsidRPr="003E15DC">
        <w:rPr>
          <w:rFonts w:ascii="Verdana" w:eastAsia="Calibri" w:hAnsi="Verdana" w:cs="Times New Roman"/>
          <w:bCs/>
          <w:sz w:val="22"/>
          <w:szCs w:val="22"/>
        </w:rPr>
        <w:tab/>
      </w:r>
      <w:r w:rsidRPr="003E15DC">
        <w:rPr>
          <w:rFonts w:ascii="Verdana" w:eastAsia="Calibri" w:hAnsi="Verdana" w:cs="Times New Roman"/>
          <w:bCs/>
          <w:sz w:val="22"/>
          <w:szCs w:val="22"/>
        </w:rPr>
        <w:tab/>
        <w:t>5 years</w:t>
      </w:r>
    </w:p>
    <w:p w:rsidR="00CA6653" w:rsidRPr="003E15DC" w:rsidRDefault="00CA6653" w:rsidP="003E15DC">
      <w:pPr>
        <w:pStyle w:val="Normal0"/>
        <w:ind w:firstLine="720"/>
        <w:jc w:val="both"/>
        <w:rPr>
          <w:rFonts w:ascii="Verdana" w:hAnsi="Verdana" w:cs="Times New Roman"/>
          <w:bCs/>
          <w:sz w:val="22"/>
          <w:szCs w:val="22"/>
        </w:rPr>
      </w:pPr>
      <w:r w:rsidRPr="003E15DC">
        <w:rPr>
          <w:rFonts w:ascii="Verdana" w:eastAsia="Calibri" w:hAnsi="Verdana" w:cs="Times New Roman"/>
          <w:bCs/>
          <w:sz w:val="22"/>
          <w:szCs w:val="22"/>
        </w:rPr>
        <w:t>Vehicles</w:t>
      </w:r>
      <w:r w:rsidRPr="003E15DC">
        <w:rPr>
          <w:rFonts w:ascii="Verdana" w:eastAsia="Calibri" w:hAnsi="Verdana" w:cs="Times New Roman"/>
          <w:bCs/>
          <w:sz w:val="22"/>
          <w:szCs w:val="22"/>
        </w:rPr>
        <w:tab/>
        <w:t xml:space="preserve">  </w:t>
      </w:r>
      <w:r w:rsidRPr="003E15DC">
        <w:rPr>
          <w:rFonts w:ascii="Verdana" w:eastAsia="Calibri" w:hAnsi="Verdana" w:cs="Times New Roman"/>
          <w:bCs/>
          <w:sz w:val="22"/>
          <w:szCs w:val="22"/>
        </w:rPr>
        <w:tab/>
      </w:r>
      <w:r w:rsidRPr="003E15DC">
        <w:rPr>
          <w:rFonts w:ascii="Verdana" w:eastAsia="Calibri" w:hAnsi="Verdana" w:cs="Times New Roman"/>
          <w:bCs/>
          <w:sz w:val="22"/>
          <w:szCs w:val="22"/>
        </w:rPr>
        <w:tab/>
      </w:r>
      <w:r w:rsidRPr="003E15DC">
        <w:rPr>
          <w:rFonts w:ascii="Verdana" w:eastAsia="Calibri" w:hAnsi="Verdana" w:cs="Times New Roman"/>
          <w:bCs/>
          <w:sz w:val="22"/>
          <w:szCs w:val="22"/>
        </w:rPr>
        <w:tab/>
      </w:r>
      <w:r w:rsidRPr="003E15DC">
        <w:rPr>
          <w:rFonts w:ascii="Verdana" w:eastAsia="Calibri" w:hAnsi="Verdana" w:cs="Times New Roman"/>
          <w:bCs/>
          <w:sz w:val="22"/>
          <w:szCs w:val="22"/>
        </w:rPr>
        <w:tab/>
        <w:t>5 years</w:t>
      </w:r>
    </w:p>
    <w:p w:rsidR="00CA6653" w:rsidRPr="003E15DC" w:rsidRDefault="00CA6653" w:rsidP="003E15DC">
      <w:pPr>
        <w:pStyle w:val="Normal0"/>
        <w:jc w:val="both"/>
        <w:rPr>
          <w:rFonts w:ascii="Verdana" w:hAnsi="Verdana" w:cs="Times New Roman"/>
          <w:b/>
          <w:bCs/>
          <w:sz w:val="22"/>
          <w:szCs w:val="22"/>
        </w:rPr>
      </w:pPr>
    </w:p>
    <w:p w:rsidR="00CA6653" w:rsidRPr="003E15DC" w:rsidRDefault="00CA6653" w:rsidP="003E15DC">
      <w:pPr>
        <w:pStyle w:val="Normal0"/>
        <w:jc w:val="both"/>
        <w:rPr>
          <w:rFonts w:ascii="Verdana" w:hAnsi="Verdana" w:cs="Times New Roman"/>
          <w:b/>
          <w:bCs/>
          <w:sz w:val="22"/>
          <w:szCs w:val="22"/>
        </w:rPr>
      </w:pPr>
      <w:r w:rsidRPr="003E15DC">
        <w:rPr>
          <w:rFonts w:ascii="Verdana" w:eastAsia="Calibri" w:hAnsi="Verdana" w:cs="Times New Roman"/>
          <w:b/>
          <w:bCs/>
          <w:sz w:val="22"/>
          <w:szCs w:val="22"/>
        </w:rPr>
        <w:t>Effects of Changes in Estimates</w:t>
      </w:r>
    </w:p>
    <w:p w:rsidR="006B744E" w:rsidRDefault="006B744E" w:rsidP="003E15DC">
      <w:pPr>
        <w:pStyle w:val="Normal0"/>
        <w:jc w:val="both"/>
        <w:rPr>
          <w:rFonts w:ascii="Verdana" w:eastAsia="Calibri" w:hAnsi="Verdana" w:cs="Times New Roman"/>
          <w:bCs/>
          <w:sz w:val="22"/>
          <w:szCs w:val="22"/>
        </w:rPr>
      </w:pPr>
    </w:p>
    <w:p w:rsidR="00CA6653" w:rsidRPr="003E15DC" w:rsidRDefault="00CA6653" w:rsidP="003E15DC">
      <w:pPr>
        <w:pStyle w:val="Normal0"/>
        <w:jc w:val="both"/>
        <w:rPr>
          <w:rFonts w:ascii="Verdana" w:hAnsi="Verdana" w:cs="Times New Roman"/>
          <w:bCs/>
          <w:sz w:val="22"/>
          <w:szCs w:val="22"/>
        </w:rPr>
      </w:pPr>
      <w:r w:rsidRPr="003E15DC">
        <w:rPr>
          <w:rFonts w:ascii="Verdana" w:eastAsia="Calibri" w:hAnsi="Verdana" w:cs="Times New Roman"/>
          <w:bCs/>
          <w:sz w:val="22"/>
          <w:szCs w:val="22"/>
        </w:rPr>
        <w:t>Assets are depreciated over useful lives that are dependent on assumptions about the level of repair and maintenance that will be incurred in relation to individual assets. If the useful life of an asset is reduced, depreciation increases and the carrying amount of the asset falls.  It is estimated that the annual depreciation charge would increase by £1.9m for every year that the useful lives had to be reduced.</w:t>
      </w:r>
    </w:p>
    <w:p w:rsidR="006B744E" w:rsidRDefault="006B744E" w:rsidP="003E15DC">
      <w:pPr>
        <w:pStyle w:val="Normal0"/>
        <w:jc w:val="both"/>
        <w:rPr>
          <w:rFonts w:ascii="Verdana" w:hAnsi="Verdana" w:cs="Times New Roman"/>
          <w:b/>
          <w:bCs/>
          <w:sz w:val="22"/>
          <w:szCs w:val="22"/>
        </w:rPr>
      </w:pPr>
    </w:p>
    <w:p w:rsidR="00CA6653" w:rsidRPr="003E15DC" w:rsidRDefault="00CA6653" w:rsidP="003E15DC">
      <w:pPr>
        <w:pStyle w:val="Normal0"/>
        <w:jc w:val="both"/>
        <w:rPr>
          <w:rFonts w:ascii="Verdana" w:hAnsi="Verdana" w:cs="Times New Roman"/>
          <w:b/>
          <w:bCs/>
          <w:sz w:val="22"/>
          <w:szCs w:val="22"/>
        </w:rPr>
      </w:pPr>
      <w:r w:rsidRPr="003E15DC">
        <w:rPr>
          <w:rFonts w:ascii="Verdana" w:eastAsia="Calibri" w:hAnsi="Verdana" w:cs="Times New Roman"/>
          <w:b/>
          <w:bCs/>
          <w:sz w:val="22"/>
          <w:szCs w:val="22"/>
        </w:rPr>
        <w:t>Land and Buildings</w:t>
      </w:r>
    </w:p>
    <w:p w:rsidR="008B5874" w:rsidRDefault="008B5874" w:rsidP="003E15DC">
      <w:pPr>
        <w:pStyle w:val="Normal0"/>
        <w:jc w:val="both"/>
        <w:rPr>
          <w:rFonts w:ascii="Verdana" w:eastAsia="Calibri" w:hAnsi="Verdana" w:cs="Times New Roman"/>
          <w:sz w:val="22"/>
          <w:szCs w:val="22"/>
        </w:rPr>
      </w:pPr>
    </w:p>
    <w:p w:rsidR="008B5874" w:rsidRP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The entire Surrey Police estate was revalued for 2019/20 Statement of Accounts on 31st March 2020. Surrey Police carries out a rolling programme that ensures that all property, plant and equipment required to be measured at current value is revalued at least every five years.</w:t>
      </w:r>
    </w:p>
    <w:p w:rsidR="008B5874" w:rsidRPr="008B5874" w:rsidRDefault="008B5874" w:rsidP="008B5874">
      <w:pPr>
        <w:pStyle w:val="Normal0"/>
        <w:jc w:val="both"/>
        <w:rPr>
          <w:rFonts w:ascii="Verdana" w:eastAsia="Calibri" w:hAnsi="Verdana" w:cs="Times New Roman"/>
          <w:sz w:val="22"/>
          <w:szCs w:val="22"/>
        </w:rPr>
      </w:pPr>
    </w:p>
    <w:p w:rsidR="008B5874" w:rsidRP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 xml:space="preserve">The valuations </w:t>
      </w:r>
      <w:r w:rsidR="006D0A3D">
        <w:rPr>
          <w:rFonts w:ascii="Verdana" w:eastAsia="Calibri" w:hAnsi="Verdana" w:cs="Times New Roman"/>
          <w:sz w:val="22"/>
          <w:szCs w:val="22"/>
        </w:rPr>
        <w:t>were carried out</w:t>
      </w:r>
      <w:r w:rsidRPr="008B5874">
        <w:rPr>
          <w:rFonts w:ascii="Verdana" w:eastAsia="Calibri" w:hAnsi="Verdana" w:cs="Times New Roman"/>
          <w:sz w:val="22"/>
          <w:szCs w:val="22"/>
        </w:rPr>
        <w:t xml:space="preserve"> in accordance with the</w:t>
      </w:r>
      <w:r w:rsidR="006D0A3D">
        <w:rPr>
          <w:rFonts w:ascii="Verdana" w:eastAsia="Calibri" w:hAnsi="Verdana" w:cs="Times New Roman"/>
          <w:sz w:val="22"/>
          <w:szCs w:val="22"/>
        </w:rPr>
        <w:t xml:space="preserve"> methodologies and bases for estimation set out in the professional standards of the </w:t>
      </w:r>
      <w:r w:rsidRPr="008B5874">
        <w:rPr>
          <w:rFonts w:ascii="Verdana" w:eastAsia="Calibri" w:hAnsi="Verdana" w:cs="Times New Roman"/>
          <w:sz w:val="22"/>
          <w:szCs w:val="22"/>
        </w:rPr>
        <w:t>Royal Institute of Chartered Surveyors (RICS) Valuations - Professional Standards 2014 (Revised 2015) &amp; RICS Valuation – Global Standards 2017 (‘The Standards’), International Financial Reporting Standards (IFRS) and Chartered Institute of Public Finance and Accounting Code of Practice on Local Authority Accounting (‘The CIPFA Code’). The valuation was prepared by Guy Emmerson MRICS partner in Bruton Knowles who are an external organisation and have no ties to Surrey Police.</w:t>
      </w:r>
    </w:p>
    <w:p w:rsidR="008B5874" w:rsidRPr="008B5874" w:rsidRDefault="008B5874" w:rsidP="008B5874">
      <w:pPr>
        <w:pStyle w:val="Normal0"/>
        <w:jc w:val="both"/>
        <w:rPr>
          <w:rFonts w:ascii="Verdana" w:eastAsia="Calibri" w:hAnsi="Verdana" w:cs="Times New Roman"/>
          <w:sz w:val="22"/>
          <w:szCs w:val="22"/>
        </w:rPr>
      </w:pPr>
    </w:p>
    <w:p w:rsidR="008B5874" w:rsidRP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The significant assumptions applied in estimating the current values of property are:</w:t>
      </w:r>
    </w:p>
    <w:p w:rsidR="008B5874" w:rsidRPr="008B5874" w:rsidRDefault="008B5874" w:rsidP="008B5874">
      <w:pPr>
        <w:pStyle w:val="Normal0"/>
        <w:jc w:val="both"/>
        <w:rPr>
          <w:rFonts w:ascii="Verdana" w:eastAsia="Calibri" w:hAnsi="Verdana" w:cs="Times New Roman"/>
          <w:sz w:val="22"/>
          <w:szCs w:val="22"/>
        </w:rPr>
      </w:pPr>
    </w:p>
    <w:p w:rsidR="008B5874" w:rsidRP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 Operational purpose-built Police Buildings with integral active Custody to be valued to Depreciated Replacement Cost and Market Value – This reflects the specialised nature of these assets and that they are not traded in the open market – and that we need to identify any significant variation from DRC to MV.</w:t>
      </w:r>
    </w:p>
    <w:p w:rsidR="008B5874" w:rsidRP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 Operational purpose-built Police Buildings with non-integral active Custody to be valued to Depreciated Replacement Cost for Custody elements and Existing Use Value for non-Custody elements. – The DRC element reflects the specialised nature of these</w:t>
      </w:r>
    </w:p>
    <w:p w:rsidR="008B5874" w:rsidRP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Custody assets and that they are not traded in the open market. The EUV elements reflects the continuing operational use of the assets but that they are no longer so specialised that they could not be traded in the open market.</w:t>
      </w:r>
    </w:p>
    <w:p w:rsidR="008B5874" w:rsidRP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 Operational purpose-built Police Buildings with closed Custody to be valued to Existing Use Value – This reflects the continuing operational use of the assets but that they are no longer so specialised that they could not be traded in the open market.</w:t>
      </w:r>
    </w:p>
    <w:p w:rsidR="008B5874" w:rsidRP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 Operational non-purpose-built Police Buildings to be valued to Existing Use Value - This reflects the continuing operational use of the assets but that they are not so specialised that they could not be traded in the open market.</w:t>
      </w:r>
    </w:p>
    <w:p w:rsidR="008B5874" w:rsidRP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 Residential Police Buildings to be valued to Existing Use Value - This reflects the continuing operational use of the assets but that they are not so specialised that they could not be traded in the open market.</w:t>
      </w:r>
    </w:p>
    <w:p w:rsidR="008B5874" w:rsidRDefault="008B5874" w:rsidP="008B5874">
      <w:pPr>
        <w:pStyle w:val="Normal0"/>
        <w:jc w:val="both"/>
        <w:rPr>
          <w:rFonts w:ascii="Verdana" w:eastAsia="Calibri" w:hAnsi="Verdana" w:cs="Times New Roman"/>
          <w:sz w:val="22"/>
          <w:szCs w:val="22"/>
        </w:rPr>
      </w:pPr>
      <w:r w:rsidRPr="008B5874">
        <w:rPr>
          <w:rFonts w:ascii="Verdana" w:eastAsia="Calibri" w:hAnsi="Verdana" w:cs="Times New Roman"/>
          <w:sz w:val="22"/>
          <w:szCs w:val="22"/>
        </w:rPr>
        <w:t>• Surplus buildings to be valued to Market Value - This reflects that the assets could be traded in the open market.</w:t>
      </w:r>
    </w:p>
    <w:p w:rsidR="006D0A3D" w:rsidRDefault="006D0A3D" w:rsidP="008B5874">
      <w:pPr>
        <w:pStyle w:val="Normal0"/>
        <w:jc w:val="both"/>
        <w:rPr>
          <w:rFonts w:ascii="Verdana" w:eastAsia="Calibri" w:hAnsi="Verdana" w:cs="Times New Roman"/>
          <w:sz w:val="22"/>
          <w:szCs w:val="22"/>
        </w:rPr>
      </w:pPr>
    </w:p>
    <w:p w:rsidR="008B681E" w:rsidRPr="00A200D5" w:rsidRDefault="008B681E" w:rsidP="008B5874">
      <w:pPr>
        <w:pStyle w:val="Normal0"/>
        <w:jc w:val="both"/>
        <w:rPr>
          <w:rFonts w:ascii="Verdana" w:eastAsia="Calibri" w:hAnsi="Verdana" w:cs="Times New Roman"/>
          <w:b/>
          <w:sz w:val="22"/>
          <w:szCs w:val="22"/>
        </w:rPr>
      </w:pPr>
      <w:r w:rsidRPr="00A200D5">
        <w:rPr>
          <w:rFonts w:ascii="Verdana" w:eastAsia="Calibri" w:hAnsi="Verdana" w:cs="Times New Roman"/>
          <w:b/>
          <w:sz w:val="22"/>
          <w:szCs w:val="22"/>
        </w:rPr>
        <w:t xml:space="preserve">Assets </w:t>
      </w:r>
      <w:r w:rsidR="000A5040" w:rsidRPr="00A200D5">
        <w:rPr>
          <w:rFonts w:ascii="Verdana" w:eastAsia="Calibri" w:hAnsi="Verdana" w:cs="Times New Roman"/>
          <w:b/>
          <w:sz w:val="22"/>
          <w:szCs w:val="22"/>
        </w:rPr>
        <w:t>u</w:t>
      </w:r>
      <w:r w:rsidRPr="00A200D5">
        <w:rPr>
          <w:rFonts w:ascii="Verdana" w:eastAsia="Calibri" w:hAnsi="Verdana" w:cs="Times New Roman"/>
          <w:b/>
          <w:sz w:val="22"/>
          <w:szCs w:val="22"/>
        </w:rPr>
        <w:t>nder Construction (AUC)</w:t>
      </w:r>
    </w:p>
    <w:p w:rsidR="006D0A3D" w:rsidRDefault="006D0A3D" w:rsidP="008B5874">
      <w:pPr>
        <w:pStyle w:val="Normal0"/>
        <w:jc w:val="both"/>
        <w:rPr>
          <w:rFonts w:ascii="Verdana" w:eastAsia="Calibri" w:hAnsi="Verdana" w:cs="Times New Roman"/>
          <w:sz w:val="22"/>
          <w:szCs w:val="22"/>
        </w:rPr>
      </w:pPr>
    </w:p>
    <w:p w:rsidR="006D0A3D" w:rsidRDefault="008B681E" w:rsidP="008B5874">
      <w:pPr>
        <w:pStyle w:val="Normal0"/>
        <w:jc w:val="both"/>
        <w:rPr>
          <w:rFonts w:ascii="Verdana" w:eastAsia="Calibri" w:hAnsi="Verdana" w:cs="Times New Roman"/>
          <w:sz w:val="22"/>
          <w:szCs w:val="22"/>
        </w:rPr>
      </w:pPr>
      <w:r>
        <w:rPr>
          <w:rFonts w:ascii="Verdana" w:eastAsia="Calibri" w:hAnsi="Verdana" w:cs="Times New Roman"/>
          <w:sz w:val="22"/>
          <w:szCs w:val="22"/>
        </w:rPr>
        <w:t>When an asset is initially purchased it is coded to a Capital Project and classed as AUC</w:t>
      </w:r>
      <w:r w:rsidR="006D0A3D">
        <w:rPr>
          <w:rFonts w:ascii="Verdana" w:eastAsia="Calibri" w:hAnsi="Verdana" w:cs="Times New Roman"/>
          <w:sz w:val="22"/>
          <w:szCs w:val="22"/>
        </w:rPr>
        <w:t xml:space="preserve"> until complete</w:t>
      </w:r>
      <w:r>
        <w:rPr>
          <w:rFonts w:ascii="Verdana" w:eastAsia="Calibri" w:hAnsi="Verdana" w:cs="Times New Roman"/>
          <w:sz w:val="22"/>
          <w:szCs w:val="22"/>
        </w:rPr>
        <w:t xml:space="preserve">. For example when a new car is purchased it has to have </w:t>
      </w:r>
      <w:r w:rsidR="006D0A3D">
        <w:rPr>
          <w:rFonts w:ascii="Verdana" w:eastAsia="Calibri" w:hAnsi="Verdana" w:cs="Times New Roman"/>
          <w:sz w:val="22"/>
          <w:szCs w:val="22"/>
        </w:rPr>
        <w:t>livery added</w:t>
      </w:r>
      <w:r>
        <w:rPr>
          <w:rFonts w:ascii="Verdana" w:eastAsia="Calibri" w:hAnsi="Verdana" w:cs="Times New Roman"/>
          <w:sz w:val="22"/>
          <w:szCs w:val="22"/>
        </w:rPr>
        <w:t xml:space="preserve"> and any additional equipment installed. Once </w:t>
      </w:r>
      <w:r w:rsidR="006D0A3D">
        <w:rPr>
          <w:rFonts w:ascii="Verdana" w:eastAsia="Calibri" w:hAnsi="Verdana" w:cs="Times New Roman"/>
          <w:sz w:val="22"/>
          <w:szCs w:val="22"/>
        </w:rPr>
        <w:t>that is</w:t>
      </w:r>
      <w:r>
        <w:rPr>
          <w:rFonts w:ascii="Verdana" w:eastAsia="Calibri" w:hAnsi="Verdana" w:cs="Times New Roman"/>
          <w:sz w:val="22"/>
          <w:szCs w:val="22"/>
        </w:rPr>
        <w:t xml:space="preserve"> done and the car </w:t>
      </w:r>
      <w:r w:rsidR="006D0A3D">
        <w:rPr>
          <w:rFonts w:ascii="Verdana" w:eastAsia="Calibri" w:hAnsi="Verdana" w:cs="Times New Roman"/>
          <w:sz w:val="22"/>
          <w:szCs w:val="22"/>
        </w:rPr>
        <w:t xml:space="preserve">is </w:t>
      </w:r>
      <w:r>
        <w:rPr>
          <w:rFonts w:ascii="Verdana" w:eastAsia="Calibri" w:hAnsi="Verdana" w:cs="Times New Roman"/>
          <w:sz w:val="22"/>
          <w:szCs w:val="22"/>
        </w:rPr>
        <w:t xml:space="preserve">operational the asset is transferred from AUC to </w:t>
      </w:r>
      <w:r w:rsidR="006D0A3D">
        <w:rPr>
          <w:rFonts w:ascii="Verdana" w:eastAsia="Calibri" w:hAnsi="Verdana" w:cs="Times New Roman"/>
          <w:sz w:val="22"/>
          <w:szCs w:val="22"/>
        </w:rPr>
        <w:t xml:space="preserve">the </w:t>
      </w:r>
      <w:r>
        <w:rPr>
          <w:rFonts w:ascii="Verdana" w:eastAsia="Calibri" w:hAnsi="Verdana" w:cs="Times New Roman"/>
          <w:sz w:val="22"/>
          <w:szCs w:val="22"/>
        </w:rPr>
        <w:t>Vehicles</w:t>
      </w:r>
      <w:r w:rsidR="006D0A3D">
        <w:rPr>
          <w:rFonts w:ascii="Verdana" w:eastAsia="Calibri" w:hAnsi="Verdana" w:cs="Times New Roman"/>
          <w:sz w:val="22"/>
          <w:szCs w:val="22"/>
        </w:rPr>
        <w:t xml:space="preserve"> category</w:t>
      </w:r>
      <w:r>
        <w:rPr>
          <w:rFonts w:ascii="Verdana" w:eastAsia="Calibri" w:hAnsi="Verdana" w:cs="Times New Roman"/>
          <w:sz w:val="22"/>
          <w:szCs w:val="22"/>
        </w:rPr>
        <w:t>.</w:t>
      </w:r>
      <w:r w:rsidR="006D0A3D">
        <w:rPr>
          <w:rFonts w:ascii="Verdana" w:eastAsia="Calibri" w:hAnsi="Verdana" w:cs="Times New Roman"/>
          <w:sz w:val="22"/>
          <w:szCs w:val="22"/>
        </w:rPr>
        <w:t xml:space="preserve"> </w:t>
      </w:r>
      <w:r>
        <w:rPr>
          <w:rFonts w:ascii="Verdana" w:eastAsia="Calibri" w:hAnsi="Verdana" w:cs="Times New Roman"/>
          <w:sz w:val="22"/>
          <w:szCs w:val="22"/>
        </w:rPr>
        <w:t>The same</w:t>
      </w:r>
      <w:r w:rsidR="006D0A3D">
        <w:rPr>
          <w:rFonts w:ascii="Verdana" w:eastAsia="Calibri" w:hAnsi="Verdana" w:cs="Times New Roman"/>
          <w:sz w:val="22"/>
          <w:szCs w:val="22"/>
        </w:rPr>
        <w:t xml:space="preserve"> principle</w:t>
      </w:r>
      <w:r>
        <w:rPr>
          <w:rFonts w:ascii="Verdana" w:eastAsia="Calibri" w:hAnsi="Verdana" w:cs="Times New Roman"/>
          <w:sz w:val="22"/>
          <w:szCs w:val="22"/>
        </w:rPr>
        <w:t xml:space="preserve"> </w:t>
      </w:r>
      <w:r w:rsidR="006D0A3D">
        <w:rPr>
          <w:rFonts w:ascii="Verdana" w:eastAsia="Calibri" w:hAnsi="Verdana" w:cs="Times New Roman"/>
          <w:sz w:val="22"/>
          <w:szCs w:val="22"/>
        </w:rPr>
        <w:t xml:space="preserve">is true for other classes of PPE including </w:t>
      </w:r>
      <w:r>
        <w:rPr>
          <w:rFonts w:ascii="Verdana" w:eastAsia="Calibri" w:hAnsi="Verdana" w:cs="Times New Roman"/>
          <w:sz w:val="22"/>
          <w:szCs w:val="22"/>
        </w:rPr>
        <w:t>IT project</w:t>
      </w:r>
      <w:r w:rsidR="006D0A3D">
        <w:rPr>
          <w:rFonts w:ascii="Verdana" w:eastAsia="Calibri" w:hAnsi="Verdana" w:cs="Times New Roman"/>
          <w:sz w:val="22"/>
          <w:szCs w:val="22"/>
        </w:rPr>
        <w:t xml:space="preserve">s and </w:t>
      </w:r>
      <w:r>
        <w:rPr>
          <w:rFonts w:ascii="Verdana" w:eastAsia="Calibri" w:hAnsi="Verdana" w:cs="Times New Roman"/>
          <w:sz w:val="22"/>
          <w:szCs w:val="22"/>
        </w:rPr>
        <w:t>Equipment</w:t>
      </w:r>
      <w:r w:rsidR="006D0A3D">
        <w:rPr>
          <w:rFonts w:ascii="Verdana" w:eastAsia="Calibri" w:hAnsi="Verdana" w:cs="Times New Roman"/>
          <w:sz w:val="22"/>
          <w:szCs w:val="22"/>
        </w:rPr>
        <w:t>.</w:t>
      </w:r>
    </w:p>
    <w:p w:rsidR="006D0A3D" w:rsidRDefault="006D0A3D" w:rsidP="008B5874">
      <w:pPr>
        <w:pStyle w:val="Normal0"/>
        <w:jc w:val="both"/>
        <w:rPr>
          <w:rFonts w:ascii="Verdana" w:eastAsia="Calibri" w:hAnsi="Verdana" w:cs="Times New Roman"/>
          <w:sz w:val="22"/>
          <w:szCs w:val="22"/>
        </w:rPr>
      </w:pPr>
    </w:p>
    <w:p w:rsidR="000A5040" w:rsidRDefault="006D0A3D" w:rsidP="008B5874">
      <w:pPr>
        <w:pStyle w:val="Normal0"/>
        <w:jc w:val="both"/>
        <w:rPr>
          <w:rFonts w:ascii="Verdana" w:eastAsia="Calibri" w:hAnsi="Verdana" w:cs="Times New Roman"/>
          <w:sz w:val="22"/>
          <w:szCs w:val="22"/>
        </w:rPr>
      </w:pPr>
      <w:r w:rsidRPr="000A5040">
        <w:rPr>
          <w:rFonts w:ascii="Verdana" w:eastAsia="Calibri" w:hAnsi="Verdana" w:cs="Times New Roman"/>
          <w:sz w:val="22"/>
          <w:szCs w:val="22"/>
        </w:rPr>
        <w:t xml:space="preserve">AUC </w:t>
      </w:r>
      <w:r w:rsidRPr="00A200D5">
        <w:rPr>
          <w:rFonts w:ascii="Verdana" w:eastAsia="Calibri" w:hAnsi="Verdana" w:cs="Times New Roman"/>
          <w:sz w:val="22"/>
          <w:szCs w:val="22"/>
        </w:rPr>
        <w:t xml:space="preserve">for the 2019/20 </w:t>
      </w:r>
      <w:r w:rsidRPr="000A5040">
        <w:rPr>
          <w:rFonts w:ascii="Verdana" w:eastAsia="Calibri" w:hAnsi="Verdana" w:cs="Times New Roman"/>
          <w:sz w:val="22"/>
          <w:szCs w:val="22"/>
        </w:rPr>
        <w:t xml:space="preserve">year of </w:t>
      </w:r>
      <w:r w:rsidRPr="00A200D5">
        <w:rPr>
          <w:rFonts w:ascii="Verdana" w:eastAsia="Calibri" w:hAnsi="Verdana" w:cs="Times New Roman"/>
          <w:sz w:val="22"/>
          <w:szCs w:val="22"/>
        </w:rPr>
        <w:t xml:space="preserve">£10.6m (including additions of </w:t>
      </w:r>
      <w:r w:rsidRPr="000A5040">
        <w:rPr>
          <w:rFonts w:ascii="Verdana" w:eastAsia="Calibri" w:hAnsi="Verdana" w:cs="Times New Roman"/>
          <w:sz w:val="22"/>
          <w:szCs w:val="22"/>
        </w:rPr>
        <w:t>£4.6m</w:t>
      </w:r>
      <w:r w:rsidRPr="00A200D5">
        <w:rPr>
          <w:rFonts w:ascii="Verdana" w:eastAsia="Calibri" w:hAnsi="Verdana" w:cs="Times New Roman"/>
          <w:sz w:val="22"/>
          <w:szCs w:val="22"/>
        </w:rPr>
        <w:t>)</w:t>
      </w:r>
      <w:r w:rsidRPr="000A5040">
        <w:rPr>
          <w:rFonts w:ascii="Verdana" w:eastAsia="Calibri" w:hAnsi="Verdana" w:cs="Times New Roman"/>
          <w:sz w:val="22"/>
          <w:szCs w:val="22"/>
        </w:rPr>
        <w:t xml:space="preserve"> comprised of</w:t>
      </w:r>
      <w:r w:rsidRPr="00A200D5">
        <w:rPr>
          <w:rFonts w:ascii="Verdana" w:eastAsia="Calibri" w:hAnsi="Verdana" w:cs="Times New Roman"/>
          <w:sz w:val="22"/>
          <w:szCs w:val="22"/>
        </w:rPr>
        <w:t xml:space="preserve"> </w:t>
      </w:r>
      <w:r w:rsidR="000A5040" w:rsidRPr="00A200D5">
        <w:rPr>
          <w:rFonts w:ascii="Verdana" w:eastAsia="Calibri" w:hAnsi="Verdana" w:cs="Times New Roman"/>
          <w:sz w:val="22"/>
          <w:szCs w:val="22"/>
        </w:rPr>
        <w:t xml:space="preserve">£1.5m </w:t>
      </w:r>
      <w:r w:rsidR="000A5040">
        <w:rPr>
          <w:rFonts w:ascii="Verdana" w:eastAsia="Calibri" w:hAnsi="Verdana" w:cs="Times New Roman"/>
          <w:sz w:val="22"/>
          <w:szCs w:val="22"/>
        </w:rPr>
        <w:t>V</w:t>
      </w:r>
      <w:r w:rsidR="000A5040" w:rsidRPr="00A200D5">
        <w:rPr>
          <w:rFonts w:ascii="Verdana" w:eastAsia="Calibri" w:hAnsi="Verdana" w:cs="Times New Roman"/>
          <w:sz w:val="22"/>
          <w:szCs w:val="22"/>
        </w:rPr>
        <w:t>ehicles, £5.3</w:t>
      </w:r>
      <w:r w:rsidR="000A5040">
        <w:rPr>
          <w:rFonts w:ascii="Verdana" w:eastAsia="Calibri" w:hAnsi="Verdana" w:cs="Times New Roman"/>
          <w:sz w:val="22"/>
          <w:szCs w:val="22"/>
        </w:rPr>
        <w:t>m</w:t>
      </w:r>
      <w:r w:rsidR="000A5040" w:rsidRPr="00A200D5">
        <w:rPr>
          <w:rFonts w:ascii="Verdana" w:eastAsia="Calibri" w:hAnsi="Verdana" w:cs="Times New Roman"/>
          <w:sz w:val="22"/>
          <w:szCs w:val="22"/>
        </w:rPr>
        <w:t xml:space="preserve"> Land &amp; Buildings, £3.3m ICT projects and £0.5m</w:t>
      </w:r>
      <w:r w:rsidR="000A5040">
        <w:rPr>
          <w:rFonts w:ascii="Verdana" w:eastAsia="Calibri" w:hAnsi="Verdana" w:cs="Times New Roman"/>
          <w:sz w:val="22"/>
          <w:szCs w:val="22"/>
        </w:rPr>
        <w:t xml:space="preserve"> of</w:t>
      </w:r>
      <w:r w:rsidR="000A5040" w:rsidRPr="00A200D5">
        <w:rPr>
          <w:rFonts w:ascii="Verdana" w:eastAsia="Calibri" w:hAnsi="Verdana" w:cs="Times New Roman"/>
          <w:sz w:val="22"/>
          <w:szCs w:val="22"/>
        </w:rPr>
        <w:t xml:space="preserve"> Fixtures Fittings and Equipment</w:t>
      </w:r>
      <w:r w:rsidR="000A5040">
        <w:rPr>
          <w:rFonts w:ascii="Verdana" w:eastAsia="Calibri" w:hAnsi="Verdana" w:cs="Times New Roman"/>
          <w:sz w:val="22"/>
          <w:szCs w:val="22"/>
        </w:rPr>
        <w:t>.</w:t>
      </w:r>
    </w:p>
    <w:p w:rsidR="000A5040" w:rsidRDefault="000A5040" w:rsidP="008B5874">
      <w:pPr>
        <w:pStyle w:val="Normal0"/>
        <w:jc w:val="both"/>
        <w:rPr>
          <w:rFonts w:ascii="Verdana" w:eastAsia="Calibri" w:hAnsi="Verdana" w:cs="Times New Roman"/>
          <w:sz w:val="22"/>
          <w:szCs w:val="22"/>
        </w:rPr>
      </w:pPr>
    </w:p>
    <w:p w:rsidR="008B681E" w:rsidRDefault="008B681E" w:rsidP="008B5874">
      <w:pPr>
        <w:pStyle w:val="Normal0"/>
        <w:jc w:val="both"/>
        <w:rPr>
          <w:rFonts w:ascii="Verdana" w:eastAsia="Calibri" w:hAnsi="Verdana" w:cs="Times New Roman"/>
          <w:sz w:val="22"/>
          <w:szCs w:val="22"/>
        </w:rPr>
      </w:pPr>
    </w:p>
    <w:p w:rsidR="003E15DC" w:rsidRDefault="003E15DC" w:rsidP="00CA6653">
      <w:pPr>
        <w:pStyle w:val="Normal0"/>
        <w:jc w:val="both"/>
        <w:rPr>
          <w:rFonts w:ascii="Verdana" w:eastAsia="Calibri" w:hAnsi="Verdana" w:cs="Times New Roman"/>
          <w:sz w:val="22"/>
          <w:szCs w:val="22"/>
        </w:rPr>
      </w:pPr>
    </w:p>
    <w:p w:rsidR="006D0A3D" w:rsidRPr="00A200D5" w:rsidRDefault="006D0A3D">
      <w:pPr>
        <w:pStyle w:val="Normal0"/>
        <w:jc w:val="both"/>
        <w:rPr>
          <w:rFonts w:ascii="Verdana" w:eastAsia="Calibri" w:hAnsi="Verdana" w:cs="Times New Roman"/>
          <w:b/>
          <w:sz w:val="22"/>
          <w:szCs w:val="22"/>
        </w:rPr>
      </w:pPr>
      <w:r w:rsidRPr="00A200D5">
        <w:rPr>
          <w:rFonts w:ascii="Verdana" w:eastAsia="Calibri" w:hAnsi="Verdana" w:cs="Times New Roman"/>
          <w:b/>
          <w:sz w:val="22"/>
          <w:szCs w:val="22"/>
        </w:rPr>
        <w:t>Covid-19 Pandemic</w:t>
      </w:r>
      <w:r w:rsidR="006C7C43">
        <w:rPr>
          <w:rFonts w:ascii="Verdana" w:eastAsia="Calibri" w:hAnsi="Verdana" w:cs="Times New Roman"/>
          <w:b/>
          <w:sz w:val="22"/>
          <w:szCs w:val="22"/>
        </w:rPr>
        <w:t xml:space="preserve"> Impact on Property</w:t>
      </w:r>
    </w:p>
    <w:p w:rsidR="006D0A3D" w:rsidRPr="006D0A3D" w:rsidRDefault="006D0A3D">
      <w:pPr>
        <w:pStyle w:val="Normal0"/>
        <w:jc w:val="both"/>
        <w:rPr>
          <w:rFonts w:ascii="Verdana" w:eastAsia="Calibri" w:hAnsi="Verdana" w:cs="Times New Roman"/>
          <w:sz w:val="22"/>
          <w:szCs w:val="22"/>
        </w:rPr>
      </w:pPr>
    </w:p>
    <w:p w:rsidR="006D0A3D" w:rsidRPr="00A200D5" w:rsidRDefault="006D0A3D" w:rsidP="00A200D5">
      <w:pPr>
        <w:jc w:val="both"/>
        <w:rPr>
          <w:lang w:eastAsia="en-GB"/>
        </w:rPr>
      </w:pPr>
      <w:r w:rsidRPr="00A200D5">
        <w:rPr>
          <w:lang w:eastAsia="en-GB"/>
        </w:rPr>
        <w:t xml:space="preserve">The outbreak of the Novel Coronavirus (COVID-19), declared by the World Health Organisation as a “Global Pandemic” on the 11th March 2020, has impacted many aspects of daily life and the global economy with some real estate markets experiencing significantly lower levels of transactional activity and liquidity. As at the valuation date of 31 March 2020, in the case of the assets valued for the 2019/20 accounts covered in these accounts, there is a shortage of market evidence to compare to previous market evidence for comparison purposes, to inform opinions of value. </w:t>
      </w:r>
    </w:p>
    <w:p w:rsidR="006D0A3D" w:rsidRPr="00A200D5" w:rsidRDefault="006D0A3D" w:rsidP="00A200D5">
      <w:pPr>
        <w:jc w:val="both"/>
        <w:rPr>
          <w:lang w:eastAsia="en-GB"/>
        </w:rPr>
      </w:pPr>
    </w:p>
    <w:p w:rsidR="006D0A3D" w:rsidRPr="00A200D5" w:rsidRDefault="006D0A3D" w:rsidP="00A200D5">
      <w:pPr>
        <w:jc w:val="both"/>
        <w:rPr>
          <w:lang w:eastAsia="en-GB"/>
        </w:rPr>
      </w:pPr>
      <w:r w:rsidRPr="00A200D5">
        <w:rPr>
          <w:lang w:eastAsia="en-GB"/>
        </w:rPr>
        <w:t>Valuation of affected land and building assets are therefore reported as being subject to ‘material valuation uncertainty’ as set out in VPS 3 and VPGA 10 of the RICS Valuation – Global Standards. Consequently, less certainty and a higher degree of caution can be attached to the valuations provided to us by our</w:t>
      </w:r>
      <w:r w:rsidR="000A215C">
        <w:rPr>
          <w:lang w:eastAsia="en-GB"/>
        </w:rPr>
        <w:t xml:space="preserve"> </w:t>
      </w:r>
      <w:r w:rsidRPr="00A200D5">
        <w:rPr>
          <w:lang w:eastAsia="en-GB"/>
        </w:rPr>
        <w:t xml:space="preserve">valuer Bruton Knowles than would normally be the case. </w:t>
      </w:r>
    </w:p>
    <w:p w:rsidR="006D0A3D" w:rsidRPr="00A200D5" w:rsidRDefault="006D0A3D" w:rsidP="00A200D5">
      <w:pPr>
        <w:jc w:val="both"/>
        <w:rPr>
          <w:lang w:eastAsia="en-GB"/>
        </w:rPr>
      </w:pPr>
    </w:p>
    <w:p w:rsidR="006D0A3D" w:rsidRPr="00A200D5" w:rsidRDefault="006D0A3D" w:rsidP="00A200D5">
      <w:pPr>
        <w:jc w:val="both"/>
        <w:rPr>
          <w:lang w:eastAsia="en-GB"/>
        </w:rPr>
      </w:pPr>
      <w:r w:rsidRPr="00A200D5">
        <w:rPr>
          <w:lang w:eastAsia="en-GB"/>
        </w:rPr>
        <w:t>For the avoidance of doubt, the inclusion of the ‘material valuation uncertainty’ declaration above does not mean that the valuation cannot be relied upon. Rather, the declaration has been included to ensure transparency of the fact that in the current extraordinary circumstances less certainty can be attached to the valuation than would otherwise be the case. The material uncertainty clause is to serve as a precaution and does not invalidate the valuation. Given the unknown future impact that COVID-19 might have on the real estate market and the difficulty in differentiating between short term impacts and long-term structural changes, our</w:t>
      </w:r>
      <w:r w:rsidR="000A215C">
        <w:rPr>
          <w:lang w:eastAsia="en-GB"/>
        </w:rPr>
        <w:t xml:space="preserve"> </w:t>
      </w:r>
      <w:r w:rsidRPr="00A200D5">
        <w:rPr>
          <w:lang w:eastAsia="en-GB"/>
        </w:rPr>
        <w:t>valuer recommended to us that we keep the valuations contained within this report under frequent review.</w:t>
      </w:r>
    </w:p>
    <w:p w:rsidR="006D0A3D" w:rsidRPr="00A200D5" w:rsidRDefault="006D0A3D" w:rsidP="00A200D5">
      <w:pPr>
        <w:jc w:val="both"/>
        <w:rPr>
          <w:lang w:eastAsia="en-GB"/>
        </w:rPr>
      </w:pPr>
    </w:p>
    <w:p w:rsidR="00895878" w:rsidRDefault="006D0A3D">
      <w:pPr>
        <w:pStyle w:val="Normal0"/>
        <w:jc w:val="both"/>
        <w:rPr>
          <w:rFonts w:ascii="Verdana" w:hAnsi="Verdana"/>
          <w:sz w:val="22"/>
          <w:szCs w:val="22"/>
          <w:lang w:eastAsia="en-GB"/>
        </w:rPr>
      </w:pPr>
      <w:r w:rsidRPr="00A200D5">
        <w:rPr>
          <w:rFonts w:ascii="Verdana" w:hAnsi="Verdana"/>
          <w:sz w:val="22"/>
          <w:szCs w:val="22"/>
          <w:lang w:eastAsia="en-GB"/>
        </w:rPr>
        <w:t xml:space="preserve">In order to assess that ‘valuation uncertainty’, further advice from our valuers was sought regarding additional market data after the Balance Sheet Date, as a prudent approach to consider the likelihood of ‘material changes’ to the carrying value of our assets at the 31 March 2020 between the valuation date for these assets and the date of the audit opinion from EY. </w:t>
      </w:r>
    </w:p>
    <w:p w:rsidR="00895878" w:rsidRDefault="00895878">
      <w:pPr>
        <w:pStyle w:val="Normal0"/>
        <w:jc w:val="both"/>
        <w:rPr>
          <w:rFonts w:ascii="Verdana" w:hAnsi="Verdana"/>
          <w:sz w:val="22"/>
          <w:szCs w:val="22"/>
          <w:lang w:eastAsia="en-GB"/>
        </w:rPr>
      </w:pPr>
    </w:p>
    <w:p w:rsidR="00F91AD4" w:rsidRDefault="00F91AD4">
      <w:pPr>
        <w:pStyle w:val="Normal0"/>
        <w:jc w:val="both"/>
        <w:rPr>
          <w:rFonts w:ascii="Verdana" w:hAnsi="Verdana"/>
          <w:sz w:val="22"/>
          <w:szCs w:val="22"/>
          <w:lang w:eastAsia="en-GB"/>
        </w:rPr>
      </w:pPr>
      <w:r>
        <w:rPr>
          <w:rFonts w:ascii="Verdana" w:hAnsi="Verdana"/>
          <w:sz w:val="22"/>
          <w:szCs w:val="22"/>
          <w:lang w:eastAsia="en-GB"/>
        </w:rPr>
        <w:t xml:space="preserve">A market review </w:t>
      </w:r>
      <w:r w:rsidR="003352C9">
        <w:rPr>
          <w:rFonts w:ascii="Verdana" w:hAnsi="Verdana"/>
          <w:sz w:val="22"/>
          <w:szCs w:val="22"/>
          <w:lang w:eastAsia="en-GB"/>
        </w:rPr>
        <w:t>report</w:t>
      </w:r>
      <w:r w:rsidR="00F10514">
        <w:rPr>
          <w:rFonts w:ascii="Verdana" w:hAnsi="Verdana"/>
          <w:sz w:val="22"/>
          <w:szCs w:val="22"/>
          <w:lang w:eastAsia="en-GB"/>
        </w:rPr>
        <w:t xml:space="preserve"> undertaken in October 2020</w:t>
      </w:r>
      <w:r w:rsidR="00833938">
        <w:rPr>
          <w:rFonts w:ascii="Verdana" w:hAnsi="Verdana"/>
          <w:sz w:val="22"/>
          <w:szCs w:val="22"/>
          <w:lang w:eastAsia="en-GB"/>
        </w:rPr>
        <w:t xml:space="preserve"> </w:t>
      </w:r>
      <w:r w:rsidR="00F10514">
        <w:rPr>
          <w:rFonts w:ascii="Verdana" w:hAnsi="Verdana"/>
          <w:sz w:val="22"/>
          <w:szCs w:val="22"/>
          <w:lang w:eastAsia="en-GB"/>
        </w:rPr>
        <w:t>by</w:t>
      </w:r>
      <w:r w:rsidR="00833938">
        <w:rPr>
          <w:rFonts w:ascii="Verdana" w:hAnsi="Verdana"/>
          <w:sz w:val="22"/>
          <w:szCs w:val="22"/>
          <w:lang w:eastAsia="en-GB"/>
        </w:rPr>
        <w:t xml:space="preserve"> </w:t>
      </w:r>
      <w:r w:rsidR="00F10514">
        <w:rPr>
          <w:rFonts w:ascii="Verdana" w:hAnsi="Verdana"/>
          <w:sz w:val="22"/>
          <w:szCs w:val="22"/>
          <w:lang w:eastAsia="en-GB"/>
        </w:rPr>
        <w:t xml:space="preserve">the Group’s </w:t>
      </w:r>
      <w:r w:rsidR="00833938">
        <w:rPr>
          <w:rFonts w:ascii="Verdana" w:hAnsi="Verdana"/>
          <w:sz w:val="22"/>
          <w:szCs w:val="22"/>
          <w:lang w:eastAsia="en-GB"/>
        </w:rPr>
        <w:t>valuers</w:t>
      </w:r>
      <w:r w:rsidR="003352C9">
        <w:rPr>
          <w:rFonts w:ascii="Verdana" w:hAnsi="Verdana"/>
          <w:sz w:val="22"/>
          <w:szCs w:val="22"/>
          <w:lang w:eastAsia="en-GB"/>
        </w:rPr>
        <w:t xml:space="preserve"> consider</w:t>
      </w:r>
      <w:r w:rsidR="00833938">
        <w:rPr>
          <w:rFonts w:ascii="Verdana" w:hAnsi="Verdana"/>
          <w:sz w:val="22"/>
          <w:szCs w:val="22"/>
          <w:lang w:eastAsia="en-GB"/>
        </w:rPr>
        <w:t>ed</w:t>
      </w:r>
      <w:r>
        <w:rPr>
          <w:rFonts w:ascii="Verdana" w:hAnsi="Verdana"/>
          <w:sz w:val="22"/>
          <w:szCs w:val="22"/>
          <w:lang w:eastAsia="en-GB"/>
        </w:rPr>
        <w:t xml:space="preserve"> a broader view outlining the potential impact of the way in which the impact of Covid-19 has had on the assets in our portfolio</w:t>
      </w:r>
      <w:r w:rsidR="00A44DFD">
        <w:rPr>
          <w:rFonts w:ascii="Verdana" w:hAnsi="Verdana"/>
          <w:sz w:val="22"/>
          <w:szCs w:val="22"/>
          <w:lang w:eastAsia="en-GB"/>
        </w:rPr>
        <w:t>. This is a macro event with lockdown on a national scale and therefore</w:t>
      </w:r>
      <w:r>
        <w:rPr>
          <w:rFonts w:ascii="Verdana" w:hAnsi="Verdana"/>
          <w:sz w:val="22"/>
          <w:szCs w:val="22"/>
          <w:lang w:eastAsia="en-GB"/>
        </w:rPr>
        <w:t xml:space="preserve"> </w:t>
      </w:r>
      <w:r w:rsidR="003352C9">
        <w:rPr>
          <w:rFonts w:ascii="Verdana" w:hAnsi="Verdana"/>
          <w:sz w:val="22"/>
          <w:szCs w:val="22"/>
          <w:lang w:eastAsia="en-GB"/>
        </w:rPr>
        <w:t>market movements</w:t>
      </w:r>
      <w:r w:rsidR="00A44DFD">
        <w:rPr>
          <w:rFonts w:ascii="Verdana" w:hAnsi="Verdana"/>
          <w:sz w:val="22"/>
          <w:szCs w:val="22"/>
          <w:lang w:eastAsia="en-GB"/>
        </w:rPr>
        <w:t xml:space="preserve"> were considered</w:t>
      </w:r>
      <w:r w:rsidR="003352C9">
        <w:rPr>
          <w:rFonts w:ascii="Verdana" w:hAnsi="Verdana"/>
          <w:sz w:val="22"/>
          <w:szCs w:val="22"/>
          <w:lang w:eastAsia="en-GB"/>
        </w:rPr>
        <w:t xml:space="preserve"> at a national level based on the data available at the time of preparing the report.</w:t>
      </w:r>
    </w:p>
    <w:p w:rsidR="00F10514" w:rsidRDefault="00F10514">
      <w:pPr>
        <w:pStyle w:val="Normal0"/>
        <w:jc w:val="both"/>
        <w:rPr>
          <w:rFonts w:ascii="Verdana" w:hAnsi="Verdana"/>
          <w:sz w:val="22"/>
          <w:szCs w:val="22"/>
          <w:lang w:eastAsia="en-GB"/>
        </w:rPr>
      </w:pPr>
    </w:p>
    <w:p w:rsidR="00FD44D5" w:rsidRDefault="00F91AD4">
      <w:pPr>
        <w:pStyle w:val="Normal0"/>
        <w:jc w:val="both"/>
        <w:rPr>
          <w:rFonts w:ascii="Verdana" w:hAnsi="Verdana"/>
          <w:sz w:val="22"/>
          <w:szCs w:val="22"/>
          <w:lang w:eastAsia="en-GB"/>
        </w:rPr>
      </w:pPr>
      <w:r>
        <w:rPr>
          <w:rFonts w:ascii="Verdana" w:hAnsi="Verdana"/>
          <w:sz w:val="22"/>
          <w:szCs w:val="22"/>
          <w:lang w:eastAsia="en-GB"/>
        </w:rPr>
        <w:t>This report</w:t>
      </w:r>
      <w:r w:rsidR="003C7163">
        <w:rPr>
          <w:rFonts w:ascii="Verdana" w:hAnsi="Verdana"/>
          <w:sz w:val="22"/>
          <w:szCs w:val="22"/>
          <w:lang w:eastAsia="en-GB"/>
        </w:rPr>
        <w:t xml:space="preserve"> concluded that there was little or no evidence to suggest the PPE property types within the Surrey Police portfolio were affected specifically by the effects of the pandemic as at the balance sheet date and therefore no adjustments to </w:t>
      </w:r>
      <w:r w:rsidR="006D0A3D" w:rsidRPr="00A200D5">
        <w:rPr>
          <w:rFonts w:ascii="Verdana" w:hAnsi="Verdana"/>
          <w:sz w:val="22"/>
          <w:szCs w:val="22"/>
          <w:lang w:eastAsia="en-GB"/>
        </w:rPr>
        <w:t>the carrying values for property valuations in the accounts as at 31 March 2020 have been made following this market review</w:t>
      </w:r>
      <w:r w:rsidR="00A44DFD">
        <w:rPr>
          <w:rFonts w:ascii="Verdana" w:hAnsi="Verdana"/>
          <w:sz w:val="22"/>
          <w:szCs w:val="22"/>
          <w:lang w:eastAsia="en-GB"/>
        </w:rPr>
        <w:t>. Valuations included in the accounts</w:t>
      </w:r>
      <w:r>
        <w:rPr>
          <w:rFonts w:ascii="Verdana" w:hAnsi="Verdana"/>
          <w:sz w:val="22"/>
          <w:szCs w:val="22"/>
          <w:lang w:eastAsia="en-GB"/>
        </w:rPr>
        <w:t xml:space="preserve"> were found to be appropriate based on the comparable cost data available for the valuation date</w:t>
      </w:r>
      <w:r w:rsidR="00FD44D5">
        <w:rPr>
          <w:rFonts w:ascii="Verdana" w:hAnsi="Verdana"/>
          <w:sz w:val="22"/>
          <w:szCs w:val="22"/>
          <w:lang w:eastAsia="en-GB"/>
        </w:rPr>
        <w:t xml:space="preserve"> and</w:t>
      </w:r>
      <w:r w:rsidR="00A44DFD">
        <w:rPr>
          <w:rFonts w:ascii="Verdana" w:hAnsi="Verdana"/>
          <w:sz w:val="22"/>
          <w:szCs w:val="22"/>
          <w:lang w:eastAsia="en-GB"/>
        </w:rPr>
        <w:t xml:space="preserve"> it would be too speculative to state there was a movement of values between the Global Pandemic Announcement and the end of the financial year due to circumstances and lack of data available for that period</w:t>
      </w:r>
      <w:r w:rsidR="006D0A3D" w:rsidRPr="00A200D5">
        <w:rPr>
          <w:rFonts w:ascii="Verdana" w:hAnsi="Verdana"/>
          <w:sz w:val="22"/>
          <w:szCs w:val="22"/>
          <w:lang w:eastAsia="en-GB"/>
        </w:rPr>
        <w:t>.</w:t>
      </w:r>
      <w:r w:rsidR="003C7163">
        <w:rPr>
          <w:rFonts w:ascii="Verdana" w:hAnsi="Verdana"/>
          <w:sz w:val="22"/>
          <w:szCs w:val="22"/>
          <w:lang w:eastAsia="en-GB"/>
        </w:rPr>
        <w:t xml:space="preserve"> </w:t>
      </w:r>
    </w:p>
    <w:p w:rsidR="00FD44D5" w:rsidRDefault="00FD44D5">
      <w:pPr>
        <w:pStyle w:val="Normal0"/>
        <w:jc w:val="both"/>
        <w:rPr>
          <w:rFonts w:ascii="Verdana" w:hAnsi="Verdana"/>
          <w:sz w:val="22"/>
          <w:szCs w:val="22"/>
          <w:lang w:eastAsia="en-GB"/>
        </w:rPr>
      </w:pPr>
    </w:p>
    <w:p w:rsidR="000A215C" w:rsidRDefault="00895878">
      <w:pPr>
        <w:pStyle w:val="Normal0"/>
        <w:jc w:val="both"/>
        <w:rPr>
          <w:rFonts w:ascii="Verdana" w:hAnsi="Verdana"/>
          <w:sz w:val="22"/>
          <w:szCs w:val="22"/>
          <w:lang w:eastAsia="en-GB"/>
        </w:rPr>
      </w:pPr>
      <w:r>
        <w:rPr>
          <w:rFonts w:ascii="Verdana" w:hAnsi="Verdana"/>
          <w:sz w:val="22"/>
          <w:szCs w:val="22"/>
          <w:lang w:eastAsia="en-GB"/>
        </w:rPr>
        <w:t>There are signs that the material valuation uncertainty is now diminishing with the RICS publishing an update on 9 September 2020 outlining where reporting material valuation uncertainty may no longer be appropriate for all UK real estate</w:t>
      </w:r>
      <w:r w:rsidR="000A215C">
        <w:rPr>
          <w:rFonts w:ascii="Verdana" w:hAnsi="Verdana"/>
          <w:sz w:val="22"/>
          <w:szCs w:val="22"/>
          <w:lang w:eastAsia="en-GB"/>
        </w:rPr>
        <w:t xml:space="preserve"> other than some asset classes which are valued by reference to trading potential</w:t>
      </w:r>
      <w:r>
        <w:rPr>
          <w:rFonts w:ascii="Verdana" w:hAnsi="Verdana"/>
          <w:sz w:val="22"/>
          <w:szCs w:val="22"/>
          <w:lang w:eastAsia="en-GB"/>
        </w:rPr>
        <w:t>.</w:t>
      </w:r>
      <w:r w:rsidR="002226D2">
        <w:rPr>
          <w:rFonts w:ascii="Verdana" w:hAnsi="Verdana"/>
          <w:sz w:val="22"/>
          <w:szCs w:val="22"/>
          <w:lang w:eastAsia="en-GB"/>
        </w:rPr>
        <w:t xml:space="preserve"> The Surrey Police property portfolios do not include any assets valued by reference to trading potential and therefore, as at today’s date, valuations are unlikely to include a material uncertainty clause.</w:t>
      </w:r>
    </w:p>
    <w:p w:rsidR="000A215C" w:rsidRDefault="000A215C">
      <w:pPr>
        <w:pStyle w:val="Normal0"/>
        <w:jc w:val="both"/>
        <w:rPr>
          <w:rFonts w:ascii="Verdana" w:hAnsi="Verdana"/>
          <w:sz w:val="22"/>
          <w:szCs w:val="22"/>
          <w:lang w:eastAsia="en-GB"/>
        </w:rPr>
      </w:pPr>
    </w:p>
    <w:p w:rsidR="00895878" w:rsidRDefault="00895878">
      <w:pPr>
        <w:pStyle w:val="Normal0"/>
        <w:jc w:val="both"/>
        <w:rPr>
          <w:rFonts w:ascii="Verdana" w:hAnsi="Verdana"/>
          <w:sz w:val="22"/>
          <w:szCs w:val="22"/>
          <w:lang w:eastAsia="en-GB"/>
        </w:rPr>
      </w:pPr>
      <w:r>
        <w:rPr>
          <w:rFonts w:ascii="Verdana" w:hAnsi="Verdana"/>
          <w:sz w:val="22"/>
          <w:szCs w:val="22"/>
          <w:lang w:eastAsia="en-GB"/>
        </w:rPr>
        <w:t xml:space="preserve">Although it has been recommended that material valuation uncertainty </w:t>
      </w:r>
      <w:r w:rsidR="00833938">
        <w:rPr>
          <w:rFonts w:ascii="Verdana" w:hAnsi="Verdana"/>
          <w:sz w:val="22"/>
          <w:szCs w:val="22"/>
          <w:lang w:eastAsia="en-GB"/>
        </w:rPr>
        <w:t>material valuation uncertainty should no longer apply to most sectors and assets, the</w:t>
      </w:r>
      <w:r w:rsidR="002226D2">
        <w:rPr>
          <w:rFonts w:ascii="Verdana" w:hAnsi="Verdana"/>
          <w:sz w:val="22"/>
          <w:szCs w:val="22"/>
          <w:lang w:eastAsia="en-GB"/>
        </w:rPr>
        <w:t xml:space="preserve"> decision on whether or not to apply the material uncertainty declaration is based on individual valuer judgement.</w:t>
      </w:r>
      <w:r w:rsidR="00833938">
        <w:rPr>
          <w:rFonts w:ascii="Verdana" w:hAnsi="Verdana"/>
          <w:sz w:val="22"/>
          <w:szCs w:val="22"/>
          <w:lang w:eastAsia="en-GB"/>
        </w:rPr>
        <w:t xml:space="preserve"> </w:t>
      </w:r>
      <w:r w:rsidR="002226D2">
        <w:rPr>
          <w:rFonts w:ascii="Verdana" w:hAnsi="Verdana"/>
          <w:sz w:val="22"/>
          <w:szCs w:val="22"/>
          <w:lang w:eastAsia="en-GB"/>
        </w:rPr>
        <w:t xml:space="preserve">The </w:t>
      </w:r>
      <w:r w:rsidR="00833938">
        <w:rPr>
          <w:rFonts w:ascii="Verdana" w:hAnsi="Verdana"/>
          <w:sz w:val="22"/>
          <w:szCs w:val="22"/>
          <w:lang w:eastAsia="en-GB"/>
        </w:rPr>
        <w:t>view of our valuer is that there is still limited information and the future impact that Covid-19 might have on the real estate market moving into 2020/21 is still not clear</w:t>
      </w:r>
      <w:r w:rsidR="00F10514">
        <w:rPr>
          <w:rFonts w:ascii="Verdana" w:hAnsi="Verdana"/>
          <w:sz w:val="22"/>
          <w:szCs w:val="22"/>
          <w:lang w:eastAsia="en-GB"/>
        </w:rPr>
        <w:t>,</w:t>
      </w:r>
      <w:r w:rsidR="00833938">
        <w:rPr>
          <w:rFonts w:ascii="Verdana" w:hAnsi="Verdana"/>
          <w:sz w:val="22"/>
          <w:szCs w:val="22"/>
          <w:lang w:eastAsia="en-GB"/>
        </w:rPr>
        <w:t xml:space="preserve"> so the material uncertainty as at 31 March 2020 has not been removed.</w:t>
      </w:r>
    </w:p>
    <w:p w:rsidR="00895878" w:rsidRDefault="00895878">
      <w:pPr>
        <w:pStyle w:val="Normal0"/>
        <w:jc w:val="both"/>
        <w:rPr>
          <w:rFonts w:ascii="Verdana" w:hAnsi="Verdana"/>
          <w:sz w:val="22"/>
          <w:szCs w:val="22"/>
          <w:lang w:eastAsia="en-GB"/>
        </w:rPr>
      </w:pPr>
    </w:p>
    <w:p w:rsidR="007F5523" w:rsidRDefault="007F5523">
      <w:pPr>
        <w:pStyle w:val="Normal0"/>
        <w:jc w:val="both"/>
        <w:rPr>
          <w:rFonts w:ascii="Verdana" w:hAnsi="Verdana"/>
          <w:sz w:val="22"/>
          <w:szCs w:val="22"/>
          <w:lang w:eastAsia="en-GB"/>
        </w:rPr>
      </w:pPr>
      <w:r>
        <w:rPr>
          <w:rFonts w:ascii="Verdana" w:hAnsi="Verdana"/>
          <w:sz w:val="22"/>
          <w:szCs w:val="22"/>
          <w:lang w:eastAsia="en-GB"/>
        </w:rPr>
        <w:t>As a result of all of these factors, Surrey Police considers its 31 March 2020 property valuations remain materially accurate.</w:t>
      </w:r>
    </w:p>
    <w:p w:rsidR="007F5523" w:rsidRDefault="007F5523">
      <w:pPr>
        <w:pStyle w:val="Normal0"/>
        <w:jc w:val="both"/>
        <w:rPr>
          <w:rFonts w:ascii="Verdana" w:hAnsi="Verdana"/>
          <w:sz w:val="22"/>
          <w:szCs w:val="22"/>
          <w:lang w:eastAsia="en-GB"/>
        </w:rPr>
      </w:pPr>
    </w:p>
    <w:p w:rsidR="006D0A3D" w:rsidRDefault="003C7163">
      <w:pPr>
        <w:pStyle w:val="Normal0"/>
        <w:jc w:val="both"/>
        <w:rPr>
          <w:rFonts w:ascii="Verdana" w:hAnsi="Verdana"/>
          <w:sz w:val="22"/>
          <w:szCs w:val="22"/>
          <w:lang w:eastAsia="en-GB"/>
        </w:rPr>
      </w:pPr>
      <w:r>
        <w:rPr>
          <w:rFonts w:ascii="Verdana" w:hAnsi="Verdana"/>
          <w:sz w:val="22"/>
          <w:szCs w:val="22"/>
          <w:lang w:eastAsia="en-GB"/>
        </w:rPr>
        <w:t xml:space="preserve">The report did indicate some impact will affect property values beyond this date and they will be assessed in detail </w:t>
      </w:r>
      <w:r w:rsidR="00FD44D5">
        <w:rPr>
          <w:rFonts w:ascii="Verdana" w:hAnsi="Verdana"/>
          <w:sz w:val="22"/>
          <w:szCs w:val="22"/>
          <w:lang w:eastAsia="en-GB"/>
        </w:rPr>
        <w:t xml:space="preserve">as part of </w:t>
      </w:r>
      <w:r>
        <w:rPr>
          <w:rFonts w:ascii="Verdana" w:hAnsi="Verdana"/>
          <w:sz w:val="22"/>
          <w:szCs w:val="22"/>
          <w:lang w:eastAsia="en-GB"/>
        </w:rPr>
        <w:t xml:space="preserve">the 2020/21 </w:t>
      </w:r>
      <w:r w:rsidR="00FD44D5">
        <w:rPr>
          <w:rFonts w:ascii="Verdana" w:hAnsi="Verdana"/>
          <w:sz w:val="22"/>
          <w:szCs w:val="22"/>
          <w:lang w:eastAsia="en-GB"/>
        </w:rPr>
        <w:t>financial period reporting process</w:t>
      </w:r>
      <w:r>
        <w:rPr>
          <w:rFonts w:ascii="Verdana" w:hAnsi="Verdana"/>
          <w:sz w:val="22"/>
          <w:szCs w:val="22"/>
          <w:lang w:eastAsia="en-GB"/>
        </w:rPr>
        <w:t>.</w:t>
      </w:r>
      <w:r w:rsidR="006D0A3D" w:rsidRPr="00A200D5">
        <w:rPr>
          <w:rFonts w:ascii="Verdana" w:hAnsi="Verdana"/>
          <w:sz w:val="22"/>
          <w:szCs w:val="22"/>
          <w:lang w:eastAsia="en-GB"/>
        </w:rPr>
        <w:t xml:space="preserve"> </w:t>
      </w:r>
    </w:p>
    <w:p w:rsidR="006D0A3D" w:rsidRPr="003E15DC" w:rsidRDefault="006D0A3D" w:rsidP="00CA6653">
      <w:pPr>
        <w:pStyle w:val="Normal0"/>
        <w:jc w:val="both"/>
        <w:rPr>
          <w:rFonts w:ascii="Verdana" w:hAnsi="Verdana" w:cs="Calibri"/>
          <w:sz w:val="22"/>
          <w:szCs w:val="22"/>
        </w:rPr>
      </w:pPr>
    </w:p>
    <w:p w:rsidR="00CA6653" w:rsidRPr="003E15DC" w:rsidRDefault="00CA6653" w:rsidP="00CA6653">
      <w:pPr>
        <w:pStyle w:val="Normal0"/>
        <w:jc w:val="both"/>
        <w:rPr>
          <w:rFonts w:ascii="Verdana" w:hAnsi="Verdana" w:cs="Times New Roman"/>
          <w:b/>
          <w:bCs/>
          <w:sz w:val="22"/>
          <w:szCs w:val="22"/>
        </w:rPr>
      </w:pPr>
      <w:r w:rsidRPr="003E15DC">
        <w:rPr>
          <w:rFonts w:ascii="Verdana" w:eastAsia="Calibri" w:hAnsi="Verdana" w:cs="Times New Roman"/>
          <w:b/>
          <w:bCs/>
          <w:sz w:val="22"/>
          <w:szCs w:val="22"/>
        </w:rPr>
        <w:t>Physical Assets Held</w:t>
      </w:r>
    </w:p>
    <w:p w:rsidR="00CA6653" w:rsidRPr="003E15DC" w:rsidRDefault="00CA6653" w:rsidP="00CA6653">
      <w:pPr>
        <w:pStyle w:val="Normal0"/>
        <w:jc w:val="both"/>
        <w:rPr>
          <w:rFonts w:ascii="Verdana" w:hAnsi="Verdana" w:cs="Times New Roman"/>
          <w:sz w:val="22"/>
          <w:szCs w:val="22"/>
        </w:rPr>
      </w:pPr>
      <w:r w:rsidRPr="003E15DC">
        <w:rPr>
          <w:rFonts w:ascii="Verdana" w:eastAsia="Calibri" w:hAnsi="Verdana" w:cs="Times New Roman"/>
          <w:sz w:val="22"/>
          <w:szCs w:val="22"/>
        </w:rPr>
        <w:t>Physical assets excluding furniture and equipment owned by the PCC as at 31 March 20</w:t>
      </w:r>
      <w:r w:rsidR="00F32EC6" w:rsidRPr="003E15DC">
        <w:rPr>
          <w:rFonts w:ascii="Verdana" w:eastAsia="Calibri" w:hAnsi="Verdana" w:cs="Times New Roman"/>
          <w:sz w:val="22"/>
          <w:szCs w:val="22"/>
        </w:rPr>
        <w:t>20</w:t>
      </w:r>
      <w:r w:rsidRPr="003E15DC">
        <w:rPr>
          <w:rFonts w:ascii="Verdana" w:eastAsia="Calibri" w:hAnsi="Verdana" w:cs="Times New Roman"/>
          <w:sz w:val="22"/>
          <w:szCs w:val="22"/>
        </w:rPr>
        <w:t xml:space="preserve"> comprised:</w:t>
      </w:r>
    </w:p>
    <w:tbl>
      <w:tblPr>
        <w:tblW w:w="9159" w:type="dxa"/>
        <w:jc w:val="center"/>
        <w:tblLook w:val="04A0" w:firstRow="1" w:lastRow="0" w:firstColumn="1" w:lastColumn="0" w:noHBand="0" w:noVBand="1"/>
      </w:tblPr>
      <w:tblGrid>
        <w:gridCol w:w="3458"/>
        <w:gridCol w:w="1374"/>
        <w:gridCol w:w="1485"/>
        <w:gridCol w:w="1063"/>
        <w:gridCol w:w="1063"/>
        <w:gridCol w:w="716"/>
      </w:tblGrid>
      <w:tr w:rsidR="00B52D20" w:rsidRPr="003E15DC" w:rsidTr="00CB1E4C">
        <w:trPr>
          <w:trHeight w:val="215"/>
          <w:jc w:val="center"/>
        </w:trPr>
        <w:tc>
          <w:tcPr>
            <w:tcW w:w="3458"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374" w:type="dxa"/>
            <w:tcBorders>
              <w:top w:val="nil"/>
              <w:left w:val="nil"/>
              <w:bottom w:val="nil"/>
              <w:right w:val="nil"/>
            </w:tcBorders>
            <w:shd w:val="clear" w:color="auto" w:fill="auto"/>
            <w:noWrap/>
            <w:vAlign w:val="bottom"/>
            <w:hideMark/>
          </w:tcPr>
          <w:p w:rsidR="00B52D20" w:rsidRPr="003E15DC" w:rsidRDefault="00B52D20" w:rsidP="003E15DC">
            <w:pPr>
              <w:jc w:val="center"/>
              <w:rPr>
                <w:lang w:val="en-GB" w:eastAsia="en-GB"/>
              </w:rPr>
            </w:pPr>
            <w:r w:rsidRPr="003E15DC">
              <w:rPr>
                <w:lang w:val="en-GB" w:eastAsia="en-GB"/>
              </w:rPr>
              <w:t>2018/19</w:t>
            </w:r>
          </w:p>
        </w:tc>
        <w:tc>
          <w:tcPr>
            <w:tcW w:w="1485" w:type="dxa"/>
            <w:tcBorders>
              <w:top w:val="nil"/>
              <w:left w:val="nil"/>
              <w:bottom w:val="nil"/>
              <w:right w:val="nil"/>
            </w:tcBorders>
            <w:shd w:val="clear" w:color="auto" w:fill="auto"/>
            <w:noWrap/>
            <w:vAlign w:val="bottom"/>
            <w:hideMark/>
          </w:tcPr>
          <w:p w:rsidR="00B52D20" w:rsidRPr="003E15DC" w:rsidRDefault="00B52D20" w:rsidP="003E15DC">
            <w:pPr>
              <w:jc w:val="center"/>
              <w:rPr>
                <w:lang w:val="en-GB" w:eastAsia="en-GB"/>
              </w:rPr>
            </w:pPr>
            <w:r w:rsidRPr="003E15DC">
              <w:rPr>
                <w:lang w:val="en-GB" w:eastAsia="en-GB"/>
              </w:rPr>
              <w:t>2019/20</w:t>
            </w: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71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r>
      <w:tr w:rsidR="00B52D20" w:rsidRPr="003E15DC" w:rsidTr="00CB1E4C">
        <w:trPr>
          <w:trHeight w:val="215"/>
          <w:jc w:val="center"/>
        </w:trPr>
        <w:tc>
          <w:tcPr>
            <w:tcW w:w="3458"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374" w:type="dxa"/>
            <w:tcBorders>
              <w:top w:val="nil"/>
              <w:left w:val="nil"/>
              <w:bottom w:val="single" w:sz="4" w:space="0" w:color="auto"/>
              <w:right w:val="nil"/>
            </w:tcBorders>
            <w:shd w:val="clear" w:color="auto" w:fill="auto"/>
            <w:noWrap/>
            <w:vAlign w:val="bottom"/>
            <w:hideMark/>
          </w:tcPr>
          <w:p w:rsidR="00B52D20" w:rsidRPr="003E15DC" w:rsidRDefault="00B52D20" w:rsidP="003E15DC">
            <w:pPr>
              <w:jc w:val="center"/>
              <w:rPr>
                <w:lang w:val="en-GB" w:eastAsia="en-GB"/>
              </w:rPr>
            </w:pPr>
            <w:r w:rsidRPr="003E15DC">
              <w:rPr>
                <w:lang w:val="en-GB" w:eastAsia="en-GB"/>
              </w:rPr>
              <w:t>No</w:t>
            </w:r>
          </w:p>
        </w:tc>
        <w:tc>
          <w:tcPr>
            <w:tcW w:w="1485" w:type="dxa"/>
            <w:tcBorders>
              <w:top w:val="nil"/>
              <w:left w:val="nil"/>
              <w:bottom w:val="single" w:sz="4" w:space="0" w:color="auto"/>
              <w:right w:val="nil"/>
            </w:tcBorders>
            <w:shd w:val="clear" w:color="auto" w:fill="auto"/>
            <w:noWrap/>
            <w:vAlign w:val="bottom"/>
            <w:hideMark/>
          </w:tcPr>
          <w:p w:rsidR="00B52D20" w:rsidRPr="003E15DC" w:rsidRDefault="00B52D20" w:rsidP="003E15DC">
            <w:pPr>
              <w:jc w:val="center"/>
              <w:rPr>
                <w:lang w:val="en-GB" w:eastAsia="en-GB"/>
              </w:rPr>
            </w:pPr>
            <w:r w:rsidRPr="003E15DC">
              <w:rPr>
                <w:lang w:val="en-GB" w:eastAsia="en-GB"/>
              </w:rPr>
              <w:t>No</w:t>
            </w: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71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r>
      <w:tr w:rsidR="00B52D20" w:rsidRPr="003E15DC" w:rsidTr="00CB1E4C">
        <w:trPr>
          <w:trHeight w:val="266"/>
          <w:jc w:val="center"/>
        </w:trPr>
        <w:tc>
          <w:tcPr>
            <w:tcW w:w="3458"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r w:rsidRPr="003E15DC">
              <w:rPr>
                <w:lang w:val="en-GB" w:eastAsia="en-GB"/>
              </w:rPr>
              <w:t>Operational Buildings*</w:t>
            </w:r>
          </w:p>
        </w:tc>
        <w:tc>
          <w:tcPr>
            <w:tcW w:w="1374" w:type="dxa"/>
            <w:tcBorders>
              <w:top w:val="nil"/>
              <w:left w:val="nil"/>
              <w:bottom w:val="nil"/>
              <w:right w:val="nil"/>
            </w:tcBorders>
            <w:shd w:val="clear" w:color="auto" w:fill="auto"/>
            <w:noWrap/>
            <w:vAlign w:val="bottom"/>
            <w:hideMark/>
          </w:tcPr>
          <w:p w:rsidR="00B52D20" w:rsidRPr="003E15DC" w:rsidRDefault="00B52D20" w:rsidP="003E15DC">
            <w:pPr>
              <w:jc w:val="right"/>
              <w:rPr>
                <w:lang w:val="en-GB" w:eastAsia="en-GB"/>
              </w:rPr>
            </w:pPr>
            <w:r w:rsidRPr="003E15DC">
              <w:rPr>
                <w:lang w:val="en-GB" w:eastAsia="en-GB"/>
              </w:rPr>
              <w:t>16</w:t>
            </w:r>
          </w:p>
        </w:tc>
        <w:tc>
          <w:tcPr>
            <w:tcW w:w="1485" w:type="dxa"/>
            <w:tcBorders>
              <w:top w:val="nil"/>
              <w:left w:val="nil"/>
              <w:bottom w:val="nil"/>
              <w:right w:val="nil"/>
            </w:tcBorders>
            <w:shd w:val="clear" w:color="auto" w:fill="auto"/>
            <w:noWrap/>
            <w:vAlign w:val="bottom"/>
            <w:hideMark/>
          </w:tcPr>
          <w:p w:rsidR="00B52D20" w:rsidRPr="003E15DC" w:rsidRDefault="00B52D20" w:rsidP="003E15DC">
            <w:pPr>
              <w:jc w:val="right"/>
              <w:rPr>
                <w:lang w:val="en-GB" w:eastAsia="en-GB"/>
              </w:rPr>
            </w:pPr>
            <w:r w:rsidRPr="003E15DC">
              <w:rPr>
                <w:lang w:val="en-GB" w:eastAsia="en-GB"/>
              </w:rPr>
              <w:t>16</w:t>
            </w: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71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r>
      <w:tr w:rsidR="00B52D20" w:rsidRPr="003E15DC" w:rsidTr="00CB1E4C">
        <w:trPr>
          <w:trHeight w:val="266"/>
          <w:jc w:val="center"/>
        </w:trPr>
        <w:tc>
          <w:tcPr>
            <w:tcW w:w="3458"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r w:rsidRPr="003E15DC">
              <w:rPr>
                <w:lang w:val="en-GB" w:eastAsia="en-GB"/>
              </w:rPr>
              <w:t>Police Houses</w:t>
            </w:r>
          </w:p>
        </w:tc>
        <w:tc>
          <w:tcPr>
            <w:tcW w:w="1374" w:type="dxa"/>
            <w:tcBorders>
              <w:top w:val="nil"/>
              <w:left w:val="nil"/>
              <w:bottom w:val="nil"/>
              <w:right w:val="nil"/>
            </w:tcBorders>
            <w:shd w:val="clear" w:color="auto" w:fill="auto"/>
            <w:noWrap/>
            <w:vAlign w:val="bottom"/>
            <w:hideMark/>
          </w:tcPr>
          <w:p w:rsidR="00B52D20" w:rsidRPr="003E15DC" w:rsidRDefault="00B52D20" w:rsidP="003E15DC">
            <w:pPr>
              <w:jc w:val="right"/>
              <w:rPr>
                <w:lang w:val="en-GB" w:eastAsia="en-GB"/>
              </w:rPr>
            </w:pPr>
            <w:r w:rsidRPr="003E15DC">
              <w:rPr>
                <w:lang w:val="en-GB" w:eastAsia="en-GB"/>
              </w:rPr>
              <w:t>42</w:t>
            </w:r>
          </w:p>
        </w:tc>
        <w:tc>
          <w:tcPr>
            <w:tcW w:w="1485" w:type="dxa"/>
            <w:tcBorders>
              <w:top w:val="nil"/>
              <w:left w:val="nil"/>
              <w:bottom w:val="nil"/>
              <w:right w:val="nil"/>
            </w:tcBorders>
            <w:shd w:val="clear" w:color="auto" w:fill="auto"/>
            <w:noWrap/>
            <w:vAlign w:val="bottom"/>
            <w:hideMark/>
          </w:tcPr>
          <w:p w:rsidR="00B52D20" w:rsidRPr="003E15DC" w:rsidRDefault="00B52D20" w:rsidP="003E15DC">
            <w:pPr>
              <w:jc w:val="right"/>
              <w:rPr>
                <w:lang w:val="en-GB" w:eastAsia="en-GB"/>
              </w:rPr>
            </w:pPr>
            <w:r w:rsidRPr="003E15DC">
              <w:rPr>
                <w:lang w:val="en-GB" w:eastAsia="en-GB"/>
              </w:rPr>
              <w:t>40</w:t>
            </w: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71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r>
      <w:tr w:rsidR="00B52D20" w:rsidRPr="003E15DC" w:rsidTr="00CB1E4C">
        <w:trPr>
          <w:trHeight w:val="266"/>
          <w:jc w:val="center"/>
        </w:trPr>
        <w:tc>
          <w:tcPr>
            <w:tcW w:w="3458"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r w:rsidRPr="003E15DC">
              <w:rPr>
                <w:lang w:val="en-GB" w:eastAsia="en-GB"/>
              </w:rPr>
              <w:t>Police Vehicles</w:t>
            </w:r>
          </w:p>
        </w:tc>
        <w:tc>
          <w:tcPr>
            <w:tcW w:w="1374" w:type="dxa"/>
            <w:tcBorders>
              <w:top w:val="nil"/>
              <w:left w:val="nil"/>
              <w:bottom w:val="single" w:sz="4" w:space="0" w:color="auto"/>
              <w:right w:val="nil"/>
            </w:tcBorders>
            <w:shd w:val="clear" w:color="auto" w:fill="auto"/>
            <w:noWrap/>
            <w:vAlign w:val="bottom"/>
            <w:hideMark/>
          </w:tcPr>
          <w:p w:rsidR="00B52D20" w:rsidRPr="003E15DC" w:rsidRDefault="00B52D20" w:rsidP="003E15DC">
            <w:pPr>
              <w:jc w:val="right"/>
              <w:rPr>
                <w:lang w:val="en-GB" w:eastAsia="en-GB"/>
              </w:rPr>
            </w:pPr>
            <w:r w:rsidRPr="003E15DC">
              <w:rPr>
                <w:lang w:val="en-GB" w:eastAsia="en-GB"/>
              </w:rPr>
              <w:t>842</w:t>
            </w:r>
          </w:p>
        </w:tc>
        <w:tc>
          <w:tcPr>
            <w:tcW w:w="1485" w:type="dxa"/>
            <w:tcBorders>
              <w:top w:val="nil"/>
              <w:left w:val="nil"/>
              <w:bottom w:val="single" w:sz="4" w:space="0" w:color="auto"/>
              <w:right w:val="nil"/>
            </w:tcBorders>
            <w:shd w:val="clear" w:color="auto" w:fill="auto"/>
            <w:noWrap/>
            <w:vAlign w:val="bottom"/>
            <w:hideMark/>
          </w:tcPr>
          <w:p w:rsidR="00B52D20" w:rsidRPr="003E15DC" w:rsidRDefault="000976D1" w:rsidP="003E15DC">
            <w:pPr>
              <w:jc w:val="right"/>
              <w:rPr>
                <w:lang w:val="en-GB" w:eastAsia="en-GB"/>
              </w:rPr>
            </w:pPr>
            <w:r>
              <w:rPr>
                <w:lang w:val="en-GB" w:eastAsia="en-GB"/>
              </w:rPr>
              <w:t>859</w:t>
            </w: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71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r>
      <w:tr w:rsidR="00B52D20" w:rsidRPr="003E15DC" w:rsidTr="00CB1E4C">
        <w:trPr>
          <w:trHeight w:val="266"/>
          <w:jc w:val="center"/>
        </w:trPr>
        <w:tc>
          <w:tcPr>
            <w:tcW w:w="3458"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r w:rsidRPr="003E15DC">
              <w:rPr>
                <w:lang w:val="en-GB" w:eastAsia="en-GB"/>
              </w:rPr>
              <w:t>Total</w:t>
            </w:r>
          </w:p>
        </w:tc>
        <w:tc>
          <w:tcPr>
            <w:tcW w:w="1374" w:type="dxa"/>
            <w:tcBorders>
              <w:top w:val="nil"/>
              <w:left w:val="nil"/>
              <w:bottom w:val="nil"/>
              <w:right w:val="nil"/>
            </w:tcBorders>
            <w:shd w:val="clear" w:color="auto" w:fill="auto"/>
            <w:noWrap/>
            <w:vAlign w:val="bottom"/>
            <w:hideMark/>
          </w:tcPr>
          <w:p w:rsidR="00B52D20" w:rsidRPr="003E15DC" w:rsidRDefault="00B52D20" w:rsidP="003E15DC">
            <w:pPr>
              <w:jc w:val="right"/>
              <w:rPr>
                <w:lang w:val="en-GB" w:eastAsia="en-GB"/>
              </w:rPr>
            </w:pPr>
            <w:r w:rsidRPr="003E15DC">
              <w:rPr>
                <w:lang w:val="en-GB" w:eastAsia="en-GB"/>
              </w:rPr>
              <w:t>900</w:t>
            </w:r>
          </w:p>
        </w:tc>
        <w:tc>
          <w:tcPr>
            <w:tcW w:w="1485" w:type="dxa"/>
            <w:tcBorders>
              <w:top w:val="nil"/>
              <w:left w:val="nil"/>
              <w:bottom w:val="nil"/>
              <w:right w:val="nil"/>
            </w:tcBorders>
            <w:shd w:val="clear" w:color="auto" w:fill="auto"/>
            <w:noWrap/>
            <w:vAlign w:val="bottom"/>
            <w:hideMark/>
          </w:tcPr>
          <w:p w:rsidR="00B52D20" w:rsidRPr="003E15DC" w:rsidRDefault="00327E6A" w:rsidP="003E15DC">
            <w:pPr>
              <w:jc w:val="right"/>
              <w:rPr>
                <w:lang w:val="en-GB" w:eastAsia="en-GB"/>
              </w:rPr>
            </w:pPr>
            <w:r>
              <w:rPr>
                <w:lang w:val="en-GB" w:eastAsia="en-GB"/>
              </w:rPr>
              <w:t>915</w:t>
            </w: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71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r>
      <w:tr w:rsidR="00B52D20" w:rsidRPr="003E15DC" w:rsidTr="00CB1E4C">
        <w:trPr>
          <w:trHeight w:val="215"/>
          <w:jc w:val="center"/>
        </w:trPr>
        <w:tc>
          <w:tcPr>
            <w:tcW w:w="3458"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374"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485"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106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c>
          <w:tcPr>
            <w:tcW w:w="713" w:type="dxa"/>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p>
        </w:tc>
      </w:tr>
      <w:tr w:rsidR="00B52D20" w:rsidRPr="003E15DC" w:rsidTr="00CB1E4C">
        <w:trPr>
          <w:trHeight w:val="215"/>
          <w:jc w:val="center"/>
        </w:trPr>
        <w:tc>
          <w:tcPr>
            <w:tcW w:w="9159" w:type="dxa"/>
            <w:gridSpan w:val="6"/>
            <w:tcBorders>
              <w:top w:val="nil"/>
              <w:left w:val="nil"/>
              <w:bottom w:val="nil"/>
              <w:right w:val="nil"/>
            </w:tcBorders>
            <w:shd w:val="clear" w:color="auto" w:fill="auto"/>
            <w:noWrap/>
            <w:vAlign w:val="bottom"/>
            <w:hideMark/>
          </w:tcPr>
          <w:p w:rsidR="00B52D20" w:rsidRPr="003E15DC" w:rsidRDefault="00B52D20" w:rsidP="000D6EF8">
            <w:pPr>
              <w:rPr>
                <w:lang w:val="en-GB" w:eastAsia="en-GB"/>
              </w:rPr>
            </w:pPr>
            <w:r w:rsidRPr="003E15DC">
              <w:rPr>
                <w:lang w:val="en-GB" w:eastAsia="en-GB"/>
              </w:rPr>
              <w:t>* Operational Buildings comprise police stations and offices, including custody and control centres</w:t>
            </w:r>
          </w:p>
        </w:tc>
      </w:tr>
    </w:tbl>
    <w:p w:rsidR="00B52D20" w:rsidRDefault="00B52D20" w:rsidP="00CA6653">
      <w:pPr>
        <w:pStyle w:val="Normal0"/>
        <w:jc w:val="both"/>
        <w:rPr>
          <w:rFonts w:ascii="Verdana" w:hAnsi="Verdana" w:cs="Times New Roman"/>
        </w:rPr>
      </w:pPr>
    </w:p>
    <w:p w:rsidR="00F10514" w:rsidRDefault="00F10514" w:rsidP="00CA6653">
      <w:pPr>
        <w:pStyle w:val="Normal0"/>
        <w:jc w:val="both"/>
        <w:rPr>
          <w:rFonts w:ascii="Verdana" w:hAnsi="Verdana" w:cs="Times New Roman"/>
        </w:rPr>
      </w:pPr>
    </w:p>
    <w:p w:rsidR="00F10514" w:rsidRDefault="00F10514" w:rsidP="00CA6653">
      <w:pPr>
        <w:pStyle w:val="Normal0"/>
        <w:jc w:val="both"/>
        <w:rPr>
          <w:rFonts w:ascii="Verdana" w:hAnsi="Verdana" w:cs="Times New Roman"/>
        </w:rPr>
      </w:pPr>
    </w:p>
    <w:p w:rsidR="00CA6653" w:rsidRPr="00E539E1" w:rsidRDefault="00CA6653" w:rsidP="00A31A9E">
      <w:pPr>
        <w:pStyle w:val="Heading1"/>
      </w:pPr>
      <w:bookmarkStart w:id="23" w:name="_Toc55900414"/>
      <w:r w:rsidRPr="00E539E1">
        <w:t>Note 12 - Intangible Assets</w:t>
      </w:r>
      <w:bookmarkEnd w:id="23"/>
      <w:r w:rsidRPr="00E539E1">
        <w:t xml:space="preserve"> </w:t>
      </w:r>
    </w:p>
    <w:p w:rsidR="00F57D9D" w:rsidRDefault="00CA6653" w:rsidP="003E15DC">
      <w:pPr>
        <w:pStyle w:val="Normal0"/>
        <w:spacing w:after="160"/>
        <w:jc w:val="both"/>
        <w:rPr>
          <w:rFonts w:ascii="Verdana" w:eastAsia="Verdana" w:hAnsi="Verdana" w:cs="Verdana"/>
          <w:sz w:val="22"/>
          <w:szCs w:val="22"/>
          <w:lang w:val="en-GB"/>
        </w:rPr>
      </w:pPr>
      <w:r w:rsidRPr="00E539E1">
        <w:rPr>
          <w:rFonts w:ascii="Verdana" w:eastAsia="Verdana" w:hAnsi="Verdana" w:cs="Verdana"/>
          <w:sz w:val="22"/>
          <w:szCs w:val="22"/>
          <w:lang w:val="en-GB"/>
        </w:rPr>
        <w:t xml:space="preserve">The </w:t>
      </w:r>
      <w:r w:rsidR="00F57D9D">
        <w:rPr>
          <w:rFonts w:ascii="Verdana" w:eastAsia="Verdana" w:hAnsi="Verdana" w:cs="Verdana"/>
          <w:sz w:val="22"/>
          <w:szCs w:val="22"/>
          <w:lang w:val="en-GB"/>
        </w:rPr>
        <w:t>Police and Crime Commissioner</w:t>
      </w:r>
      <w:r w:rsidR="00F57D9D" w:rsidRPr="00E539E1">
        <w:rPr>
          <w:rFonts w:ascii="Verdana" w:eastAsia="Verdana" w:hAnsi="Verdana" w:cs="Verdana"/>
          <w:sz w:val="22"/>
          <w:szCs w:val="22"/>
          <w:lang w:val="en-GB"/>
        </w:rPr>
        <w:t xml:space="preserve"> </w:t>
      </w:r>
      <w:r w:rsidRPr="00E539E1">
        <w:rPr>
          <w:rFonts w:ascii="Verdana" w:eastAsia="Verdana" w:hAnsi="Verdana" w:cs="Verdana"/>
          <w:sz w:val="22"/>
          <w:szCs w:val="22"/>
          <w:lang w:val="en-GB"/>
        </w:rPr>
        <w:t xml:space="preserve">classifies </w:t>
      </w:r>
      <w:r w:rsidR="00F57D9D">
        <w:rPr>
          <w:rFonts w:ascii="Verdana" w:eastAsia="Verdana" w:hAnsi="Verdana" w:cs="Verdana"/>
          <w:sz w:val="22"/>
          <w:szCs w:val="22"/>
          <w:lang w:val="en-GB"/>
        </w:rPr>
        <w:t>computer</w:t>
      </w:r>
      <w:r w:rsidRPr="00E539E1">
        <w:rPr>
          <w:rFonts w:ascii="Verdana" w:eastAsia="Verdana" w:hAnsi="Verdana" w:cs="Verdana"/>
          <w:sz w:val="22"/>
          <w:szCs w:val="22"/>
          <w:lang w:val="en-GB"/>
        </w:rPr>
        <w:t xml:space="preserve"> software</w:t>
      </w:r>
      <w:r w:rsidR="00F57D9D">
        <w:rPr>
          <w:rFonts w:ascii="Verdana" w:eastAsia="Verdana" w:hAnsi="Verdana" w:cs="Verdana"/>
          <w:sz w:val="22"/>
          <w:szCs w:val="22"/>
          <w:lang w:val="en-GB"/>
        </w:rPr>
        <w:t xml:space="preserve"> and systems development</w:t>
      </w:r>
      <w:r w:rsidRPr="00E539E1">
        <w:rPr>
          <w:rFonts w:ascii="Verdana" w:eastAsia="Verdana" w:hAnsi="Verdana" w:cs="Verdana"/>
          <w:sz w:val="22"/>
          <w:szCs w:val="22"/>
          <w:lang w:val="en-GB"/>
        </w:rPr>
        <w:t xml:space="preserve"> as intangible assets, to the extent that the software is not an integral part of a particular IT system </w:t>
      </w:r>
      <w:r w:rsidR="00F57D9D">
        <w:rPr>
          <w:rFonts w:ascii="Verdana" w:eastAsia="Verdana" w:hAnsi="Verdana" w:cs="Verdana"/>
          <w:sz w:val="22"/>
          <w:szCs w:val="22"/>
          <w:lang w:val="en-GB"/>
        </w:rPr>
        <w:t xml:space="preserve">or accounted for as part of </w:t>
      </w:r>
      <w:r w:rsidRPr="00E539E1">
        <w:rPr>
          <w:rFonts w:ascii="Verdana" w:eastAsia="Verdana" w:hAnsi="Verdana" w:cs="Verdana"/>
          <w:sz w:val="22"/>
          <w:szCs w:val="22"/>
          <w:lang w:val="en-GB"/>
        </w:rPr>
        <w:t>the hardware of the asset</w:t>
      </w:r>
      <w:r w:rsidR="00F57D9D">
        <w:rPr>
          <w:rFonts w:ascii="Verdana" w:eastAsia="Verdana" w:hAnsi="Verdana" w:cs="Verdana"/>
          <w:sz w:val="22"/>
          <w:szCs w:val="22"/>
          <w:lang w:val="en-GB"/>
        </w:rPr>
        <w:t xml:space="preserve"> which</w:t>
      </w:r>
      <w:r w:rsidRPr="00E539E1">
        <w:rPr>
          <w:rFonts w:ascii="Verdana" w:eastAsia="Verdana" w:hAnsi="Verdana" w:cs="Verdana"/>
          <w:sz w:val="22"/>
          <w:szCs w:val="22"/>
          <w:lang w:val="en-GB"/>
        </w:rPr>
        <w:t xml:space="preserve"> is classified under Property, Plant and Equipment. </w:t>
      </w:r>
    </w:p>
    <w:p w:rsidR="00CA6653" w:rsidRDefault="00CA6653" w:rsidP="003E15DC">
      <w:pPr>
        <w:pStyle w:val="Normal0"/>
        <w:spacing w:after="160"/>
        <w:jc w:val="both"/>
        <w:rPr>
          <w:rFonts w:ascii="Verdana" w:eastAsia="Verdana" w:hAnsi="Verdana" w:cs="Verdana"/>
          <w:sz w:val="22"/>
          <w:szCs w:val="22"/>
          <w:lang w:val="en-GB"/>
        </w:rPr>
      </w:pPr>
      <w:r w:rsidRPr="00E539E1">
        <w:rPr>
          <w:rFonts w:ascii="Verdana" w:eastAsia="Verdana" w:hAnsi="Verdana" w:cs="Verdana"/>
          <w:sz w:val="22"/>
          <w:szCs w:val="22"/>
          <w:lang w:val="en-GB"/>
        </w:rPr>
        <w:t>Intangible assets</w:t>
      </w:r>
      <w:r w:rsidR="00F57D9D">
        <w:rPr>
          <w:rFonts w:ascii="Verdana" w:eastAsia="Verdana" w:hAnsi="Verdana" w:cs="Verdana"/>
          <w:sz w:val="22"/>
          <w:szCs w:val="22"/>
          <w:lang w:val="en-GB"/>
        </w:rPr>
        <w:t xml:space="preserve"> expenditure during the year</w:t>
      </w:r>
      <w:r w:rsidRPr="00E539E1">
        <w:rPr>
          <w:rFonts w:ascii="Verdana" w:eastAsia="Verdana" w:hAnsi="Verdana" w:cs="Verdana"/>
          <w:sz w:val="22"/>
          <w:szCs w:val="22"/>
          <w:lang w:val="en-GB"/>
        </w:rPr>
        <w:t xml:space="preserve"> include </w:t>
      </w:r>
      <w:r w:rsidR="00F57D9D">
        <w:rPr>
          <w:rFonts w:ascii="Verdana" w:eastAsia="Verdana" w:hAnsi="Verdana" w:cs="Verdana"/>
          <w:sz w:val="22"/>
          <w:szCs w:val="22"/>
          <w:lang w:val="en-GB"/>
        </w:rPr>
        <w:t>purchased computer software and systems development, the PCC for Surrey does not currently have any internally generated assets capitalised. All intangible assets are given a finite useful life and amortised on a straight-line basis over the economic life of the investment to reflect the pattern of consumption of benefits. The useful lives are assessed on an individual basis and are generally for 3 years.</w:t>
      </w:r>
      <w:r w:rsidRPr="00E539E1">
        <w:rPr>
          <w:rFonts w:ascii="Verdana" w:eastAsia="Verdana" w:hAnsi="Verdana" w:cs="Verdana"/>
          <w:sz w:val="22"/>
          <w:szCs w:val="22"/>
          <w:lang w:val="en-GB"/>
        </w:rPr>
        <w:t xml:space="preserve"> </w:t>
      </w:r>
    </w:p>
    <w:p w:rsidR="00E12C9E" w:rsidRDefault="00E12C9E" w:rsidP="003E15DC">
      <w:pPr>
        <w:pStyle w:val="Normal0"/>
        <w:spacing w:after="160"/>
        <w:jc w:val="both"/>
        <w:rPr>
          <w:rFonts w:ascii="Verdana" w:eastAsia="Verdana" w:hAnsi="Verdana" w:cs="Verdana"/>
          <w:sz w:val="22"/>
          <w:szCs w:val="22"/>
          <w:lang w:val="en-GB"/>
        </w:rPr>
      </w:pPr>
    </w:p>
    <w:tbl>
      <w:tblPr>
        <w:tblStyle w:val="TableGrid"/>
        <w:tblW w:w="0" w:type="auto"/>
        <w:jc w:val="center"/>
        <w:tblLook w:val="04A0" w:firstRow="1" w:lastRow="0" w:firstColumn="1" w:lastColumn="0" w:noHBand="0" w:noVBand="1"/>
      </w:tblPr>
      <w:tblGrid>
        <w:gridCol w:w="2878"/>
        <w:gridCol w:w="2878"/>
      </w:tblGrid>
      <w:tr w:rsidR="00E12C9E" w:rsidTr="00A200D5">
        <w:trPr>
          <w:trHeight w:val="95"/>
          <w:jc w:val="center"/>
        </w:trPr>
        <w:tc>
          <w:tcPr>
            <w:tcW w:w="2878" w:type="dxa"/>
          </w:tcPr>
          <w:p w:rsidR="00E12C9E" w:rsidRDefault="00E12C9E" w:rsidP="003E15DC">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Asset Type</w:t>
            </w:r>
          </w:p>
        </w:tc>
        <w:tc>
          <w:tcPr>
            <w:tcW w:w="2878" w:type="dxa"/>
          </w:tcPr>
          <w:p w:rsidR="00E12C9E" w:rsidRDefault="00E12C9E" w:rsidP="003E15DC">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Estimated Useful Life</w:t>
            </w:r>
          </w:p>
        </w:tc>
      </w:tr>
      <w:tr w:rsidR="00E12C9E" w:rsidTr="00A200D5">
        <w:trPr>
          <w:trHeight w:val="95"/>
          <w:jc w:val="center"/>
        </w:trPr>
        <w:tc>
          <w:tcPr>
            <w:tcW w:w="2878" w:type="dxa"/>
          </w:tcPr>
          <w:p w:rsidR="00E12C9E" w:rsidRDefault="00E12C9E" w:rsidP="003E15DC">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Business Systems</w:t>
            </w:r>
          </w:p>
        </w:tc>
        <w:tc>
          <w:tcPr>
            <w:tcW w:w="2878" w:type="dxa"/>
          </w:tcPr>
          <w:p w:rsidR="00E12C9E" w:rsidRDefault="00E12C9E" w:rsidP="003E15DC">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3 Years</w:t>
            </w:r>
          </w:p>
        </w:tc>
      </w:tr>
      <w:tr w:rsidR="00E12C9E" w:rsidTr="00A200D5">
        <w:trPr>
          <w:trHeight w:val="95"/>
          <w:jc w:val="center"/>
        </w:trPr>
        <w:tc>
          <w:tcPr>
            <w:tcW w:w="2878" w:type="dxa"/>
          </w:tcPr>
          <w:p w:rsidR="00E12C9E" w:rsidRDefault="00E12C9E" w:rsidP="003E15DC">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Software</w:t>
            </w:r>
            <w:r w:rsidR="00F57D9D">
              <w:rPr>
                <w:rFonts w:ascii="Verdana" w:eastAsia="Verdana" w:hAnsi="Verdana" w:cs="Verdana"/>
                <w:sz w:val="22"/>
                <w:szCs w:val="22"/>
                <w:lang w:val="en-GB"/>
              </w:rPr>
              <w:t xml:space="preserve"> and</w:t>
            </w:r>
            <w:r>
              <w:rPr>
                <w:rFonts w:ascii="Verdana" w:eastAsia="Verdana" w:hAnsi="Verdana" w:cs="Verdana"/>
                <w:sz w:val="22"/>
                <w:szCs w:val="22"/>
                <w:lang w:val="en-GB"/>
              </w:rPr>
              <w:t xml:space="preserve"> Licences</w:t>
            </w:r>
          </w:p>
        </w:tc>
        <w:tc>
          <w:tcPr>
            <w:tcW w:w="2878" w:type="dxa"/>
          </w:tcPr>
          <w:p w:rsidR="00E12C9E" w:rsidRDefault="00E12C9E" w:rsidP="003E15DC">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3 Years</w:t>
            </w:r>
          </w:p>
        </w:tc>
      </w:tr>
    </w:tbl>
    <w:p w:rsidR="00E12C9E" w:rsidRDefault="00E12C9E" w:rsidP="003E15DC">
      <w:pPr>
        <w:pStyle w:val="Normal0"/>
        <w:spacing w:after="160"/>
        <w:jc w:val="both"/>
        <w:rPr>
          <w:rFonts w:ascii="Verdana" w:eastAsia="Verdana" w:hAnsi="Verdana" w:cs="Verdana"/>
          <w:sz w:val="22"/>
          <w:szCs w:val="22"/>
          <w:lang w:val="en-GB"/>
        </w:rPr>
      </w:pPr>
    </w:p>
    <w:p w:rsidR="00F13F94" w:rsidRDefault="00CA6653" w:rsidP="00CB1E4C">
      <w:pPr>
        <w:pStyle w:val="Normal0"/>
        <w:spacing w:after="160"/>
        <w:jc w:val="both"/>
        <w:rPr>
          <w:rFonts w:ascii="Verdana" w:eastAsia="Verdana" w:hAnsi="Verdana" w:cs="Verdana"/>
          <w:sz w:val="22"/>
          <w:szCs w:val="22"/>
          <w:lang w:val="en-GB"/>
        </w:rPr>
      </w:pPr>
      <w:r w:rsidRPr="00E539E1">
        <w:rPr>
          <w:rFonts w:ascii="Verdana" w:eastAsia="Verdana" w:hAnsi="Verdana" w:cs="Verdana"/>
          <w:sz w:val="22"/>
          <w:szCs w:val="22"/>
          <w:lang w:val="en-GB"/>
        </w:rPr>
        <w:t>The amortisation of £1.</w:t>
      </w:r>
      <w:r w:rsidR="00E539E1" w:rsidRPr="00E539E1">
        <w:rPr>
          <w:rFonts w:ascii="Verdana" w:eastAsia="Verdana" w:hAnsi="Verdana" w:cs="Verdana"/>
          <w:sz w:val="22"/>
          <w:szCs w:val="22"/>
          <w:lang w:val="en-GB"/>
        </w:rPr>
        <w:t>8</w:t>
      </w:r>
      <w:r w:rsidRPr="00E539E1">
        <w:rPr>
          <w:rFonts w:ascii="Verdana" w:eastAsia="Verdana" w:hAnsi="Verdana" w:cs="Verdana"/>
          <w:sz w:val="22"/>
          <w:szCs w:val="22"/>
          <w:lang w:val="en-GB"/>
        </w:rPr>
        <w:t>m (201</w:t>
      </w:r>
      <w:r w:rsidR="00E539E1" w:rsidRPr="00E539E1">
        <w:rPr>
          <w:rFonts w:ascii="Verdana" w:eastAsia="Verdana" w:hAnsi="Verdana" w:cs="Verdana"/>
          <w:sz w:val="22"/>
          <w:szCs w:val="22"/>
          <w:lang w:val="en-GB"/>
        </w:rPr>
        <w:t>8</w:t>
      </w:r>
      <w:r w:rsidRPr="00E539E1">
        <w:rPr>
          <w:rFonts w:ascii="Verdana" w:eastAsia="Verdana" w:hAnsi="Verdana" w:cs="Verdana"/>
          <w:sz w:val="22"/>
          <w:szCs w:val="22"/>
          <w:lang w:val="en-GB"/>
        </w:rPr>
        <w:t>/1</w:t>
      </w:r>
      <w:r w:rsidR="00E539E1" w:rsidRPr="00E539E1">
        <w:rPr>
          <w:rFonts w:ascii="Verdana" w:eastAsia="Verdana" w:hAnsi="Verdana" w:cs="Verdana"/>
          <w:sz w:val="22"/>
          <w:szCs w:val="22"/>
          <w:lang w:val="en-GB"/>
        </w:rPr>
        <w:t>9</w:t>
      </w:r>
      <w:r w:rsidRPr="00E539E1">
        <w:rPr>
          <w:rFonts w:ascii="Verdana" w:eastAsia="Verdana" w:hAnsi="Verdana" w:cs="Verdana"/>
          <w:sz w:val="22"/>
          <w:szCs w:val="22"/>
          <w:lang w:val="en-GB"/>
        </w:rPr>
        <w:t xml:space="preserve"> £1.</w:t>
      </w:r>
      <w:r w:rsidR="00E539E1" w:rsidRPr="00E539E1">
        <w:rPr>
          <w:rFonts w:ascii="Verdana" w:eastAsia="Verdana" w:hAnsi="Verdana" w:cs="Verdana"/>
          <w:sz w:val="22"/>
          <w:szCs w:val="22"/>
          <w:lang w:val="en-GB"/>
        </w:rPr>
        <w:t>5</w:t>
      </w:r>
      <w:r w:rsidRPr="00E539E1">
        <w:rPr>
          <w:rFonts w:ascii="Verdana" w:eastAsia="Verdana" w:hAnsi="Verdana" w:cs="Verdana"/>
          <w:sz w:val="22"/>
          <w:szCs w:val="22"/>
          <w:lang w:val="en-GB"/>
        </w:rPr>
        <w:t>m) was charged to the Comprehensive Income and Expenditure Statement in 20</w:t>
      </w:r>
      <w:r w:rsidR="00E539E1" w:rsidRPr="00E539E1">
        <w:rPr>
          <w:rFonts w:ascii="Verdana" w:eastAsia="Verdana" w:hAnsi="Verdana" w:cs="Verdana"/>
          <w:sz w:val="22"/>
          <w:szCs w:val="22"/>
          <w:lang w:val="en-GB"/>
        </w:rPr>
        <w:t>19</w:t>
      </w:r>
      <w:r w:rsidRPr="00E539E1">
        <w:rPr>
          <w:rFonts w:ascii="Verdana" w:eastAsia="Verdana" w:hAnsi="Verdana" w:cs="Verdana"/>
          <w:sz w:val="22"/>
          <w:szCs w:val="22"/>
          <w:lang w:val="en-GB"/>
        </w:rPr>
        <w:t>/</w:t>
      </w:r>
      <w:r w:rsidR="00E539E1" w:rsidRPr="00E539E1">
        <w:rPr>
          <w:rFonts w:ascii="Verdana" w:eastAsia="Verdana" w:hAnsi="Verdana" w:cs="Verdana"/>
          <w:sz w:val="22"/>
          <w:szCs w:val="22"/>
          <w:lang w:val="en-GB"/>
        </w:rPr>
        <w:t>20</w:t>
      </w:r>
      <w:r w:rsidRPr="00E539E1">
        <w:rPr>
          <w:rFonts w:ascii="Verdana" w:eastAsia="Verdana" w:hAnsi="Verdana" w:cs="Verdana"/>
          <w:sz w:val="22"/>
          <w:szCs w:val="22"/>
          <w:lang w:val="en-GB"/>
        </w:rPr>
        <w:t>.</w:t>
      </w:r>
    </w:p>
    <w:p w:rsidR="00F10514" w:rsidRDefault="00F10514">
      <w:pPr>
        <w:rPr>
          <w:rFonts w:eastAsia="Verdana" w:cs="Verdana"/>
          <w:lang w:val="en-GB"/>
        </w:rPr>
      </w:pPr>
      <w:r>
        <w:rPr>
          <w:rFonts w:eastAsia="Verdana" w:cs="Verdana"/>
          <w:lang w:val="en-GB"/>
        </w:rPr>
        <w:br w:type="page"/>
      </w:r>
    </w:p>
    <w:p w:rsidR="00F10514" w:rsidRPr="00CB1E4C" w:rsidRDefault="00F10514" w:rsidP="00CB1E4C">
      <w:pPr>
        <w:pStyle w:val="Normal0"/>
        <w:spacing w:after="160"/>
        <w:jc w:val="both"/>
        <w:rPr>
          <w:rFonts w:ascii="Verdana" w:eastAsia="Verdana" w:hAnsi="Verdana" w:cs="Verdana"/>
          <w:sz w:val="22"/>
          <w:szCs w:val="22"/>
          <w:lang w:val="en-GB"/>
        </w:rPr>
      </w:pPr>
    </w:p>
    <w:tbl>
      <w:tblPr>
        <w:tblW w:w="9540" w:type="dxa"/>
        <w:tblLook w:val="04A0" w:firstRow="1" w:lastRow="0" w:firstColumn="1" w:lastColumn="0" w:noHBand="0" w:noVBand="1"/>
      </w:tblPr>
      <w:tblGrid>
        <w:gridCol w:w="222"/>
        <w:gridCol w:w="931"/>
        <w:gridCol w:w="1405"/>
        <w:gridCol w:w="949"/>
        <w:gridCol w:w="2397"/>
        <w:gridCol w:w="1211"/>
        <w:gridCol w:w="1479"/>
        <w:gridCol w:w="946"/>
      </w:tblGrid>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rPr>
                <w:rFonts w:ascii="Times New Roman" w:eastAsia="Times New Roman" w:hAnsi="Times New Roman" w:cs="Times New Roman"/>
                <w:sz w:val="20"/>
                <w:szCs w:val="20"/>
                <w:lang w:val="en-GB" w:eastAsia="en-GB"/>
              </w:rPr>
            </w:pPr>
          </w:p>
        </w:tc>
        <w:tc>
          <w:tcPr>
            <w:tcW w:w="3196" w:type="dxa"/>
            <w:gridSpan w:val="3"/>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31st March 2019</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3654" w:type="dxa"/>
            <w:gridSpan w:val="3"/>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31st March 2020</w:t>
            </w:r>
          </w:p>
        </w:tc>
      </w:tr>
      <w:tr w:rsidR="00485158" w:rsidRPr="00485158" w:rsidTr="00485158">
        <w:trPr>
          <w:trHeight w:val="168"/>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center"/>
              <w:rPr>
                <w:rFonts w:eastAsia="Times New Roman" w:cs="Arial"/>
                <w:b/>
                <w:bCs/>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rPr>
                <w:rFonts w:ascii="Times New Roman" w:eastAsia="Times New Roman" w:hAnsi="Times New Roman" w:cs="Times New Roman"/>
                <w:sz w:val="20"/>
                <w:szCs w:val="20"/>
                <w:lang w:val="en-GB" w:eastAsia="en-GB"/>
              </w:rPr>
            </w:pPr>
          </w:p>
        </w:tc>
        <w:tc>
          <w:tcPr>
            <w:tcW w:w="1280" w:type="dxa"/>
            <w:vMerge w:val="restart"/>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Intangible Assets Under Development</w:t>
            </w:r>
          </w:p>
        </w:tc>
        <w:tc>
          <w:tcPr>
            <w:tcW w:w="958" w:type="dxa"/>
            <w:vMerge w:val="restart"/>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Total</w:t>
            </w:r>
          </w:p>
        </w:tc>
        <w:tc>
          <w:tcPr>
            <w:tcW w:w="2474" w:type="dxa"/>
            <w:vMerge w:val="restart"/>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2"/>
                <w:szCs w:val="2"/>
                <w:lang w:val="en-GB" w:eastAsia="en-GB"/>
              </w:rPr>
            </w:pPr>
            <w:r w:rsidRPr="00485158">
              <w:rPr>
                <w:rFonts w:eastAsia="Times New Roman" w:cs="Arial"/>
                <w:b/>
                <w:bCs/>
                <w:color w:val="000000"/>
                <w:sz w:val="2"/>
                <w:szCs w:val="2"/>
                <w:lang w:val="en-GB" w:eastAsia="en-GB"/>
              </w:rPr>
              <w:t xml:space="preserve"> </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2"/>
                <w:szCs w:val="2"/>
                <w:lang w:val="en-GB" w:eastAsia="en-GB"/>
              </w:rPr>
            </w:pPr>
          </w:p>
        </w:tc>
        <w:tc>
          <w:tcPr>
            <w:tcW w:w="1479" w:type="dxa"/>
            <w:vMerge w:val="restart"/>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Intangible Assets Under Development</w:t>
            </w:r>
          </w:p>
        </w:tc>
        <w:tc>
          <w:tcPr>
            <w:tcW w:w="958" w:type="dxa"/>
            <w:vMerge w:val="restart"/>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Total</w:t>
            </w:r>
          </w:p>
        </w:tc>
      </w:tr>
      <w:tr w:rsidR="00485158" w:rsidRPr="00485158" w:rsidTr="00485158">
        <w:trPr>
          <w:trHeight w:val="720"/>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b/>
                <w:bCs/>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Other Assets</w:t>
            </w:r>
          </w:p>
        </w:tc>
        <w:tc>
          <w:tcPr>
            <w:tcW w:w="1280" w:type="dxa"/>
            <w:vMerge/>
            <w:tcBorders>
              <w:top w:val="nil"/>
              <w:left w:val="nil"/>
              <w:bottom w:val="nil"/>
              <w:right w:val="nil"/>
            </w:tcBorders>
            <w:vAlign w:val="center"/>
            <w:hideMark/>
          </w:tcPr>
          <w:p w:rsidR="00485158" w:rsidRPr="00485158" w:rsidRDefault="00485158" w:rsidP="00485158">
            <w:pPr>
              <w:rPr>
                <w:rFonts w:eastAsia="Times New Roman" w:cs="Arial"/>
                <w:b/>
                <w:bCs/>
                <w:color w:val="000000"/>
                <w:sz w:val="16"/>
                <w:szCs w:val="16"/>
                <w:lang w:val="en-GB" w:eastAsia="en-GB"/>
              </w:rPr>
            </w:pPr>
          </w:p>
        </w:tc>
        <w:tc>
          <w:tcPr>
            <w:tcW w:w="958" w:type="dxa"/>
            <w:vMerge/>
            <w:tcBorders>
              <w:top w:val="nil"/>
              <w:left w:val="nil"/>
              <w:bottom w:val="nil"/>
              <w:right w:val="nil"/>
            </w:tcBorders>
            <w:vAlign w:val="center"/>
            <w:hideMark/>
          </w:tcPr>
          <w:p w:rsidR="00485158" w:rsidRPr="00485158" w:rsidRDefault="00485158" w:rsidP="00485158">
            <w:pPr>
              <w:rPr>
                <w:rFonts w:eastAsia="Times New Roman" w:cs="Arial"/>
                <w:b/>
                <w:bCs/>
                <w:color w:val="000000"/>
                <w:sz w:val="16"/>
                <w:szCs w:val="16"/>
                <w:lang w:val="en-GB" w:eastAsia="en-GB"/>
              </w:rPr>
            </w:pPr>
          </w:p>
        </w:tc>
        <w:tc>
          <w:tcPr>
            <w:tcW w:w="2474" w:type="dxa"/>
            <w:vMerge/>
            <w:tcBorders>
              <w:top w:val="nil"/>
              <w:left w:val="nil"/>
              <w:bottom w:val="nil"/>
              <w:right w:val="nil"/>
            </w:tcBorders>
            <w:vAlign w:val="center"/>
            <w:hideMark/>
          </w:tcPr>
          <w:p w:rsidR="00485158" w:rsidRPr="00485158" w:rsidRDefault="00485158" w:rsidP="00485158">
            <w:pPr>
              <w:rPr>
                <w:rFonts w:eastAsia="Times New Roman" w:cs="Arial"/>
                <w:b/>
                <w:bCs/>
                <w:color w:val="000000"/>
                <w:sz w:val="2"/>
                <w:szCs w:val="2"/>
                <w:lang w:val="en-GB" w:eastAsia="en-GB"/>
              </w:rPr>
            </w:pPr>
          </w:p>
        </w:tc>
        <w:tc>
          <w:tcPr>
            <w:tcW w:w="1217"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Other Assets</w:t>
            </w:r>
          </w:p>
        </w:tc>
        <w:tc>
          <w:tcPr>
            <w:tcW w:w="1479" w:type="dxa"/>
            <w:vMerge/>
            <w:tcBorders>
              <w:top w:val="nil"/>
              <w:left w:val="nil"/>
              <w:bottom w:val="nil"/>
              <w:right w:val="nil"/>
            </w:tcBorders>
            <w:vAlign w:val="center"/>
            <w:hideMark/>
          </w:tcPr>
          <w:p w:rsidR="00485158" w:rsidRPr="00485158" w:rsidRDefault="00485158" w:rsidP="00485158">
            <w:pPr>
              <w:rPr>
                <w:rFonts w:eastAsia="Times New Roman" w:cs="Arial"/>
                <w:b/>
                <w:bCs/>
                <w:color w:val="000000"/>
                <w:sz w:val="16"/>
                <w:szCs w:val="16"/>
                <w:lang w:val="en-GB" w:eastAsia="en-GB"/>
              </w:rPr>
            </w:pPr>
          </w:p>
        </w:tc>
        <w:tc>
          <w:tcPr>
            <w:tcW w:w="958" w:type="dxa"/>
            <w:vMerge/>
            <w:tcBorders>
              <w:top w:val="nil"/>
              <w:left w:val="nil"/>
              <w:bottom w:val="nil"/>
              <w:right w:val="nil"/>
            </w:tcBorders>
            <w:vAlign w:val="center"/>
            <w:hideMark/>
          </w:tcPr>
          <w:p w:rsidR="00485158" w:rsidRPr="00485158" w:rsidRDefault="00485158" w:rsidP="00485158">
            <w:pPr>
              <w:rPr>
                <w:rFonts w:eastAsia="Times New Roman" w:cs="Arial"/>
                <w:b/>
                <w:bCs/>
                <w:color w:val="000000"/>
                <w:sz w:val="16"/>
                <w:szCs w:val="16"/>
                <w:lang w:val="en-GB" w:eastAsia="en-GB"/>
              </w:rPr>
            </w:pPr>
          </w:p>
        </w:tc>
      </w:tr>
      <w:tr w:rsidR="00485158" w:rsidRPr="00485158" w:rsidTr="00485158">
        <w:trPr>
          <w:trHeight w:val="276"/>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b/>
                <w:bCs/>
                <w:color w:val="000000"/>
                <w:sz w:val="16"/>
                <w:szCs w:val="16"/>
                <w:lang w:val="en-GB" w:eastAsia="en-GB"/>
              </w:rPr>
            </w:pPr>
          </w:p>
        </w:tc>
        <w:tc>
          <w:tcPr>
            <w:tcW w:w="958" w:type="dxa"/>
            <w:tcBorders>
              <w:top w:val="nil"/>
              <w:left w:val="nil"/>
              <w:bottom w:val="single" w:sz="8"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£000</w:t>
            </w:r>
          </w:p>
        </w:tc>
        <w:tc>
          <w:tcPr>
            <w:tcW w:w="1280" w:type="dxa"/>
            <w:tcBorders>
              <w:top w:val="nil"/>
              <w:left w:val="nil"/>
              <w:bottom w:val="single" w:sz="8"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£000</w:t>
            </w:r>
          </w:p>
        </w:tc>
        <w:tc>
          <w:tcPr>
            <w:tcW w:w="958" w:type="dxa"/>
            <w:tcBorders>
              <w:top w:val="nil"/>
              <w:left w:val="nil"/>
              <w:bottom w:val="single" w:sz="8"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£000</w:t>
            </w:r>
          </w:p>
        </w:tc>
        <w:tc>
          <w:tcPr>
            <w:tcW w:w="2474" w:type="dxa"/>
            <w:tcBorders>
              <w:top w:val="nil"/>
              <w:left w:val="nil"/>
              <w:bottom w:val="single" w:sz="8"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2"/>
                <w:szCs w:val="2"/>
                <w:lang w:val="en-GB" w:eastAsia="en-GB"/>
              </w:rPr>
            </w:pPr>
            <w:r w:rsidRPr="00485158">
              <w:rPr>
                <w:rFonts w:eastAsia="Times New Roman" w:cs="Arial"/>
                <w:b/>
                <w:bCs/>
                <w:color w:val="000000"/>
                <w:sz w:val="2"/>
                <w:szCs w:val="2"/>
                <w:lang w:val="en-GB" w:eastAsia="en-GB"/>
              </w:rPr>
              <w:t xml:space="preserve"> </w:t>
            </w:r>
          </w:p>
        </w:tc>
        <w:tc>
          <w:tcPr>
            <w:tcW w:w="1217" w:type="dxa"/>
            <w:tcBorders>
              <w:top w:val="nil"/>
              <w:left w:val="nil"/>
              <w:bottom w:val="single" w:sz="8"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£000</w:t>
            </w:r>
          </w:p>
        </w:tc>
        <w:tc>
          <w:tcPr>
            <w:tcW w:w="1479" w:type="dxa"/>
            <w:tcBorders>
              <w:top w:val="nil"/>
              <w:left w:val="nil"/>
              <w:bottom w:val="single" w:sz="8"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£000</w:t>
            </w:r>
          </w:p>
        </w:tc>
        <w:tc>
          <w:tcPr>
            <w:tcW w:w="958" w:type="dxa"/>
            <w:tcBorders>
              <w:top w:val="nil"/>
              <w:left w:val="nil"/>
              <w:bottom w:val="single" w:sz="8"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£000</w:t>
            </w:r>
          </w:p>
        </w:tc>
      </w:tr>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b/>
                <w:bCs/>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rPr>
                <w:rFonts w:ascii="Times New Roman" w:eastAsia="Times New Roman" w:hAnsi="Times New Roman" w:cs="Times New Roman"/>
                <w:sz w:val="20"/>
                <w:szCs w:val="20"/>
                <w:lang w:val="en-GB" w:eastAsia="en-GB"/>
              </w:rPr>
            </w:pPr>
          </w:p>
        </w:tc>
        <w:tc>
          <w:tcPr>
            <w:tcW w:w="1280"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p>
        </w:tc>
        <w:tc>
          <w:tcPr>
            <w:tcW w:w="1479"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r>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center"/>
              <w:rPr>
                <w:rFonts w:eastAsia="Times New Roman" w:cs="Arial"/>
                <w:color w:val="000000"/>
                <w:sz w:val="2"/>
                <w:szCs w:val="2"/>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rPr>
                <w:rFonts w:ascii="Times New Roman" w:eastAsia="Times New Roman" w:hAnsi="Times New Roman" w:cs="Times New Roman"/>
                <w:sz w:val="20"/>
                <w:szCs w:val="20"/>
                <w:lang w:val="en-GB" w:eastAsia="en-GB"/>
              </w:rPr>
            </w:pPr>
          </w:p>
        </w:tc>
        <w:tc>
          <w:tcPr>
            <w:tcW w:w="1280"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Balance at start of year:</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p>
        </w:tc>
        <w:tc>
          <w:tcPr>
            <w:tcW w:w="1479"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r>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center"/>
              <w:rPr>
                <w:rFonts w:eastAsia="Times New Roman" w:cs="Arial"/>
                <w:color w:val="000000"/>
                <w:sz w:val="2"/>
                <w:szCs w:val="2"/>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5,168  </w:t>
            </w:r>
          </w:p>
        </w:tc>
        <w:tc>
          <w:tcPr>
            <w:tcW w:w="1280"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5,168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     Gross carrying amounts</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4,303  </w:t>
            </w:r>
          </w:p>
        </w:tc>
        <w:tc>
          <w:tcPr>
            <w:tcW w:w="1479"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1,928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6,231  </w:t>
            </w:r>
          </w:p>
        </w:tc>
      </w:tr>
      <w:tr w:rsidR="00485158" w:rsidRPr="00485158" w:rsidTr="00485158">
        <w:trPr>
          <w:trHeight w:val="276"/>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(2,399) </w:t>
            </w:r>
          </w:p>
        </w:tc>
        <w:tc>
          <w:tcPr>
            <w:tcW w:w="1280"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(2,399)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     Accumulated amortisation</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(2,687) </w:t>
            </w:r>
          </w:p>
        </w:tc>
        <w:tc>
          <w:tcPr>
            <w:tcW w:w="1479"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(2,687) </w:t>
            </w:r>
          </w:p>
        </w:tc>
      </w:tr>
      <w:tr w:rsidR="00485158" w:rsidRPr="00485158" w:rsidTr="00485158">
        <w:trPr>
          <w:trHeight w:val="408"/>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2,769  </w:t>
            </w:r>
          </w:p>
        </w:tc>
        <w:tc>
          <w:tcPr>
            <w:tcW w:w="1280"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0  </w:t>
            </w:r>
          </w:p>
        </w:tc>
        <w:tc>
          <w:tcPr>
            <w:tcW w:w="958"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2,769  </w:t>
            </w:r>
          </w:p>
        </w:tc>
        <w:tc>
          <w:tcPr>
            <w:tcW w:w="2474" w:type="dxa"/>
            <w:tcBorders>
              <w:top w:val="single" w:sz="8" w:space="0" w:color="000000"/>
              <w:left w:val="nil"/>
              <w:bottom w:val="nil"/>
              <w:right w:val="nil"/>
            </w:tcBorders>
            <w:shd w:val="clear" w:color="auto" w:fill="auto"/>
            <w:vAlign w:val="center"/>
            <w:hideMark/>
          </w:tcPr>
          <w:p w:rsidR="00485158" w:rsidRPr="00485158" w:rsidRDefault="00485158" w:rsidP="00485158">
            <w:pPr>
              <w:jc w:val="center"/>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Net carrying amount at start of year</w:t>
            </w:r>
          </w:p>
        </w:tc>
        <w:tc>
          <w:tcPr>
            <w:tcW w:w="1217"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1,616  </w:t>
            </w:r>
          </w:p>
        </w:tc>
        <w:tc>
          <w:tcPr>
            <w:tcW w:w="1479"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1,928  </w:t>
            </w:r>
          </w:p>
        </w:tc>
        <w:tc>
          <w:tcPr>
            <w:tcW w:w="958"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3,544  </w:t>
            </w:r>
          </w:p>
        </w:tc>
      </w:tr>
      <w:tr w:rsidR="00485158" w:rsidRPr="00485158" w:rsidTr="00485158">
        <w:trPr>
          <w:trHeight w:val="14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b/>
                <w:bCs/>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rPr>
                <w:rFonts w:ascii="Times New Roman" w:eastAsia="Times New Roman" w:hAnsi="Times New Roman" w:cs="Times New Roman"/>
                <w:sz w:val="20"/>
                <w:szCs w:val="20"/>
                <w:lang w:val="en-GB" w:eastAsia="en-GB"/>
              </w:rPr>
            </w:pPr>
          </w:p>
        </w:tc>
        <w:tc>
          <w:tcPr>
            <w:tcW w:w="1280"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p>
        </w:tc>
        <w:tc>
          <w:tcPr>
            <w:tcW w:w="1479"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r>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center"/>
              <w:rPr>
                <w:rFonts w:eastAsia="Times New Roman" w:cs="Arial"/>
                <w:color w:val="000000"/>
                <w:sz w:val="2"/>
                <w:szCs w:val="2"/>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rPr>
                <w:rFonts w:ascii="Times New Roman" w:eastAsia="Times New Roman" w:hAnsi="Times New Roman" w:cs="Times New Roman"/>
                <w:sz w:val="20"/>
                <w:szCs w:val="20"/>
                <w:lang w:val="en-GB" w:eastAsia="en-GB"/>
              </w:rPr>
            </w:pPr>
          </w:p>
        </w:tc>
        <w:tc>
          <w:tcPr>
            <w:tcW w:w="1280"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Additions:</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p>
        </w:tc>
        <w:tc>
          <w:tcPr>
            <w:tcW w:w="1479"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r>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center"/>
              <w:rPr>
                <w:rFonts w:eastAsia="Times New Roman" w:cs="Arial"/>
                <w:color w:val="000000"/>
                <w:sz w:val="2"/>
                <w:szCs w:val="2"/>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158  </w:t>
            </w:r>
          </w:p>
        </w:tc>
        <w:tc>
          <w:tcPr>
            <w:tcW w:w="1280"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318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476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     Purchases</w:t>
            </w:r>
          </w:p>
        </w:tc>
        <w:tc>
          <w:tcPr>
            <w:tcW w:w="1217" w:type="dxa"/>
            <w:tcBorders>
              <w:top w:val="nil"/>
              <w:left w:val="nil"/>
              <w:bottom w:val="nil"/>
              <w:right w:val="nil"/>
            </w:tcBorders>
            <w:shd w:val="clear" w:color="auto" w:fill="auto"/>
            <w:vAlign w:val="center"/>
            <w:hideMark/>
          </w:tcPr>
          <w:p w:rsidR="00485158" w:rsidRPr="00485158" w:rsidRDefault="008F7844">
            <w:pPr>
              <w:jc w:val="right"/>
              <w:rPr>
                <w:rFonts w:eastAsia="Times New Roman" w:cs="Arial"/>
                <w:color w:val="000000"/>
                <w:sz w:val="16"/>
                <w:szCs w:val="16"/>
                <w:lang w:val="en-GB" w:eastAsia="en-GB"/>
              </w:rPr>
            </w:pPr>
            <w:r>
              <w:rPr>
                <w:rFonts w:eastAsia="Times New Roman" w:cs="Arial"/>
                <w:color w:val="000000"/>
                <w:sz w:val="16"/>
                <w:szCs w:val="16"/>
                <w:lang w:val="en-GB" w:eastAsia="en-GB"/>
              </w:rPr>
              <w:t>0</w:t>
            </w:r>
            <w:r w:rsidR="00485158" w:rsidRPr="00485158">
              <w:rPr>
                <w:rFonts w:eastAsia="Times New Roman" w:cs="Arial"/>
                <w:color w:val="000000"/>
                <w:sz w:val="16"/>
                <w:szCs w:val="16"/>
                <w:lang w:val="en-GB" w:eastAsia="en-GB"/>
              </w:rPr>
              <w:t xml:space="preserve">  </w:t>
            </w:r>
          </w:p>
        </w:tc>
        <w:tc>
          <w:tcPr>
            <w:tcW w:w="1479" w:type="dxa"/>
            <w:tcBorders>
              <w:top w:val="nil"/>
              <w:left w:val="nil"/>
              <w:bottom w:val="nil"/>
              <w:right w:val="nil"/>
            </w:tcBorders>
            <w:shd w:val="clear" w:color="auto" w:fill="auto"/>
            <w:vAlign w:val="center"/>
            <w:hideMark/>
          </w:tcPr>
          <w:p w:rsidR="00485158" w:rsidRPr="00485158" w:rsidRDefault="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1,</w:t>
            </w:r>
            <w:r w:rsidR="008F7844">
              <w:rPr>
                <w:rFonts w:eastAsia="Times New Roman" w:cs="Arial"/>
                <w:color w:val="000000"/>
                <w:sz w:val="16"/>
                <w:szCs w:val="16"/>
                <w:lang w:val="en-GB" w:eastAsia="en-GB"/>
              </w:rPr>
              <w:t>846</w:t>
            </w:r>
            <w:r w:rsidRPr="00485158">
              <w:rPr>
                <w:rFonts w:eastAsia="Times New Roman" w:cs="Arial"/>
                <w:color w:val="000000"/>
                <w:sz w:val="16"/>
                <w:szCs w:val="16"/>
                <w:lang w:val="en-GB" w:eastAsia="en-GB"/>
              </w:rPr>
              <w:t xml:space="preserve">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1,846  </w:t>
            </w:r>
          </w:p>
        </w:tc>
      </w:tr>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(1,164) </w:t>
            </w:r>
          </w:p>
        </w:tc>
        <w:tc>
          <w:tcPr>
            <w:tcW w:w="1280"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(1,164)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Other disposals</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p>
        </w:tc>
        <w:tc>
          <w:tcPr>
            <w:tcW w:w="1479" w:type="dxa"/>
            <w:tcBorders>
              <w:top w:val="nil"/>
              <w:left w:val="nil"/>
              <w:bottom w:val="nil"/>
              <w:right w:val="nil"/>
            </w:tcBorders>
            <w:shd w:val="clear" w:color="auto" w:fill="auto"/>
            <w:vAlign w:val="center"/>
            <w:hideMark/>
          </w:tcPr>
          <w:p w:rsidR="00485158" w:rsidRPr="00485158" w:rsidRDefault="00485158" w:rsidP="00485158">
            <w:pPr>
              <w:jc w:val="right"/>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r>
      <w:tr w:rsidR="00485158" w:rsidRPr="00485158" w:rsidTr="00485158">
        <w:trPr>
          <w:trHeight w:val="408"/>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141  </w:t>
            </w:r>
          </w:p>
        </w:tc>
        <w:tc>
          <w:tcPr>
            <w:tcW w:w="1280"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1,610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1,751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Reclassifications and transfers</w:t>
            </w:r>
          </w:p>
        </w:tc>
        <w:tc>
          <w:tcPr>
            <w:tcW w:w="1217" w:type="dxa"/>
            <w:tcBorders>
              <w:top w:val="nil"/>
              <w:left w:val="nil"/>
              <w:bottom w:val="nil"/>
              <w:right w:val="nil"/>
            </w:tcBorders>
            <w:shd w:val="clear" w:color="auto" w:fill="auto"/>
            <w:vAlign w:val="center"/>
            <w:hideMark/>
          </w:tcPr>
          <w:p w:rsidR="00485158" w:rsidRPr="00485158" w:rsidRDefault="008F7844" w:rsidP="00485158">
            <w:pPr>
              <w:jc w:val="center"/>
              <w:rPr>
                <w:rFonts w:eastAsia="Times New Roman" w:cs="Arial"/>
                <w:color w:val="000000"/>
                <w:sz w:val="16"/>
                <w:szCs w:val="16"/>
                <w:lang w:val="en-GB" w:eastAsia="en-GB"/>
              </w:rPr>
            </w:pPr>
            <w:r>
              <w:rPr>
                <w:rFonts w:eastAsia="Times New Roman" w:cs="Arial"/>
                <w:color w:val="000000"/>
                <w:sz w:val="16"/>
                <w:szCs w:val="16"/>
                <w:lang w:val="en-GB" w:eastAsia="en-GB"/>
              </w:rPr>
              <w:t xml:space="preserve">          616</w:t>
            </w:r>
          </w:p>
        </w:tc>
        <w:tc>
          <w:tcPr>
            <w:tcW w:w="1479" w:type="dxa"/>
            <w:tcBorders>
              <w:top w:val="nil"/>
              <w:left w:val="nil"/>
              <w:bottom w:val="nil"/>
              <w:right w:val="nil"/>
            </w:tcBorders>
            <w:shd w:val="clear" w:color="auto" w:fill="auto"/>
            <w:vAlign w:val="center"/>
            <w:hideMark/>
          </w:tcPr>
          <w:p w:rsidR="00485158" w:rsidRPr="00485158" w:rsidRDefault="008F7844" w:rsidP="00485158">
            <w:pPr>
              <w:jc w:val="right"/>
              <w:rPr>
                <w:rFonts w:eastAsia="Times New Roman" w:cs="Arial"/>
                <w:color w:val="000000"/>
                <w:sz w:val="16"/>
                <w:szCs w:val="16"/>
                <w:lang w:val="en-GB" w:eastAsia="en-GB"/>
              </w:rPr>
            </w:pPr>
            <w:r>
              <w:rPr>
                <w:rFonts w:eastAsia="Times New Roman" w:cs="Arial"/>
                <w:color w:val="000000"/>
                <w:sz w:val="16"/>
                <w:szCs w:val="16"/>
                <w:lang w:val="en-GB" w:eastAsia="en-GB"/>
              </w:rPr>
              <w:t>(616)</w:t>
            </w:r>
            <w:r w:rsidR="00485158" w:rsidRPr="00485158">
              <w:rPr>
                <w:rFonts w:eastAsia="Times New Roman" w:cs="Arial"/>
                <w:color w:val="000000"/>
                <w:sz w:val="16"/>
                <w:szCs w:val="16"/>
                <w:lang w:val="en-GB" w:eastAsia="en-GB"/>
              </w:rPr>
              <w:t xml:space="preserve">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r>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(1,452) </w:t>
            </w:r>
          </w:p>
        </w:tc>
        <w:tc>
          <w:tcPr>
            <w:tcW w:w="1280"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(1,452)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Amortisation for the period</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(1,776) </w:t>
            </w:r>
          </w:p>
        </w:tc>
        <w:tc>
          <w:tcPr>
            <w:tcW w:w="1479"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(1,776) </w:t>
            </w:r>
          </w:p>
        </w:tc>
      </w:tr>
      <w:tr w:rsidR="00485158" w:rsidRPr="00485158" w:rsidTr="00485158">
        <w:trPr>
          <w:trHeight w:val="420"/>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1,164  </w:t>
            </w:r>
          </w:p>
        </w:tc>
        <w:tc>
          <w:tcPr>
            <w:tcW w:w="1280"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1,164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Amortisation written off on disposal</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p>
        </w:tc>
        <w:tc>
          <w:tcPr>
            <w:tcW w:w="1479" w:type="dxa"/>
            <w:tcBorders>
              <w:top w:val="nil"/>
              <w:left w:val="nil"/>
              <w:bottom w:val="nil"/>
              <w:right w:val="nil"/>
            </w:tcBorders>
            <w:shd w:val="clear" w:color="auto" w:fill="auto"/>
            <w:vAlign w:val="center"/>
            <w:hideMark/>
          </w:tcPr>
          <w:p w:rsidR="00485158" w:rsidRPr="00485158" w:rsidRDefault="00485158" w:rsidP="00485158">
            <w:pPr>
              <w:jc w:val="right"/>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r>
      <w:tr w:rsidR="00485158" w:rsidRPr="00485158" w:rsidTr="00485158">
        <w:trPr>
          <w:trHeight w:val="408"/>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1,616  </w:t>
            </w:r>
          </w:p>
        </w:tc>
        <w:tc>
          <w:tcPr>
            <w:tcW w:w="1280"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1,928  </w:t>
            </w:r>
          </w:p>
        </w:tc>
        <w:tc>
          <w:tcPr>
            <w:tcW w:w="958"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3,544  </w:t>
            </w:r>
          </w:p>
        </w:tc>
        <w:tc>
          <w:tcPr>
            <w:tcW w:w="2474" w:type="dxa"/>
            <w:tcBorders>
              <w:top w:val="single" w:sz="8" w:space="0" w:color="000000"/>
              <w:left w:val="nil"/>
              <w:bottom w:val="nil"/>
              <w:right w:val="nil"/>
            </w:tcBorders>
            <w:shd w:val="clear" w:color="auto" w:fill="auto"/>
            <w:vAlign w:val="center"/>
            <w:hideMark/>
          </w:tcPr>
          <w:p w:rsidR="00485158" w:rsidRPr="00485158" w:rsidRDefault="00485158" w:rsidP="00485158">
            <w:pPr>
              <w:jc w:val="center"/>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Net carrying amount at end of year</w:t>
            </w:r>
          </w:p>
        </w:tc>
        <w:tc>
          <w:tcPr>
            <w:tcW w:w="1217"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456  </w:t>
            </w:r>
          </w:p>
        </w:tc>
        <w:tc>
          <w:tcPr>
            <w:tcW w:w="1479" w:type="dxa"/>
            <w:tcBorders>
              <w:top w:val="single" w:sz="8" w:space="0" w:color="000000"/>
              <w:left w:val="nil"/>
              <w:bottom w:val="nil"/>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3,158  </w:t>
            </w:r>
          </w:p>
        </w:tc>
        <w:tc>
          <w:tcPr>
            <w:tcW w:w="958" w:type="dxa"/>
            <w:tcBorders>
              <w:top w:val="single" w:sz="8" w:space="0" w:color="000000"/>
              <w:left w:val="nil"/>
              <w:bottom w:val="nil"/>
              <w:right w:val="nil"/>
            </w:tcBorders>
            <w:shd w:val="clear" w:color="auto" w:fill="auto"/>
            <w:vAlign w:val="center"/>
            <w:hideMark/>
          </w:tcPr>
          <w:p w:rsidR="00485158" w:rsidRPr="00485158" w:rsidRDefault="008F7844">
            <w:pPr>
              <w:jc w:val="right"/>
              <w:rPr>
                <w:rFonts w:eastAsia="Times New Roman" w:cs="Arial"/>
                <w:b/>
                <w:bCs/>
                <w:color w:val="000000"/>
                <w:sz w:val="16"/>
                <w:szCs w:val="16"/>
                <w:lang w:val="en-GB" w:eastAsia="en-GB"/>
              </w:rPr>
            </w:pPr>
            <w:r>
              <w:rPr>
                <w:rFonts w:eastAsia="Times New Roman" w:cs="Arial"/>
                <w:b/>
                <w:bCs/>
                <w:color w:val="000000"/>
                <w:sz w:val="16"/>
                <w:szCs w:val="16"/>
                <w:lang w:val="en-GB" w:eastAsia="en-GB"/>
              </w:rPr>
              <w:t>3614</w:t>
            </w:r>
            <w:r w:rsidR="00485158" w:rsidRPr="00485158">
              <w:rPr>
                <w:rFonts w:eastAsia="Times New Roman" w:cs="Arial"/>
                <w:b/>
                <w:bCs/>
                <w:color w:val="000000"/>
                <w:sz w:val="16"/>
                <w:szCs w:val="16"/>
                <w:lang w:val="en-GB" w:eastAsia="en-GB"/>
              </w:rPr>
              <w:t xml:space="preserve">  </w:t>
            </w:r>
          </w:p>
        </w:tc>
      </w:tr>
      <w:tr w:rsidR="00485158" w:rsidRPr="00485158" w:rsidTr="00485158">
        <w:trPr>
          <w:trHeight w:val="8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b/>
                <w:bCs/>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rPr>
                <w:rFonts w:ascii="Times New Roman" w:eastAsia="Times New Roman" w:hAnsi="Times New Roman" w:cs="Times New Roman"/>
                <w:sz w:val="20"/>
                <w:szCs w:val="20"/>
                <w:lang w:val="en-GB" w:eastAsia="en-GB"/>
              </w:rPr>
            </w:pPr>
          </w:p>
        </w:tc>
        <w:tc>
          <w:tcPr>
            <w:tcW w:w="1280"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p>
        </w:tc>
        <w:tc>
          <w:tcPr>
            <w:tcW w:w="1479"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r>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center"/>
              <w:rPr>
                <w:rFonts w:eastAsia="Times New Roman" w:cs="Arial"/>
                <w:color w:val="000000"/>
                <w:sz w:val="2"/>
                <w:szCs w:val="2"/>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rPr>
                <w:rFonts w:ascii="Times New Roman" w:eastAsia="Times New Roman" w:hAnsi="Times New Roman" w:cs="Times New Roman"/>
                <w:sz w:val="20"/>
                <w:szCs w:val="20"/>
                <w:lang w:val="en-GB" w:eastAsia="en-GB"/>
              </w:rPr>
            </w:pPr>
          </w:p>
        </w:tc>
        <w:tc>
          <w:tcPr>
            <w:tcW w:w="1280"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Comprising:</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p>
        </w:tc>
        <w:tc>
          <w:tcPr>
            <w:tcW w:w="1479" w:type="dxa"/>
            <w:tcBorders>
              <w:top w:val="nil"/>
              <w:left w:val="nil"/>
              <w:bottom w:val="nil"/>
              <w:right w:val="nil"/>
            </w:tcBorders>
            <w:shd w:val="clear" w:color="auto" w:fill="auto"/>
            <w:vAlign w:val="center"/>
            <w:hideMark/>
          </w:tcPr>
          <w:p w:rsidR="00485158" w:rsidRPr="00485158" w:rsidRDefault="00485158" w:rsidP="00485158">
            <w:pPr>
              <w:jc w:val="center"/>
              <w:rPr>
                <w:rFonts w:ascii="Times New Roman" w:eastAsia="Times New Roman" w:hAnsi="Times New Roman" w:cs="Times New Roman"/>
                <w:sz w:val="20"/>
                <w:szCs w:val="20"/>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2"/>
                <w:szCs w:val="2"/>
                <w:lang w:val="en-GB" w:eastAsia="en-GB"/>
              </w:rPr>
            </w:pPr>
            <w:r w:rsidRPr="00485158">
              <w:rPr>
                <w:rFonts w:eastAsia="Times New Roman" w:cs="Arial"/>
                <w:color w:val="000000"/>
                <w:sz w:val="2"/>
                <w:szCs w:val="2"/>
                <w:lang w:val="en-GB" w:eastAsia="en-GB"/>
              </w:rPr>
              <w:t xml:space="preserve"> </w:t>
            </w:r>
          </w:p>
        </w:tc>
      </w:tr>
      <w:tr w:rsidR="00485158" w:rsidRPr="00485158" w:rsidTr="00485158">
        <w:trPr>
          <w:trHeight w:val="264"/>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center"/>
              <w:rPr>
                <w:rFonts w:eastAsia="Times New Roman" w:cs="Arial"/>
                <w:color w:val="000000"/>
                <w:sz w:val="2"/>
                <w:szCs w:val="2"/>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4,303  </w:t>
            </w:r>
          </w:p>
        </w:tc>
        <w:tc>
          <w:tcPr>
            <w:tcW w:w="1280"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1,928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6,231  </w:t>
            </w:r>
          </w:p>
        </w:tc>
        <w:tc>
          <w:tcPr>
            <w:tcW w:w="2474" w:type="dxa"/>
            <w:tcBorders>
              <w:top w:val="nil"/>
              <w:left w:val="nil"/>
              <w:bottom w:val="nil"/>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     Gross carrying amounts</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4,919  </w:t>
            </w:r>
          </w:p>
        </w:tc>
        <w:tc>
          <w:tcPr>
            <w:tcW w:w="1479"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3,158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8,077  </w:t>
            </w:r>
          </w:p>
        </w:tc>
      </w:tr>
      <w:tr w:rsidR="00485158" w:rsidRPr="00485158" w:rsidTr="00485158">
        <w:trPr>
          <w:trHeight w:val="276"/>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(2,687) </w:t>
            </w:r>
          </w:p>
        </w:tc>
        <w:tc>
          <w:tcPr>
            <w:tcW w:w="1280"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(2,687) </w:t>
            </w:r>
          </w:p>
        </w:tc>
        <w:tc>
          <w:tcPr>
            <w:tcW w:w="2474" w:type="dxa"/>
            <w:tcBorders>
              <w:top w:val="nil"/>
              <w:left w:val="nil"/>
              <w:bottom w:val="single" w:sz="8" w:space="0" w:color="000000"/>
              <w:right w:val="nil"/>
            </w:tcBorders>
            <w:shd w:val="clear" w:color="auto" w:fill="auto"/>
            <w:vAlign w:val="center"/>
            <w:hideMark/>
          </w:tcPr>
          <w:p w:rsidR="00485158" w:rsidRPr="00485158" w:rsidRDefault="00485158" w:rsidP="00485158">
            <w:pPr>
              <w:jc w:val="center"/>
              <w:rPr>
                <w:rFonts w:eastAsia="Times New Roman" w:cs="Arial"/>
                <w:color w:val="000000"/>
                <w:sz w:val="16"/>
                <w:szCs w:val="16"/>
                <w:lang w:val="en-GB" w:eastAsia="en-GB"/>
              </w:rPr>
            </w:pPr>
            <w:r w:rsidRPr="00485158">
              <w:rPr>
                <w:rFonts w:eastAsia="Times New Roman" w:cs="Arial"/>
                <w:color w:val="000000"/>
                <w:sz w:val="16"/>
                <w:szCs w:val="16"/>
                <w:lang w:val="en-GB" w:eastAsia="en-GB"/>
              </w:rPr>
              <w:t>     Accumulated amortisation</w:t>
            </w:r>
          </w:p>
        </w:tc>
        <w:tc>
          <w:tcPr>
            <w:tcW w:w="1217"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(4,463) </w:t>
            </w:r>
          </w:p>
        </w:tc>
        <w:tc>
          <w:tcPr>
            <w:tcW w:w="1479"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0  </w:t>
            </w:r>
          </w:p>
        </w:tc>
        <w:tc>
          <w:tcPr>
            <w:tcW w:w="958" w:type="dxa"/>
            <w:tcBorders>
              <w:top w:val="nil"/>
              <w:left w:val="nil"/>
              <w:bottom w:val="nil"/>
              <w:right w:val="nil"/>
            </w:tcBorders>
            <w:shd w:val="clear" w:color="auto" w:fill="auto"/>
            <w:vAlign w:val="center"/>
            <w:hideMark/>
          </w:tcPr>
          <w:p w:rsidR="00485158" w:rsidRPr="00485158" w:rsidRDefault="00485158" w:rsidP="00485158">
            <w:pPr>
              <w:jc w:val="right"/>
              <w:rPr>
                <w:rFonts w:eastAsia="Times New Roman" w:cs="Arial"/>
                <w:color w:val="000000"/>
                <w:sz w:val="16"/>
                <w:szCs w:val="16"/>
                <w:lang w:val="en-GB" w:eastAsia="en-GB"/>
              </w:rPr>
            </w:pPr>
            <w:r w:rsidRPr="00485158">
              <w:rPr>
                <w:rFonts w:eastAsia="Times New Roman" w:cs="Arial"/>
                <w:color w:val="000000"/>
                <w:sz w:val="16"/>
                <w:szCs w:val="16"/>
                <w:lang w:val="en-GB" w:eastAsia="en-GB"/>
              </w:rPr>
              <w:t xml:space="preserve">(4,463) </w:t>
            </w:r>
          </w:p>
        </w:tc>
      </w:tr>
      <w:tr w:rsidR="00485158" w:rsidRPr="00485158" w:rsidTr="00485158">
        <w:trPr>
          <w:trHeight w:val="276"/>
        </w:trPr>
        <w:tc>
          <w:tcPr>
            <w:tcW w:w="216" w:type="dxa"/>
            <w:tcBorders>
              <w:top w:val="nil"/>
              <w:left w:val="nil"/>
              <w:bottom w:val="nil"/>
              <w:right w:val="nil"/>
            </w:tcBorders>
            <w:shd w:val="clear" w:color="auto" w:fill="auto"/>
            <w:noWrap/>
            <w:vAlign w:val="bottom"/>
            <w:hideMark/>
          </w:tcPr>
          <w:p w:rsidR="00485158" w:rsidRPr="00485158" w:rsidRDefault="00485158" w:rsidP="00485158">
            <w:pPr>
              <w:jc w:val="right"/>
              <w:rPr>
                <w:rFonts w:eastAsia="Times New Roman" w:cs="Arial"/>
                <w:color w:val="000000"/>
                <w:sz w:val="16"/>
                <w:szCs w:val="16"/>
                <w:lang w:val="en-GB" w:eastAsia="en-GB"/>
              </w:rPr>
            </w:pPr>
          </w:p>
        </w:tc>
        <w:tc>
          <w:tcPr>
            <w:tcW w:w="958" w:type="dxa"/>
            <w:tcBorders>
              <w:top w:val="single" w:sz="8" w:space="0" w:color="000000"/>
              <w:left w:val="nil"/>
              <w:bottom w:val="single" w:sz="12"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1,616  </w:t>
            </w:r>
          </w:p>
        </w:tc>
        <w:tc>
          <w:tcPr>
            <w:tcW w:w="1280" w:type="dxa"/>
            <w:tcBorders>
              <w:top w:val="single" w:sz="8" w:space="0" w:color="000000"/>
              <w:left w:val="nil"/>
              <w:bottom w:val="single" w:sz="12"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1,928  </w:t>
            </w:r>
          </w:p>
        </w:tc>
        <w:tc>
          <w:tcPr>
            <w:tcW w:w="958" w:type="dxa"/>
            <w:tcBorders>
              <w:top w:val="single" w:sz="8" w:space="0" w:color="000000"/>
              <w:left w:val="nil"/>
              <w:bottom w:val="single" w:sz="12"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3,544  </w:t>
            </w:r>
          </w:p>
        </w:tc>
        <w:tc>
          <w:tcPr>
            <w:tcW w:w="2474" w:type="dxa"/>
            <w:tcBorders>
              <w:top w:val="nil"/>
              <w:left w:val="nil"/>
              <w:bottom w:val="single" w:sz="12" w:space="0" w:color="000000"/>
              <w:right w:val="nil"/>
            </w:tcBorders>
            <w:shd w:val="clear" w:color="auto" w:fill="auto"/>
            <w:vAlign w:val="center"/>
            <w:hideMark/>
          </w:tcPr>
          <w:p w:rsidR="00485158" w:rsidRPr="00485158" w:rsidRDefault="00485158" w:rsidP="00485158">
            <w:pPr>
              <w:jc w:val="center"/>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Total</w:t>
            </w:r>
          </w:p>
        </w:tc>
        <w:tc>
          <w:tcPr>
            <w:tcW w:w="1217" w:type="dxa"/>
            <w:tcBorders>
              <w:top w:val="single" w:sz="8" w:space="0" w:color="000000"/>
              <w:left w:val="nil"/>
              <w:bottom w:val="single" w:sz="12"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456  </w:t>
            </w:r>
          </w:p>
        </w:tc>
        <w:tc>
          <w:tcPr>
            <w:tcW w:w="1479" w:type="dxa"/>
            <w:tcBorders>
              <w:top w:val="single" w:sz="8" w:space="0" w:color="000000"/>
              <w:left w:val="nil"/>
              <w:bottom w:val="single" w:sz="12"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3,158  </w:t>
            </w:r>
          </w:p>
        </w:tc>
        <w:tc>
          <w:tcPr>
            <w:tcW w:w="958" w:type="dxa"/>
            <w:tcBorders>
              <w:top w:val="single" w:sz="8" w:space="0" w:color="000000"/>
              <w:left w:val="nil"/>
              <w:bottom w:val="single" w:sz="12" w:space="0" w:color="000000"/>
              <w:right w:val="nil"/>
            </w:tcBorders>
            <w:shd w:val="clear" w:color="auto" w:fill="auto"/>
            <w:vAlign w:val="center"/>
            <w:hideMark/>
          </w:tcPr>
          <w:p w:rsidR="00485158" w:rsidRPr="00485158" w:rsidRDefault="00485158" w:rsidP="00485158">
            <w:pPr>
              <w:jc w:val="right"/>
              <w:rPr>
                <w:rFonts w:eastAsia="Times New Roman" w:cs="Arial"/>
                <w:b/>
                <w:bCs/>
                <w:color w:val="000000"/>
                <w:sz w:val="16"/>
                <w:szCs w:val="16"/>
                <w:lang w:val="en-GB" w:eastAsia="en-GB"/>
              </w:rPr>
            </w:pPr>
            <w:r w:rsidRPr="00485158">
              <w:rPr>
                <w:rFonts w:eastAsia="Times New Roman" w:cs="Arial"/>
                <w:b/>
                <w:bCs/>
                <w:color w:val="000000"/>
                <w:sz w:val="16"/>
                <w:szCs w:val="16"/>
                <w:lang w:val="en-GB" w:eastAsia="en-GB"/>
              </w:rPr>
              <w:t xml:space="preserve">3,614  </w:t>
            </w:r>
          </w:p>
        </w:tc>
      </w:tr>
    </w:tbl>
    <w:p w:rsidR="00F13F94" w:rsidRDefault="00F13F94">
      <w:pPr>
        <w:pStyle w:val="T1TableStyle"/>
        <w:rPr>
          <w:rFonts w:ascii="Verdana" w:eastAsia="Verdana" w:hAnsi="Verdana" w:cs="Verdana"/>
          <w:sz w:val="22"/>
          <w:lang w:val="en-GB"/>
        </w:rPr>
      </w:pPr>
    </w:p>
    <w:p w:rsidR="0070458A" w:rsidRDefault="0070458A">
      <w:pPr>
        <w:pStyle w:val="T1TableStyle"/>
        <w:rPr>
          <w:rFonts w:ascii="Verdana" w:eastAsia="Verdana" w:hAnsi="Verdana" w:cs="Verdana"/>
          <w:sz w:val="22"/>
          <w:lang w:val="en-GB"/>
        </w:rPr>
      </w:pPr>
    </w:p>
    <w:p w:rsidR="0070458A" w:rsidRDefault="0070458A">
      <w:pPr>
        <w:pStyle w:val="T1TableStyle"/>
        <w:rPr>
          <w:rFonts w:ascii="Verdana" w:eastAsia="Verdana" w:hAnsi="Verdana" w:cs="Verdana"/>
          <w:sz w:val="22"/>
          <w:lang w:val="en-GB"/>
        </w:rPr>
      </w:pPr>
    </w:p>
    <w:p w:rsidR="00E12C9E" w:rsidRDefault="00E12C9E">
      <w:pPr>
        <w:pStyle w:val="T1TableStyle"/>
        <w:rPr>
          <w:rFonts w:ascii="Verdana" w:eastAsia="Verdana" w:hAnsi="Verdana" w:cs="Verdana"/>
          <w:sz w:val="22"/>
          <w:lang w:val="en-GB"/>
        </w:rPr>
      </w:pPr>
    </w:p>
    <w:p w:rsidR="00E12C9E" w:rsidRDefault="00E12C9E">
      <w:pPr>
        <w:pStyle w:val="T1TableStyle"/>
        <w:rPr>
          <w:rFonts w:ascii="Verdana" w:eastAsia="Verdana" w:hAnsi="Verdana" w:cs="Verdana"/>
          <w:sz w:val="22"/>
          <w:lang w:val="en-GB"/>
        </w:rPr>
      </w:pPr>
    </w:p>
    <w:p w:rsidR="00F10514" w:rsidRDefault="00F10514">
      <w:pPr>
        <w:rPr>
          <w:rFonts w:asciiTheme="majorHAnsi" w:eastAsiaTheme="majorEastAsia" w:hAnsiTheme="majorHAnsi" w:cstheme="majorBidi"/>
          <w:color w:val="2E74B5" w:themeColor="accent1" w:themeShade="BF"/>
          <w:sz w:val="32"/>
          <w:szCs w:val="32"/>
          <w:lang w:val="pt-BR"/>
        </w:rPr>
      </w:pPr>
      <w:r>
        <w:br w:type="page"/>
      </w:r>
    </w:p>
    <w:p w:rsidR="00CA6653" w:rsidRDefault="00CA6653" w:rsidP="00A31A9E">
      <w:pPr>
        <w:pStyle w:val="Heading1"/>
      </w:pPr>
      <w:bookmarkStart w:id="24" w:name="_Toc55900415"/>
      <w:r>
        <w:t>Note 13 - Debtors</w:t>
      </w:r>
      <w:bookmarkEnd w:id="24"/>
      <w:r>
        <w:t xml:space="preserve"> </w:t>
      </w:r>
    </w:p>
    <w:p w:rsidR="00CA6653" w:rsidRDefault="00CA6653">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Debts outstanding at 31 March 20</w:t>
      </w:r>
      <w:r w:rsidR="00C05F4B">
        <w:rPr>
          <w:rFonts w:ascii="Verdana" w:eastAsia="Verdana" w:hAnsi="Verdana" w:cs="Verdana"/>
          <w:sz w:val="22"/>
          <w:szCs w:val="22"/>
          <w:lang w:val="en-GB"/>
        </w:rPr>
        <w:t>20</w:t>
      </w:r>
      <w:r>
        <w:rPr>
          <w:rFonts w:ascii="Verdana" w:eastAsia="Verdana" w:hAnsi="Verdana" w:cs="Verdana"/>
          <w:sz w:val="22"/>
          <w:szCs w:val="22"/>
          <w:lang w:val="en-GB"/>
        </w:rPr>
        <w:t xml:space="preserve"> can be analysed as follows:</w:t>
      </w:r>
    </w:p>
    <w:p w:rsidR="00CA6653" w:rsidRDefault="00CA6653">
      <w:pPr>
        <w:pStyle w:val="T1TableStyle"/>
        <w:rPr>
          <w:rFonts w:ascii="Verdana" w:eastAsia="Verdana" w:hAnsi="Verdana" w:cs="Verdana"/>
          <w:sz w:val="22"/>
          <w:lang w:val="en-GB"/>
        </w:rPr>
      </w:pPr>
    </w:p>
    <w:tbl>
      <w:tblPr>
        <w:tblW w:w="0" w:type="auto"/>
        <w:tblLayout w:type="fixed"/>
        <w:tblLook w:val="04A0" w:firstRow="1" w:lastRow="0" w:firstColumn="1" w:lastColumn="0" w:noHBand="0" w:noVBand="1"/>
      </w:tblPr>
      <w:tblGrid>
        <w:gridCol w:w="1659"/>
        <w:gridCol w:w="1659"/>
        <w:gridCol w:w="193"/>
        <w:gridCol w:w="2932"/>
        <w:gridCol w:w="1659"/>
        <w:gridCol w:w="1659"/>
      </w:tblGrid>
      <w:tr w:rsidR="008E37BB" w:rsidRPr="008E37BB" w:rsidTr="00DE3276">
        <w:trPr>
          <w:trHeight w:val="300"/>
        </w:trPr>
        <w:tc>
          <w:tcPr>
            <w:tcW w:w="1659" w:type="dxa"/>
            <w:vAlign w:val="bottom"/>
          </w:tcPr>
          <w:p w:rsidR="008E37BB" w:rsidRPr="008E37BB" w:rsidRDefault="008E37BB" w:rsidP="008E37BB">
            <w:pPr>
              <w:jc w:val="center"/>
              <w:rPr>
                <w:rFonts w:eastAsia="Verdana" w:cs="Verdana"/>
                <w:b/>
                <w:color w:val="000000"/>
                <w:sz w:val="16"/>
                <w:szCs w:val="20"/>
                <w:lang w:val="en-GB"/>
              </w:rPr>
            </w:pPr>
            <w:r w:rsidRPr="008E37BB">
              <w:rPr>
                <w:rFonts w:eastAsia="Verdana" w:cs="Verdana"/>
                <w:b/>
                <w:color w:val="000000"/>
                <w:sz w:val="16"/>
                <w:szCs w:val="20"/>
                <w:lang w:val="en-GB"/>
              </w:rPr>
              <w:t>31 March 2018</w:t>
            </w:r>
          </w:p>
          <w:p w:rsidR="008E37BB" w:rsidRPr="008E37BB" w:rsidRDefault="008E37BB" w:rsidP="008E37BB">
            <w:pPr>
              <w:jc w:val="center"/>
              <w:rPr>
                <w:rFonts w:eastAsia="Verdana" w:cs="Verdana"/>
                <w:b/>
                <w:color w:val="000000"/>
                <w:sz w:val="16"/>
                <w:szCs w:val="20"/>
                <w:lang w:val="en-GB"/>
              </w:rPr>
            </w:pPr>
            <w:r w:rsidRPr="008E37BB">
              <w:rPr>
                <w:rFonts w:eastAsia="Verdana" w:cs="Verdana"/>
                <w:b/>
                <w:color w:val="000000"/>
                <w:sz w:val="16"/>
                <w:szCs w:val="20"/>
                <w:lang w:val="en-GB"/>
              </w:rPr>
              <w:t>PCC</w:t>
            </w:r>
          </w:p>
        </w:tc>
        <w:tc>
          <w:tcPr>
            <w:tcW w:w="1659" w:type="dxa"/>
            <w:shd w:val="clear" w:color="auto" w:fill="auto"/>
            <w:tcMar>
              <w:top w:w="20" w:type="dxa"/>
              <w:left w:w="20" w:type="dxa"/>
              <w:bottom w:w="20" w:type="dxa"/>
              <w:right w:w="20" w:type="dxa"/>
            </w:tcMar>
            <w:vAlign w:val="bottom"/>
          </w:tcPr>
          <w:p w:rsidR="008E37BB" w:rsidRPr="008E37BB" w:rsidRDefault="008E37BB" w:rsidP="008E37BB">
            <w:pPr>
              <w:jc w:val="center"/>
              <w:rPr>
                <w:rFonts w:eastAsia="Verdana" w:cs="Verdana"/>
                <w:b/>
                <w:color w:val="000000"/>
                <w:sz w:val="16"/>
                <w:szCs w:val="20"/>
                <w:lang w:val="en-GB"/>
              </w:rPr>
            </w:pPr>
            <w:r w:rsidRPr="008E37BB">
              <w:rPr>
                <w:rFonts w:eastAsia="Verdana" w:cs="Verdana"/>
                <w:b/>
                <w:color w:val="000000"/>
                <w:sz w:val="16"/>
                <w:szCs w:val="20"/>
                <w:lang w:val="en-GB"/>
              </w:rPr>
              <w:t>31 March 2018</w:t>
            </w:r>
          </w:p>
          <w:p w:rsidR="008E37BB" w:rsidRPr="008E37BB" w:rsidRDefault="008E37BB" w:rsidP="008E37BB">
            <w:pPr>
              <w:jc w:val="center"/>
              <w:rPr>
                <w:rFonts w:eastAsia="Verdana" w:cs="Verdana"/>
                <w:b/>
                <w:color w:val="000000"/>
                <w:sz w:val="16"/>
                <w:szCs w:val="20"/>
                <w:lang w:val="en-GB"/>
              </w:rPr>
            </w:pPr>
            <w:r w:rsidRPr="008E37BB">
              <w:rPr>
                <w:rFonts w:eastAsia="Verdana" w:cs="Verdana"/>
                <w:b/>
                <w:color w:val="000000"/>
                <w:sz w:val="16"/>
                <w:szCs w:val="20"/>
                <w:lang w:val="en-GB"/>
              </w:rPr>
              <w:t>Group</w:t>
            </w:r>
          </w:p>
        </w:tc>
        <w:tc>
          <w:tcPr>
            <w:tcW w:w="193" w:type="dxa"/>
            <w:shd w:val="clear" w:color="auto" w:fill="auto"/>
            <w:tcMar>
              <w:top w:w="20" w:type="dxa"/>
              <w:left w:w="20" w:type="dxa"/>
              <w:bottom w:w="20" w:type="dxa"/>
              <w:right w:w="20" w:type="dxa"/>
            </w:tcMar>
            <w:vAlign w:val="bottom"/>
          </w:tcPr>
          <w:p w:rsidR="008E37BB" w:rsidRPr="008E37BB" w:rsidRDefault="008E37BB" w:rsidP="008E37BB">
            <w:pPr>
              <w:jc w:val="center"/>
              <w:rPr>
                <w:rFonts w:eastAsia="Verdana" w:cs="Verdana"/>
                <w:b/>
                <w:color w:val="000000"/>
                <w:sz w:val="2"/>
                <w:szCs w:val="20"/>
                <w:lang w:val="en-GB"/>
              </w:rPr>
            </w:pPr>
            <w:r w:rsidRPr="008E37BB">
              <w:rPr>
                <w:rFonts w:eastAsia="Verdana" w:cs="Verdana"/>
                <w:b/>
                <w:color w:val="000000"/>
                <w:sz w:val="2"/>
                <w:szCs w:val="20"/>
                <w:lang w:val="en-GB"/>
              </w:rPr>
              <w:t xml:space="preserve"> </w:t>
            </w:r>
          </w:p>
        </w:tc>
        <w:tc>
          <w:tcPr>
            <w:tcW w:w="2932" w:type="dxa"/>
            <w:shd w:val="clear" w:color="auto" w:fill="auto"/>
            <w:tcMar>
              <w:top w:w="20" w:type="dxa"/>
              <w:left w:w="20" w:type="dxa"/>
              <w:bottom w:w="20" w:type="dxa"/>
              <w:right w:w="20" w:type="dxa"/>
            </w:tcMar>
            <w:vAlign w:val="bottom"/>
          </w:tcPr>
          <w:p w:rsidR="008E37BB" w:rsidRPr="008E37BB" w:rsidRDefault="008E37BB" w:rsidP="008E37BB">
            <w:pPr>
              <w:jc w:val="center"/>
              <w:rPr>
                <w:rFonts w:eastAsia="Verdana" w:cs="Verdana"/>
                <w:b/>
                <w:color w:val="000000"/>
                <w:sz w:val="2"/>
                <w:szCs w:val="20"/>
                <w:lang w:val="en-GB"/>
              </w:rPr>
            </w:pPr>
            <w:r w:rsidRPr="008E37BB">
              <w:rPr>
                <w:rFonts w:eastAsia="Verdana" w:cs="Verdana"/>
                <w:b/>
                <w:color w:val="000000"/>
                <w:sz w:val="2"/>
                <w:szCs w:val="20"/>
                <w:lang w:val="en-GB"/>
              </w:rPr>
              <w:t xml:space="preserve"> </w:t>
            </w:r>
          </w:p>
        </w:tc>
        <w:tc>
          <w:tcPr>
            <w:tcW w:w="1659" w:type="dxa"/>
          </w:tcPr>
          <w:p w:rsidR="008E37BB" w:rsidRPr="008E37BB" w:rsidRDefault="008E37BB" w:rsidP="008E37BB">
            <w:pPr>
              <w:jc w:val="center"/>
              <w:rPr>
                <w:rFonts w:eastAsia="Verdana" w:cs="Verdana"/>
                <w:b/>
                <w:color w:val="000000"/>
                <w:sz w:val="16"/>
                <w:szCs w:val="20"/>
                <w:lang w:val="en-GB"/>
              </w:rPr>
            </w:pPr>
            <w:r w:rsidRPr="008E37BB">
              <w:rPr>
                <w:rFonts w:eastAsia="Verdana" w:cs="Verdana"/>
                <w:b/>
                <w:color w:val="000000"/>
                <w:sz w:val="16"/>
                <w:szCs w:val="20"/>
                <w:lang w:val="en-GB"/>
              </w:rPr>
              <w:t>31 March 2019</w:t>
            </w:r>
          </w:p>
          <w:p w:rsidR="008E37BB" w:rsidRPr="008E37BB" w:rsidRDefault="008E37BB" w:rsidP="008E37BB">
            <w:pPr>
              <w:jc w:val="center"/>
              <w:rPr>
                <w:rFonts w:eastAsia="Verdana" w:cs="Verdana"/>
                <w:b/>
                <w:color w:val="000000"/>
                <w:sz w:val="16"/>
                <w:szCs w:val="20"/>
                <w:lang w:val="en-GB"/>
              </w:rPr>
            </w:pPr>
            <w:r w:rsidRPr="008E37BB">
              <w:rPr>
                <w:rFonts w:eastAsia="Verdana" w:cs="Verdana"/>
                <w:b/>
                <w:color w:val="000000"/>
                <w:sz w:val="16"/>
                <w:szCs w:val="20"/>
                <w:lang w:val="en-GB"/>
              </w:rPr>
              <w:t>PCC</w:t>
            </w:r>
          </w:p>
        </w:tc>
        <w:tc>
          <w:tcPr>
            <w:tcW w:w="1659" w:type="dxa"/>
            <w:shd w:val="clear" w:color="auto" w:fill="auto"/>
            <w:tcMar>
              <w:top w:w="20" w:type="dxa"/>
              <w:left w:w="20" w:type="dxa"/>
              <w:bottom w:w="20" w:type="dxa"/>
              <w:right w:w="20" w:type="dxa"/>
            </w:tcMar>
            <w:vAlign w:val="bottom"/>
          </w:tcPr>
          <w:p w:rsidR="008E37BB" w:rsidRPr="008E37BB" w:rsidRDefault="008E37BB" w:rsidP="008E37BB">
            <w:pPr>
              <w:jc w:val="center"/>
              <w:rPr>
                <w:rFonts w:eastAsia="Verdana" w:cs="Verdana"/>
                <w:b/>
                <w:color w:val="000000"/>
                <w:sz w:val="16"/>
                <w:szCs w:val="20"/>
                <w:lang w:val="en-GB"/>
              </w:rPr>
            </w:pPr>
            <w:r w:rsidRPr="008E37BB">
              <w:rPr>
                <w:rFonts w:eastAsia="Verdana" w:cs="Verdana"/>
                <w:b/>
                <w:color w:val="000000"/>
                <w:sz w:val="16"/>
                <w:szCs w:val="20"/>
                <w:lang w:val="en-GB"/>
              </w:rPr>
              <w:t>31 March 2019</w:t>
            </w:r>
          </w:p>
          <w:p w:rsidR="008E37BB" w:rsidRPr="008E37BB" w:rsidRDefault="008E37BB" w:rsidP="008E37BB">
            <w:pPr>
              <w:jc w:val="center"/>
              <w:rPr>
                <w:rFonts w:eastAsia="Verdana" w:cs="Verdana"/>
                <w:b/>
                <w:color w:val="000000"/>
                <w:sz w:val="16"/>
                <w:szCs w:val="20"/>
                <w:lang w:val="en-GB"/>
              </w:rPr>
            </w:pPr>
            <w:r w:rsidRPr="008E37BB">
              <w:rPr>
                <w:rFonts w:eastAsia="Verdana" w:cs="Verdana"/>
                <w:b/>
                <w:color w:val="000000"/>
                <w:sz w:val="16"/>
                <w:szCs w:val="20"/>
                <w:lang w:val="en-GB"/>
              </w:rPr>
              <w:t>Group</w:t>
            </w:r>
          </w:p>
        </w:tc>
      </w:tr>
      <w:tr w:rsidR="008E37BB" w:rsidRPr="008E37BB" w:rsidTr="00DE3276">
        <w:trPr>
          <w:trHeight w:val="300"/>
        </w:trPr>
        <w:tc>
          <w:tcPr>
            <w:tcW w:w="1659" w:type="dxa"/>
            <w:tcBorders>
              <w:bottom w:val="single" w:sz="2" w:space="0" w:color="000000"/>
            </w:tcBorders>
          </w:tcPr>
          <w:p w:rsidR="008E37BB" w:rsidRPr="008E37BB" w:rsidRDefault="008E37BB" w:rsidP="008E37BB">
            <w:pPr>
              <w:jc w:val="right"/>
              <w:rPr>
                <w:rFonts w:eastAsia="Verdana" w:cs="Verdana"/>
                <w:b/>
                <w:color w:val="000000"/>
                <w:sz w:val="16"/>
                <w:szCs w:val="20"/>
                <w:lang w:val="en-GB"/>
              </w:rPr>
            </w:pPr>
            <w:r w:rsidRPr="008E37BB">
              <w:rPr>
                <w:rFonts w:eastAsia="Verdana" w:cs="Verdana"/>
                <w:b/>
                <w:color w:val="000000"/>
                <w:sz w:val="16"/>
                <w:szCs w:val="20"/>
                <w:lang w:val="en-GB"/>
              </w:rPr>
              <w:t>£000</w:t>
            </w:r>
          </w:p>
        </w:tc>
        <w:tc>
          <w:tcPr>
            <w:tcW w:w="1659" w:type="dxa"/>
            <w:tcBorders>
              <w:bottom w:val="single" w:sz="2" w:space="0" w:color="000000"/>
            </w:tcBorders>
            <w:shd w:val="clear" w:color="auto" w:fill="auto"/>
            <w:tcMar>
              <w:top w:w="20" w:type="dxa"/>
              <w:left w:w="20" w:type="dxa"/>
              <w:bottom w:w="20" w:type="dxa"/>
              <w:right w:w="20" w:type="dxa"/>
            </w:tcMar>
          </w:tcPr>
          <w:p w:rsidR="008E37BB" w:rsidRPr="008E37BB" w:rsidRDefault="008E37BB" w:rsidP="008E37BB">
            <w:pPr>
              <w:jc w:val="right"/>
              <w:rPr>
                <w:rFonts w:eastAsia="Verdana" w:cs="Verdana"/>
                <w:b/>
                <w:color w:val="000000"/>
                <w:sz w:val="16"/>
                <w:szCs w:val="20"/>
                <w:lang w:val="en-GB"/>
              </w:rPr>
            </w:pPr>
            <w:r w:rsidRPr="008E37BB">
              <w:rPr>
                <w:rFonts w:eastAsia="Verdana" w:cs="Verdana"/>
                <w:b/>
                <w:color w:val="000000"/>
                <w:sz w:val="16"/>
                <w:szCs w:val="20"/>
                <w:lang w:val="en-GB"/>
              </w:rPr>
              <w:t>£000</w:t>
            </w:r>
          </w:p>
        </w:tc>
        <w:tc>
          <w:tcPr>
            <w:tcW w:w="193" w:type="dxa"/>
            <w:tcBorders>
              <w:bottom w:val="single" w:sz="2" w:space="0" w:color="000000"/>
            </w:tcBorders>
            <w:shd w:val="clear" w:color="auto" w:fill="auto"/>
            <w:tcMar>
              <w:top w:w="20" w:type="dxa"/>
              <w:left w:w="20" w:type="dxa"/>
              <w:bottom w:w="20" w:type="dxa"/>
              <w:right w:w="20" w:type="dxa"/>
            </w:tcMar>
          </w:tcPr>
          <w:p w:rsidR="008E37BB" w:rsidRPr="008E37BB" w:rsidRDefault="008E37BB" w:rsidP="008E37BB">
            <w:pPr>
              <w:jc w:val="right"/>
              <w:rPr>
                <w:rFonts w:eastAsia="Verdana" w:cs="Verdana"/>
                <w:b/>
                <w:color w:val="000000"/>
                <w:sz w:val="2"/>
                <w:szCs w:val="20"/>
                <w:lang w:val="en-GB"/>
              </w:rPr>
            </w:pPr>
            <w:r w:rsidRPr="008E37BB">
              <w:rPr>
                <w:rFonts w:eastAsia="Verdana" w:cs="Verdana"/>
                <w:b/>
                <w:color w:val="000000"/>
                <w:sz w:val="2"/>
                <w:szCs w:val="20"/>
                <w:lang w:val="en-GB"/>
              </w:rPr>
              <w:t xml:space="preserve"> </w:t>
            </w:r>
          </w:p>
        </w:tc>
        <w:tc>
          <w:tcPr>
            <w:tcW w:w="2932" w:type="dxa"/>
            <w:tcBorders>
              <w:bottom w:val="single" w:sz="2" w:space="0" w:color="000000"/>
            </w:tcBorders>
            <w:shd w:val="clear" w:color="auto" w:fill="auto"/>
            <w:tcMar>
              <w:top w:w="20" w:type="dxa"/>
              <w:left w:w="20" w:type="dxa"/>
              <w:bottom w:w="20" w:type="dxa"/>
              <w:right w:w="20" w:type="dxa"/>
            </w:tcMar>
          </w:tcPr>
          <w:p w:rsidR="008E37BB" w:rsidRPr="008E37BB" w:rsidRDefault="008E37BB" w:rsidP="008E37BB">
            <w:pPr>
              <w:jc w:val="right"/>
              <w:rPr>
                <w:rFonts w:eastAsia="Verdana" w:cs="Verdana"/>
                <w:b/>
                <w:color w:val="000000"/>
                <w:sz w:val="2"/>
                <w:szCs w:val="20"/>
                <w:lang w:val="en-GB"/>
              </w:rPr>
            </w:pPr>
            <w:r w:rsidRPr="008E37BB">
              <w:rPr>
                <w:rFonts w:eastAsia="Verdana" w:cs="Verdana"/>
                <w:b/>
                <w:color w:val="000000"/>
                <w:sz w:val="2"/>
                <w:szCs w:val="20"/>
                <w:lang w:val="en-GB"/>
              </w:rPr>
              <w:t xml:space="preserve"> </w:t>
            </w:r>
          </w:p>
        </w:tc>
        <w:tc>
          <w:tcPr>
            <w:tcW w:w="1659" w:type="dxa"/>
            <w:tcBorders>
              <w:bottom w:val="single" w:sz="2" w:space="0" w:color="000000"/>
            </w:tcBorders>
          </w:tcPr>
          <w:p w:rsidR="008E37BB" w:rsidRPr="008E37BB" w:rsidRDefault="008E37BB" w:rsidP="008E37BB">
            <w:pPr>
              <w:jc w:val="right"/>
              <w:rPr>
                <w:rFonts w:eastAsia="Verdana" w:cs="Verdana"/>
                <w:b/>
                <w:color w:val="000000"/>
                <w:sz w:val="16"/>
                <w:szCs w:val="20"/>
                <w:lang w:val="en-GB"/>
              </w:rPr>
            </w:pPr>
            <w:r w:rsidRPr="008E37BB">
              <w:rPr>
                <w:rFonts w:eastAsia="Verdana" w:cs="Verdana"/>
                <w:b/>
                <w:color w:val="000000"/>
                <w:sz w:val="16"/>
                <w:szCs w:val="20"/>
                <w:lang w:val="en-GB"/>
              </w:rPr>
              <w:t>£000</w:t>
            </w:r>
          </w:p>
        </w:tc>
        <w:tc>
          <w:tcPr>
            <w:tcW w:w="1659" w:type="dxa"/>
            <w:tcBorders>
              <w:bottom w:val="single" w:sz="2" w:space="0" w:color="000000"/>
            </w:tcBorders>
            <w:shd w:val="clear" w:color="auto" w:fill="auto"/>
            <w:tcMar>
              <w:top w:w="20" w:type="dxa"/>
              <w:left w:w="20" w:type="dxa"/>
              <w:bottom w:w="20" w:type="dxa"/>
              <w:right w:w="20" w:type="dxa"/>
            </w:tcMar>
          </w:tcPr>
          <w:p w:rsidR="008E37BB" w:rsidRPr="008E37BB" w:rsidRDefault="008E37BB" w:rsidP="008E37BB">
            <w:pPr>
              <w:jc w:val="right"/>
              <w:rPr>
                <w:rFonts w:eastAsia="Verdana" w:cs="Verdana"/>
                <w:b/>
                <w:color w:val="000000"/>
                <w:sz w:val="16"/>
                <w:szCs w:val="20"/>
                <w:lang w:val="en-GB"/>
              </w:rPr>
            </w:pPr>
            <w:r w:rsidRPr="008E37BB">
              <w:rPr>
                <w:rFonts w:eastAsia="Verdana" w:cs="Verdana"/>
                <w:b/>
                <w:color w:val="000000"/>
                <w:sz w:val="16"/>
                <w:szCs w:val="20"/>
                <w:lang w:val="en-GB"/>
              </w:rPr>
              <w:t>£000</w:t>
            </w:r>
          </w:p>
        </w:tc>
      </w:tr>
      <w:tr w:rsidR="008E37BB" w:rsidRPr="008E37BB" w:rsidTr="00DE3276">
        <w:trPr>
          <w:trHeight w:val="300"/>
        </w:trPr>
        <w:tc>
          <w:tcPr>
            <w:tcW w:w="1659" w:type="dxa"/>
          </w:tcPr>
          <w:p w:rsidR="008E37BB" w:rsidRPr="008E37BB" w:rsidRDefault="008E37BB" w:rsidP="008E37BB">
            <w:pPr>
              <w:jc w:val="right"/>
              <w:rPr>
                <w:rFonts w:eastAsia="Verdana" w:cs="Verdana"/>
                <w:color w:val="000000"/>
                <w:sz w:val="16"/>
                <w:szCs w:val="20"/>
                <w:lang w:val="en-GB"/>
              </w:rPr>
            </w:pPr>
            <w:r>
              <w:rPr>
                <w:rFonts w:eastAsia="Verdana" w:cs="Verdana"/>
                <w:color w:val="000000"/>
                <w:sz w:val="16"/>
                <w:szCs w:val="20"/>
                <w:lang w:val="en-GB"/>
              </w:rPr>
              <w:t>717</w:t>
            </w:r>
          </w:p>
        </w:tc>
        <w:tc>
          <w:tcPr>
            <w:tcW w:w="1659" w:type="dxa"/>
            <w:shd w:val="clear" w:color="auto" w:fill="auto"/>
            <w:tcMar>
              <w:top w:w="20" w:type="dxa"/>
              <w:left w:w="20" w:type="dxa"/>
              <w:bottom w:w="20" w:type="dxa"/>
              <w:right w:w="20" w:type="dxa"/>
            </w:tcMar>
          </w:tcPr>
          <w:p w:rsidR="008E37BB" w:rsidRPr="008E37BB" w:rsidRDefault="008E37BB" w:rsidP="008E37BB">
            <w:pPr>
              <w:jc w:val="right"/>
              <w:rPr>
                <w:rFonts w:eastAsia="Verdana" w:cs="Verdana"/>
                <w:color w:val="000000"/>
                <w:sz w:val="16"/>
                <w:szCs w:val="20"/>
                <w:lang w:val="en-GB"/>
              </w:rPr>
            </w:pPr>
            <w:r>
              <w:rPr>
                <w:rFonts w:eastAsia="Verdana" w:cs="Verdana"/>
                <w:color w:val="000000"/>
                <w:sz w:val="16"/>
                <w:szCs w:val="20"/>
                <w:lang w:val="en-GB"/>
              </w:rPr>
              <w:t>717</w:t>
            </w:r>
          </w:p>
        </w:tc>
        <w:tc>
          <w:tcPr>
            <w:tcW w:w="193" w:type="dxa"/>
            <w:shd w:val="clear" w:color="auto" w:fill="auto"/>
            <w:tcMar>
              <w:top w:w="20" w:type="dxa"/>
              <w:left w:w="20" w:type="dxa"/>
              <w:bottom w:w="20" w:type="dxa"/>
              <w:right w:w="20" w:type="dxa"/>
            </w:tcMar>
          </w:tcPr>
          <w:p w:rsidR="008E37BB" w:rsidRPr="008E37BB" w:rsidRDefault="008E37BB" w:rsidP="008E37BB">
            <w:pPr>
              <w:jc w:val="center"/>
              <w:rPr>
                <w:rFonts w:eastAsia="Verdana" w:cs="Verdana"/>
                <w:color w:val="000000"/>
                <w:sz w:val="2"/>
                <w:szCs w:val="20"/>
                <w:lang w:val="en-GB"/>
              </w:rPr>
            </w:pPr>
            <w:r w:rsidRPr="008E37BB">
              <w:rPr>
                <w:rFonts w:eastAsia="Verdana" w:cs="Verdana"/>
                <w:color w:val="000000"/>
                <w:sz w:val="2"/>
                <w:szCs w:val="20"/>
                <w:lang w:val="en-GB"/>
              </w:rPr>
              <w:t xml:space="preserve"> </w:t>
            </w:r>
          </w:p>
        </w:tc>
        <w:tc>
          <w:tcPr>
            <w:tcW w:w="2932" w:type="dxa"/>
            <w:shd w:val="clear" w:color="auto" w:fill="auto"/>
            <w:tcMar>
              <w:top w:w="20" w:type="dxa"/>
              <w:left w:w="20" w:type="dxa"/>
              <w:bottom w:w="20" w:type="dxa"/>
              <w:right w:w="20" w:type="dxa"/>
            </w:tcMar>
          </w:tcPr>
          <w:p w:rsidR="008E37BB" w:rsidRPr="008E37BB" w:rsidRDefault="008E37BB" w:rsidP="008E37BB">
            <w:pPr>
              <w:rPr>
                <w:rFonts w:eastAsia="Verdana" w:cs="Verdana"/>
                <w:color w:val="000000"/>
                <w:sz w:val="16"/>
                <w:szCs w:val="20"/>
                <w:lang w:val="en-GB"/>
              </w:rPr>
            </w:pPr>
            <w:r w:rsidRPr="008E37BB">
              <w:rPr>
                <w:rFonts w:eastAsia="Verdana" w:cs="Verdana"/>
                <w:color w:val="000000"/>
                <w:sz w:val="16"/>
                <w:szCs w:val="20"/>
                <w:lang w:val="en-GB"/>
              </w:rPr>
              <w:t>Trade Receivables</w:t>
            </w:r>
          </w:p>
        </w:tc>
        <w:tc>
          <w:tcPr>
            <w:tcW w:w="1659" w:type="dxa"/>
          </w:tcPr>
          <w:p w:rsidR="008E37BB" w:rsidRPr="008E37BB" w:rsidRDefault="008E37BB">
            <w:pPr>
              <w:jc w:val="right"/>
              <w:rPr>
                <w:rFonts w:eastAsia="Verdana" w:cs="Verdana"/>
                <w:color w:val="000000"/>
                <w:sz w:val="16"/>
                <w:szCs w:val="20"/>
                <w:lang w:val="en-GB"/>
              </w:rPr>
            </w:pPr>
            <w:r w:rsidRPr="008E37BB">
              <w:rPr>
                <w:rFonts w:eastAsia="Verdana" w:cs="Verdana"/>
                <w:color w:val="000000"/>
                <w:sz w:val="16"/>
                <w:szCs w:val="20"/>
                <w:lang w:val="en-GB"/>
              </w:rPr>
              <w:t>7</w:t>
            </w:r>
            <w:r>
              <w:rPr>
                <w:rFonts w:eastAsia="Verdana" w:cs="Verdana"/>
                <w:color w:val="000000"/>
                <w:sz w:val="16"/>
                <w:szCs w:val="20"/>
                <w:lang w:val="en-GB"/>
              </w:rPr>
              <w:t>51</w:t>
            </w:r>
          </w:p>
        </w:tc>
        <w:tc>
          <w:tcPr>
            <w:tcW w:w="1659" w:type="dxa"/>
            <w:shd w:val="clear" w:color="auto" w:fill="auto"/>
            <w:tcMar>
              <w:top w:w="20" w:type="dxa"/>
              <w:left w:w="20" w:type="dxa"/>
              <w:bottom w:w="20" w:type="dxa"/>
              <w:right w:w="20" w:type="dxa"/>
            </w:tcMar>
          </w:tcPr>
          <w:p w:rsidR="008E37BB" w:rsidRPr="008E37BB" w:rsidRDefault="008E37BB">
            <w:pPr>
              <w:jc w:val="right"/>
              <w:rPr>
                <w:rFonts w:eastAsia="Verdana" w:cs="Verdana"/>
                <w:color w:val="000000"/>
                <w:sz w:val="16"/>
                <w:szCs w:val="20"/>
                <w:lang w:val="en-GB"/>
              </w:rPr>
            </w:pPr>
            <w:r>
              <w:rPr>
                <w:rFonts w:eastAsia="Verdana" w:cs="Verdana"/>
                <w:color w:val="000000"/>
                <w:sz w:val="16"/>
                <w:szCs w:val="20"/>
                <w:lang w:val="en-GB"/>
              </w:rPr>
              <w:t>751</w:t>
            </w:r>
          </w:p>
        </w:tc>
      </w:tr>
      <w:tr w:rsidR="008E37BB" w:rsidRPr="008E37BB" w:rsidTr="00DE3276">
        <w:trPr>
          <w:trHeight w:val="300"/>
        </w:trPr>
        <w:tc>
          <w:tcPr>
            <w:tcW w:w="1659" w:type="dxa"/>
          </w:tcPr>
          <w:p w:rsidR="008E37BB" w:rsidRPr="008E37BB" w:rsidRDefault="008E37BB" w:rsidP="008E37BB">
            <w:pPr>
              <w:jc w:val="right"/>
              <w:rPr>
                <w:rFonts w:eastAsia="Verdana" w:cs="Verdana"/>
                <w:color w:val="000000"/>
                <w:sz w:val="16"/>
                <w:szCs w:val="20"/>
                <w:lang w:val="en-GB"/>
              </w:rPr>
            </w:pPr>
            <w:r>
              <w:rPr>
                <w:rFonts w:eastAsia="Verdana" w:cs="Verdana"/>
                <w:color w:val="000000"/>
                <w:sz w:val="16"/>
                <w:szCs w:val="20"/>
                <w:lang w:val="en-GB"/>
              </w:rPr>
              <w:t>6,718</w:t>
            </w:r>
          </w:p>
        </w:tc>
        <w:tc>
          <w:tcPr>
            <w:tcW w:w="1659" w:type="dxa"/>
            <w:shd w:val="clear" w:color="auto" w:fill="auto"/>
            <w:tcMar>
              <w:top w:w="20" w:type="dxa"/>
              <w:left w:w="20" w:type="dxa"/>
              <w:bottom w:w="20" w:type="dxa"/>
              <w:right w:w="20" w:type="dxa"/>
            </w:tcMar>
          </w:tcPr>
          <w:p w:rsidR="008E37BB" w:rsidRPr="008E37BB" w:rsidRDefault="008E37BB" w:rsidP="008E37BB">
            <w:pPr>
              <w:jc w:val="right"/>
              <w:rPr>
                <w:rFonts w:eastAsia="Verdana" w:cs="Verdana"/>
                <w:color w:val="000000"/>
                <w:sz w:val="16"/>
                <w:szCs w:val="20"/>
                <w:lang w:val="en-GB"/>
              </w:rPr>
            </w:pPr>
            <w:r>
              <w:rPr>
                <w:rFonts w:eastAsia="Verdana" w:cs="Verdana"/>
                <w:color w:val="000000"/>
                <w:sz w:val="16"/>
                <w:szCs w:val="20"/>
                <w:lang w:val="en-GB"/>
              </w:rPr>
              <w:t>6,718</w:t>
            </w:r>
          </w:p>
        </w:tc>
        <w:tc>
          <w:tcPr>
            <w:tcW w:w="193" w:type="dxa"/>
            <w:shd w:val="clear" w:color="auto" w:fill="auto"/>
            <w:tcMar>
              <w:top w:w="20" w:type="dxa"/>
              <w:left w:w="20" w:type="dxa"/>
              <w:bottom w:w="20" w:type="dxa"/>
              <w:right w:w="20" w:type="dxa"/>
            </w:tcMar>
          </w:tcPr>
          <w:p w:rsidR="008E37BB" w:rsidRPr="008E37BB" w:rsidRDefault="008E37BB" w:rsidP="008E37BB">
            <w:pPr>
              <w:jc w:val="center"/>
              <w:rPr>
                <w:rFonts w:eastAsia="Verdana" w:cs="Verdana"/>
                <w:color w:val="000000"/>
                <w:sz w:val="2"/>
                <w:szCs w:val="20"/>
                <w:lang w:val="en-GB"/>
              </w:rPr>
            </w:pPr>
            <w:r w:rsidRPr="008E37BB">
              <w:rPr>
                <w:rFonts w:eastAsia="Verdana" w:cs="Verdana"/>
                <w:color w:val="000000"/>
                <w:sz w:val="2"/>
                <w:szCs w:val="20"/>
                <w:lang w:val="en-GB"/>
              </w:rPr>
              <w:t xml:space="preserve"> </w:t>
            </w:r>
          </w:p>
        </w:tc>
        <w:tc>
          <w:tcPr>
            <w:tcW w:w="2932" w:type="dxa"/>
            <w:shd w:val="clear" w:color="auto" w:fill="auto"/>
            <w:tcMar>
              <w:top w:w="20" w:type="dxa"/>
              <w:left w:w="20" w:type="dxa"/>
              <w:bottom w:w="20" w:type="dxa"/>
              <w:right w:w="20" w:type="dxa"/>
            </w:tcMar>
          </w:tcPr>
          <w:p w:rsidR="008E37BB" w:rsidRPr="008E37BB" w:rsidRDefault="008E37BB" w:rsidP="008E37BB">
            <w:pPr>
              <w:rPr>
                <w:rFonts w:eastAsia="Verdana" w:cs="Verdana"/>
                <w:color w:val="000000"/>
                <w:sz w:val="16"/>
                <w:szCs w:val="20"/>
                <w:lang w:val="en-GB"/>
              </w:rPr>
            </w:pPr>
            <w:r w:rsidRPr="008E37BB">
              <w:rPr>
                <w:rFonts w:eastAsia="Verdana" w:cs="Verdana"/>
                <w:color w:val="000000"/>
                <w:sz w:val="16"/>
                <w:szCs w:val="20"/>
                <w:lang w:val="en-GB"/>
              </w:rPr>
              <w:t>Prepayments</w:t>
            </w:r>
          </w:p>
        </w:tc>
        <w:tc>
          <w:tcPr>
            <w:tcW w:w="1659" w:type="dxa"/>
          </w:tcPr>
          <w:p w:rsidR="008E37BB" w:rsidRPr="008E37BB" w:rsidRDefault="008E37BB" w:rsidP="008E37BB">
            <w:pPr>
              <w:jc w:val="right"/>
              <w:rPr>
                <w:rFonts w:eastAsia="Verdana" w:cs="Verdana"/>
                <w:color w:val="000000"/>
                <w:sz w:val="16"/>
                <w:szCs w:val="20"/>
                <w:lang w:val="en-GB"/>
              </w:rPr>
            </w:pPr>
            <w:r>
              <w:rPr>
                <w:rFonts w:eastAsia="Verdana" w:cs="Verdana"/>
                <w:color w:val="000000"/>
                <w:sz w:val="16"/>
                <w:szCs w:val="20"/>
                <w:lang w:val="en-GB"/>
              </w:rPr>
              <w:t>7,213</w:t>
            </w:r>
          </w:p>
        </w:tc>
        <w:tc>
          <w:tcPr>
            <w:tcW w:w="1659" w:type="dxa"/>
            <w:shd w:val="clear" w:color="auto" w:fill="auto"/>
            <w:tcMar>
              <w:top w:w="20" w:type="dxa"/>
              <w:left w:w="20" w:type="dxa"/>
              <w:bottom w:w="20" w:type="dxa"/>
              <w:right w:w="20" w:type="dxa"/>
            </w:tcMar>
          </w:tcPr>
          <w:p w:rsidR="008E37BB" w:rsidRPr="008E37BB" w:rsidRDefault="008E37BB" w:rsidP="008E37BB">
            <w:pPr>
              <w:jc w:val="right"/>
              <w:rPr>
                <w:rFonts w:eastAsia="Verdana" w:cs="Verdana"/>
                <w:color w:val="000000"/>
                <w:sz w:val="16"/>
                <w:szCs w:val="20"/>
                <w:lang w:val="en-GB"/>
              </w:rPr>
            </w:pPr>
            <w:r>
              <w:rPr>
                <w:rFonts w:eastAsia="Verdana" w:cs="Verdana"/>
                <w:color w:val="000000"/>
                <w:sz w:val="16"/>
                <w:szCs w:val="20"/>
                <w:lang w:val="en-GB"/>
              </w:rPr>
              <w:t>7,213</w:t>
            </w:r>
          </w:p>
        </w:tc>
      </w:tr>
      <w:tr w:rsidR="008E37BB" w:rsidRPr="008E37BB" w:rsidTr="00DE3276">
        <w:trPr>
          <w:trHeight w:val="300"/>
        </w:trPr>
        <w:tc>
          <w:tcPr>
            <w:tcW w:w="1659" w:type="dxa"/>
          </w:tcPr>
          <w:p w:rsidR="008E37BB" w:rsidRPr="008E37BB" w:rsidRDefault="008E37BB" w:rsidP="008E37BB">
            <w:pPr>
              <w:jc w:val="right"/>
              <w:rPr>
                <w:rFonts w:eastAsia="Verdana" w:cs="Verdana"/>
                <w:color w:val="000000"/>
                <w:sz w:val="16"/>
                <w:szCs w:val="20"/>
                <w:lang w:val="en-GB"/>
              </w:rPr>
            </w:pPr>
            <w:r>
              <w:rPr>
                <w:rFonts w:eastAsia="Verdana" w:cs="Verdana"/>
                <w:color w:val="000000"/>
                <w:sz w:val="16"/>
                <w:szCs w:val="20"/>
                <w:lang w:val="en-GB"/>
              </w:rPr>
              <w:t>13,731</w:t>
            </w:r>
          </w:p>
        </w:tc>
        <w:tc>
          <w:tcPr>
            <w:tcW w:w="1659" w:type="dxa"/>
            <w:shd w:val="clear" w:color="auto" w:fill="auto"/>
            <w:tcMar>
              <w:top w:w="20" w:type="dxa"/>
              <w:left w:w="20" w:type="dxa"/>
              <w:bottom w:w="20" w:type="dxa"/>
              <w:right w:w="20" w:type="dxa"/>
            </w:tcMar>
          </w:tcPr>
          <w:p w:rsidR="008E37BB" w:rsidRPr="008E37BB" w:rsidRDefault="008E37BB" w:rsidP="008E37BB">
            <w:pPr>
              <w:jc w:val="right"/>
              <w:rPr>
                <w:rFonts w:eastAsia="Verdana" w:cs="Verdana"/>
                <w:color w:val="000000"/>
                <w:sz w:val="16"/>
                <w:szCs w:val="20"/>
                <w:lang w:val="en-GB"/>
              </w:rPr>
            </w:pPr>
            <w:r>
              <w:rPr>
                <w:rFonts w:eastAsia="Verdana" w:cs="Verdana"/>
                <w:color w:val="000000"/>
                <w:sz w:val="16"/>
                <w:szCs w:val="20"/>
                <w:lang w:val="en-GB"/>
              </w:rPr>
              <w:t>13,841</w:t>
            </w:r>
          </w:p>
        </w:tc>
        <w:tc>
          <w:tcPr>
            <w:tcW w:w="193" w:type="dxa"/>
            <w:shd w:val="clear" w:color="auto" w:fill="auto"/>
            <w:tcMar>
              <w:top w:w="20" w:type="dxa"/>
              <w:left w:w="20" w:type="dxa"/>
              <w:bottom w:w="20" w:type="dxa"/>
              <w:right w:w="20" w:type="dxa"/>
            </w:tcMar>
          </w:tcPr>
          <w:p w:rsidR="008E37BB" w:rsidRPr="008E37BB" w:rsidRDefault="008E37BB" w:rsidP="008E37BB">
            <w:pPr>
              <w:jc w:val="center"/>
              <w:rPr>
                <w:rFonts w:eastAsia="Verdana" w:cs="Verdana"/>
                <w:color w:val="000000"/>
                <w:sz w:val="2"/>
                <w:szCs w:val="20"/>
                <w:lang w:val="en-GB"/>
              </w:rPr>
            </w:pPr>
            <w:r w:rsidRPr="008E37BB">
              <w:rPr>
                <w:rFonts w:eastAsia="Verdana" w:cs="Verdana"/>
                <w:color w:val="000000"/>
                <w:sz w:val="2"/>
                <w:szCs w:val="20"/>
                <w:lang w:val="en-GB"/>
              </w:rPr>
              <w:t xml:space="preserve"> </w:t>
            </w:r>
          </w:p>
        </w:tc>
        <w:tc>
          <w:tcPr>
            <w:tcW w:w="2932" w:type="dxa"/>
            <w:shd w:val="clear" w:color="auto" w:fill="auto"/>
            <w:tcMar>
              <w:top w:w="20" w:type="dxa"/>
              <w:left w:w="20" w:type="dxa"/>
              <w:bottom w:w="20" w:type="dxa"/>
              <w:right w:w="20" w:type="dxa"/>
            </w:tcMar>
          </w:tcPr>
          <w:p w:rsidR="008E37BB" w:rsidRPr="008E37BB" w:rsidRDefault="008E37BB" w:rsidP="008E37BB">
            <w:pPr>
              <w:rPr>
                <w:rFonts w:eastAsia="Verdana" w:cs="Verdana"/>
                <w:color w:val="000000"/>
                <w:sz w:val="16"/>
                <w:szCs w:val="20"/>
                <w:lang w:val="en-GB"/>
              </w:rPr>
            </w:pPr>
            <w:r w:rsidRPr="008E37BB">
              <w:rPr>
                <w:rFonts w:eastAsia="Verdana" w:cs="Verdana"/>
                <w:color w:val="000000"/>
                <w:sz w:val="16"/>
                <w:szCs w:val="20"/>
                <w:lang w:val="en-GB"/>
              </w:rPr>
              <w:t>Other Receivable Amounts</w:t>
            </w:r>
          </w:p>
        </w:tc>
        <w:tc>
          <w:tcPr>
            <w:tcW w:w="1659" w:type="dxa"/>
          </w:tcPr>
          <w:p w:rsidR="008E37BB" w:rsidRPr="008E37BB" w:rsidRDefault="008E37BB">
            <w:pPr>
              <w:jc w:val="right"/>
              <w:rPr>
                <w:rFonts w:eastAsia="Verdana" w:cs="Verdana"/>
                <w:color w:val="000000"/>
                <w:sz w:val="16"/>
                <w:szCs w:val="20"/>
                <w:lang w:val="en-GB"/>
              </w:rPr>
            </w:pPr>
            <w:r w:rsidRPr="008E37BB">
              <w:rPr>
                <w:rFonts w:eastAsia="Verdana" w:cs="Verdana"/>
                <w:color w:val="000000"/>
                <w:sz w:val="16"/>
                <w:szCs w:val="20"/>
                <w:lang w:val="en-GB"/>
              </w:rPr>
              <w:t>13,</w:t>
            </w:r>
            <w:r>
              <w:rPr>
                <w:rFonts w:eastAsia="Verdana" w:cs="Verdana"/>
                <w:color w:val="000000"/>
                <w:sz w:val="16"/>
                <w:szCs w:val="20"/>
                <w:lang w:val="en-GB"/>
              </w:rPr>
              <w:t>356</w:t>
            </w:r>
          </w:p>
        </w:tc>
        <w:tc>
          <w:tcPr>
            <w:tcW w:w="1659" w:type="dxa"/>
            <w:shd w:val="clear" w:color="auto" w:fill="auto"/>
            <w:tcMar>
              <w:top w:w="20" w:type="dxa"/>
              <w:left w:w="20" w:type="dxa"/>
              <w:bottom w:w="20" w:type="dxa"/>
              <w:right w:w="20" w:type="dxa"/>
            </w:tcMar>
          </w:tcPr>
          <w:p w:rsidR="008E37BB" w:rsidRPr="008E37BB" w:rsidRDefault="008E37BB" w:rsidP="008E37BB">
            <w:pPr>
              <w:jc w:val="right"/>
              <w:rPr>
                <w:rFonts w:eastAsia="Verdana" w:cs="Verdana"/>
                <w:color w:val="000000"/>
                <w:sz w:val="16"/>
                <w:szCs w:val="20"/>
                <w:lang w:val="en-GB"/>
              </w:rPr>
            </w:pPr>
            <w:r>
              <w:rPr>
                <w:rFonts w:eastAsia="Verdana" w:cs="Verdana"/>
                <w:color w:val="000000"/>
                <w:sz w:val="16"/>
                <w:szCs w:val="20"/>
                <w:lang w:val="en-GB"/>
              </w:rPr>
              <w:t>16</w:t>
            </w:r>
            <w:r w:rsidR="006E5554">
              <w:rPr>
                <w:rFonts w:eastAsia="Verdana" w:cs="Verdana"/>
                <w:color w:val="000000"/>
                <w:sz w:val="16"/>
                <w:szCs w:val="20"/>
                <w:lang w:val="en-GB"/>
              </w:rPr>
              <w:t>,</w:t>
            </w:r>
            <w:r>
              <w:rPr>
                <w:rFonts w:eastAsia="Verdana" w:cs="Verdana"/>
                <w:color w:val="000000"/>
                <w:sz w:val="16"/>
                <w:szCs w:val="20"/>
                <w:lang w:val="en-GB"/>
              </w:rPr>
              <w:t>466</w:t>
            </w:r>
          </w:p>
        </w:tc>
      </w:tr>
      <w:tr w:rsidR="008E37BB" w:rsidRPr="008E37BB" w:rsidTr="00DE3276">
        <w:trPr>
          <w:trHeight w:val="315"/>
        </w:trPr>
        <w:tc>
          <w:tcPr>
            <w:tcW w:w="1659" w:type="dxa"/>
            <w:tcBorders>
              <w:top w:val="single" w:sz="2" w:space="0" w:color="000000"/>
              <w:bottom w:val="single" w:sz="12" w:space="0" w:color="000000"/>
            </w:tcBorders>
          </w:tcPr>
          <w:p w:rsidR="008E37BB" w:rsidRPr="008E37BB" w:rsidRDefault="008E37BB">
            <w:pPr>
              <w:jc w:val="right"/>
              <w:rPr>
                <w:rFonts w:eastAsia="Verdana" w:cs="Verdana"/>
                <w:b/>
                <w:color w:val="000000"/>
                <w:sz w:val="16"/>
                <w:szCs w:val="20"/>
                <w:lang w:val="en-GB"/>
              </w:rPr>
            </w:pPr>
            <w:r>
              <w:rPr>
                <w:rFonts w:eastAsia="Verdana" w:cs="Verdana"/>
                <w:b/>
                <w:color w:val="000000"/>
                <w:sz w:val="16"/>
                <w:szCs w:val="20"/>
                <w:lang w:val="en-GB"/>
              </w:rPr>
              <w:t>21,166</w:t>
            </w:r>
          </w:p>
        </w:tc>
        <w:tc>
          <w:tcPr>
            <w:tcW w:w="1659" w:type="dxa"/>
            <w:tcBorders>
              <w:top w:val="single" w:sz="2" w:space="0" w:color="000000"/>
              <w:bottom w:val="single" w:sz="12" w:space="0" w:color="000000"/>
            </w:tcBorders>
            <w:shd w:val="clear" w:color="auto" w:fill="auto"/>
            <w:tcMar>
              <w:top w:w="20" w:type="dxa"/>
              <w:left w:w="20" w:type="dxa"/>
              <w:bottom w:w="20" w:type="dxa"/>
              <w:right w:w="20" w:type="dxa"/>
            </w:tcMar>
          </w:tcPr>
          <w:p w:rsidR="008E37BB" w:rsidRPr="008E37BB" w:rsidRDefault="008E37BB" w:rsidP="008E37BB">
            <w:pPr>
              <w:jc w:val="right"/>
              <w:rPr>
                <w:rFonts w:eastAsia="Verdana" w:cs="Verdana"/>
                <w:b/>
                <w:color w:val="000000"/>
                <w:sz w:val="16"/>
                <w:szCs w:val="20"/>
                <w:lang w:val="en-GB"/>
              </w:rPr>
            </w:pPr>
            <w:r>
              <w:rPr>
                <w:rFonts w:eastAsia="Verdana" w:cs="Verdana"/>
                <w:b/>
                <w:color w:val="000000"/>
                <w:sz w:val="16"/>
                <w:szCs w:val="20"/>
                <w:lang w:val="en-GB"/>
              </w:rPr>
              <w:t>21,276</w:t>
            </w:r>
          </w:p>
        </w:tc>
        <w:tc>
          <w:tcPr>
            <w:tcW w:w="193" w:type="dxa"/>
            <w:tcBorders>
              <w:top w:val="single" w:sz="2" w:space="0" w:color="000000"/>
              <w:bottom w:val="single" w:sz="12" w:space="0" w:color="000000"/>
            </w:tcBorders>
            <w:shd w:val="clear" w:color="auto" w:fill="auto"/>
            <w:tcMar>
              <w:top w:w="20" w:type="dxa"/>
              <w:left w:w="20" w:type="dxa"/>
              <w:bottom w:w="20" w:type="dxa"/>
              <w:right w:w="20" w:type="dxa"/>
            </w:tcMar>
          </w:tcPr>
          <w:p w:rsidR="008E37BB" w:rsidRPr="008E37BB" w:rsidRDefault="008E37BB" w:rsidP="008E37BB">
            <w:pPr>
              <w:jc w:val="center"/>
              <w:rPr>
                <w:rFonts w:eastAsia="Verdana" w:cs="Verdana"/>
                <w:b/>
                <w:color w:val="000000"/>
                <w:sz w:val="2"/>
                <w:szCs w:val="20"/>
                <w:lang w:val="en-GB"/>
              </w:rPr>
            </w:pPr>
            <w:r w:rsidRPr="008E37BB">
              <w:rPr>
                <w:rFonts w:eastAsia="Verdana" w:cs="Verdana"/>
                <w:b/>
                <w:color w:val="000000"/>
                <w:sz w:val="2"/>
                <w:szCs w:val="20"/>
                <w:lang w:val="en-GB"/>
              </w:rPr>
              <w:t xml:space="preserve"> </w:t>
            </w:r>
          </w:p>
        </w:tc>
        <w:tc>
          <w:tcPr>
            <w:tcW w:w="2932" w:type="dxa"/>
            <w:tcBorders>
              <w:top w:val="single" w:sz="2" w:space="0" w:color="000000"/>
              <w:bottom w:val="single" w:sz="12" w:space="0" w:color="000000"/>
            </w:tcBorders>
            <w:shd w:val="clear" w:color="auto" w:fill="auto"/>
            <w:tcMar>
              <w:top w:w="20" w:type="dxa"/>
              <w:left w:w="20" w:type="dxa"/>
              <w:bottom w:w="20" w:type="dxa"/>
              <w:right w:w="20" w:type="dxa"/>
            </w:tcMar>
          </w:tcPr>
          <w:p w:rsidR="008E37BB" w:rsidRPr="008E37BB" w:rsidRDefault="008E37BB" w:rsidP="008E37BB">
            <w:pPr>
              <w:rPr>
                <w:rFonts w:eastAsia="Verdana" w:cs="Verdana"/>
                <w:b/>
                <w:color w:val="000000"/>
                <w:sz w:val="16"/>
                <w:szCs w:val="20"/>
                <w:lang w:val="en-GB"/>
              </w:rPr>
            </w:pPr>
            <w:r w:rsidRPr="008E37BB">
              <w:rPr>
                <w:rFonts w:eastAsia="Verdana" w:cs="Verdana"/>
                <w:b/>
                <w:color w:val="000000"/>
                <w:sz w:val="16"/>
                <w:szCs w:val="20"/>
                <w:lang w:val="en-GB"/>
              </w:rPr>
              <w:t>Total</w:t>
            </w:r>
          </w:p>
        </w:tc>
        <w:tc>
          <w:tcPr>
            <w:tcW w:w="1659" w:type="dxa"/>
            <w:tcBorders>
              <w:top w:val="single" w:sz="2" w:space="0" w:color="000000"/>
              <w:bottom w:val="single" w:sz="12" w:space="0" w:color="000000"/>
            </w:tcBorders>
          </w:tcPr>
          <w:p w:rsidR="008E37BB" w:rsidRPr="008E37BB" w:rsidRDefault="008E37BB">
            <w:pPr>
              <w:jc w:val="right"/>
              <w:rPr>
                <w:rFonts w:eastAsia="Verdana" w:cs="Verdana"/>
                <w:b/>
                <w:color w:val="000000"/>
                <w:sz w:val="16"/>
                <w:szCs w:val="20"/>
                <w:lang w:val="en-GB"/>
              </w:rPr>
            </w:pPr>
            <w:r w:rsidRPr="008E37BB">
              <w:rPr>
                <w:rFonts w:eastAsia="Verdana" w:cs="Verdana"/>
                <w:b/>
                <w:color w:val="000000"/>
                <w:sz w:val="16"/>
                <w:szCs w:val="20"/>
                <w:lang w:val="en-GB"/>
              </w:rPr>
              <w:t>2</w:t>
            </w:r>
            <w:r>
              <w:rPr>
                <w:rFonts w:eastAsia="Verdana" w:cs="Verdana"/>
                <w:b/>
                <w:color w:val="000000"/>
                <w:sz w:val="16"/>
                <w:szCs w:val="20"/>
                <w:lang w:val="en-GB"/>
              </w:rPr>
              <w:t>4</w:t>
            </w:r>
            <w:r w:rsidRPr="008E37BB">
              <w:rPr>
                <w:rFonts w:eastAsia="Verdana" w:cs="Verdana"/>
                <w:b/>
                <w:color w:val="000000"/>
                <w:sz w:val="16"/>
                <w:szCs w:val="20"/>
                <w:lang w:val="en-GB"/>
              </w:rPr>
              <w:t>,</w:t>
            </w:r>
            <w:r>
              <w:rPr>
                <w:rFonts w:eastAsia="Verdana" w:cs="Verdana"/>
                <w:b/>
                <w:color w:val="000000"/>
                <w:sz w:val="16"/>
                <w:szCs w:val="20"/>
                <w:lang w:val="en-GB"/>
              </w:rPr>
              <w:t>320</w:t>
            </w:r>
          </w:p>
        </w:tc>
        <w:tc>
          <w:tcPr>
            <w:tcW w:w="1659" w:type="dxa"/>
            <w:tcBorders>
              <w:top w:val="single" w:sz="2" w:space="0" w:color="000000"/>
              <w:bottom w:val="single" w:sz="12" w:space="0" w:color="000000"/>
            </w:tcBorders>
            <w:shd w:val="clear" w:color="auto" w:fill="auto"/>
            <w:tcMar>
              <w:top w:w="20" w:type="dxa"/>
              <w:left w:w="20" w:type="dxa"/>
              <w:bottom w:w="20" w:type="dxa"/>
              <w:right w:w="20" w:type="dxa"/>
            </w:tcMar>
          </w:tcPr>
          <w:p w:rsidR="008E37BB" w:rsidRPr="008E37BB" w:rsidRDefault="008E37BB">
            <w:pPr>
              <w:jc w:val="right"/>
              <w:rPr>
                <w:rFonts w:eastAsia="Verdana" w:cs="Verdana"/>
                <w:b/>
                <w:color w:val="000000"/>
                <w:sz w:val="16"/>
                <w:szCs w:val="20"/>
                <w:lang w:val="en-GB"/>
              </w:rPr>
            </w:pPr>
            <w:r w:rsidRPr="008E37BB">
              <w:rPr>
                <w:rFonts w:eastAsia="Verdana" w:cs="Verdana"/>
                <w:b/>
                <w:color w:val="000000"/>
                <w:sz w:val="16"/>
                <w:szCs w:val="20"/>
                <w:lang w:val="en-GB"/>
              </w:rPr>
              <w:t>2</w:t>
            </w:r>
            <w:r>
              <w:rPr>
                <w:rFonts w:eastAsia="Verdana" w:cs="Verdana"/>
                <w:b/>
                <w:color w:val="000000"/>
                <w:sz w:val="16"/>
                <w:szCs w:val="20"/>
                <w:lang w:val="en-GB"/>
              </w:rPr>
              <w:t>4</w:t>
            </w:r>
            <w:r w:rsidRPr="008E37BB">
              <w:rPr>
                <w:rFonts w:eastAsia="Verdana" w:cs="Verdana"/>
                <w:b/>
                <w:color w:val="000000"/>
                <w:sz w:val="16"/>
                <w:szCs w:val="20"/>
                <w:lang w:val="en-GB"/>
              </w:rPr>
              <w:t>,</w:t>
            </w:r>
            <w:r>
              <w:rPr>
                <w:rFonts w:eastAsia="Verdana" w:cs="Verdana"/>
                <w:b/>
                <w:color w:val="000000"/>
                <w:sz w:val="16"/>
                <w:szCs w:val="20"/>
                <w:lang w:val="en-GB"/>
              </w:rPr>
              <w:t>430</w:t>
            </w:r>
          </w:p>
        </w:tc>
      </w:tr>
    </w:tbl>
    <w:p w:rsidR="008E37BB" w:rsidRPr="008E37BB" w:rsidRDefault="008E37BB" w:rsidP="008E37BB">
      <w:pPr>
        <w:rPr>
          <w:rFonts w:eastAsia="Verdana" w:cs="Verdana"/>
          <w:szCs w:val="20"/>
          <w:lang w:val="en-GB"/>
        </w:rPr>
      </w:pPr>
    </w:p>
    <w:p w:rsidR="008E37BB" w:rsidRDefault="008E37BB">
      <w:pPr>
        <w:pStyle w:val="T1TableStyle"/>
        <w:rPr>
          <w:rFonts w:ascii="Verdana" w:eastAsia="Verdana" w:hAnsi="Verdana" w:cs="Verdana"/>
          <w:sz w:val="22"/>
          <w:lang w:val="en-GB"/>
        </w:rPr>
      </w:pPr>
    </w:p>
    <w:p w:rsidR="00A606DE" w:rsidRDefault="00A606DE" w:rsidP="00F32EC6">
      <w:pPr>
        <w:pStyle w:val="Normal0"/>
        <w:jc w:val="center"/>
        <w:rPr>
          <w:rFonts w:cs="Times New Roman"/>
        </w:rPr>
      </w:pPr>
    </w:p>
    <w:tbl>
      <w:tblPr>
        <w:tblW w:w="8300" w:type="dxa"/>
        <w:jc w:val="center"/>
        <w:tblLook w:val="04A0" w:firstRow="1" w:lastRow="0" w:firstColumn="1" w:lastColumn="0" w:noHBand="0" w:noVBand="1"/>
      </w:tblPr>
      <w:tblGrid>
        <w:gridCol w:w="2120"/>
        <w:gridCol w:w="4000"/>
        <w:gridCol w:w="2180"/>
      </w:tblGrid>
      <w:tr w:rsidR="00A606DE" w:rsidRPr="00A606DE" w:rsidTr="00A200D5">
        <w:trPr>
          <w:trHeight w:val="300"/>
          <w:jc w:val="center"/>
        </w:trPr>
        <w:tc>
          <w:tcPr>
            <w:tcW w:w="2120" w:type="dxa"/>
            <w:tcBorders>
              <w:top w:val="nil"/>
              <w:left w:val="nil"/>
              <w:bottom w:val="single" w:sz="4" w:space="0" w:color="auto"/>
              <w:right w:val="nil"/>
            </w:tcBorders>
            <w:shd w:val="clear" w:color="000000" w:fill="FFFFFF"/>
            <w:vAlign w:val="center"/>
            <w:hideMark/>
          </w:tcPr>
          <w:p w:rsidR="00A606DE" w:rsidRPr="00A606DE" w:rsidRDefault="00A606DE" w:rsidP="00A606DE">
            <w:pPr>
              <w:jc w:val="cente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2018/19 £000's</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jc w:val="cente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Category</w:t>
            </w:r>
          </w:p>
        </w:tc>
        <w:tc>
          <w:tcPr>
            <w:tcW w:w="2180" w:type="dxa"/>
            <w:tcBorders>
              <w:top w:val="nil"/>
              <w:left w:val="nil"/>
              <w:bottom w:val="single" w:sz="4" w:space="0" w:color="auto"/>
              <w:right w:val="nil"/>
            </w:tcBorders>
            <w:shd w:val="clear" w:color="000000" w:fill="FFFFFF"/>
            <w:vAlign w:val="center"/>
            <w:hideMark/>
          </w:tcPr>
          <w:p w:rsidR="00A606DE" w:rsidRPr="00A606DE" w:rsidRDefault="00A606DE" w:rsidP="00A606DE">
            <w:pPr>
              <w:jc w:val="cente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2019/20 £000's</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w:t>
            </w:r>
          </w:p>
        </w:tc>
        <w:tc>
          <w:tcPr>
            <w:tcW w:w="4000" w:type="dxa"/>
            <w:tcBorders>
              <w:top w:val="single" w:sz="4" w:space="0" w:color="auto"/>
              <w:left w:val="nil"/>
              <w:bottom w:val="nil"/>
              <w:right w:val="nil"/>
            </w:tcBorders>
            <w:shd w:val="clear" w:color="000000" w:fill="FFFFFF"/>
            <w:noWrap/>
            <w:vAlign w:val="center"/>
            <w:hideMark/>
          </w:tcPr>
          <w:p w:rsidR="00A606DE" w:rsidRPr="00A606DE" w:rsidRDefault="00A606DE" w:rsidP="00A606DE">
            <w:pP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Analysis of Other Receivable Amounts:</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2,220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Collaboration</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889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2,317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Council Tax Debtors</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2,553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413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Forfeiture Monies</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17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Insurance/Legal/Property</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623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Other</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987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639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Partnership Monies</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428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5,962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Payroll/Pension</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8,293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447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Secondments</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780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1,203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VAT</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2,536 </w:t>
            </w:r>
          </w:p>
        </w:tc>
      </w:tr>
      <w:tr w:rsidR="00A606DE" w:rsidRPr="00A606DE" w:rsidTr="00A200D5">
        <w:trPr>
          <w:trHeight w:val="315"/>
          <w:jc w:val="center"/>
        </w:trPr>
        <w:tc>
          <w:tcPr>
            <w:tcW w:w="2120" w:type="dxa"/>
            <w:tcBorders>
              <w:top w:val="single" w:sz="4" w:space="0" w:color="auto"/>
              <w:left w:val="nil"/>
              <w:bottom w:val="single" w:sz="8" w:space="0" w:color="auto"/>
              <w:right w:val="nil"/>
            </w:tcBorders>
            <w:shd w:val="clear" w:color="000000" w:fill="FFFFFF"/>
            <w:noWrap/>
            <w:vAlign w:val="center"/>
            <w:hideMark/>
          </w:tcPr>
          <w:p w:rsidR="00A606DE" w:rsidRPr="00A606DE" w:rsidRDefault="00A606DE" w:rsidP="00A606DE">
            <w:pP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 xml:space="preserve">                      13,841 </w:t>
            </w:r>
          </w:p>
        </w:tc>
        <w:tc>
          <w:tcPr>
            <w:tcW w:w="4000" w:type="dxa"/>
            <w:tcBorders>
              <w:top w:val="single" w:sz="4" w:space="0" w:color="auto"/>
              <w:left w:val="nil"/>
              <w:bottom w:val="single" w:sz="8" w:space="0" w:color="auto"/>
              <w:right w:val="nil"/>
            </w:tcBorders>
            <w:shd w:val="clear" w:color="000000" w:fill="FFFFFF"/>
            <w:noWrap/>
            <w:vAlign w:val="center"/>
            <w:hideMark/>
          </w:tcPr>
          <w:p w:rsidR="00A606DE" w:rsidRPr="00A606DE" w:rsidRDefault="00A606DE" w:rsidP="00A606DE">
            <w:pP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Total Other Receivable Amounts</w:t>
            </w:r>
          </w:p>
        </w:tc>
        <w:tc>
          <w:tcPr>
            <w:tcW w:w="2180" w:type="dxa"/>
            <w:tcBorders>
              <w:top w:val="single" w:sz="4" w:space="0" w:color="auto"/>
              <w:left w:val="nil"/>
              <w:bottom w:val="single" w:sz="8" w:space="0" w:color="auto"/>
              <w:right w:val="nil"/>
            </w:tcBorders>
            <w:shd w:val="clear" w:color="000000" w:fill="FFFFFF"/>
            <w:noWrap/>
            <w:vAlign w:val="center"/>
            <w:hideMark/>
          </w:tcPr>
          <w:p w:rsidR="00A606DE" w:rsidRPr="00A606DE" w:rsidRDefault="00A606DE" w:rsidP="00A606DE">
            <w:pP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 xml:space="preserve">                       16,466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Analysis of Prepayment Amounts:</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1,267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Estates</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2,081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948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Insurance/Legal/Property</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937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1,163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Other</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732 </w:t>
            </w:r>
          </w:p>
        </w:tc>
      </w:tr>
      <w:tr w:rsidR="00A606DE" w:rsidRPr="00A606DE" w:rsidTr="00A200D5">
        <w:trPr>
          <w:trHeight w:val="300"/>
          <w:jc w:val="center"/>
        </w:trPr>
        <w:tc>
          <w:tcPr>
            <w:tcW w:w="212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3,340 </w:t>
            </w:r>
          </w:p>
        </w:tc>
        <w:tc>
          <w:tcPr>
            <w:tcW w:w="400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Payroll/Pension</w:t>
            </w:r>
          </w:p>
        </w:tc>
        <w:tc>
          <w:tcPr>
            <w:tcW w:w="2180" w:type="dxa"/>
            <w:tcBorders>
              <w:top w:val="nil"/>
              <w:left w:val="nil"/>
              <w:bottom w:val="nil"/>
              <w:right w:val="nil"/>
            </w:tcBorders>
            <w:shd w:val="clear" w:color="000000" w:fill="FFFFFF"/>
            <w:noWrap/>
            <w:vAlign w:val="center"/>
            <w:hideMark/>
          </w:tcPr>
          <w:p w:rsidR="00A606DE" w:rsidRPr="00A606DE" w:rsidRDefault="00A606DE" w:rsidP="00A606DE">
            <w:pPr>
              <w:rPr>
                <w:rFonts w:eastAsia="Times New Roman" w:cs="Times New Roman"/>
                <w:color w:val="000000"/>
                <w:sz w:val="16"/>
                <w:szCs w:val="16"/>
                <w:lang w:val="en-GB" w:eastAsia="en-GB"/>
              </w:rPr>
            </w:pPr>
            <w:r w:rsidRPr="00A606DE">
              <w:rPr>
                <w:rFonts w:eastAsia="Times New Roman" w:cs="Times New Roman"/>
                <w:color w:val="000000"/>
                <w:sz w:val="16"/>
                <w:szCs w:val="16"/>
                <w:lang w:val="en-GB" w:eastAsia="en-GB"/>
              </w:rPr>
              <w:t xml:space="preserve">                          3,463 </w:t>
            </w:r>
          </w:p>
        </w:tc>
      </w:tr>
      <w:tr w:rsidR="00A606DE" w:rsidRPr="00A606DE" w:rsidTr="00A200D5">
        <w:trPr>
          <w:trHeight w:val="315"/>
          <w:jc w:val="center"/>
        </w:trPr>
        <w:tc>
          <w:tcPr>
            <w:tcW w:w="2120" w:type="dxa"/>
            <w:tcBorders>
              <w:top w:val="single" w:sz="4" w:space="0" w:color="auto"/>
              <w:left w:val="nil"/>
              <w:bottom w:val="single" w:sz="8" w:space="0" w:color="auto"/>
              <w:right w:val="nil"/>
            </w:tcBorders>
            <w:shd w:val="clear" w:color="000000" w:fill="FFFFFF"/>
            <w:noWrap/>
            <w:vAlign w:val="center"/>
            <w:hideMark/>
          </w:tcPr>
          <w:p w:rsidR="00A606DE" w:rsidRPr="00A606DE" w:rsidRDefault="00A606DE" w:rsidP="00A606DE">
            <w:pP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 xml:space="preserve">                        6,718 </w:t>
            </w:r>
          </w:p>
        </w:tc>
        <w:tc>
          <w:tcPr>
            <w:tcW w:w="4000" w:type="dxa"/>
            <w:tcBorders>
              <w:top w:val="single" w:sz="4" w:space="0" w:color="auto"/>
              <w:left w:val="nil"/>
              <w:bottom w:val="single" w:sz="8" w:space="0" w:color="auto"/>
              <w:right w:val="nil"/>
            </w:tcBorders>
            <w:shd w:val="clear" w:color="000000" w:fill="FFFFFF"/>
            <w:noWrap/>
            <w:vAlign w:val="center"/>
            <w:hideMark/>
          </w:tcPr>
          <w:p w:rsidR="00A606DE" w:rsidRPr="00A606DE" w:rsidRDefault="00A606DE" w:rsidP="00A606DE">
            <w:pP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Total Prepayments</w:t>
            </w:r>
          </w:p>
        </w:tc>
        <w:tc>
          <w:tcPr>
            <w:tcW w:w="2180" w:type="dxa"/>
            <w:tcBorders>
              <w:top w:val="single" w:sz="4" w:space="0" w:color="auto"/>
              <w:left w:val="nil"/>
              <w:bottom w:val="single" w:sz="8" w:space="0" w:color="auto"/>
              <w:right w:val="nil"/>
            </w:tcBorders>
            <w:shd w:val="clear" w:color="000000" w:fill="FFFFFF"/>
            <w:noWrap/>
            <w:vAlign w:val="center"/>
            <w:hideMark/>
          </w:tcPr>
          <w:p w:rsidR="00A606DE" w:rsidRPr="00A606DE" w:rsidRDefault="00A606DE" w:rsidP="00A606DE">
            <w:pPr>
              <w:rPr>
                <w:rFonts w:eastAsia="Times New Roman" w:cs="Times New Roman"/>
                <w:b/>
                <w:bCs/>
                <w:color w:val="000000"/>
                <w:sz w:val="16"/>
                <w:szCs w:val="16"/>
                <w:lang w:val="en-GB" w:eastAsia="en-GB"/>
              </w:rPr>
            </w:pPr>
            <w:r w:rsidRPr="00A606DE">
              <w:rPr>
                <w:rFonts w:eastAsia="Times New Roman" w:cs="Times New Roman"/>
                <w:b/>
                <w:bCs/>
                <w:color w:val="000000"/>
                <w:sz w:val="16"/>
                <w:szCs w:val="16"/>
                <w:lang w:val="en-GB" w:eastAsia="en-GB"/>
              </w:rPr>
              <w:t xml:space="preserve">                         7,213 </w:t>
            </w:r>
          </w:p>
        </w:tc>
      </w:tr>
    </w:tbl>
    <w:p w:rsidR="00CA6653" w:rsidRDefault="00CA6653" w:rsidP="00F32EC6">
      <w:pPr>
        <w:pStyle w:val="Normal0"/>
        <w:jc w:val="center"/>
        <w:rPr>
          <w:rFonts w:cs="Times New Roman"/>
        </w:rPr>
      </w:pPr>
    </w:p>
    <w:p w:rsidR="00CA3B69" w:rsidRDefault="00CA3B69" w:rsidP="00A31A9E">
      <w:pPr>
        <w:pStyle w:val="Heading1"/>
      </w:pPr>
    </w:p>
    <w:p w:rsidR="00CA6653" w:rsidRDefault="00CA6653" w:rsidP="00A31A9E">
      <w:pPr>
        <w:pStyle w:val="Heading1"/>
      </w:pPr>
      <w:bookmarkStart w:id="25" w:name="_Toc55900416"/>
      <w:r w:rsidRPr="0034401D">
        <w:t>Note 14 - Cash and Cash Equivalents</w:t>
      </w:r>
      <w:bookmarkEnd w:id="25"/>
      <w:r w:rsidRPr="0034401D">
        <w:t xml:space="preserve"> </w:t>
      </w:r>
    </w:p>
    <w:p w:rsidR="00CA6653" w:rsidRPr="00BC469E" w:rsidRDefault="00CA6653" w:rsidP="00CA6653">
      <w:pPr>
        <w:pStyle w:val="Normal0"/>
        <w:spacing w:after="160" w:line="259" w:lineRule="auto"/>
        <w:rPr>
          <w:rFonts w:ascii="Verdana" w:hAnsi="Verdana"/>
          <w:sz w:val="22"/>
          <w:szCs w:val="22"/>
          <w:lang w:val="en-GB"/>
        </w:rPr>
      </w:pPr>
      <w:r w:rsidRPr="006262F5">
        <w:rPr>
          <w:rFonts w:ascii="Verdana" w:hAnsi="Verdana"/>
          <w:sz w:val="22"/>
          <w:szCs w:val="22"/>
          <w:lang w:val="en-GB"/>
        </w:rPr>
        <w:t xml:space="preserve">The balance of Cash and Cash Equivalents is made up of the following elements: </w:t>
      </w:r>
    </w:p>
    <w:tbl>
      <w:tblPr>
        <w:tblW w:w="0" w:type="auto"/>
        <w:jc w:val="center"/>
        <w:tblLayout w:type="fixed"/>
        <w:tblLook w:val="04A0" w:firstRow="1" w:lastRow="0" w:firstColumn="1" w:lastColumn="0" w:noHBand="0" w:noVBand="1"/>
      </w:tblPr>
      <w:tblGrid>
        <w:gridCol w:w="1418"/>
        <w:gridCol w:w="180"/>
        <w:gridCol w:w="3105"/>
        <w:gridCol w:w="1534"/>
      </w:tblGrid>
      <w:tr w:rsidR="004D417B" w:rsidTr="00F32EC6">
        <w:trPr>
          <w:trHeight w:val="300"/>
          <w:jc w:val="center"/>
        </w:trPr>
        <w:tc>
          <w:tcPr>
            <w:tcW w:w="1418"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10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534"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F32EC6">
        <w:trPr>
          <w:trHeight w:val="300"/>
          <w:jc w:val="center"/>
        </w:trPr>
        <w:tc>
          <w:tcPr>
            <w:tcW w:w="1418"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10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534"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F32EC6">
        <w:trPr>
          <w:trHeight w:val="300"/>
          <w:jc w:val="center"/>
        </w:trPr>
        <w:tc>
          <w:tcPr>
            <w:tcW w:w="1418"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742</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10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Cash and Bank balances</w:t>
            </w:r>
          </w:p>
        </w:tc>
        <w:tc>
          <w:tcPr>
            <w:tcW w:w="1534"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(5,023)</w:t>
            </w:r>
          </w:p>
        </w:tc>
      </w:tr>
      <w:tr w:rsidR="004D417B" w:rsidTr="00F32EC6">
        <w:trPr>
          <w:trHeight w:val="300"/>
          <w:jc w:val="center"/>
        </w:trPr>
        <w:tc>
          <w:tcPr>
            <w:tcW w:w="1418"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13,734</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10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Short Term Investments </w:t>
            </w:r>
          </w:p>
        </w:tc>
        <w:tc>
          <w:tcPr>
            <w:tcW w:w="1534"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17,431</w:t>
            </w:r>
          </w:p>
        </w:tc>
      </w:tr>
      <w:tr w:rsidR="004D417B" w:rsidTr="00F32EC6">
        <w:trPr>
          <w:trHeight w:val="300"/>
          <w:jc w:val="center"/>
        </w:trPr>
        <w:tc>
          <w:tcPr>
            <w:tcW w:w="1418"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14,476</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10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Cash and Cash Equivalents</w:t>
            </w:r>
          </w:p>
        </w:tc>
        <w:tc>
          <w:tcPr>
            <w:tcW w:w="1534"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12,408</w:t>
            </w:r>
          </w:p>
        </w:tc>
      </w:tr>
    </w:tbl>
    <w:p w:rsidR="00CA6653" w:rsidRDefault="00CA6653">
      <w:pPr>
        <w:pStyle w:val="T1TableStyle"/>
        <w:rPr>
          <w:lang w:val="en-GB"/>
        </w:rPr>
      </w:pPr>
    </w:p>
    <w:p w:rsidR="00CA6653" w:rsidRDefault="00CA6653" w:rsidP="00CA3B69">
      <w:pPr>
        <w:pStyle w:val="Normal0"/>
        <w:spacing w:after="160" w:line="259" w:lineRule="auto"/>
        <w:jc w:val="both"/>
        <w:rPr>
          <w:rFonts w:ascii="Verdana" w:hAnsi="Verdana"/>
          <w:sz w:val="22"/>
          <w:szCs w:val="22"/>
          <w:lang w:val="en-GB"/>
        </w:rPr>
      </w:pPr>
      <w:r w:rsidRPr="00BC469E">
        <w:rPr>
          <w:rFonts w:ascii="Verdana" w:hAnsi="Verdana"/>
          <w:sz w:val="22"/>
          <w:szCs w:val="22"/>
          <w:lang w:val="en-GB"/>
        </w:rPr>
        <w:t>The Group’s treasury management function is carried out in conjunction with Surrey County Council. Daily transfers of cash are made between the PCC and Surrey County Council in the form of loans.</w:t>
      </w:r>
    </w:p>
    <w:p w:rsidR="009439C7" w:rsidRDefault="009439C7">
      <w:pPr>
        <w:rPr>
          <w:rFonts w:asciiTheme="majorHAnsi" w:eastAsiaTheme="majorEastAsia" w:hAnsiTheme="majorHAnsi" w:cstheme="majorBidi"/>
          <w:color w:val="2E74B5" w:themeColor="accent1" w:themeShade="BF"/>
          <w:sz w:val="32"/>
          <w:szCs w:val="32"/>
          <w:lang w:val="pt-BR"/>
        </w:rPr>
      </w:pPr>
    </w:p>
    <w:p w:rsidR="00CA6653" w:rsidRPr="00322FBD" w:rsidRDefault="00CA6653" w:rsidP="00A31A9E">
      <w:pPr>
        <w:pStyle w:val="Heading1"/>
      </w:pPr>
      <w:bookmarkStart w:id="26" w:name="_Toc55900417"/>
      <w:r w:rsidRPr="00322FBD">
        <w:t>Note 15 - Assets Held for Sale</w:t>
      </w:r>
      <w:bookmarkEnd w:id="26"/>
    </w:p>
    <w:p w:rsidR="008B5874" w:rsidRPr="00322FBD" w:rsidRDefault="008B5874" w:rsidP="00A200D5">
      <w:pPr>
        <w:pStyle w:val="Normal0"/>
        <w:spacing w:after="160" w:line="259" w:lineRule="auto"/>
        <w:jc w:val="both"/>
        <w:rPr>
          <w:rFonts w:ascii="Verdana" w:hAnsi="Verdana"/>
          <w:sz w:val="22"/>
          <w:szCs w:val="22"/>
          <w:lang w:val="pt-BR"/>
        </w:rPr>
      </w:pPr>
      <w:r w:rsidRPr="008B5874">
        <w:rPr>
          <w:rFonts w:ascii="Verdana" w:eastAsia="Calibri" w:hAnsi="Verdana" w:cs="Arial"/>
          <w:sz w:val="22"/>
          <w:szCs w:val="22"/>
          <w:lang w:val="pt-BR"/>
        </w:rPr>
        <w:t>During the year, 3 properties (2 police houses and 1 pl</w:t>
      </w:r>
      <w:r w:rsidR="00BE3EC3">
        <w:rPr>
          <w:rFonts w:ascii="Verdana" w:eastAsia="Calibri" w:hAnsi="Verdana" w:cs="Arial"/>
          <w:sz w:val="22"/>
          <w:szCs w:val="22"/>
          <w:lang w:val="pt-BR"/>
        </w:rPr>
        <w:t>ot of land</w:t>
      </w:r>
      <w:r w:rsidRPr="008B5874">
        <w:rPr>
          <w:rFonts w:ascii="Verdana" w:eastAsia="Calibri" w:hAnsi="Verdana" w:cs="Arial"/>
          <w:sz w:val="22"/>
          <w:szCs w:val="22"/>
          <w:lang w:val="pt-BR"/>
        </w:rPr>
        <w:t>) were reclassified as asset held for sale. The following table summarises the transfer of the 3 properties reclassified as asset held for sale as of 31 March 2020:</w:t>
      </w:r>
      <w:r>
        <w:rPr>
          <w:rFonts w:ascii="Verdana" w:eastAsia="Calibri" w:hAnsi="Verdana" w:cs="Arial"/>
          <w:sz w:val="22"/>
          <w:szCs w:val="22"/>
          <w:lang w:val="pt-BR"/>
        </w:rPr>
        <w:t xml:space="preserve">    </w:t>
      </w:r>
    </w:p>
    <w:tbl>
      <w:tblPr>
        <w:tblW w:w="0" w:type="auto"/>
        <w:jc w:val="center"/>
        <w:tblLayout w:type="fixed"/>
        <w:tblLook w:val="04A0" w:firstRow="1" w:lastRow="0" w:firstColumn="1" w:lastColumn="0" w:noHBand="0" w:noVBand="1"/>
      </w:tblPr>
      <w:tblGrid>
        <w:gridCol w:w="1560"/>
        <w:gridCol w:w="3750"/>
        <w:gridCol w:w="1494"/>
      </w:tblGrid>
      <w:tr w:rsidR="004D417B" w:rsidRPr="00322FBD" w:rsidTr="00A200D5">
        <w:trPr>
          <w:trHeight w:val="52"/>
          <w:jc w:val="center"/>
        </w:trPr>
        <w:tc>
          <w:tcPr>
            <w:tcW w:w="1560" w:type="dxa"/>
            <w:shd w:val="clear" w:color="auto" w:fill="auto"/>
            <w:tcMar>
              <w:top w:w="20" w:type="dxa"/>
              <w:left w:w="20" w:type="dxa"/>
              <w:bottom w:w="20" w:type="dxa"/>
              <w:right w:w="20" w:type="dxa"/>
            </w:tcMar>
            <w:vAlign w:val="bottom"/>
          </w:tcPr>
          <w:p w:rsidR="004D417B" w:rsidRPr="00322FBD" w:rsidRDefault="00CA6653" w:rsidP="00CA6653">
            <w:pPr>
              <w:pStyle w:val="T1TableStyle"/>
              <w:jc w:val="center"/>
              <w:rPr>
                <w:rFonts w:ascii="Verdana" w:eastAsia="Verdana" w:hAnsi="Verdana" w:cs="Verdana"/>
                <w:b/>
                <w:color w:val="000000"/>
                <w:sz w:val="16"/>
                <w:szCs w:val="22"/>
                <w:lang w:val="pt-BR"/>
              </w:rPr>
            </w:pPr>
            <w:r w:rsidRPr="00322FBD">
              <w:rPr>
                <w:rFonts w:ascii="Verdana" w:eastAsia="Verdana" w:hAnsi="Verdana" w:cs="Verdana"/>
                <w:b/>
                <w:color w:val="000000"/>
                <w:sz w:val="16"/>
                <w:szCs w:val="22"/>
                <w:lang w:val="pt-BR"/>
              </w:rPr>
              <w:t>Current</w:t>
            </w:r>
          </w:p>
        </w:tc>
        <w:tc>
          <w:tcPr>
            <w:tcW w:w="3750" w:type="dxa"/>
            <w:shd w:val="clear" w:color="auto" w:fill="auto"/>
            <w:tcMar>
              <w:top w:w="20" w:type="dxa"/>
              <w:left w:w="20" w:type="dxa"/>
              <w:bottom w:w="20" w:type="dxa"/>
              <w:right w:w="20" w:type="dxa"/>
            </w:tcMar>
            <w:vAlign w:val="bottom"/>
          </w:tcPr>
          <w:p w:rsidR="004D417B" w:rsidRPr="00322FBD" w:rsidRDefault="00CA6653" w:rsidP="00CA6653">
            <w:pPr>
              <w:pStyle w:val="T1TableStyle"/>
              <w:jc w:val="center"/>
              <w:rPr>
                <w:rFonts w:ascii="Verdana" w:eastAsia="Verdana" w:hAnsi="Verdana" w:cs="Verdana"/>
                <w:color w:val="000000"/>
                <w:sz w:val="2"/>
                <w:szCs w:val="22"/>
                <w:lang w:val="pt-BR"/>
              </w:rPr>
            </w:pPr>
            <w:r w:rsidRPr="00322FBD">
              <w:rPr>
                <w:rFonts w:ascii="Verdana" w:eastAsia="Verdana" w:hAnsi="Verdana" w:cs="Verdana"/>
                <w:color w:val="000000"/>
                <w:sz w:val="2"/>
                <w:szCs w:val="22"/>
                <w:lang w:val="pt-BR"/>
              </w:rPr>
              <w:t xml:space="preserve"> </w:t>
            </w:r>
          </w:p>
        </w:tc>
        <w:tc>
          <w:tcPr>
            <w:tcW w:w="1494" w:type="dxa"/>
            <w:shd w:val="clear" w:color="auto" w:fill="auto"/>
            <w:tcMar>
              <w:top w:w="20" w:type="dxa"/>
              <w:left w:w="20" w:type="dxa"/>
              <w:bottom w:w="20" w:type="dxa"/>
              <w:right w:w="20" w:type="dxa"/>
            </w:tcMar>
            <w:vAlign w:val="bottom"/>
          </w:tcPr>
          <w:p w:rsidR="004D417B" w:rsidRPr="00322FBD" w:rsidRDefault="00CA6653" w:rsidP="00CA6653">
            <w:pPr>
              <w:pStyle w:val="T1TableStyle"/>
              <w:jc w:val="center"/>
              <w:rPr>
                <w:rFonts w:ascii="Verdana" w:eastAsia="Verdana" w:hAnsi="Verdana" w:cs="Verdana"/>
                <w:b/>
                <w:color w:val="000000"/>
                <w:sz w:val="16"/>
                <w:szCs w:val="22"/>
                <w:lang w:val="pt-BR"/>
              </w:rPr>
            </w:pPr>
            <w:r w:rsidRPr="00322FBD">
              <w:rPr>
                <w:rFonts w:ascii="Verdana" w:eastAsia="Verdana" w:hAnsi="Verdana" w:cs="Verdana"/>
                <w:b/>
                <w:color w:val="000000"/>
                <w:sz w:val="16"/>
                <w:szCs w:val="22"/>
                <w:lang w:val="pt-BR"/>
              </w:rPr>
              <w:t>Current</w:t>
            </w:r>
          </w:p>
        </w:tc>
      </w:tr>
      <w:tr w:rsidR="004D417B" w:rsidRPr="00322FBD" w:rsidTr="00F32EC6">
        <w:trPr>
          <w:trHeight w:val="600"/>
          <w:jc w:val="center"/>
        </w:trPr>
        <w:tc>
          <w:tcPr>
            <w:tcW w:w="1560" w:type="dxa"/>
            <w:shd w:val="clear" w:color="auto" w:fill="auto"/>
            <w:tcMar>
              <w:top w:w="20" w:type="dxa"/>
              <w:left w:w="20" w:type="dxa"/>
              <w:bottom w:w="20" w:type="dxa"/>
              <w:right w:w="20" w:type="dxa"/>
            </w:tcMar>
            <w:vAlign w:val="bottom"/>
          </w:tcPr>
          <w:p w:rsidR="004D417B" w:rsidRPr="00322FBD" w:rsidRDefault="00CA6653" w:rsidP="00CA6653">
            <w:pPr>
              <w:pStyle w:val="T1TableStyle"/>
              <w:jc w:val="center"/>
              <w:rPr>
                <w:rFonts w:ascii="Verdana" w:eastAsia="Verdana" w:hAnsi="Verdana" w:cs="Verdana"/>
                <w:b/>
                <w:color w:val="000000"/>
                <w:sz w:val="16"/>
                <w:szCs w:val="22"/>
                <w:lang w:val="pt-BR"/>
              </w:rPr>
            </w:pPr>
            <w:r w:rsidRPr="00322FBD">
              <w:rPr>
                <w:rFonts w:ascii="Verdana" w:eastAsia="Verdana" w:hAnsi="Verdana" w:cs="Verdana"/>
                <w:b/>
                <w:color w:val="000000"/>
                <w:sz w:val="16"/>
                <w:szCs w:val="22"/>
                <w:lang w:val="pt-BR"/>
              </w:rPr>
              <w:t>31 March 2019</w:t>
            </w:r>
          </w:p>
        </w:tc>
        <w:tc>
          <w:tcPr>
            <w:tcW w:w="3750" w:type="dxa"/>
            <w:shd w:val="clear" w:color="auto" w:fill="auto"/>
            <w:tcMar>
              <w:top w:w="20" w:type="dxa"/>
              <w:left w:w="20" w:type="dxa"/>
              <w:bottom w:w="20" w:type="dxa"/>
              <w:right w:w="20" w:type="dxa"/>
            </w:tcMar>
            <w:vAlign w:val="bottom"/>
          </w:tcPr>
          <w:p w:rsidR="004D417B" w:rsidRPr="00322FBD" w:rsidRDefault="00CA6653" w:rsidP="00CA6653">
            <w:pPr>
              <w:pStyle w:val="T1TableStyle"/>
              <w:jc w:val="center"/>
              <w:rPr>
                <w:rFonts w:ascii="Verdana" w:eastAsia="Verdana" w:hAnsi="Verdana" w:cs="Verdana"/>
                <w:b/>
                <w:color w:val="000000"/>
                <w:sz w:val="2"/>
                <w:szCs w:val="22"/>
                <w:lang w:val="pt-BR"/>
              </w:rPr>
            </w:pPr>
            <w:r w:rsidRPr="00322FBD">
              <w:rPr>
                <w:rFonts w:ascii="Verdana" w:eastAsia="Verdana" w:hAnsi="Verdana" w:cs="Verdana"/>
                <w:b/>
                <w:color w:val="000000"/>
                <w:sz w:val="2"/>
                <w:szCs w:val="22"/>
                <w:lang w:val="pt-BR"/>
              </w:rPr>
              <w:t xml:space="preserve"> </w:t>
            </w:r>
          </w:p>
        </w:tc>
        <w:tc>
          <w:tcPr>
            <w:tcW w:w="1494" w:type="dxa"/>
            <w:shd w:val="clear" w:color="auto" w:fill="auto"/>
            <w:tcMar>
              <w:top w:w="20" w:type="dxa"/>
              <w:left w:w="20" w:type="dxa"/>
              <w:bottom w:w="20" w:type="dxa"/>
              <w:right w:w="20" w:type="dxa"/>
            </w:tcMar>
            <w:vAlign w:val="bottom"/>
          </w:tcPr>
          <w:p w:rsidR="004D417B" w:rsidRPr="00322FBD" w:rsidRDefault="00CA6653" w:rsidP="00CA6653">
            <w:pPr>
              <w:pStyle w:val="T1TableStyle"/>
              <w:jc w:val="center"/>
              <w:rPr>
                <w:rFonts w:ascii="Verdana" w:eastAsia="Verdana" w:hAnsi="Verdana" w:cs="Verdana"/>
                <w:b/>
                <w:color w:val="000000"/>
                <w:sz w:val="16"/>
                <w:szCs w:val="22"/>
                <w:lang w:val="pt-BR"/>
              </w:rPr>
            </w:pPr>
            <w:r w:rsidRPr="00322FBD">
              <w:rPr>
                <w:rFonts w:ascii="Verdana" w:eastAsia="Verdana" w:hAnsi="Verdana" w:cs="Verdana"/>
                <w:b/>
                <w:color w:val="000000"/>
                <w:sz w:val="16"/>
                <w:szCs w:val="22"/>
                <w:lang w:val="pt-BR"/>
              </w:rPr>
              <w:t>31 March 2020</w:t>
            </w:r>
          </w:p>
        </w:tc>
      </w:tr>
      <w:tr w:rsidR="004D417B" w:rsidRPr="00322FBD" w:rsidTr="00F32EC6">
        <w:trPr>
          <w:trHeight w:val="300"/>
          <w:jc w:val="center"/>
        </w:trPr>
        <w:tc>
          <w:tcPr>
            <w:tcW w:w="1560" w:type="dxa"/>
            <w:tcBorders>
              <w:bottom w:val="single" w:sz="2" w:space="0" w:color="000000"/>
            </w:tcBorders>
            <w:shd w:val="clear" w:color="auto" w:fill="auto"/>
            <w:tcMar>
              <w:top w:w="20" w:type="dxa"/>
              <w:left w:w="20" w:type="dxa"/>
              <w:bottom w:w="20" w:type="dxa"/>
              <w:right w:w="20" w:type="dxa"/>
            </w:tcMar>
          </w:tcPr>
          <w:p w:rsidR="004D417B" w:rsidRPr="00322FBD" w:rsidRDefault="00CA6653" w:rsidP="00CA6653">
            <w:pPr>
              <w:pStyle w:val="T1TableStyle"/>
              <w:jc w:val="right"/>
              <w:rPr>
                <w:rFonts w:ascii="Verdana" w:eastAsia="Verdana" w:hAnsi="Verdana" w:cs="Verdana"/>
                <w:b/>
                <w:color w:val="000000"/>
                <w:sz w:val="16"/>
                <w:szCs w:val="22"/>
                <w:lang w:val="pt-BR"/>
              </w:rPr>
            </w:pPr>
            <w:r w:rsidRPr="00322FBD">
              <w:rPr>
                <w:rFonts w:ascii="Verdana" w:eastAsia="Verdana" w:hAnsi="Verdana" w:cs="Verdana"/>
                <w:b/>
                <w:color w:val="000000"/>
                <w:sz w:val="16"/>
                <w:szCs w:val="22"/>
                <w:lang w:val="pt-BR"/>
              </w:rPr>
              <w:t>£000</w:t>
            </w:r>
          </w:p>
        </w:tc>
        <w:tc>
          <w:tcPr>
            <w:tcW w:w="3750" w:type="dxa"/>
            <w:tcBorders>
              <w:bottom w:val="single" w:sz="2" w:space="0" w:color="000000"/>
            </w:tcBorders>
            <w:shd w:val="clear" w:color="auto" w:fill="auto"/>
            <w:tcMar>
              <w:top w:w="20" w:type="dxa"/>
              <w:left w:w="20" w:type="dxa"/>
              <w:bottom w:w="20" w:type="dxa"/>
              <w:right w:w="20" w:type="dxa"/>
            </w:tcMar>
          </w:tcPr>
          <w:p w:rsidR="004D417B" w:rsidRPr="00322FBD" w:rsidRDefault="00CA6653" w:rsidP="00CA6653">
            <w:pPr>
              <w:pStyle w:val="T1TableStyle"/>
              <w:jc w:val="right"/>
              <w:rPr>
                <w:rFonts w:ascii="Verdana" w:eastAsia="Verdana" w:hAnsi="Verdana" w:cs="Verdana"/>
                <w:b/>
                <w:color w:val="000000"/>
                <w:sz w:val="2"/>
                <w:szCs w:val="22"/>
                <w:lang w:val="pt-BR"/>
              </w:rPr>
            </w:pPr>
            <w:r w:rsidRPr="00322FBD">
              <w:rPr>
                <w:rFonts w:ascii="Verdana" w:eastAsia="Verdana" w:hAnsi="Verdana" w:cs="Verdana"/>
                <w:b/>
                <w:color w:val="000000"/>
                <w:sz w:val="2"/>
                <w:szCs w:val="22"/>
                <w:lang w:val="pt-BR"/>
              </w:rPr>
              <w:t xml:space="preserve"> </w:t>
            </w:r>
          </w:p>
        </w:tc>
        <w:tc>
          <w:tcPr>
            <w:tcW w:w="1494" w:type="dxa"/>
            <w:tcBorders>
              <w:bottom w:val="single" w:sz="2" w:space="0" w:color="000000"/>
            </w:tcBorders>
            <w:shd w:val="clear" w:color="auto" w:fill="auto"/>
            <w:tcMar>
              <w:top w:w="20" w:type="dxa"/>
              <w:left w:w="20" w:type="dxa"/>
              <w:bottom w:w="20" w:type="dxa"/>
              <w:right w:w="20" w:type="dxa"/>
            </w:tcMar>
          </w:tcPr>
          <w:p w:rsidR="004D417B" w:rsidRPr="00322FBD" w:rsidRDefault="00CA6653" w:rsidP="00CA6653">
            <w:pPr>
              <w:pStyle w:val="T1TableStyle"/>
              <w:jc w:val="right"/>
              <w:rPr>
                <w:rFonts w:ascii="Verdana" w:eastAsia="Verdana" w:hAnsi="Verdana" w:cs="Verdana"/>
                <w:b/>
                <w:color w:val="000000"/>
                <w:sz w:val="16"/>
                <w:szCs w:val="22"/>
                <w:lang w:val="pt-BR"/>
              </w:rPr>
            </w:pPr>
            <w:r w:rsidRPr="00322FBD">
              <w:rPr>
                <w:rFonts w:ascii="Verdana" w:eastAsia="Verdana" w:hAnsi="Verdana" w:cs="Verdana"/>
                <w:b/>
                <w:color w:val="000000"/>
                <w:sz w:val="16"/>
                <w:szCs w:val="22"/>
                <w:lang w:val="pt-BR"/>
              </w:rPr>
              <w:t>£000</w:t>
            </w:r>
          </w:p>
        </w:tc>
      </w:tr>
      <w:tr w:rsidR="004D417B" w:rsidRPr="00322FBD" w:rsidTr="00F32EC6">
        <w:trPr>
          <w:trHeight w:val="300"/>
          <w:jc w:val="center"/>
        </w:trPr>
        <w:tc>
          <w:tcPr>
            <w:tcW w:w="1560" w:type="dxa"/>
            <w:shd w:val="clear" w:color="auto" w:fill="auto"/>
            <w:tcMar>
              <w:top w:w="20" w:type="dxa"/>
              <w:left w:w="20" w:type="dxa"/>
              <w:bottom w:w="20" w:type="dxa"/>
              <w:right w:w="20" w:type="dxa"/>
            </w:tcMar>
          </w:tcPr>
          <w:p w:rsidR="004D417B" w:rsidRPr="00322FBD" w:rsidRDefault="00CA6653" w:rsidP="00CA6653">
            <w:pPr>
              <w:pStyle w:val="T1TableStyle"/>
              <w:jc w:val="right"/>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0</w:t>
            </w:r>
          </w:p>
        </w:tc>
        <w:tc>
          <w:tcPr>
            <w:tcW w:w="3750" w:type="dxa"/>
            <w:shd w:val="clear" w:color="auto" w:fill="auto"/>
            <w:tcMar>
              <w:top w:w="20" w:type="dxa"/>
              <w:left w:w="20" w:type="dxa"/>
              <w:bottom w:w="20" w:type="dxa"/>
              <w:right w:w="20" w:type="dxa"/>
            </w:tcMar>
          </w:tcPr>
          <w:p w:rsidR="004D417B" w:rsidRPr="00322FBD" w:rsidRDefault="00CA6653" w:rsidP="00CA6653">
            <w:pPr>
              <w:pStyle w:val="T1TableStyle"/>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Balance outstanding at start of year</w:t>
            </w:r>
          </w:p>
        </w:tc>
        <w:tc>
          <w:tcPr>
            <w:tcW w:w="1494" w:type="dxa"/>
            <w:shd w:val="clear" w:color="auto" w:fill="auto"/>
            <w:tcMar>
              <w:top w:w="20" w:type="dxa"/>
              <w:left w:w="20" w:type="dxa"/>
              <w:bottom w:w="20" w:type="dxa"/>
              <w:right w:w="20" w:type="dxa"/>
            </w:tcMar>
          </w:tcPr>
          <w:p w:rsidR="004D417B" w:rsidRPr="00322FBD" w:rsidRDefault="00CA6653" w:rsidP="00CA6653">
            <w:pPr>
              <w:pStyle w:val="T1TableStyle"/>
              <w:jc w:val="right"/>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0</w:t>
            </w:r>
          </w:p>
        </w:tc>
      </w:tr>
      <w:tr w:rsidR="004D417B" w:rsidRPr="00322FBD" w:rsidTr="00F32EC6">
        <w:trPr>
          <w:trHeight w:val="300"/>
          <w:jc w:val="center"/>
        </w:trPr>
        <w:tc>
          <w:tcPr>
            <w:tcW w:w="1560" w:type="dxa"/>
            <w:shd w:val="clear" w:color="auto" w:fill="auto"/>
            <w:tcMar>
              <w:top w:w="20" w:type="dxa"/>
              <w:left w:w="20" w:type="dxa"/>
              <w:bottom w:w="20" w:type="dxa"/>
              <w:right w:w="20" w:type="dxa"/>
            </w:tcMar>
          </w:tcPr>
          <w:p w:rsidR="004D417B" w:rsidRPr="00322FBD" w:rsidRDefault="00CA6653" w:rsidP="00CA6653">
            <w:pPr>
              <w:pStyle w:val="T1TableStyle"/>
              <w:jc w:val="center"/>
              <w:rPr>
                <w:rFonts w:ascii="Verdana" w:eastAsia="Verdana" w:hAnsi="Verdana" w:cs="Verdana"/>
                <w:color w:val="000000"/>
                <w:sz w:val="2"/>
                <w:szCs w:val="22"/>
                <w:lang w:val="pt-BR"/>
              </w:rPr>
            </w:pPr>
            <w:r w:rsidRPr="00322FBD">
              <w:rPr>
                <w:rFonts w:ascii="Verdana" w:eastAsia="Verdana" w:hAnsi="Verdana" w:cs="Verdana"/>
                <w:color w:val="000000"/>
                <w:sz w:val="2"/>
                <w:szCs w:val="22"/>
                <w:lang w:val="pt-BR"/>
              </w:rPr>
              <w:t xml:space="preserve"> </w:t>
            </w:r>
          </w:p>
        </w:tc>
        <w:tc>
          <w:tcPr>
            <w:tcW w:w="3750" w:type="dxa"/>
            <w:shd w:val="clear" w:color="auto" w:fill="auto"/>
            <w:tcMar>
              <w:top w:w="20" w:type="dxa"/>
              <w:left w:w="20" w:type="dxa"/>
              <w:bottom w:w="20" w:type="dxa"/>
              <w:right w:w="20" w:type="dxa"/>
            </w:tcMar>
          </w:tcPr>
          <w:p w:rsidR="004D417B" w:rsidRPr="00322FBD" w:rsidRDefault="00CA6653" w:rsidP="00CA6653">
            <w:pPr>
              <w:pStyle w:val="T1TableStyle"/>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Assets newly classified as held for sale:</w:t>
            </w:r>
          </w:p>
        </w:tc>
        <w:tc>
          <w:tcPr>
            <w:tcW w:w="1494" w:type="dxa"/>
            <w:shd w:val="clear" w:color="auto" w:fill="auto"/>
            <w:tcMar>
              <w:top w:w="20" w:type="dxa"/>
              <w:left w:w="20" w:type="dxa"/>
              <w:bottom w:w="20" w:type="dxa"/>
              <w:right w:w="20" w:type="dxa"/>
            </w:tcMar>
          </w:tcPr>
          <w:p w:rsidR="004D417B" w:rsidRPr="00322FBD" w:rsidRDefault="00CA6653" w:rsidP="00CA6653">
            <w:pPr>
              <w:pStyle w:val="T1TableStyle"/>
              <w:jc w:val="center"/>
              <w:rPr>
                <w:rFonts w:ascii="Verdana" w:eastAsia="Verdana" w:hAnsi="Verdana" w:cs="Verdana"/>
                <w:color w:val="000000"/>
                <w:sz w:val="2"/>
                <w:szCs w:val="22"/>
                <w:lang w:val="pt-BR"/>
              </w:rPr>
            </w:pPr>
            <w:r w:rsidRPr="00322FBD">
              <w:rPr>
                <w:rFonts w:ascii="Verdana" w:eastAsia="Verdana" w:hAnsi="Verdana" w:cs="Verdana"/>
                <w:color w:val="000000"/>
                <w:sz w:val="2"/>
                <w:szCs w:val="22"/>
                <w:lang w:val="pt-BR"/>
              </w:rPr>
              <w:t xml:space="preserve"> </w:t>
            </w:r>
          </w:p>
        </w:tc>
      </w:tr>
      <w:tr w:rsidR="004D417B" w:rsidRPr="00322FBD" w:rsidTr="00F32EC6">
        <w:trPr>
          <w:trHeight w:val="300"/>
          <w:jc w:val="center"/>
        </w:trPr>
        <w:tc>
          <w:tcPr>
            <w:tcW w:w="1560" w:type="dxa"/>
            <w:shd w:val="clear" w:color="auto" w:fill="auto"/>
            <w:tcMar>
              <w:top w:w="20" w:type="dxa"/>
              <w:left w:w="20" w:type="dxa"/>
              <w:bottom w:w="20" w:type="dxa"/>
              <w:right w:w="20" w:type="dxa"/>
            </w:tcMar>
          </w:tcPr>
          <w:p w:rsidR="004D417B" w:rsidRPr="00322FBD" w:rsidRDefault="00CA6653" w:rsidP="00CA6653">
            <w:pPr>
              <w:pStyle w:val="T1TableStyle"/>
              <w:jc w:val="right"/>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866</w:t>
            </w:r>
          </w:p>
        </w:tc>
        <w:tc>
          <w:tcPr>
            <w:tcW w:w="3750" w:type="dxa"/>
            <w:shd w:val="clear" w:color="auto" w:fill="auto"/>
            <w:tcMar>
              <w:top w:w="20" w:type="dxa"/>
              <w:left w:w="20" w:type="dxa"/>
              <w:bottom w:w="20" w:type="dxa"/>
              <w:right w:w="20" w:type="dxa"/>
            </w:tcMar>
          </w:tcPr>
          <w:p w:rsidR="004D417B" w:rsidRPr="00322FBD" w:rsidRDefault="00CA6653" w:rsidP="00CA6653">
            <w:pPr>
              <w:pStyle w:val="T1TableStyle"/>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 Property Plant and Equipment</w:t>
            </w:r>
          </w:p>
        </w:tc>
        <w:tc>
          <w:tcPr>
            <w:tcW w:w="1494" w:type="dxa"/>
            <w:shd w:val="clear" w:color="auto" w:fill="auto"/>
            <w:tcMar>
              <w:top w:w="20" w:type="dxa"/>
              <w:left w:w="20" w:type="dxa"/>
              <w:bottom w:w="20" w:type="dxa"/>
              <w:right w:w="20" w:type="dxa"/>
            </w:tcMar>
          </w:tcPr>
          <w:p w:rsidR="004D417B" w:rsidRPr="00322FBD" w:rsidRDefault="00322FBD" w:rsidP="00CA6653">
            <w:pPr>
              <w:pStyle w:val="T1TableStyle"/>
              <w:jc w:val="right"/>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964</w:t>
            </w:r>
          </w:p>
        </w:tc>
      </w:tr>
      <w:tr w:rsidR="004D417B" w:rsidRPr="00322FBD" w:rsidTr="00F32EC6">
        <w:trPr>
          <w:trHeight w:val="300"/>
          <w:jc w:val="center"/>
        </w:trPr>
        <w:tc>
          <w:tcPr>
            <w:tcW w:w="1560" w:type="dxa"/>
            <w:shd w:val="clear" w:color="auto" w:fill="auto"/>
            <w:tcMar>
              <w:top w:w="20" w:type="dxa"/>
              <w:left w:w="20" w:type="dxa"/>
              <w:bottom w:w="20" w:type="dxa"/>
              <w:right w:w="20" w:type="dxa"/>
            </w:tcMar>
          </w:tcPr>
          <w:p w:rsidR="004D417B" w:rsidRPr="00322FBD" w:rsidRDefault="00CA6653" w:rsidP="00CA6653">
            <w:pPr>
              <w:pStyle w:val="T1TableStyle"/>
              <w:jc w:val="right"/>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(866)</w:t>
            </w:r>
          </w:p>
        </w:tc>
        <w:tc>
          <w:tcPr>
            <w:tcW w:w="3750" w:type="dxa"/>
            <w:shd w:val="clear" w:color="auto" w:fill="auto"/>
            <w:tcMar>
              <w:top w:w="20" w:type="dxa"/>
              <w:left w:w="20" w:type="dxa"/>
              <w:bottom w:w="20" w:type="dxa"/>
              <w:right w:w="20" w:type="dxa"/>
            </w:tcMar>
          </w:tcPr>
          <w:p w:rsidR="004D417B" w:rsidRPr="00322FBD" w:rsidRDefault="00CA6653" w:rsidP="00CA6653">
            <w:pPr>
              <w:pStyle w:val="T1TableStyle"/>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Assets sold</w:t>
            </w:r>
          </w:p>
        </w:tc>
        <w:tc>
          <w:tcPr>
            <w:tcW w:w="1494" w:type="dxa"/>
            <w:shd w:val="clear" w:color="auto" w:fill="auto"/>
            <w:tcMar>
              <w:top w:w="20" w:type="dxa"/>
              <w:left w:w="20" w:type="dxa"/>
              <w:bottom w:w="20" w:type="dxa"/>
              <w:right w:w="20" w:type="dxa"/>
            </w:tcMar>
          </w:tcPr>
          <w:p w:rsidR="004D417B" w:rsidRPr="00322FBD" w:rsidRDefault="00CA6653" w:rsidP="00CA6653">
            <w:pPr>
              <w:pStyle w:val="T1TableStyle"/>
              <w:jc w:val="right"/>
              <w:rPr>
                <w:rFonts w:ascii="Verdana" w:eastAsia="Verdana" w:hAnsi="Verdana" w:cs="Verdana"/>
                <w:color w:val="000000"/>
                <w:sz w:val="16"/>
                <w:szCs w:val="22"/>
                <w:lang w:val="pt-BR"/>
              </w:rPr>
            </w:pPr>
            <w:r w:rsidRPr="00322FBD">
              <w:rPr>
                <w:rFonts w:ascii="Verdana" w:eastAsia="Verdana" w:hAnsi="Verdana" w:cs="Verdana"/>
                <w:color w:val="000000"/>
                <w:sz w:val="16"/>
                <w:szCs w:val="22"/>
                <w:lang w:val="pt-BR"/>
              </w:rPr>
              <w:t>0</w:t>
            </w:r>
          </w:p>
        </w:tc>
      </w:tr>
      <w:tr w:rsidR="004D417B" w:rsidTr="00F32EC6">
        <w:trPr>
          <w:trHeight w:val="315"/>
          <w:jc w:val="center"/>
        </w:trPr>
        <w:tc>
          <w:tcPr>
            <w:tcW w:w="1560"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322FBD" w:rsidRDefault="00CA6653" w:rsidP="00CA6653">
            <w:pPr>
              <w:pStyle w:val="T1TableStyle"/>
              <w:jc w:val="right"/>
              <w:rPr>
                <w:rFonts w:ascii="Verdana" w:eastAsia="Verdana" w:hAnsi="Verdana" w:cs="Verdana"/>
                <w:b/>
                <w:color w:val="000000"/>
                <w:sz w:val="16"/>
                <w:szCs w:val="22"/>
                <w:lang w:val="pt-BR"/>
              </w:rPr>
            </w:pPr>
            <w:r w:rsidRPr="00322FBD">
              <w:rPr>
                <w:rFonts w:ascii="Verdana" w:eastAsia="Verdana" w:hAnsi="Verdana" w:cs="Verdana"/>
                <w:b/>
                <w:color w:val="000000"/>
                <w:sz w:val="16"/>
                <w:szCs w:val="22"/>
                <w:lang w:val="pt-BR"/>
              </w:rPr>
              <w:t>0</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322FBD" w:rsidRDefault="00CA6653" w:rsidP="00CA6653">
            <w:pPr>
              <w:pStyle w:val="T1TableStyle"/>
              <w:rPr>
                <w:rFonts w:ascii="Verdana" w:eastAsia="Verdana" w:hAnsi="Verdana" w:cs="Verdana"/>
                <w:b/>
                <w:color w:val="000000"/>
                <w:sz w:val="16"/>
                <w:szCs w:val="22"/>
                <w:lang w:val="pt-BR"/>
              </w:rPr>
            </w:pPr>
            <w:r w:rsidRPr="00322FBD">
              <w:rPr>
                <w:rFonts w:ascii="Verdana" w:eastAsia="Verdana" w:hAnsi="Verdana" w:cs="Verdana"/>
                <w:b/>
                <w:color w:val="000000"/>
                <w:sz w:val="16"/>
                <w:szCs w:val="22"/>
                <w:lang w:val="pt-BR"/>
              </w:rPr>
              <w:t>Balance Outstanding year end</w:t>
            </w:r>
          </w:p>
        </w:tc>
        <w:tc>
          <w:tcPr>
            <w:tcW w:w="1494"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F32EC6" w:rsidP="00CA6653">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964</w:t>
            </w:r>
          </w:p>
        </w:tc>
      </w:tr>
    </w:tbl>
    <w:p w:rsidR="00B935AA" w:rsidRDefault="00B935AA">
      <w:pPr>
        <w:pStyle w:val="Normal0"/>
        <w:spacing w:after="160" w:line="259" w:lineRule="auto"/>
        <w:rPr>
          <w:rFonts w:ascii="Verdana" w:eastAsia="Calibri" w:hAnsi="Verdana" w:cs="Arial"/>
          <w:sz w:val="22"/>
          <w:szCs w:val="22"/>
          <w:lang w:val="pt-BR"/>
        </w:rPr>
      </w:pPr>
    </w:p>
    <w:p w:rsidR="00836BA0" w:rsidRDefault="00836BA0" w:rsidP="00A31A9E">
      <w:pPr>
        <w:pStyle w:val="Heading1"/>
      </w:pPr>
      <w:bookmarkStart w:id="27" w:name="_Toc55900418"/>
      <w:r w:rsidRPr="00322FBD">
        <w:t>Note 1</w:t>
      </w:r>
      <w:r>
        <w:t>6</w:t>
      </w:r>
      <w:r w:rsidRPr="00322FBD">
        <w:t xml:space="preserve"> </w:t>
      </w:r>
      <w:r w:rsidR="00F32EC6">
        <w:t>–</w:t>
      </w:r>
      <w:r w:rsidRPr="00322FBD">
        <w:t xml:space="preserve"> </w:t>
      </w:r>
      <w:r>
        <w:t>Investments</w:t>
      </w:r>
      <w:r w:rsidR="00F32EC6">
        <w:t xml:space="preserve"> Properties</w:t>
      </w:r>
      <w:bookmarkEnd w:id="27"/>
    </w:p>
    <w:p w:rsidR="008B5874" w:rsidRPr="008B5874" w:rsidRDefault="008B5874" w:rsidP="009439C7">
      <w:pPr>
        <w:jc w:val="both"/>
        <w:rPr>
          <w:lang w:val="pt-BR"/>
        </w:rPr>
      </w:pPr>
      <w:r w:rsidRPr="008B5874">
        <w:rPr>
          <w:lang w:val="pt-BR"/>
        </w:rPr>
        <w:t xml:space="preserve">Surrey Police decided to reclassify 10 properties (8 </w:t>
      </w:r>
      <w:r w:rsidR="00AE068F">
        <w:rPr>
          <w:lang w:val="pt-BR"/>
        </w:rPr>
        <w:t>plots of land</w:t>
      </w:r>
      <w:r w:rsidR="00AE068F" w:rsidRPr="008B5874">
        <w:rPr>
          <w:lang w:val="pt-BR"/>
        </w:rPr>
        <w:t xml:space="preserve"> </w:t>
      </w:r>
      <w:r w:rsidRPr="008B5874">
        <w:rPr>
          <w:lang w:val="pt-BR"/>
        </w:rPr>
        <w:t>and 2 lots of garages) from surplus assets to investment properties to be hold for capital appreciation, rather for:</w:t>
      </w:r>
    </w:p>
    <w:p w:rsidR="008B5874" w:rsidRPr="008B5874" w:rsidRDefault="008B5874" w:rsidP="009439C7">
      <w:pPr>
        <w:jc w:val="both"/>
        <w:rPr>
          <w:lang w:val="pt-BR"/>
        </w:rPr>
      </w:pPr>
    </w:p>
    <w:p w:rsidR="008B5874" w:rsidRPr="008B5874" w:rsidRDefault="008B5874" w:rsidP="009439C7">
      <w:pPr>
        <w:jc w:val="both"/>
        <w:rPr>
          <w:lang w:val="pt-BR"/>
        </w:rPr>
      </w:pPr>
      <w:r w:rsidRPr="008B5874">
        <w:rPr>
          <w:lang w:val="pt-BR"/>
        </w:rPr>
        <w:t>•</w:t>
      </w:r>
      <w:r w:rsidRPr="008B5874">
        <w:rPr>
          <w:lang w:val="pt-BR"/>
        </w:rPr>
        <w:tab/>
        <w:t>use in the production or supply of goods or services or for administrative purposes, or</w:t>
      </w:r>
    </w:p>
    <w:p w:rsidR="008B5874" w:rsidRPr="008B5874" w:rsidRDefault="008B5874" w:rsidP="009439C7">
      <w:pPr>
        <w:jc w:val="both"/>
        <w:rPr>
          <w:lang w:val="pt-BR"/>
        </w:rPr>
      </w:pPr>
      <w:r w:rsidRPr="008B5874">
        <w:rPr>
          <w:lang w:val="pt-BR"/>
        </w:rPr>
        <w:t>•</w:t>
      </w:r>
      <w:r w:rsidRPr="008B5874">
        <w:rPr>
          <w:lang w:val="pt-BR"/>
        </w:rPr>
        <w:tab/>
        <w:t>sale in the ordinary course of operations.</w:t>
      </w:r>
    </w:p>
    <w:p w:rsidR="008B5874" w:rsidRPr="008B5874" w:rsidRDefault="008B5874" w:rsidP="009439C7">
      <w:pPr>
        <w:jc w:val="both"/>
        <w:rPr>
          <w:lang w:val="pt-BR"/>
        </w:rPr>
      </w:pPr>
    </w:p>
    <w:p w:rsidR="00386BAD" w:rsidRDefault="008B5874" w:rsidP="009439C7">
      <w:pPr>
        <w:jc w:val="both"/>
        <w:rPr>
          <w:lang w:val="pt-BR"/>
        </w:rPr>
      </w:pPr>
      <w:r w:rsidRPr="008B5874">
        <w:rPr>
          <w:lang w:val="pt-BR"/>
        </w:rPr>
        <w:t>The following table summarises the transfer of 10 properties reclassified as investment properties as of 31 March 2020</w:t>
      </w:r>
      <w:r w:rsidR="009439C7">
        <w:rPr>
          <w:lang w:val="pt-BR"/>
        </w:rPr>
        <w:t>.</w:t>
      </w:r>
    </w:p>
    <w:tbl>
      <w:tblPr>
        <w:tblW w:w="8393" w:type="dxa"/>
        <w:jc w:val="center"/>
        <w:tblLook w:val="04A0" w:firstRow="1" w:lastRow="0" w:firstColumn="1" w:lastColumn="0" w:noHBand="0" w:noVBand="1"/>
      </w:tblPr>
      <w:tblGrid>
        <w:gridCol w:w="1847"/>
        <w:gridCol w:w="4365"/>
        <w:gridCol w:w="2181"/>
      </w:tblGrid>
      <w:tr w:rsidR="00836BA0" w:rsidRPr="00836BA0" w:rsidTr="009439C7">
        <w:trPr>
          <w:trHeight w:val="185"/>
          <w:jc w:val="center"/>
        </w:trPr>
        <w:tc>
          <w:tcPr>
            <w:tcW w:w="1847" w:type="dxa"/>
            <w:tcBorders>
              <w:top w:val="nil"/>
              <w:left w:val="nil"/>
              <w:bottom w:val="nil"/>
              <w:right w:val="nil"/>
            </w:tcBorders>
            <w:shd w:val="clear" w:color="auto" w:fill="auto"/>
            <w:noWrap/>
            <w:vAlign w:val="bottom"/>
            <w:hideMark/>
          </w:tcPr>
          <w:p w:rsidR="00836BA0" w:rsidRPr="00CA3B69" w:rsidRDefault="00836BA0" w:rsidP="000D6EF8">
            <w:pPr>
              <w:rPr>
                <w:b/>
                <w:lang w:val="en-GB" w:eastAsia="en-GB"/>
              </w:rPr>
            </w:pPr>
          </w:p>
        </w:tc>
        <w:tc>
          <w:tcPr>
            <w:tcW w:w="4365" w:type="dxa"/>
            <w:tcBorders>
              <w:top w:val="nil"/>
              <w:left w:val="nil"/>
              <w:bottom w:val="nil"/>
              <w:right w:val="nil"/>
            </w:tcBorders>
            <w:shd w:val="clear" w:color="auto" w:fill="auto"/>
            <w:noWrap/>
            <w:vAlign w:val="bottom"/>
            <w:hideMark/>
          </w:tcPr>
          <w:p w:rsidR="00386BAD" w:rsidRPr="00CA3B69" w:rsidRDefault="00386BAD" w:rsidP="000D6EF8">
            <w:pPr>
              <w:rPr>
                <w:b/>
                <w:lang w:val="en-GB" w:eastAsia="en-GB"/>
              </w:rPr>
            </w:pPr>
          </w:p>
        </w:tc>
        <w:tc>
          <w:tcPr>
            <w:tcW w:w="2181" w:type="dxa"/>
            <w:tcBorders>
              <w:top w:val="nil"/>
              <w:left w:val="nil"/>
              <w:bottom w:val="nil"/>
              <w:right w:val="nil"/>
            </w:tcBorders>
            <w:shd w:val="clear" w:color="auto" w:fill="auto"/>
            <w:noWrap/>
            <w:vAlign w:val="bottom"/>
            <w:hideMark/>
          </w:tcPr>
          <w:p w:rsidR="00836BA0" w:rsidRPr="00CA3B69" w:rsidRDefault="00836BA0" w:rsidP="000D6EF8">
            <w:pPr>
              <w:rPr>
                <w:b/>
                <w:lang w:val="en-GB" w:eastAsia="en-GB"/>
              </w:rPr>
            </w:pPr>
          </w:p>
        </w:tc>
      </w:tr>
      <w:tr w:rsidR="00836BA0" w:rsidRPr="00836BA0" w:rsidTr="009439C7">
        <w:trPr>
          <w:trHeight w:val="185"/>
          <w:jc w:val="center"/>
        </w:trPr>
        <w:tc>
          <w:tcPr>
            <w:tcW w:w="1847" w:type="dxa"/>
            <w:tcBorders>
              <w:top w:val="nil"/>
              <w:left w:val="nil"/>
              <w:bottom w:val="nil"/>
              <w:right w:val="nil"/>
            </w:tcBorders>
            <w:shd w:val="clear" w:color="auto" w:fill="auto"/>
            <w:noWrap/>
            <w:vAlign w:val="bottom"/>
            <w:hideMark/>
          </w:tcPr>
          <w:p w:rsidR="00836BA0" w:rsidRPr="00CA3B69" w:rsidRDefault="00836BA0" w:rsidP="000D6EF8">
            <w:pPr>
              <w:rPr>
                <w:b/>
                <w:sz w:val="16"/>
                <w:szCs w:val="16"/>
                <w:lang w:val="en-GB" w:eastAsia="en-GB"/>
              </w:rPr>
            </w:pPr>
            <w:r w:rsidRPr="00CA3B69">
              <w:rPr>
                <w:b/>
                <w:sz w:val="16"/>
                <w:szCs w:val="16"/>
                <w:lang w:val="en-GB" w:eastAsia="en-GB"/>
              </w:rPr>
              <w:t>31 March 2019</w:t>
            </w:r>
          </w:p>
        </w:tc>
        <w:tc>
          <w:tcPr>
            <w:tcW w:w="4365" w:type="dxa"/>
            <w:tcBorders>
              <w:top w:val="nil"/>
              <w:left w:val="nil"/>
              <w:bottom w:val="nil"/>
              <w:right w:val="nil"/>
            </w:tcBorders>
            <w:shd w:val="clear" w:color="auto" w:fill="auto"/>
            <w:noWrap/>
            <w:vAlign w:val="bottom"/>
            <w:hideMark/>
          </w:tcPr>
          <w:p w:rsidR="00836BA0" w:rsidRPr="00CA3B69" w:rsidRDefault="00836BA0" w:rsidP="000D6EF8">
            <w:pPr>
              <w:rPr>
                <w:b/>
                <w:sz w:val="16"/>
                <w:szCs w:val="16"/>
                <w:lang w:val="en-GB" w:eastAsia="en-GB"/>
              </w:rPr>
            </w:pPr>
          </w:p>
        </w:tc>
        <w:tc>
          <w:tcPr>
            <w:tcW w:w="2181" w:type="dxa"/>
            <w:tcBorders>
              <w:top w:val="nil"/>
              <w:left w:val="nil"/>
              <w:bottom w:val="nil"/>
              <w:right w:val="nil"/>
            </w:tcBorders>
            <w:shd w:val="clear" w:color="auto" w:fill="auto"/>
            <w:noWrap/>
            <w:vAlign w:val="bottom"/>
            <w:hideMark/>
          </w:tcPr>
          <w:p w:rsidR="00836BA0" w:rsidRPr="00CA3B69" w:rsidRDefault="00836BA0" w:rsidP="000D6EF8">
            <w:pPr>
              <w:rPr>
                <w:b/>
                <w:sz w:val="16"/>
                <w:szCs w:val="16"/>
                <w:lang w:val="en-GB" w:eastAsia="en-GB"/>
              </w:rPr>
            </w:pPr>
            <w:r w:rsidRPr="00CA3B69">
              <w:rPr>
                <w:b/>
                <w:sz w:val="16"/>
                <w:szCs w:val="16"/>
                <w:lang w:val="en-GB" w:eastAsia="en-GB"/>
              </w:rPr>
              <w:t>31 March 2020</w:t>
            </w:r>
          </w:p>
        </w:tc>
      </w:tr>
      <w:tr w:rsidR="00836BA0" w:rsidRPr="00836BA0" w:rsidTr="009439C7">
        <w:trPr>
          <w:trHeight w:val="185"/>
          <w:jc w:val="center"/>
        </w:trPr>
        <w:tc>
          <w:tcPr>
            <w:tcW w:w="1847" w:type="dxa"/>
            <w:tcBorders>
              <w:top w:val="nil"/>
              <w:left w:val="nil"/>
              <w:bottom w:val="single" w:sz="4" w:space="0" w:color="auto"/>
              <w:right w:val="nil"/>
            </w:tcBorders>
            <w:shd w:val="clear" w:color="auto" w:fill="auto"/>
            <w:noWrap/>
            <w:vAlign w:val="bottom"/>
            <w:hideMark/>
          </w:tcPr>
          <w:p w:rsidR="00836BA0" w:rsidRPr="00CA3B69" w:rsidRDefault="00836BA0" w:rsidP="000D6EF8">
            <w:pPr>
              <w:rPr>
                <w:b/>
                <w:sz w:val="16"/>
                <w:szCs w:val="16"/>
                <w:lang w:val="en-GB" w:eastAsia="en-GB"/>
              </w:rPr>
            </w:pPr>
            <w:r w:rsidRPr="00CA3B69">
              <w:rPr>
                <w:b/>
                <w:sz w:val="16"/>
                <w:szCs w:val="16"/>
                <w:lang w:val="en-GB" w:eastAsia="en-GB"/>
              </w:rPr>
              <w:t>£000</w:t>
            </w:r>
          </w:p>
        </w:tc>
        <w:tc>
          <w:tcPr>
            <w:tcW w:w="4365" w:type="dxa"/>
            <w:tcBorders>
              <w:top w:val="nil"/>
              <w:left w:val="nil"/>
              <w:bottom w:val="single" w:sz="4" w:space="0" w:color="auto"/>
              <w:right w:val="nil"/>
            </w:tcBorders>
            <w:shd w:val="clear" w:color="auto" w:fill="auto"/>
            <w:noWrap/>
            <w:vAlign w:val="bottom"/>
            <w:hideMark/>
          </w:tcPr>
          <w:p w:rsidR="00836BA0" w:rsidRPr="00CA3B69" w:rsidRDefault="00836BA0" w:rsidP="000D6EF8">
            <w:pPr>
              <w:rPr>
                <w:b/>
                <w:sz w:val="16"/>
                <w:szCs w:val="16"/>
                <w:lang w:val="en-GB" w:eastAsia="en-GB"/>
              </w:rPr>
            </w:pPr>
            <w:r w:rsidRPr="00CA3B69">
              <w:rPr>
                <w:b/>
                <w:sz w:val="16"/>
                <w:szCs w:val="16"/>
                <w:lang w:val="en-GB" w:eastAsia="en-GB"/>
              </w:rPr>
              <w:t> </w:t>
            </w:r>
          </w:p>
        </w:tc>
        <w:tc>
          <w:tcPr>
            <w:tcW w:w="2181" w:type="dxa"/>
            <w:tcBorders>
              <w:top w:val="nil"/>
              <w:left w:val="nil"/>
              <w:bottom w:val="single" w:sz="4" w:space="0" w:color="auto"/>
              <w:right w:val="nil"/>
            </w:tcBorders>
            <w:shd w:val="clear" w:color="auto" w:fill="auto"/>
            <w:noWrap/>
            <w:vAlign w:val="bottom"/>
            <w:hideMark/>
          </w:tcPr>
          <w:p w:rsidR="00836BA0" w:rsidRPr="00CA3B69" w:rsidRDefault="00836BA0" w:rsidP="000D6EF8">
            <w:pPr>
              <w:rPr>
                <w:b/>
                <w:sz w:val="16"/>
                <w:szCs w:val="16"/>
                <w:lang w:val="en-GB" w:eastAsia="en-GB"/>
              </w:rPr>
            </w:pPr>
            <w:r w:rsidRPr="00CA3B69">
              <w:rPr>
                <w:b/>
                <w:sz w:val="16"/>
                <w:szCs w:val="16"/>
                <w:lang w:val="en-GB" w:eastAsia="en-GB"/>
              </w:rPr>
              <w:t>£000</w:t>
            </w:r>
          </w:p>
        </w:tc>
      </w:tr>
      <w:tr w:rsidR="00836BA0" w:rsidRPr="00836BA0" w:rsidTr="009439C7">
        <w:trPr>
          <w:trHeight w:val="232"/>
          <w:jc w:val="center"/>
        </w:trPr>
        <w:tc>
          <w:tcPr>
            <w:tcW w:w="1847" w:type="dxa"/>
            <w:tcBorders>
              <w:top w:val="nil"/>
              <w:left w:val="nil"/>
              <w:bottom w:val="nil"/>
              <w:right w:val="nil"/>
            </w:tcBorders>
            <w:shd w:val="clear" w:color="auto" w:fill="auto"/>
            <w:noWrap/>
            <w:vAlign w:val="bottom"/>
            <w:hideMark/>
          </w:tcPr>
          <w:p w:rsidR="00836BA0" w:rsidRPr="00CA3B69" w:rsidRDefault="00836BA0" w:rsidP="00A200D5">
            <w:pPr>
              <w:jc w:val="right"/>
              <w:rPr>
                <w:sz w:val="16"/>
                <w:szCs w:val="16"/>
                <w:lang w:val="en-GB" w:eastAsia="en-GB"/>
              </w:rPr>
            </w:pPr>
            <w:r w:rsidRPr="00CA3B69">
              <w:rPr>
                <w:sz w:val="16"/>
                <w:szCs w:val="16"/>
                <w:lang w:val="en-GB" w:eastAsia="en-GB"/>
              </w:rPr>
              <w:t>0</w:t>
            </w:r>
          </w:p>
        </w:tc>
        <w:tc>
          <w:tcPr>
            <w:tcW w:w="4365" w:type="dxa"/>
            <w:tcBorders>
              <w:top w:val="nil"/>
              <w:left w:val="nil"/>
              <w:bottom w:val="nil"/>
              <w:right w:val="nil"/>
            </w:tcBorders>
            <w:shd w:val="clear" w:color="auto" w:fill="auto"/>
            <w:vAlign w:val="bottom"/>
            <w:hideMark/>
          </w:tcPr>
          <w:p w:rsidR="00836BA0" w:rsidRPr="00CA3B69" w:rsidRDefault="00836BA0">
            <w:pPr>
              <w:rPr>
                <w:sz w:val="16"/>
                <w:szCs w:val="16"/>
                <w:lang w:val="en-GB" w:eastAsia="en-GB"/>
              </w:rPr>
            </w:pPr>
            <w:r w:rsidRPr="00CA3B69">
              <w:rPr>
                <w:sz w:val="16"/>
                <w:szCs w:val="16"/>
                <w:lang w:val="en-GB" w:eastAsia="en-GB"/>
              </w:rPr>
              <w:t>Balance ou</w:t>
            </w:r>
            <w:r w:rsidR="006B3E21">
              <w:rPr>
                <w:sz w:val="16"/>
                <w:szCs w:val="16"/>
                <w:lang w:val="en-GB" w:eastAsia="en-GB"/>
              </w:rPr>
              <w:t>tst</w:t>
            </w:r>
            <w:r w:rsidRPr="00CA3B69">
              <w:rPr>
                <w:sz w:val="16"/>
                <w:szCs w:val="16"/>
                <w:lang w:val="en-GB" w:eastAsia="en-GB"/>
              </w:rPr>
              <w:t>anding at start of year</w:t>
            </w:r>
          </w:p>
        </w:tc>
        <w:tc>
          <w:tcPr>
            <w:tcW w:w="2181" w:type="dxa"/>
            <w:tcBorders>
              <w:top w:val="nil"/>
              <w:left w:val="nil"/>
              <w:bottom w:val="nil"/>
              <w:right w:val="nil"/>
            </w:tcBorders>
            <w:shd w:val="clear" w:color="auto" w:fill="auto"/>
            <w:noWrap/>
            <w:vAlign w:val="bottom"/>
            <w:hideMark/>
          </w:tcPr>
          <w:p w:rsidR="00836BA0" w:rsidRPr="00CA3B69" w:rsidRDefault="00836BA0" w:rsidP="00A200D5">
            <w:pPr>
              <w:jc w:val="right"/>
              <w:rPr>
                <w:sz w:val="16"/>
                <w:szCs w:val="16"/>
                <w:lang w:val="en-GB" w:eastAsia="en-GB"/>
              </w:rPr>
            </w:pPr>
            <w:r w:rsidRPr="00CA3B69">
              <w:rPr>
                <w:sz w:val="16"/>
                <w:szCs w:val="16"/>
                <w:lang w:val="en-GB" w:eastAsia="en-GB"/>
              </w:rPr>
              <w:t>0</w:t>
            </w:r>
          </w:p>
        </w:tc>
      </w:tr>
      <w:tr w:rsidR="00836BA0" w:rsidRPr="00836BA0" w:rsidTr="009439C7">
        <w:trPr>
          <w:trHeight w:val="370"/>
          <w:jc w:val="center"/>
        </w:trPr>
        <w:tc>
          <w:tcPr>
            <w:tcW w:w="1847" w:type="dxa"/>
            <w:tcBorders>
              <w:top w:val="nil"/>
              <w:left w:val="nil"/>
              <w:bottom w:val="nil"/>
              <w:right w:val="nil"/>
            </w:tcBorders>
            <w:shd w:val="clear" w:color="auto" w:fill="auto"/>
            <w:noWrap/>
            <w:vAlign w:val="bottom"/>
            <w:hideMark/>
          </w:tcPr>
          <w:p w:rsidR="00836BA0" w:rsidRPr="00CA3B69" w:rsidRDefault="00836BA0" w:rsidP="00A200D5">
            <w:pPr>
              <w:jc w:val="right"/>
              <w:rPr>
                <w:sz w:val="16"/>
                <w:szCs w:val="16"/>
                <w:lang w:val="en-GB" w:eastAsia="en-GB"/>
              </w:rPr>
            </w:pPr>
          </w:p>
        </w:tc>
        <w:tc>
          <w:tcPr>
            <w:tcW w:w="4365" w:type="dxa"/>
            <w:tcBorders>
              <w:top w:val="nil"/>
              <w:left w:val="nil"/>
              <w:bottom w:val="nil"/>
              <w:right w:val="nil"/>
            </w:tcBorders>
            <w:shd w:val="clear" w:color="auto" w:fill="auto"/>
            <w:vAlign w:val="bottom"/>
            <w:hideMark/>
          </w:tcPr>
          <w:p w:rsidR="00836BA0" w:rsidRPr="00CA3B69" w:rsidRDefault="00836BA0" w:rsidP="000D6EF8">
            <w:pPr>
              <w:rPr>
                <w:sz w:val="16"/>
                <w:szCs w:val="16"/>
                <w:lang w:val="en-GB" w:eastAsia="en-GB"/>
              </w:rPr>
            </w:pPr>
            <w:r w:rsidRPr="00CA3B69">
              <w:rPr>
                <w:sz w:val="16"/>
                <w:szCs w:val="16"/>
                <w:lang w:val="en-GB" w:eastAsia="en-GB"/>
              </w:rPr>
              <w:t>Asset newly classified as Investment properties:</w:t>
            </w:r>
          </w:p>
        </w:tc>
        <w:tc>
          <w:tcPr>
            <w:tcW w:w="2181" w:type="dxa"/>
            <w:tcBorders>
              <w:top w:val="nil"/>
              <w:left w:val="nil"/>
              <w:bottom w:val="nil"/>
              <w:right w:val="nil"/>
            </w:tcBorders>
            <w:shd w:val="clear" w:color="auto" w:fill="auto"/>
            <w:noWrap/>
            <w:vAlign w:val="bottom"/>
            <w:hideMark/>
          </w:tcPr>
          <w:p w:rsidR="00836BA0" w:rsidRPr="00CA3B69" w:rsidRDefault="00836BA0" w:rsidP="00A200D5">
            <w:pPr>
              <w:jc w:val="right"/>
              <w:rPr>
                <w:sz w:val="16"/>
                <w:szCs w:val="16"/>
                <w:lang w:val="en-GB" w:eastAsia="en-GB"/>
              </w:rPr>
            </w:pPr>
          </w:p>
        </w:tc>
      </w:tr>
      <w:tr w:rsidR="00836BA0" w:rsidRPr="00836BA0" w:rsidTr="009439C7">
        <w:trPr>
          <w:trHeight w:val="185"/>
          <w:jc w:val="center"/>
        </w:trPr>
        <w:tc>
          <w:tcPr>
            <w:tcW w:w="1847" w:type="dxa"/>
            <w:tcBorders>
              <w:top w:val="nil"/>
              <w:left w:val="nil"/>
              <w:bottom w:val="nil"/>
              <w:right w:val="nil"/>
            </w:tcBorders>
            <w:shd w:val="clear" w:color="auto" w:fill="auto"/>
            <w:noWrap/>
            <w:vAlign w:val="bottom"/>
            <w:hideMark/>
          </w:tcPr>
          <w:p w:rsidR="00836BA0" w:rsidRPr="00CA3B69" w:rsidRDefault="00836BA0" w:rsidP="00A200D5">
            <w:pPr>
              <w:jc w:val="right"/>
              <w:rPr>
                <w:sz w:val="16"/>
                <w:szCs w:val="16"/>
                <w:lang w:val="en-GB" w:eastAsia="en-GB"/>
              </w:rPr>
            </w:pPr>
          </w:p>
        </w:tc>
        <w:tc>
          <w:tcPr>
            <w:tcW w:w="4365" w:type="dxa"/>
            <w:tcBorders>
              <w:top w:val="nil"/>
              <w:left w:val="nil"/>
              <w:bottom w:val="nil"/>
              <w:right w:val="nil"/>
            </w:tcBorders>
            <w:shd w:val="clear" w:color="auto" w:fill="auto"/>
            <w:noWrap/>
            <w:vAlign w:val="bottom"/>
            <w:hideMark/>
          </w:tcPr>
          <w:p w:rsidR="00836BA0" w:rsidRPr="00CA3B69" w:rsidRDefault="00836BA0" w:rsidP="000D6EF8">
            <w:pPr>
              <w:rPr>
                <w:sz w:val="16"/>
                <w:szCs w:val="16"/>
                <w:lang w:val="en-GB" w:eastAsia="en-GB"/>
              </w:rPr>
            </w:pPr>
          </w:p>
        </w:tc>
        <w:tc>
          <w:tcPr>
            <w:tcW w:w="2181" w:type="dxa"/>
            <w:tcBorders>
              <w:top w:val="nil"/>
              <w:left w:val="nil"/>
              <w:bottom w:val="nil"/>
              <w:right w:val="nil"/>
            </w:tcBorders>
            <w:shd w:val="clear" w:color="auto" w:fill="auto"/>
            <w:noWrap/>
            <w:vAlign w:val="bottom"/>
            <w:hideMark/>
          </w:tcPr>
          <w:p w:rsidR="00836BA0" w:rsidRPr="00CA3B69" w:rsidRDefault="00836BA0" w:rsidP="00A200D5">
            <w:pPr>
              <w:jc w:val="right"/>
              <w:rPr>
                <w:sz w:val="16"/>
                <w:szCs w:val="16"/>
                <w:lang w:val="en-GB" w:eastAsia="en-GB"/>
              </w:rPr>
            </w:pPr>
          </w:p>
        </w:tc>
      </w:tr>
      <w:tr w:rsidR="00836BA0" w:rsidRPr="00836BA0" w:rsidTr="009439C7">
        <w:trPr>
          <w:trHeight w:val="185"/>
          <w:jc w:val="center"/>
        </w:trPr>
        <w:tc>
          <w:tcPr>
            <w:tcW w:w="1847" w:type="dxa"/>
            <w:tcBorders>
              <w:top w:val="nil"/>
              <w:left w:val="nil"/>
              <w:bottom w:val="nil"/>
              <w:right w:val="nil"/>
            </w:tcBorders>
            <w:shd w:val="clear" w:color="auto" w:fill="auto"/>
            <w:noWrap/>
            <w:vAlign w:val="bottom"/>
            <w:hideMark/>
          </w:tcPr>
          <w:p w:rsidR="00836BA0" w:rsidRPr="00CA3B69" w:rsidRDefault="00836BA0" w:rsidP="00A200D5">
            <w:pPr>
              <w:jc w:val="right"/>
              <w:rPr>
                <w:sz w:val="16"/>
                <w:szCs w:val="16"/>
                <w:lang w:val="en-GB" w:eastAsia="en-GB"/>
              </w:rPr>
            </w:pPr>
            <w:r w:rsidRPr="00CA3B69">
              <w:rPr>
                <w:sz w:val="16"/>
                <w:szCs w:val="16"/>
                <w:lang w:val="en-GB" w:eastAsia="en-GB"/>
              </w:rPr>
              <w:t>0</w:t>
            </w:r>
          </w:p>
        </w:tc>
        <w:tc>
          <w:tcPr>
            <w:tcW w:w="4365" w:type="dxa"/>
            <w:tcBorders>
              <w:top w:val="nil"/>
              <w:left w:val="nil"/>
              <w:bottom w:val="nil"/>
              <w:right w:val="nil"/>
            </w:tcBorders>
            <w:shd w:val="clear" w:color="auto" w:fill="auto"/>
            <w:noWrap/>
            <w:vAlign w:val="bottom"/>
            <w:hideMark/>
          </w:tcPr>
          <w:p w:rsidR="00836BA0" w:rsidRPr="00CA3B69" w:rsidRDefault="00836BA0" w:rsidP="000D6EF8">
            <w:pPr>
              <w:rPr>
                <w:sz w:val="16"/>
                <w:szCs w:val="16"/>
                <w:lang w:val="en-GB" w:eastAsia="en-GB"/>
              </w:rPr>
            </w:pPr>
            <w:r w:rsidRPr="00CA3B69">
              <w:rPr>
                <w:sz w:val="16"/>
                <w:szCs w:val="16"/>
                <w:lang w:val="en-GB" w:eastAsia="en-GB"/>
              </w:rPr>
              <w:t>Property, plant and equipment</w:t>
            </w:r>
          </w:p>
        </w:tc>
        <w:tc>
          <w:tcPr>
            <w:tcW w:w="2181" w:type="dxa"/>
            <w:tcBorders>
              <w:top w:val="nil"/>
              <w:left w:val="nil"/>
              <w:bottom w:val="nil"/>
              <w:right w:val="nil"/>
            </w:tcBorders>
            <w:shd w:val="clear" w:color="auto" w:fill="auto"/>
            <w:noWrap/>
            <w:vAlign w:val="bottom"/>
            <w:hideMark/>
          </w:tcPr>
          <w:p w:rsidR="00836BA0" w:rsidRPr="00CA3B69" w:rsidRDefault="00836BA0" w:rsidP="00A200D5">
            <w:pPr>
              <w:jc w:val="right"/>
              <w:rPr>
                <w:sz w:val="16"/>
                <w:szCs w:val="16"/>
                <w:lang w:val="en-GB" w:eastAsia="en-GB"/>
              </w:rPr>
            </w:pPr>
            <w:r w:rsidRPr="00CA3B69">
              <w:rPr>
                <w:sz w:val="16"/>
                <w:szCs w:val="16"/>
                <w:lang w:val="en-GB" w:eastAsia="en-GB"/>
              </w:rPr>
              <w:t>1,355</w:t>
            </w:r>
          </w:p>
        </w:tc>
      </w:tr>
      <w:tr w:rsidR="00836BA0" w:rsidRPr="00836BA0" w:rsidTr="009439C7">
        <w:trPr>
          <w:trHeight w:val="185"/>
          <w:jc w:val="center"/>
        </w:trPr>
        <w:tc>
          <w:tcPr>
            <w:tcW w:w="1847" w:type="dxa"/>
            <w:tcBorders>
              <w:top w:val="nil"/>
              <w:left w:val="nil"/>
              <w:bottom w:val="single" w:sz="4" w:space="0" w:color="auto"/>
              <w:right w:val="nil"/>
            </w:tcBorders>
            <w:shd w:val="clear" w:color="auto" w:fill="auto"/>
            <w:noWrap/>
            <w:vAlign w:val="bottom"/>
            <w:hideMark/>
          </w:tcPr>
          <w:p w:rsidR="00836BA0" w:rsidRPr="00CA3B69" w:rsidRDefault="00836BA0" w:rsidP="00A200D5">
            <w:pPr>
              <w:jc w:val="right"/>
              <w:rPr>
                <w:sz w:val="16"/>
                <w:szCs w:val="16"/>
                <w:lang w:val="en-GB" w:eastAsia="en-GB"/>
              </w:rPr>
            </w:pPr>
            <w:r w:rsidRPr="00CA3B69">
              <w:rPr>
                <w:sz w:val="16"/>
                <w:szCs w:val="16"/>
                <w:lang w:val="en-GB" w:eastAsia="en-GB"/>
              </w:rPr>
              <w:t> </w:t>
            </w:r>
          </w:p>
        </w:tc>
        <w:tc>
          <w:tcPr>
            <w:tcW w:w="4365" w:type="dxa"/>
            <w:tcBorders>
              <w:top w:val="nil"/>
              <w:left w:val="nil"/>
              <w:bottom w:val="single" w:sz="4" w:space="0" w:color="auto"/>
              <w:right w:val="nil"/>
            </w:tcBorders>
            <w:shd w:val="clear" w:color="auto" w:fill="auto"/>
            <w:noWrap/>
            <w:vAlign w:val="bottom"/>
            <w:hideMark/>
          </w:tcPr>
          <w:p w:rsidR="00836BA0" w:rsidRPr="00CA3B69" w:rsidRDefault="00836BA0" w:rsidP="000D6EF8">
            <w:pPr>
              <w:rPr>
                <w:sz w:val="16"/>
                <w:szCs w:val="16"/>
                <w:lang w:val="en-GB" w:eastAsia="en-GB"/>
              </w:rPr>
            </w:pPr>
            <w:r w:rsidRPr="00CA3B69">
              <w:rPr>
                <w:sz w:val="16"/>
                <w:szCs w:val="16"/>
                <w:lang w:val="en-GB" w:eastAsia="en-GB"/>
              </w:rPr>
              <w:t> </w:t>
            </w:r>
          </w:p>
        </w:tc>
        <w:tc>
          <w:tcPr>
            <w:tcW w:w="2181" w:type="dxa"/>
            <w:tcBorders>
              <w:top w:val="nil"/>
              <w:left w:val="nil"/>
              <w:bottom w:val="single" w:sz="4" w:space="0" w:color="auto"/>
              <w:right w:val="nil"/>
            </w:tcBorders>
            <w:shd w:val="clear" w:color="auto" w:fill="auto"/>
            <w:noWrap/>
            <w:vAlign w:val="bottom"/>
            <w:hideMark/>
          </w:tcPr>
          <w:p w:rsidR="00836BA0" w:rsidRPr="00CA3B69" w:rsidRDefault="00836BA0" w:rsidP="00A200D5">
            <w:pPr>
              <w:jc w:val="right"/>
              <w:rPr>
                <w:sz w:val="16"/>
                <w:szCs w:val="16"/>
                <w:lang w:val="en-GB" w:eastAsia="en-GB"/>
              </w:rPr>
            </w:pPr>
            <w:r w:rsidRPr="00CA3B69">
              <w:rPr>
                <w:sz w:val="16"/>
                <w:szCs w:val="16"/>
                <w:lang w:val="en-GB" w:eastAsia="en-GB"/>
              </w:rPr>
              <w:t> </w:t>
            </w:r>
          </w:p>
        </w:tc>
      </w:tr>
      <w:tr w:rsidR="00836BA0" w:rsidRPr="00836BA0" w:rsidTr="009439C7">
        <w:trPr>
          <w:trHeight w:val="384"/>
          <w:jc w:val="center"/>
        </w:trPr>
        <w:tc>
          <w:tcPr>
            <w:tcW w:w="1847" w:type="dxa"/>
            <w:tcBorders>
              <w:top w:val="nil"/>
              <w:left w:val="nil"/>
              <w:bottom w:val="single" w:sz="8" w:space="0" w:color="auto"/>
              <w:right w:val="nil"/>
            </w:tcBorders>
            <w:shd w:val="clear" w:color="auto" w:fill="auto"/>
            <w:noWrap/>
            <w:vAlign w:val="bottom"/>
            <w:hideMark/>
          </w:tcPr>
          <w:p w:rsidR="00836BA0" w:rsidRPr="00CA3B69" w:rsidRDefault="00836BA0" w:rsidP="00A200D5">
            <w:pPr>
              <w:jc w:val="right"/>
              <w:rPr>
                <w:b/>
                <w:sz w:val="16"/>
                <w:szCs w:val="16"/>
                <w:lang w:val="en-GB" w:eastAsia="en-GB"/>
              </w:rPr>
            </w:pPr>
            <w:r w:rsidRPr="00CA3B69">
              <w:rPr>
                <w:b/>
                <w:sz w:val="16"/>
                <w:szCs w:val="16"/>
                <w:lang w:val="en-GB" w:eastAsia="en-GB"/>
              </w:rPr>
              <w:t>0</w:t>
            </w:r>
          </w:p>
        </w:tc>
        <w:tc>
          <w:tcPr>
            <w:tcW w:w="4365" w:type="dxa"/>
            <w:tcBorders>
              <w:top w:val="nil"/>
              <w:left w:val="nil"/>
              <w:bottom w:val="single" w:sz="8" w:space="0" w:color="auto"/>
              <w:right w:val="nil"/>
            </w:tcBorders>
            <w:shd w:val="clear" w:color="auto" w:fill="auto"/>
            <w:vAlign w:val="bottom"/>
            <w:hideMark/>
          </w:tcPr>
          <w:p w:rsidR="00836BA0" w:rsidRPr="00CA3B69" w:rsidRDefault="00836BA0" w:rsidP="000D6EF8">
            <w:pPr>
              <w:rPr>
                <w:b/>
                <w:sz w:val="16"/>
                <w:szCs w:val="16"/>
                <w:lang w:val="en-GB" w:eastAsia="en-GB"/>
              </w:rPr>
            </w:pPr>
            <w:r w:rsidRPr="00CA3B69">
              <w:rPr>
                <w:b/>
                <w:sz w:val="16"/>
                <w:szCs w:val="16"/>
                <w:lang w:val="en-GB" w:eastAsia="en-GB"/>
              </w:rPr>
              <w:t>Balance Outstanding at year end</w:t>
            </w:r>
          </w:p>
        </w:tc>
        <w:tc>
          <w:tcPr>
            <w:tcW w:w="2181" w:type="dxa"/>
            <w:tcBorders>
              <w:top w:val="nil"/>
              <w:left w:val="nil"/>
              <w:bottom w:val="single" w:sz="8" w:space="0" w:color="auto"/>
              <w:right w:val="nil"/>
            </w:tcBorders>
            <w:shd w:val="clear" w:color="auto" w:fill="auto"/>
            <w:noWrap/>
            <w:vAlign w:val="bottom"/>
            <w:hideMark/>
          </w:tcPr>
          <w:p w:rsidR="00836BA0" w:rsidRPr="00CA3B69" w:rsidRDefault="00836BA0" w:rsidP="00A200D5">
            <w:pPr>
              <w:jc w:val="right"/>
              <w:rPr>
                <w:b/>
                <w:sz w:val="16"/>
                <w:szCs w:val="16"/>
                <w:lang w:val="en-GB" w:eastAsia="en-GB"/>
              </w:rPr>
            </w:pPr>
            <w:r w:rsidRPr="00CA3B69">
              <w:rPr>
                <w:b/>
                <w:sz w:val="16"/>
                <w:szCs w:val="16"/>
                <w:lang w:val="en-GB" w:eastAsia="en-GB"/>
              </w:rPr>
              <w:t>1,355</w:t>
            </w:r>
          </w:p>
        </w:tc>
      </w:tr>
    </w:tbl>
    <w:p w:rsidR="00836BA0" w:rsidRPr="005359F2" w:rsidRDefault="00836BA0">
      <w:pPr>
        <w:pStyle w:val="Normal0"/>
        <w:spacing w:after="160" w:line="259" w:lineRule="auto"/>
        <w:rPr>
          <w:rFonts w:ascii="Verdana" w:hAnsi="Verdana"/>
          <w:sz w:val="22"/>
          <w:szCs w:val="22"/>
          <w:lang w:val="pt-BR"/>
        </w:rPr>
      </w:pPr>
    </w:p>
    <w:p w:rsidR="00CA6653" w:rsidRDefault="00836BA0" w:rsidP="00A31A9E">
      <w:pPr>
        <w:pStyle w:val="Heading1"/>
      </w:pPr>
      <w:bookmarkStart w:id="28" w:name="_Toc55900419"/>
      <w:r>
        <w:t>Note 17</w:t>
      </w:r>
      <w:r w:rsidR="00CA6653">
        <w:t xml:space="preserve"> - Creditors</w:t>
      </w:r>
      <w:bookmarkEnd w:id="28"/>
      <w:r w:rsidR="00CA6653">
        <w:t xml:space="preserve"> </w:t>
      </w:r>
    </w:p>
    <w:tbl>
      <w:tblPr>
        <w:tblW w:w="0" w:type="auto"/>
        <w:tblLayout w:type="fixed"/>
        <w:tblLook w:val="04A0" w:firstRow="1" w:lastRow="0" w:firstColumn="1" w:lastColumn="0" w:noHBand="0" w:noVBand="1"/>
      </w:tblPr>
      <w:tblGrid>
        <w:gridCol w:w="1570"/>
        <w:gridCol w:w="1570"/>
        <w:gridCol w:w="169"/>
        <w:gridCol w:w="2786"/>
        <w:gridCol w:w="1570"/>
        <w:gridCol w:w="1570"/>
      </w:tblGrid>
      <w:tr w:rsidR="00012485" w:rsidRPr="00012485" w:rsidTr="00012485">
        <w:trPr>
          <w:trHeight w:val="274"/>
        </w:trPr>
        <w:tc>
          <w:tcPr>
            <w:tcW w:w="1570" w:type="dxa"/>
            <w:vAlign w:val="bottom"/>
          </w:tcPr>
          <w:p w:rsidR="00012485" w:rsidRPr="00012485" w:rsidRDefault="00012485" w:rsidP="00012485">
            <w:pPr>
              <w:jc w:val="center"/>
              <w:rPr>
                <w:rFonts w:eastAsia="Verdana" w:cs="Verdana"/>
                <w:b/>
                <w:color w:val="000000"/>
                <w:sz w:val="16"/>
                <w:szCs w:val="20"/>
                <w:lang w:val="en-GB"/>
              </w:rPr>
            </w:pPr>
            <w:r w:rsidRPr="00012485">
              <w:rPr>
                <w:rFonts w:eastAsia="Verdana" w:cs="Verdana"/>
                <w:b/>
                <w:color w:val="000000"/>
                <w:sz w:val="16"/>
                <w:szCs w:val="20"/>
                <w:lang w:val="en-GB"/>
              </w:rPr>
              <w:t>31 March 201</w:t>
            </w:r>
            <w:r>
              <w:rPr>
                <w:rFonts w:eastAsia="Verdana" w:cs="Verdana"/>
                <w:b/>
                <w:color w:val="000000"/>
                <w:sz w:val="16"/>
                <w:szCs w:val="20"/>
                <w:lang w:val="en-GB"/>
              </w:rPr>
              <w:t>9</w:t>
            </w:r>
          </w:p>
          <w:p w:rsidR="00012485" w:rsidRPr="00012485" w:rsidRDefault="00012485" w:rsidP="00012485">
            <w:pPr>
              <w:jc w:val="center"/>
              <w:rPr>
                <w:rFonts w:eastAsia="Verdana" w:cs="Verdana"/>
                <w:b/>
                <w:color w:val="000000"/>
                <w:sz w:val="16"/>
                <w:szCs w:val="20"/>
                <w:lang w:val="en-GB"/>
              </w:rPr>
            </w:pPr>
            <w:r w:rsidRPr="00012485">
              <w:rPr>
                <w:rFonts w:eastAsia="Verdana" w:cs="Verdana"/>
                <w:b/>
                <w:color w:val="000000"/>
                <w:sz w:val="16"/>
                <w:szCs w:val="20"/>
                <w:lang w:val="en-GB"/>
              </w:rPr>
              <w:t>PCC</w:t>
            </w:r>
          </w:p>
        </w:tc>
        <w:tc>
          <w:tcPr>
            <w:tcW w:w="1570" w:type="dxa"/>
            <w:shd w:val="clear" w:color="auto" w:fill="auto"/>
            <w:tcMar>
              <w:top w:w="20" w:type="dxa"/>
              <w:left w:w="20" w:type="dxa"/>
              <w:bottom w:w="20" w:type="dxa"/>
              <w:right w:w="20" w:type="dxa"/>
            </w:tcMar>
            <w:vAlign w:val="bottom"/>
          </w:tcPr>
          <w:p w:rsidR="00012485" w:rsidRPr="00012485" w:rsidRDefault="00012485" w:rsidP="00012485">
            <w:pPr>
              <w:jc w:val="center"/>
              <w:rPr>
                <w:rFonts w:eastAsia="Verdana" w:cs="Verdana"/>
                <w:b/>
                <w:color w:val="000000"/>
                <w:sz w:val="16"/>
                <w:szCs w:val="20"/>
                <w:lang w:val="en-GB"/>
              </w:rPr>
            </w:pPr>
            <w:r w:rsidRPr="00012485">
              <w:rPr>
                <w:rFonts w:eastAsia="Verdana" w:cs="Verdana"/>
                <w:b/>
                <w:color w:val="000000"/>
                <w:sz w:val="16"/>
                <w:szCs w:val="20"/>
                <w:lang w:val="en-GB"/>
              </w:rPr>
              <w:t>31 March 201</w:t>
            </w:r>
            <w:r>
              <w:rPr>
                <w:rFonts w:eastAsia="Verdana" w:cs="Verdana"/>
                <w:b/>
                <w:color w:val="000000"/>
                <w:sz w:val="16"/>
                <w:szCs w:val="20"/>
                <w:lang w:val="en-GB"/>
              </w:rPr>
              <w:t>9</w:t>
            </w:r>
          </w:p>
          <w:p w:rsidR="00012485" w:rsidRPr="00012485" w:rsidRDefault="00012485" w:rsidP="00012485">
            <w:pPr>
              <w:jc w:val="center"/>
              <w:rPr>
                <w:rFonts w:eastAsia="Verdana" w:cs="Verdana"/>
                <w:b/>
                <w:color w:val="000000"/>
                <w:sz w:val="16"/>
                <w:szCs w:val="20"/>
                <w:lang w:val="en-GB"/>
              </w:rPr>
            </w:pPr>
            <w:r w:rsidRPr="00012485">
              <w:rPr>
                <w:rFonts w:eastAsia="Verdana" w:cs="Verdana"/>
                <w:b/>
                <w:color w:val="000000"/>
                <w:sz w:val="16"/>
                <w:szCs w:val="20"/>
                <w:lang w:val="en-GB"/>
              </w:rPr>
              <w:t>Group</w:t>
            </w:r>
          </w:p>
        </w:tc>
        <w:tc>
          <w:tcPr>
            <w:tcW w:w="169" w:type="dxa"/>
            <w:shd w:val="clear" w:color="auto" w:fill="auto"/>
            <w:tcMar>
              <w:top w:w="20" w:type="dxa"/>
              <w:left w:w="20" w:type="dxa"/>
              <w:bottom w:w="20" w:type="dxa"/>
              <w:right w:w="20" w:type="dxa"/>
            </w:tcMar>
            <w:vAlign w:val="bottom"/>
          </w:tcPr>
          <w:p w:rsidR="00012485" w:rsidRPr="00012485" w:rsidRDefault="00012485" w:rsidP="00012485">
            <w:pPr>
              <w:jc w:val="center"/>
              <w:rPr>
                <w:rFonts w:eastAsia="Verdana" w:cs="Verdana"/>
                <w:b/>
                <w:color w:val="000000"/>
                <w:sz w:val="2"/>
                <w:szCs w:val="20"/>
                <w:lang w:val="en-GB"/>
              </w:rPr>
            </w:pPr>
            <w:r w:rsidRPr="00012485">
              <w:rPr>
                <w:rFonts w:eastAsia="Verdana" w:cs="Verdana"/>
                <w:b/>
                <w:color w:val="000000"/>
                <w:sz w:val="2"/>
                <w:szCs w:val="20"/>
                <w:lang w:val="en-GB"/>
              </w:rPr>
              <w:t xml:space="preserve"> </w:t>
            </w:r>
          </w:p>
        </w:tc>
        <w:tc>
          <w:tcPr>
            <w:tcW w:w="2786" w:type="dxa"/>
            <w:shd w:val="clear" w:color="auto" w:fill="auto"/>
            <w:tcMar>
              <w:top w:w="20" w:type="dxa"/>
              <w:left w:w="20" w:type="dxa"/>
              <w:bottom w:w="20" w:type="dxa"/>
              <w:right w:w="20" w:type="dxa"/>
            </w:tcMar>
            <w:vAlign w:val="bottom"/>
          </w:tcPr>
          <w:p w:rsidR="00012485" w:rsidRPr="00012485" w:rsidRDefault="00012485" w:rsidP="00012485">
            <w:pPr>
              <w:jc w:val="center"/>
              <w:rPr>
                <w:rFonts w:ascii="Calibri" w:eastAsia="Calibri" w:hAnsi="Calibri" w:cs="Calibri"/>
                <w:color w:val="000000"/>
                <w:sz w:val="2"/>
                <w:szCs w:val="20"/>
                <w:lang w:val="en-GB"/>
              </w:rPr>
            </w:pPr>
            <w:r w:rsidRPr="00012485">
              <w:rPr>
                <w:rFonts w:ascii="Calibri" w:eastAsia="Calibri" w:hAnsi="Calibri" w:cs="Calibri"/>
                <w:color w:val="000000"/>
                <w:sz w:val="2"/>
                <w:szCs w:val="20"/>
                <w:lang w:val="en-GB"/>
              </w:rPr>
              <w:t xml:space="preserve"> </w:t>
            </w:r>
          </w:p>
        </w:tc>
        <w:tc>
          <w:tcPr>
            <w:tcW w:w="1570" w:type="dxa"/>
            <w:vAlign w:val="bottom"/>
          </w:tcPr>
          <w:p w:rsidR="00012485" w:rsidRPr="00012485" w:rsidRDefault="006C3848" w:rsidP="00012485">
            <w:pPr>
              <w:jc w:val="center"/>
              <w:rPr>
                <w:rFonts w:eastAsia="Verdana" w:cs="Verdana"/>
                <w:b/>
                <w:color w:val="000000"/>
                <w:sz w:val="16"/>
                <w:szCs w:val="20"/>
                <w:lang w:val="en-GB"/>
              </w:rPr>
            </w:pPr>
            <w:r>
              <w:rPr>
                <w:rFonts w:eastAsia="Verdana" w:cs="Verdana"/>
                <w:b/>
                <w:color w:val="000000"/>
                <w:sz w:val="16"/>
                <w:szCs w:val="20"/>
                <w:lang w:val="en-GB"/>
              </w:rPr>
              <w:t>31 March 2020</w:t>
            </w:r>
          </w:p>
          <w:p w:rsidR="00012485" w:rsidRPr="00012485" w:rsidRDefault="00012485" w:rsidP="00012485">
            <w:pPr>
              <w:jc w:val="center"/>
              <w:rPr>
                <w:rFonts w:eastAsia="Verdana" w:cs="Verdana"/>
                <w:b/>
                <w:color w:val="000000"/>
                <w:sz w:val="16"/>
                <w:szCs w:val="20"/>
                <w:lang w:val="en-GB"/>
              </w:rPr>
            </w:pPr>
            <w:r w:rsidRPr="00012485">
              <w:rPr>
                <w:rFonts w:eastAsia="Verdana" w:cs="Verdana"/>
                <w:b/>
                <w:color w:val="000000"/>
                <w:sz w:val="16"/>
                <w:szCs w:val="20"/>
                <w:lang w:val="en-GB"/>
              </w:rPr>
              <w:t>PCC</w:t>
            </w:r>
          </w:p>
        </w:tc>
        <w:tc>
          <w:tcPr>
            <w:tcW w:w="1570" w:type="dxa"/>
            <w:shd w:val="clear" w:color="auto" w:fill="auto"/>
            <w:tcMar>
              <w:top w:w="20" w:type="dxa"/>
              <w:left w:w="20" w:type="dxa"/>
              <w:bottom w:w="20" w:type="dxa"/>
              <w:right w:w="20" w:type="dxa"/>
            </w:tcMar>
            <w:vAlign w:val="bottom"/>
          </w:tcPr>
          <w:p w:rsidR="00012485" w:rsidRPr="00012485" w:rsidRDefault="00012485" w:rsidP="00012485">
            <w:pPr>
              <w:jc w:val="center"/>
              <w:rPr>
                <w:rFonts w:eastAsia="Verdana" w:cs="Verdana"/>
                <w:b/>
                <w:color w:val="000000"/>
                <w:sz w:val="16"/>
                <w:szCs w:val="20"/>
                <w:lang w:val="en-GB"/>
              </w:rPr>
            </w:pPr>
            <w:r w:rsidRPr="00012485">
              <w:rPr>
                <w:rFonts w:eastAsia="Verdana" w:cs="Verdana"/>
                <w:b/>
                <w:color w:val="000000"/>
                <w:sz w:val="16"/>
                <w:szCs w:val="20"/>
                <w:lang w:val="en-GB"/>
              </w:rPr>
              <w:t>31 March 20</w:t>
            </w:r>
            <w:r w:rsidR="006C3848">
              <w:rPr>
                <w:rFonts w:eastAsia="Verdana" w:cs="Verdana"/>
                <w:b/>
                <w:color w:val="000000"/>
                <w:sz w:val="16"/>
                <w:szCs w:val="20"/>
                <w:lang w:val="en-GB"/>
              </w:rPr>
              <w:t>20</w:t>
            </w:r>
          </w:p>
          <w:p w:rsidR="00012485" w:rsidRPr="00012485" w:rsidRDefault="00012485" w:rsidP="00012485">
            <w:pPr>
              <w:jc w:val="center"/>
              <w:rPr>
                <w:rFonts w:eastAsia="Verdana" w:cs="Verdana"/>
                <w:b/>
                <w:color w:val="000000"/>
                <w:sz w:val="16"/>
                <w:szCs w:val="20"/>
                <w:lang w:val="en-GB"/>
              </w:rPr>
            </w:pPr>
            <w:r w:rsidRPr="00012485">
              <w:rPr>
                <w:rFonts w:eastAsia="Verdana" w:cs="Verdana"/>
                <w:b/>
                <w:color w:val="000000"/>
                <w:sz w:val="16"/>
                <w:szCs w:val="20"/>
                <w:lang w:val="en-GB"/>
              </w:rPr>
              <w:t>Group</w:t>
            </w:r>
          </w:p>
        </w:tc>
      </w:tr>
      <w:tr w:rsidR="00012485" w:rsidRPr="00012485" w:rsidTr="00012485">
        <w:trPr>
          <w:trHeight w:val="274"/>
        </w:trPr>
        <w:tc>
          <w:tcPr>
            <w:tcW w:w="1570" w:type="dxa"/>
            <w:tcBorders>
              <w:bottom w:val="single" w:sz="2" w:space="0" w:color="000000"/>
            </w:tcBorders>
          </w:tcPr>
          <w:p w:rsidR="00012485" w:rsidRPr="00012485" w:rsidRDefault="00012485" w:rsidP="00012485">
            <w:pPr>
              <w:jc w:val="right"/>
              <w:rPr>
                <w:rFonts w:eastAsia="Verdana" w:cs="Verdana"/>
                <w:b/>
                <w:color w:val="000000"/>
                <w:sz w:val="16"/>
                <w:szCs w:val="20"/>
                <w:lang w:val="en-GB"/>
              </w:rPr>
            </w:pPr>
            <w:r w:rsidRPr="00012485">
              <w:rPr>
                <w:rFonts w:eastAsia="Verdana" w:cs="Verdana"/>
                <w:b/>
                <w:color w:val="000000"/>
                <w:sz w:val="16"/>
                <w:szCs w:val="20"/>
                <w:lang w:val="en-GB"/>
              </w:rPr>
              <w:t>£000</w:t>
            </w:r>
          </w:p>
        </w:tc>
        <w:tc>
          <w:tcPr>
            <w:tcW w:w="1570" w:type="dxa"/>
            <w:tcBorders>
              <w:bottom w:val="single" w:sz="2" w:space="0" w:color="000000"/>
            </w:tcBorders>
            <w:shd w:val="clear" w:color="auto" w:fill="auto"/>
            <w:tcMar>
              <w:top w:w="20" w:type="dxa"/>
              <w:left w:w="20" w:type="dxa"/>
              <w:bottom w:w="20" w:type="dxa"/>
              <w:right w:w="20" w:type="dxa"/>
            </w:tcMar>
          </w:tcPr>
          <w:p w:rsidR="00012485" w:rsidRPr="00012485" w:rsidRDefault="00012485" w:rsidP="00012485">
            <w:pPr>
              <w:jc w:val="right"/>
              <w:rPr>
                <w:rFonts w:eastAsia="Verdana" w:cs="Verdana"/>
                <w:b/>
                <w:color w:val="000000"/>
                <w:sz w:val="16"/>
                <w:szCs w:val="20"/>
                <w:lang w:val="en-GB"/>
              </w:rPr>
            </w:pPr>
            <w:r w:rsidRPr="00012485">
              <w:rPr>
                <w:rFonts w:eastAsia="Verdana" w:cs="Verdana"/>
                <w:b/>
                <w:color w:val="000000"/>
                <w:sz w:val="16"/>
                <w:szCs w:val="20"/>
                <w:lang w:val="en-GB"/>
              </w:rPr>
              <w:t>£000</w:t>
            </w:r>
          </w:p>
        </w:tc>
        <w:tc>
          <w:tcPr>
            <w:tcW w:w="169" w:type="dxa"/>
            <w:tcBorders>
              <w:bottom w:val="single" w:sz="2" w:space="0" w:color="000000"/>
            </w:tcBorders>
            <w:shd w:val="clear" w:color="auto" w:fill="auto"/>
            <w:tcMar>
              <w:top w:w="20" w:type="dxa"/>
              <w:left w:w="20" w:type="dxa"/>
              <w:bottom w:w="20" w:type="dxa"/>
              <w:right w:w="20" w:type="dxa"/>
            </w:tcMar>
          </w:tcPr>
          <w:p w:rsidR="00012485" w:rsidRPr="00012485" w:rsidRDefault="00012485" w:rsidP="00012485">
            <w:pPr>
              <w:jc w:val="right"/>
              <w:rPr>
                <w:rFonts w:eastAsia="Verdana" w:cs="Verdana"/>
                <w:b/>
                <w:color w:val="000000"/>
                <w:sz w:val="2"/>
                <w:szCs w:val="20"/>
                <w:lang w:val="en-GB"/>
              </w:rPr>
            </w:pPr>
            <w:r w:rsidRPr="00012485">
              <w:rPr>
                <w:rFonts w:eastAsia="Verdana" w:cs="Verdana"/>
                <w:b/>
                <w:color w:val="000000"/>
                <w:sz w:val="2"/>
                <w:szCs w:val="20"/>
                <w:lang w:val="en-GB"/>
              </w:rPr>
              <w:t xml:space="preserve"> </w:t>
            </w:r>
          </w:p>
        </w:tc>
        <w:tc>
          <w:tcPr>
            <w:tcW w:w="2786" w:type="dxa"/>
            <w:tcBorders>
              <w:bottom w:val="single" w:sz="2" w:space="0" w:color="000000"/>
            </w:tcBorders>
            <w:shd w:val="clear" w:color="auto" w:fill="auto"/>
            <w:tcMar>
              <w:top w:w="20" w:type="dxa"/>
              <w:left w:w="20" w:type="dxa"/>
              <w:bottom w:w="20" w:type="dxa"/>
              <w:right w:w="20" w:type="dxa"/>
            </w:tcMar>
          </w:tcPr>
          <w:p w:rsidR="00012485" w:rsidRPr="00012485" w:rsidRDefault="00012485" w:rsidP="00012485">
            <w:pPr>
              <w:jc w:val="right"/>
              <w:rPr>
                <w:rFonts w:eastAsia="Verdana" w:cs="Verdana"/>
                <w:b/>
                <w:color w:val="000000"/>
                <w:sz w:val="2"/>
                <w:szCs w:val="20"/>
                <w:lang w:val="en-GB"/>
              </w:rPr>
            </w:pPr>
            <w:r w:rsidRPr="00012485">
              <w:rPr>
                <w:rFonts w:eastAsia="Verdana" w:cs="Verdana"/>
                <w:b/>
                <w:color w:val="000000"/>
                <w:sz w:val="2"/>
                <w:szCs w:val="20"/>
                <w:lang w:val="en-GB"/>
              </w:rPr>
              <w:t xml:space="preserve"> </w:t>
            </w:r>
          </w:p>
        </w:tc>
        <w:tc>
          <w:tcPr>
            <w:tcW w:w="1570" w:type="dxa"/>
            <w:tcBorders>
              <w:bottom w:val="single" w:sz="2" w:space="0" w:color="000000"/>
            </w:tcBorders>
          </w:tcPr>
          <w:p w:rsidR="00012485" w:rsidRPr="00012485" w:rsidRDefault="00012485" w:rsidP="00012485">
            <w:pPr>
              <w:jc w:val="right"/>
              <w:rPr>
                <w:rFonts w:eastAsia="Verdana" w:cs="Verdana"/>
                <w:b/>
                <w:color w:val="000000"/>
                <w:sz w:val="16"/>
                <w:szCs w:val="20"/>
                <w:lang w:val="en-GB"/>
              </w:rPr>
            </w:pPr>
            <w:r w:rsidRPr="00012485">
              <w:rPr>
                <w:rFonts w:eastAsia="Verdana" w:cs="Verdana"/>
                <w:b/>
                <w:color w:val="000000"/>
                <w:sz w:val="16"/>
                <w:szCs w:val="20"/>
                <w:lang w:val="en-GB"/>
              </w:rPr>
              <w:t>£000</w:t>
            </w:r>
          </w:p>
        </w:tc>
        <w:tc>
          <w:tcPr>
            <w:tcW w:w="1570" w:type="dxa"/>
            <w:tcBorders>
              <w:bottom w:val="single" w:sz="2" w:space="0" w:color="000000"/>
            </w:tcBorders>
            <w:shd w:val="clear" w:color="auto" w:fill="auto"/>
            <w:tcMar>
              <w:top w:w="20" w:type="dxa"/>
              <w:left w:w="20" w:type="dxa"/>
              <w:bottom w:w="20" w:type="dxa"/>
              <w:right w:w="20" w:type="dxa"/>
            </w:tcMar>
          </w:tcPr>
          <w:p w:rsidR="00012485" w:rsidRPr="00012485" w:rsidRDefault="00012485" w:rsidP="00012485">
            <w:pPr>
              <w:jc w:val="right"/>
              <w:rPr>
                <w:rFonts w:eastAsia="Verdana" w:cs="Verdana"/>
                <w:b/>
                <w:color w:val="000000"/>
                <w:sz w:val="16"/>
                <w:szCs w:val="20"/>
                <w:lang w:val="en-GB"/>
              </w:rPr>
            </w:pPr>
            <w:r w:rsidRPr="00012485">
              <w:rPr>
                <w:rFonts w:eastAsia="Verdana" w:cs="Verdana"/>
                <w:b/>
                <w:color w:val="000000"/>
                <w:sz w:val="16"/>
                <w:szCs w:val="20"/>
                <w:lang w:val="en-GB"/>
              </w:rPr>
              <w:t>£000</w:t>
            </w:r>
          </w:p>
        </w:tc>
      </w:tr>
      <w:tr w:rsidR="00012485" w:rsidRPr="00012485" w:rsidTr="00012485">
        <w:trPr>
          <w:trHeight w:val="274"/>
        </w:trPr>
        <w:tc>
          <w:tcPr>
            <w:tcW w:w="1570" w:type="dxa"/>
          </w:tcPr>
          <w:p w:rsidR="00012485" w:rsidRPr="00012485" w:rsidRDefault="00012485">
            <w:pPr>
              <w:jc w:val="right"/>
              <w:rPr>
                <w:rFonts w:eastAsia="Verdana" w:cs="Verdana"/>
                <w:color w:val="000000"/>
                <w:sz w:val="16"/>
                <w:szCs w:val="20"/>
                <w:lang w:val="en-GB"/>
              </w:rPr>
            </w:pPr>
            <w:r w:rsidRPr="00012485">
              <w:rPr>
                <w:rFonts w:eastAsia="Verdana" w:cs="Verdana"/>
                <w:color w:val="000000"/>
                <w:sz w:val="16"/>
                <w:szCs w:val="20"/>
                <w:lang w:val="en-GB"/>
              </w:rPr>
              <w:t>(</w:t>
            </w:r>
            <w:r w:rsidR="004C5BF8">
              <w:rPr>
                <w:rFonts w:eastAsia="Verdana" w:cs="Verdana"/>
                <w:color w:val="000000"/>
                <w:sz w:val="16"/>
                <w:szCs w:val="20"/>
                <w:lang w:val="en-GB"/>
              </w:rPr>
              <w:t>2</w:t>
            </w:r>
            <w:r w:rsidR="006C3848">
              <w:rPr>
                <w:rFonts w:eastAsia="Verdana" w:cs="Verdana"/>
                <w:color w:val="000000"/>
                <w:sz w:val="16"/>
                <w:szCs w:val="20"/>
                <w:lang w:val="en-GB"/>
              </w:rPr>
              <w:t>,</w:t>
            </w:r>
            <w:r w:rsidR="004C5BF8">
              <w:rPr>
                <w:rFonts w:eastAsia="Verdana" w:cs="Verdana"/>
                <w:color w:val="000000"/>
                <w:sz w:val="16"/>
                <w:szCs w:val="20"/>
                <w:lang w:val="en-GB"/>
              </w:rPr>
              <w:t>100</w:t>
            </w:r>
            <w:r w:rsidRPr="00012485">
              <w:rPr>
                <w:rFonts w:eastAsia="Verdana" w:cs="Verdana"/>
                <w:color w:val="000000"/>
                <w:sz w:val="16"/>
                <w:szCs w:val="20"/>
                <w:lang w:val="en-GB"/>
              </w:rPr>
              <w:t>)</w:t>
            </w:r>
          </w:p>
        </w:tc>
        <w:tc>
          <w:tcPr>
            <w:tcW w:w="1570" w:type="dxa"/>
            <w:shd w:val="clear" w:color="auto" w:fill="auto"/>
            <w:tcMar>
              <w:top w:w="20" w:type="dxa"/>
              <w:left w:w="20" w:type="dxa"/>
              <w:bottom w:w="20" w:type="dxa"/>
              <w:right w:w="20" w:type="dxa"/>
            </w:tcMar>
          </w:tcPr>
          <w:p w:rsidR="00012485" w:rsidRPr="00012485" w:rsidRDefault="006C3848">
            <w:pPr>
              <w:jc w:val="right"/>
              <w:rPr>
                <w:rFonts w:eastAsia="Verdana" w:cs="Verdana"/>
                <w:color w:val="000000"/>
                <w:sz w:val="16"/>
                <w:szCs w:val="20"/>
                <w:lang w:val="en-GB"/>
              </w:rPr>
            </w:pPr>
            <w:r>
              <w:rPr>
                <w:rFonts w:eastAsia="Verdana" w:cs="Verdana"/>
                <w:color w:val="000000"/>
                <w:sz w:val="16"/>
                <w:szCs w:val="20"/>
                <w:lang w:val="en-GB"/>
              </w:rPr>
              <w:t>(</w:t>
            </w:r>
            <w:r w:rsidR="004C5BF8">
              <w:rPr>
                <w:rFonts w:eastAsia="Verdana" w:cs="Verdana"/>
                <w:color w:val="000000"/>
                <w:sz w:val="16"/>
                <w:szCs w:val="20"/>
                <w:lang w:val="en-GB"/>
              </w:rPr>
              <w:t>2</w:t>
            </w:r>
            <w:r>
              <w:rPr>
                <w:rFonts w:eastAsia="Verdana" w:cs="Verdana"/>
                <w:color w:val="000000"/>
                <w:sz w:val="16"/>
                <w:szCs w:val="20"/>
                <w:lang w:val="en-GB"/>
              </w:rPr>
              <w:t>,</w:t>
            </w:r>
            <w:r w:rsidR="004C5BF8">
              <w:rPr>
                <w:rFonts w:eastAsia="Verdana" w:cs="Verdana"/>
                <w:color w:val="000000"/>
                <w:sz w:val="16"/>
                <w:szCs w:val="20"/>
                <w:lang w:val="en-GB"/>
              </w:rPr>
              <w:t>100</w:t>
            </w:r>
            <w:r w:rsidR="00012485" w:rsidRPr="00012485">
              <w:rPr>
                <w:rFonts w:eastAsia="Verdana" w:cs="Verdana"/>
                <w:color w:val="000000"/>
                <w:sz w:val="16"/>
                <w:szCs w:val="20"/>
                <w:lang w:val="en-GB"/>
              </w:rPr>
              <w:t>)</w:t>
            </w:r>
          </w:p>
        </w:tc>
        <w:tc>
          <w:tcPr>
            <w:tcW w:w="169" w:type="dxa"/>
            <w:shd w:val="clear" w:color="auto" w:fill="auto"/>
            <w:tcMar>
              <w:top w:w="20" w:type="dxa"/>
              <w:left w:w="20" w:type="dxa"/>
              <w:bottom w:w="20" w:type="dxa"/>
              <w:right w:w="20" w:type="dxa"/>
            </w:tcMar>
          </w:tcPr>
          <w:p w:rsidR="00012485" w:rsidRPr="00012485" w:rsidRDefault="00012485" w:rsidP="00012485">
            <w:pPr>
              <w:jc w:val="center"/>
              <w:rPr>
                <w:rFonts w:eastAsia="Verdana" w:cs="Verdana"/>
                <w:color w:val="000000"/>
                <w:sz w:val="2"/>
                <w:szCs w:val="20"/>
                <w:lang w:val="en-GB"/>
              </w:rPr>
            </w:pPr>
            <w:r w:rsidRPr="00012485">
              <w:rPr>
                <w:rFonts w:eastAsia="Verdana" w:cs="Verdana"/>
                <w:color w:val="000000"/>
                <w:sz w:val="2"/>
                <w:szCs w:val="20"/>
                <w:lang w:val="en-GB"/>
              </w:rPr>
              <w:t xml:space="preserve"> </w:t>
            </w:r>
          </w:p>
        </w:tc>
        <w:tc>
          <w:tcPr>
            <w:tcW w:w="2786" w:type="dxa"/>
            <w:shd w:val="clear" w:color="auto" w:fill="auto"/>
            <w:tcMar>
              <w:top w:w="20" w:type="dxa"/>
              <w:left w:w="20" w:type="dxa"/>
              <w:bottom w:w="20" w:type="dxa"/>
              <w:right w:w="20" w:type="dxa"/>
            </w:tcMar>
          </w:tcPr>
          <w:p w:rsidR="00012485" w:rsidRPr="00012485" w:rsidRDefault="00012485" w:rsidP="00012485">
            <w:pPr>
              <w:rPr>
                <w:rFonts w:eastAsia="Verdana" w:cs="Verdana"/>
                <w:color w:val="000000"/>
                <w:sz w:val="16"/>
                <w:szCs w:val="20"/>
                <w:lang w:val="en-GB"/>
              </w:rPr>
            </w:pPr>
            <w:r w:rsidRPr="00012485">
              <w:rPr>
                <w:rFonts w:eastAsia="Verdana" w:cs="Verdana"/>
                <w:color w:val="000000"/>
                <w:sz w:val="16"/>
                <w:szCs w:val="20"/>
                <w:lang w:val="en-GB"/>
              </w:rPr>
              <w:t>Trade payables</w:t>
            </w:r>
          </w:p>
        </w:tc>
        <w:tc>
          <w:tcPr>
            <w:tcW w:w="1570" w:type="dxa"/>
          </w:tcPr>
          <w:p w:rsidR="00012485" w:rsidRPr="00012485" w:rsidRDefault="00012485">
            <w:pPr>
              <w:jc w:val="right"/>
              <w:rPr>
                <w:rFonts w:eastAsia="Verdana" w:cs="Verdana"/>
                <w:color w:val="000000"/>
                <w:sz w:val="16"/>
                <w:szCs w:val="20"/>
                <w:lang w:val="en-GB"/>
              </w:rPr>
            </w:pPr>
            <w:r>
              <w:rPr>
                <w:rFonts w:eastAsia="Verdana" w:cs="Verdana"/>
                <w:color w:val="000000"/>
                <w:sz w:val="16"/>
                <w:szCs w:val="20"/>
                <w:lang w:val="en-GB"/>
              </w:rPr>
              <w:t>(136</w:t>
            </w:r>
            <w:r w:rsidRPr="00012485">
              <w:rPr>
                <w:rFonts w:eastAsia="Verdana" w:cs="Verdana"/>
                <w:color w:val="000000"/>
                <w:sz w:val="16"/>
                <w:szCs w:val="20"/>
                <w:lang w:val="en-GB"/>
              </w:rPr>
              <w:t>)</w:t>
            </w:r>
          </w:p>
        </w:tc>
        <w:tc>
          <w:tcPr>
            <w:tcW w:w="1570" w:type="dxa"/>
            <w:shd w:val="clear" w:color="auto" w:fill="auto"/>
            <w:tcMar>
              <w:top w:w="20" w:type="dxa"/>
              <w:left w:w="20" w:type="dxa"/>
              <w:bottom w:w="20" w:type="dxa"/>
              <w:right w:w="20" w:type="dxa"/>
            </w:tcMar>
          </w:tcPr>
          <w:p w:rsidR="00012485" w:rsidRPr="00012485" w:rsidRDefault="00012485">
            <w:pPr>
              <w:jc w:val="right"/>
              <w:rPr>
                <w:rFonts w:eastAsia="Verdana" w:cs="Verdana"/>
                <w:color w:val="000000"/>
                <w:sz w:val="16"/>
                <w:szCs w:val="20"/>
                <w:lang w:val="en-GB"/>
              </w:rPr>
            </w:pPr>
            <w:r w:rsidRPr="00012485">
              <w:rPr>
                <w:rFonts w:eastAsia="Verdana" w:cs="Verdana"/>
                <w:color w:val="000000"/>
                <w:sz w:val="16"/>
                <w:szCs w:val="20"/>
                <w:lang w:val="en-GB"/>
              </w:rPr>
              <w:t>(</w:t>
            </w:r>
            <w:r>
              <w:rPr>
                <w:rFonts w:eastAsia="Verdana" w:cs="Verdana"/>
                <w:color w:val="000000"/>
                <w:sz w:val="16"/>
                <w:szCs w:val="20"/>
                <w:lang w:val="en-GB"/>
              </w:rPr>
              <w:t>136</w:t>
            </w:r>
            <w:r w:rsidRPr="00012485">
              <w:rPr>
                <w:rFonts w:eastAsia="Verdana" w:cs="Verdana"/>
                <w:color w:val="000000"/>
                <w:sz w:val="16"/>
                <w:szCs w:val="20"/>
                <w:lang w:val="en-GB"/>
              </w:rPr>
              <w:t>)</w:t>
            </w:r>
          </w:p>
        </w:tc>
      </w:tr>
      <w:tr w:rsidR="00012485" w:rsidRPr="00012485" w:rsidTr="00012485">
        <w:trPr>
          <w:trHeight w:val="274"/>
        </w:trPr>
        <w:tc>
          <w:tcPr>
            <w:tcW w:w="1570" w:type="dxa"/>
          </w:tcPr>
          <w:p w:rsidR="00012485" w:rsidRPr="00012485" w:rsidRDefault="00012485">
            <w:pPr>
              <w:jc w:val="right"/>
              <w:rPr>
                <w:rFonts w:eastAsia="Verdana" w:cs="Verdana"/>
                <w:color w:val="000000"/>
                <w:sz w:val="16"/>
                <w:szCs w:val="20"/>
                <w:lang w:val="en-GB"/>
              </w:rPr>
            </w:pPr>
            <w:r w:rsidRPr="004C5BF8">
              <w:rPr>
                <w:rFonts w:eastAsia="Verdana" w:cs="Verdana"/>
                <w:color w:val="000000"/>
                <w:sz w:val="16"/>
                <w:szCs w:val="20"/>
                <w:lang w:val="en-GB"/>
              </w:rPr>
              <w:t>(23,012)</w:t>
            </w:r>
          </w:p>
        </w:tc>
        <w:tc>
          <w:tcPr>
            <w:tcW w:w="1570" w:type="dxa"/>
            <w:shd w:val="clear" w:color="auto" w:fill="auto"/>
            <w:tcMar>
              <w:top w:w="20" w:type="dxa"/>
              <w:left w:w="20" w:type="dxa"/>
              <w:bottom w:w="20" w:type="dxa"/>
              <w:right w:w="20" w:type="dxa"/>
            </w:tcMar>
          </w:tcPr>
          <w:p w:rsidR="00012485" w:rsidRPr="00012485" w:rsidRDefault="00012485">
            <w:pPr>
              <w:jc w:val="right"/>
              <w:rPr>
                <w:rFonts w:eastAsia="Verdana" w:cs="Verdana"/>
                <w:color w:val="000000"/>
                <w:sz w:val="16"/>
                <w:szCs w:val="20"/>
                <w:lang w:val="en-GB"/>
              </w:rPr>
            </w:pPr>
            <w:r w:rsidRPr="00012485">
              <w:rPr>
                <w:rFonts w:eastAsia="Verdana" w:cs="Verdana"/>
                <w:color w:val="000000"/>
                <w:sz w:val="16"/>
                <w:szCs w:val="20"/>
                <w:lang w:val="en-GB"/>
              </w:rPr>
              <w:t>(</w:t>
            </w:r>
            <w:r>
              <w:rPr>
                <w:rFonts w:eastAsia="Verdana" w:cs="Verdana"/>
                <w:color w:val="000000"/>
                <w:sz w:val="16"/>
                <w:szCs w:val="20"/>
                <w:lang w:val="en-GB"/>
              </w:rPr>
              <w:t>23,9</w:t>
            </w:r>
            <w:r w:rsidR="004C5BF8">
              <w:rPr>
                <w:rFonts w:eastAsia="Verdana" w:cs="Verdana"/>
                <w:color w:val="000000"/>
                <w:sz w:val="16"/>
                <w:szCs w:val="20"/>
                <w:lang w:val="en-GB"/>
              </w:rPr>
              <w:t>20</w:t>
            </w:r>
            <w:r w:rsidRPr="00012485">
              <w:rPr>
                <w:rFonts w:eastAsia="Verdana" w:cs="Verdana"/>
                <w:color w:val="000000"/>
                <w:sz w:val="16"/>
                <w:szCs w:val="20"/>
                <w:lang w:val="en-GB"/>
              </w:rPr>
              <w:t>)</w:t>
            </w:r>
          </w:p>
        </w:tc>
        <w:tc>
          <w:tcPr>
            <w:tcW w:w="169" w:type="dxa"/>
            <w:shd w:val="clear" w:color="auto" w:fill="auto"/>
            <w:tcMar>
              <w:top w:w="20" w:type="dxa"/>
              <w:left w:w="20" w:type="dxa"/>
              <w:bottom w:w="20" w:type="dxa"/>
              <w:right w:w="20" w:type="dxa"/>
            </w:tcMar>
          </w:tcPr>
          <w:p w:rsidR="00012485" w:rsidRPr="00012485" w:rsidRDefault="00012485" w:rsidP="00012485">
            <w:pPr>
              <w:jc w:val="center"/>
              <w:rPr>
                <w:rFonts w:eastAsia="Verdana" w:cs="Verdana"/>
                <w:color w:val="000000"/>
                <w:sz w:val="2"/>
                <w:szCs w:val="20"/>
                <w:lang w:val="en-GB"/>
              </w:rPr>
            </w:pPr>
            <w:r w:rsidRPr="00012485">
              <w:rPr>
                <w:rFonts w:eastAsia="Verdana" w:cs="Verdana"/>
                <w:color w:val="000000"/>
                <w:sz w:val="2"/>
                <w:szCs w:val="20"/>
                <w:lang w:val="en-GB"/>
              </w:rPr>
              <w:t xml:space="preserve"> </w:t>
            </w:r>
          </w:p>
        </w:tc>
        <w:tc>
          <w:tcPr>
            <w:tcW w:w="2786" w:type="dxa"/>
            <w:shd w:val="clear" w:color="auto" w:fill="auto"/>
            <w:tcMar>
              <w:top w:w="20" w:type="dxa"/>
              <w:left w:w="20" w:type="dxa"/>
              <w:bottom w:w="20" w:type="dxa"/>
              <w:right w:w="20" w:type="dxa"/>
            </w:tcMar>
          </w:tcPr>
          <w:p w:rsidR="00012485" w:rsidRPr="00012485" w:rsidRDefault="00012485" w:rsidP="00012485">
            <w:pPr>
              <w:rPr>
                <w:rFonts w:eastAsia="Verdana" w:cs="Verdana"/>
                <w:color w:val="000000"/>
                <w:sz w:val="16"/>
                <w:szCs w:val="20"/>
                <w:lang w:val="en-GB"/>
              </w:rPr>
            </w:pPr>
            <w:r w:rsidRPr="00012485">
              <w:rPr>
                <w:rFonts w:eastAsia="Verdana" w:cs="Verdana"/>
                <w:color w:val="000000"/>
                <w:sz w:val="16"/>
                <w:szCs w:val="20"/>
                <w:lang w:val="en-GB"/>
              </w:rPr>
              <w:t>Other payables</w:t>
            </w:r>
          </w:p>
        </w:tc>
        <w:tc>
          <w:tcPr>
            <w:tcW w:w="1570" w:type="dxa"/>
          </w:tcPr>
          <w:p w:rsidR="00012485" w:rsidRPr="00012485" w:rsidRDefault="00012485">
            <w:pPr>
              <w:jc w:val="right"/>
              <w:rPr>
                <w:rFonts w:eastAsia="Verdana" w:cs="Verdana"/>
                <w:color w:val="000000"/>
                <w:sz w:val="16"/>
                <w:szCs w:val="20"/>
                <w:lang w:val="en-GB"/>
              </w:rPr>
            </w:pPr>
            <w:r w:rsidRPr="00012485">
              <w:rPr>
                <w:rFonts w:eastAsia="Verdana" w:cs="Verdana"/>
                <w:color w:val="000000"/>
                <w:sz w:val="16"/>
                <w:szCs w:val="20"/>
                <w:lang w:val="en-GB"/>
              </w:rPr>
              <w:t>(</w:t>
            </w:r>
            <w:r w:rsidR="00DA083F">
              <w:rPr>
                <w:rFonts w:eastAsia="Verdana" w:cs="Verdana"/>
                <w:color w:val="000000"/>
                <w:sz w:val="16"/>
                <w:szCs w:val="20"/>
                <w:lang w:val="en-GB"/>
              </w:rPr>
              <w:t>25,307</w:t>
            </w:r>
            <w:r w:rsidRPr="00012485">
              <w:rPr>
                <w:rFonts w:eastAsia="Verdana" w:cs="Verdana"/>
                <w:color w:val="000000"/>
                <w:sz w:val="16"/>
                <w:szCs w:val="20"/>
                <w:lang w:val="en-GB"/>
              </w:rPr>
              <w:t>)</w:t>
            </w:r>
          </w:p>
        </w:tc>
        <w:tc>
          <w:tcPr>
            <w:tcW w:w="1570" w:type="dxa"/>
            <w:shd w:val="clear" w:color="auto" w:fill="auto"/>
            <w:tcMar>
              <w:top w:w="20" w:type="dxa"/>
              <w:left w:w="20" w:type="dxa"/>
              <w:bottom w:w="20" w:type="dxa"/>
              <w:right w:w="20" w:type="dxa"/>
            </w:tcMar>
          </w:tcPr>
          <w:p w:rsidR="00012485" w:rsidRPr="00012485" w:rsidRDefault="00012485">
            <w:pPr>
              <w:jc w:val="right"/>
              <w:rPr>
                <w:rFonts w:eastAsia="Verdana" w:cs="Verdana"/>
                <w:color w:val="000000"/>
                <w:sz w:val="16"/>
                <w:szCs w:val="20"/>
                <w:lang w:val="en-GB"/>
              </w:rPr>
            </w:pPr>
            <w:r w:rsidRPr="00012485">
              <w:rPr>
                <w:rFonts w:eastAsia="Verdana" w:cs="Verdana"/>
                <w:color w:val="000000"/>
                <w:sz w:val="16"/>
                <w:szCs w:val="20"/>
                <w:lang w:val="en-GB"/>
              </w:rPr>
              <w:t>(</w:t>
            </w:r>
            <w:r>
              <w:rPr>
                <w:rFonts w:eastAsia="Verdana" w:cs="Verdana"/>
                <w:color w:val="000000"/>
                <w:sz w:val="16"/>
                <w:szCs w:val="20"/>
                <w:lang w:val="en-GB"/>
              </w:rPr>
              <w:t>26,359</w:t>
            </w:r>
            <w:r w:rsidRPr="00012485">
              <w:rPr>
                <w:rFonts w:eastAsia="Verdana" w:cs="Verdana"/>
                <w:color w:val="000000"/>
                <w:sz w:val="16"/>
                <w:szCs w:val="20"/>
                <w:lang w:val="en-GB"/>
              </w:rPr>
              <w:t>)</w:t>
            </w:r>
          </w:p>
        </w:tc>
      </w:tr>
      <w:tr w:rsidR="00012485" w:rsidRPr="00012485" w:rsidTr="00012485">
        <w:trPr>
          <w:trHeight w:val="274"/>
        </w:trPr>
        <w:tc>
          <w:tcPr>
            <w:tcW w:w="1570" w:type="dxa"/>
          </w:tcPr>
          <w:p w:rsidR="00012485" w:rsidRDefault="00DA083F" w:rsidP="00012485">
            <w:pPr>
              <w:jc w:val="right"/>
              <w:rPr>
                <w:rFonts w:eastAsia="Verdana" w:cs="Verdana"/>
                <w:color w:val="000000"/>
                <w:sz w:val="16"/>
                <w:szCs w:val="20"/>
                <w:lang w:val="en-GB"/>
              </w:rPr>
            </w:pPr>
            <w:r>
              <w:rPr>
                <w:rFonts w:eastAsia="Verdana" w:cs="Verdana"/>
                <w:color w:val="000000"/>
                <w:sz w:val="16"/>
                <w:szCs w:val="20"/>
                <w:lang w:val="en-GB"/>
              </w:rPr>
              <w:t>0</w:t>
            </w:r>
          </w:p>
        </w:tc>
        <w:tc>
          <w:tcPr>
            <w:tcW w:w="1570" w:type="dxa"/>
            <w:shd w:val="clear" w:color="auto" w:fill="auto"/>
            <w:tcMar>
              <w:top w:w="20" w:type="dxa"/>
              <w:left w:w="20" w:type="dxa"/>
              <w:bottom w:w="20" w:type="dxa"/>
              <w:right w:w="20" w:type="dxa"/>
            </w:tcMar>
          </w:tcPr>
          <w:p w:rsidR="00012485" w:rsidRPr="00012485" w:rsidRDefault="004C5BF8" w:rsidP="00012485">
            <w:pPr>
              <w:jc w:val="right"/>
              <w:rPr>
                <w:rFonts w:eastAsia="Verdana" w:cs="Verdana"/>
                <w:color w:val="000000"/>
                <w:sz w:val="16"/>
                <w:szCs w:val="20"/>
                <w:lang w:val="en-GB"/>
              </w:rPr>
            </w:pPr>
            <w:r>
              <w:rPr>
                <w:rFonts w:eastAsia="Verdana" w:cs="Verdana"/>
                <w:color w:val="000000"/>
                <w:sz w:val="16"/>
                <w:szCs w:val="20"/>
                <w:lang w:val="en-GB"/>
              </w:rPr>
              <w:t>(1)</w:t>
            </w:r>
          </w:p>
        </w:tc>
        <w:tc>
          <w:tcPr>
            <w:tcW w:w="169" w:type="dxa"/>
            <w:shd w:val="clear" w:color="auto" w:fill="auto"/>
            <w:tcMar>
              <w:top w:w="20" w:type="dxa"/>
              <w:left w:w="20" w:type="dxa"/>
              <w:bottom w:w="20" w:type="dxa"/>
              <w:right w:w="20" w:type="dxa"/>
            </w:tcMar>
          </w:tcPr>
          <w:p w:rsidR="00012485" w:rsidRPr="00012485" w:rsidRDefault="00012485" w:rsidP="00012485">
            <w:pPr>
              <w:jc w:val="center"/>
              <w:rPr>
                <w:rFonts w:eastAsia="Verdana" w:cs="Verdana"/>
                <w:color w:val="000000"/>
                <w:sz w:val="2"/>
                <w:szCs w:val="20"/>
                <w:lang w:val="en-GB"/>
              </w:rPr>
            </w:pPr>
          </w:p>
        </w:tc>
        <w:tc>
          <w:tcPr>
            <w:tcW w:w="2786" w:type="dxa"/>
            <w:shd w:val="clear" w:color="auto" w:fill="auto"/>
            <w:tcMar>
              <w:top w:w="20" w:type="dxa"/>
              <w:left w:w="20" w:type="dxa"/>
              <w:bottom w:w="20" w:type="dxa"/>
              <w:right w:w="20" w:type="dxa"/>
            </w:tcMar>
          </w:tcPr>
          <w:p w:rsidR="00012485" w:rsidRPr="00012485" w:rsidRDefault="00DA083F" w:rsidP="00012485">
            <w:pPr>
              <w:rPr>
                <w:rFonts w:eastAsia="Verdana" w:cs="Verdana"/>
                <w:color w:val="000000"/>
                <w:sz w:val="16"/>
                <w:szCs w:val="20"/>
                <w:lang w:val="en-GB"/>
              </w:rPr>
            </w:pPr>
            <w:r>
              <w:rPr>
                <w:rFonts w:eastAsia="Verdana" w:cs="Verdana"/>
                <w:color w:val="000000"/>
                <w:sz w:val="16"/>
                <w:szCs w:val="20"/>
                <w:lang w:val="en-GB"/>
              </w:rPr>
              <w:t>Rounding</w:t>
            </w:r>
          </w:p>
        </w:tc>
        <w:tc>
          <w:tcPr>
            <w:tcW w:w="1570" w:type="dxa"/>
          </w:tcPr>
          <w:p w:rsidR="00012485" w:rsidRPr="00012485" w:rsidRDefault="00012485" w:rsidP="00012485">
            <w:pPr>
              <w:jc w:val="right"/>
              <w:rPr>
                <w:rFonts w:eastAsia="Verdana" w:cs="Verdana"/>
                <w:color w:val="000000"/>
                <w:sz w:val="16"/>
                <w:szCs w:val="20"/>
                <w:lang w:val="en-GB"/>
              </w:rPr>
            </w:pPr>
          </w:p>
        </w:tc>
        <w:tc>
          <w:tcPr>
            <w:tcW w:w="1570" w:type="dxa"/>
            <w:shd w:val="clear" w:color="auto" w:fill="auto"/>
            <w:tcMar>
              <w:top w:w="20" w:type="dxa"/>
              <w:left w:w="20" w:type="dxa"/>
              <w:bottom w:w="20" w:type="dxa"/>
              <w:right w:w="20" w:type="dxa"/>
            </w:tcMar>
          </w:tcPr>
          <w:p w:rsidR="00012485" w:rsidRPr="00012485" w:rsidRDefault="00DA083F" w:rsidP="00012485">
            <w:pPr>
              <w:jc w:val="right"/>
              <w:rPr>
                <w:rFonts w:eastAsia="Verdana" w:cs="Verdana"/>
                <w:color w:val="000000"/>
                <w:sz w:val="16"/>
                <w:szCs w:val="20"/>
                <w:lang w:val="en-GB"/>
              </w:rPr>
            </w:pPr>
            <w:r>
              <w:rPr>
                <w:rFonts w:eastAsia="Verdana" w:cs="Verdana"/>
                <w:color w:val="000000"/>
                <w:sz w:val="16"/>
                <w:szCs w:val="20"/>
                <w:lang w:val="en-GB"/>
              </w:rPr>
              <w:t>(1)</w:t>
            </w:r>
          </w:p>
        </w:tc>
      </w:tr>
      <w:tr w:rsidR="00012485" w:rsidRPr="00012485" w:rsidTr="00012485">
        <w:trPr>
          <w:trHeight w:val="288"/>
        </w:trPr>
        <w:tc>
          <w:tcPr>
            <w:tcW w:w="1570" w:type="dxa"/>
            <w:tcBorders>
              <w:top w:val="single" w:sz="2" w:space="0" w:color="000000"/>
              <w:bottom w:val="single" w:sz="12" w:space="0" w:color="000000"/>
            </w:tcBorders>
          </w:tcPr>
          <w:p w:rsidR="00012485" w:rsidRPr="00012485" w:rsidRDefault="00012485">
            <w:pPr>
              <w:jc w:val="right"/>
              <w:rPr>
                <w:rFonts w:eastAsia="Verdana" w:cs="Verdana"/>
                <w:b/>
                <w:color w:val="000000"/>
                <w:sz w:val="16"/>
                <w:szCs w:val="20"/>
                <w:lang w:val="en-GB"/>
              </w:rPr>
            </w:pPr>
            <w:r w:rsidRPr="00012485">
              <w:rPr>
                <w:rFonts w:eastAsia="Verdana" w:cs="Verdana"/>
                <w:b/>
                <w:color w:val="000000"/>
                <w:sz w:val="16"/>
                <w:szCs w:val="20"/>
                <w:lang w:val="en-GB"/>
              </w:rPr>
              <w:t>(2</w:t>
            </w:r>
            <w:r w:rsidR="004C5BF8">
              <w:rPr>
                <w:rFonts w:eastAsia="Verdana" w:cs="Verdana"/>
                <w:b/>
                <w:color w:val="000000"/>
                <w:sz w:val="16"/>
                <w:szCs w:val="20"/>
                <w:lang w:val="en-GB"/>
              </w:rPr>
              <w:t>5</w:t>
            </w:r>
            <w:r w:rsidRPr="00012485">
              <w:rPr>
                <w:rFonts w:eastAsia="Verdana" w:cs="Verdana"/>
                <w:b/>
                <w:color w:val="000000"/>
                <w:sz w:val="16"/>
                <w:szCs w:val="20"/>
                <w:lang w:val="en-GB"/>
              </w:rPr>
              <w:t>,</w:t>
            </w:r>
            <w:r w:rsidR="004C5BF8">
              <w:rPr>
                <w:rFonts w:eastAsia="Verdana" w:cs="Verdana"/>
                <w:b/>
                <w:color w:val="000000"/>
                <w:sz w:val="16"/>
                <w:szCs w:val="20"/>
                <w:lang w:val="en-GB"/>
              </w:rPr>
              <w:t>112</w:t>
            </w:r>
            <w:r w:rsidRPr="00012485">
              <w:rPr>
                <w:rFonts w:eastAsia="Verdana" w:cs="Verdana"/>
                <w:b/>
                <w:color w:val="000000"/>
                <w:sz w:val="16"/>
                <w:szCs w:val="20"/>
                <w:lang w:val="en-GB"/>
              </w:rPr>
              <w:t>)</w:t>
            </w:r>
          </w:p>
        </w:tc>
        <w:tc>
          <w:tcPr>
            <w:tcW w:w="1570" w:type="dxa"/>
            <w:tcBorders>
              <w:top w:val="single" w:sz="2" w:space="0" w:color="000000"/>
              <w:bottom w:val="single" w:sz="12" w:space="0" w:color="000000"/>
            </w:tcBorders>
            <w:shd w:val="clear" w:color="auto" w:fill="auto"/>
            <w:tcMar>
              <w:top w:w="20" w:type="dxa"/>
              <w:left w:w="20" w:type="dxa"/>
              <w:bottom w:w="20" w:type="dxa"/>
              <w:right w:w="20" w:type="dxa"/>
            </w:tcMar>
          </w:tcPr>
          <w:p w:rsidR="00012485" w:rsidRPr="00012485" w:rsidRDefault="00012485">
            <w:pPr>
              <w:jc w:val="right"/>
              <w:rPr>
                <w:rFonts w:eastAsia="Verdana" w:cs="Verdana"/>
                <w:b/>
                <w:color w:val="000000"/>
                <w:sz w:val="16"/>
                <w:szCs w:val="20"/>
                <w:lang w:val="en-GB"/>
              </w:rPr>
            </w:pPr>
            <w:r w:rsidRPr="00012485">
              <w:rPr>
                <w:rFonts w:eastAsia="Verdana" w:cs="Verdana"/>
                <w:b/>
                <w:color w:val="000000"/>
                <w:sz w:val="16"/>
                <w:szCs w:val="20"/>
                <w:lang w:val="en-GB"/>
              </w:rPr>
              <w:t>(</w:t>
            </w:r>
            <w:r w:rsidR="006C3848">
              <w:rPr>
                <w:rFonts w:eastAsia="Verdana" w:cs="Verdana"/>
                <w:b/>
                <w:color w:val="000000"/>
                <w:sz w:val="16"/>
                <w:szCs w:val="20"/>
                <w:lang w:val="en-GB"/>
              </w:rPr>
              <w:t>2</w:t>
            </w:r>
            <w:r w:rsidR="004C5BF8">
              <w:rPr>
                <w:rFonts w:eastAsia="Verdana" w:cs="Verdana"/>
                <w:b/>
                <w:color w:val="000000"/>
                <w:sz w:val="16"/>
                <w:szCs w:val="20"/>
                <w:lang w:val="en-GB"/>
              </w:rPr>
              <w:t>6</w:t>
            </w:r>
            <w:r w:rsidR="006C3848">
              <w:rPr>
                <w:rFonts w:eastAsia="Verdana" w:cs="Verdana"/>
                <w:b/>
                <w:color w:val="000000"/>
                <w:sz w:val="16"/>
                <w:szCs w:val="20"/>
                <w:lang w:val="en-GB"/>
              </w:rPr>
              <w:t>,</w:t>
            </w:r>
            <w:r w:rsidR="004C5BF8">
              <w:rPr>
                <w:rFonts w:eastAsia="Verdana" w:cs="Verdana"/>
                <w:b/>
                <w:color w:val="000000"/>
                <w:sz w:val="16"/>
                <w:szCs w:val="20"/>
                <w:lang w:val="en-GB"/>
              </w:rPr>
              <w:t>021</w:t>
            </w:r>
            <w:r w:rsidRPr="00012485">
              <w:rPr>
                <w:rFonts w:eastAsia="Verdana" w:cs="Verdana"/>
                <w:b/>
                <w:color w:val="000000"/>
                <w:sz w:val="16"/>
                <w:szCs w:val="20"/>
                <w:lang w:val="en-GB"/>
              </w:rPr>
              <w:t>)</w:t>
            </w:r>
          </w:p>
        </w:tc>
        <w:tc>
          <w:tcPr>
            <w:tcW w:w="169" w:type="dxa"/>
            <w:tcBorders>
              <w:top w:val="single" w:sz="2" w:space="0" w:color="000000"/>
              <w:bottom w:val="single" w:sz="12" w:space="0" w:color="000000"/>
            </w:tcBorders>
            <w:shd w:val="clear" w:color="auto" w:fill="auto"/>
            <w:tcMar>
              <w:top w:w="20" w:type="dxa"/>
              <w:left w:w="20" w:type="dxa"/>
              <w:bottom w:w="20" w:type="dxa"/>
              <w:right w:w="20" w:type="dxa"/>
            </w:tcMar>
          </w:tcPr>
          <w:p w:rsidR="00012485" w:rsidRPr="00012485" w:rsidRDefault="00012485" w:rsidP="00012485">
            <w:pPr>
              <w:jc w:val="center"/>
              <w:rPr>
                <w:rFonts w:eastAsia="Verdana" w:cs="Verdana"/>
                <w:b/>
                <w:color w:val="000000"/>
                <w:sz w:val="2"/>
                <w:szCs w:val="20"/>
                <w:lang w:val="en-GB"/>
              </w:rPr>
            </w:pPr>
            <w:r w:rsidRPr="00012485">
              <w:rPr>
                <w:rFonts w:eastAsia="Verdana" w:cs="Verdana"/>
                <w:b/>
                <w:color w:val="000000"/>
                <w:sz w:val="2"/>
                <w:szCs w:val="20"/>
                <w:lang w:val="en-GB"/>
              </w:rPr>
              <w:t xml:space="preserve"> </w:t>
            </w:r>
          </w:p>
        </w:tc>
        <w:tc>
          <w:tcPr>
            <w:tcW w:w="2786" w:type="dxa"/>
            <w:tcBorders>
              <w:top w:val="single" w:sz="2" w:space="0" w:color="000000"/>
              <w:bottom w:val="single" w:sz="12" w:space="0" w:color="000000"/>
            </w:tcBorders>
            <w:shd w:val="clear" w:color="auto" w:fill="auto"/>
            <w:tcMar>
              <w:top w:w="20" w:type="dxa"/>
              <w:left w:w="20" w:type="dxa"/>
              <w:bottom w:w="20" w:type="dxa"/>
              <w:right w:w="20" w:type="dxa"/>
            </w:tcMar>
          </w:tcPr>
          <w:p w:rsidR="00012485" w:rsidRPr="00012485" w:rsidRDefault="00012485" w:rsidP="00012485">
            <w:pPr>
              <w:rPr>
                <w:rFonts w:eastAsia="Verdana" w:cs="Verdana"/>
                <w:b/>
                <w:color w:val="000000"/>
                <w:sz w:val="16"/>
                <w:szCs w:val="20"/>
                <w:lang w:val="en-GB"/>
              </w:rPr>
            </w:pPr>
            <w:r w:rsidRPr="00012485">
              <w:rPr>
                <w:rFonts w:eastAsia="Verdana" w:cs="Verdana"/>
                <w:b/>
                <w:color w:val="000000"/>
                <w:sz w:val="16"/>
                <w:szCs w:val="20"/>
                <w:lang w:val="en-GB"/>
              </w:rPr>
              <w:t>Total Creditors</w:t>
            </w:r>
          </w:p>
        </w:tc>
        <w:tc>
          <w:tcPr>
            <w:tcW w:w="1570" w:type="dxa"/>
            <w:tcBorders>
              <w:top w:val="single" w:sz="2" w:space="0" w:color="000000"/>
              <w:bottom w:val="single" w:sz="12" w:space="0" w:color="000000"/>
            </w:tcBorders>
          </w:tcPr>
          <w:p w:rsidR="00012485" w:rsidRPr="00012485" w:rsidRDefault="00012485">
            <w:pPr>
              <w:jc w:val="right"/>
              <w:rPr>
                <w:rFonts w:eastAsia="Verdana" w:cs="Verdana"/>
                <w:b/>
                <w:color w:val="000000"/>
                <w:sz w:val="16"/>
                <w:szCs w:val="20"/>
                <w:lang w:val="en-GB"/>
              </w:rPr>
            </w:pPr>
            <w:r w:rsidRPr="00012485">
              <w:rPr>
                <w:rFonts w:eastAsia="Verdana" w:cs="Verdana"/>
                <w:b/>
                <w:color w:val="000000"/>
                <w:sz w:val="16"/>
                <w:szCs w:val="20"/>
                <w:lang w:val="en-GB"/>
              </w:rPr>
              <w:t>(25,</w:t>
            </w:r>
            <w:r w:rsidR="00DA083F">
              <w:rPr>
                <w:rFonts w:eastAsia="Verdana" w:cs="Verdana"/>
                <w:b/>
                <w:color w:val="000000"/>
                <w:sz w:val="16"/>
                <w:szCs w:val="20"/>
                <w:lang w:val="en-GB"/>
              </w:rPr>
              <w:t>4</w:t>
            </w:r>
            <w:r w:rsidR="00D40F36">
              <w:rPr>
                <w:rFonts w:eastAsia="Verdana" w:cs="Verdana"/>
                <w:b/>
                <w:color w:val="000000"/>
                <w:sz w:val="16"/>
                <w:szCs w:val="20"/>
                <w:lang w:val="en-GB"/>
              </w:rPr>
              <w:t>43</w:t>
            </w:r>
            <w:r w:rsidRPr="00012485">
              <w:rPr>
                <w:rFonts w:eastAsia="Verdana" w:cs="Verdana"/>
                <w:b/>
                <w:color w:val="000000"/>
                <w:sz w:val="16"/>
                <w:szCs w:val="20"/>
                <w:lang w:val="en-GB"/>
              </w:rPr>
              <w:t>)</w:t>
            </w:r>
          </w:p>
        </w:tc>
        <w:tc>
          <w:tcPr>
            <w:tcW w:w="1570" w:type="dxa"/>
            <w:tcBorders>
              <w:top w:val="single" w:sz="2" w:space="0" w:color="000000"/>
              <w:bottom w:val="single" w:sz="12" w:space="0" w:color="000000"/>
            </w:tcBorders>
            <w:shd w:val="clear" w:color="auto" w:fill="auto"/>
            <w:tcMar>
              <w:top w:w="20" w:type="dxa"/>
              <w:left w:w="20" w:type="dxa"/>
              <w:bottom w:w="20" w:type="dxa"/>
              <w:right w:w="20" w:type="dxa"/>
            </w:tcMar>
          </w:tcPr>
          <w:p w:rsidR="00012485" w:rsidRPr="00012485" w:rsidRDefault="00012485">
            <w:pPr>
              <w:jc w:val="right"/>
              <w:rPr>
                <w:rFonts w:eastAsia="Verdana" w:cs="Verdana"/>
                <w:b/>
                <w:color w:val="000000"/>
                <w:sz w:val="16"/>
                <w:szCs w:val="20"/>
                <w:lang w:val="en-GB"/>
              </w:rPr>
            </w:pPr>
            <w:r w:rsidRPr="00012485">
              <w:rPr>
                <w:rFonts w:eastAsia="Verdana" w:cs="Verdana"/>
                <w:b/>
                <w:color w:val="000000"/>
                <w:sz w:val="16"/>
                <w:szCs w:val="20"/>
                <w:lang w:val="en-GB"/>
              </w:rPr>
              <w:t>(2</w:t>
            </w:r>
            <w:r w:rsidR="00DA083F">
              <w:rPr>
                <w:rFonts w:eastAsia="Verdana" w:cs="Verdana"/>
                <w:b/>
                <w:color w:val="000000"/>
                <w:sz w:val="16"/>
                <w:szCs w:val="20"/>
                <w:lang w:val="en-GB"/>
              </w:rPr>
              <w:t>6,496</w:t>
            </w:r>
            <w:r w:rsidRPr="00012485">
              <w:rPr>
                <w:rFonts w:eastAsia="Verdana" w:cs="Verdana"/>
                <w:b/>
                <w:color w:val="000000"/>
                <w:sz w:val="16"/>
                <w:szCs w:val="20"/>
                <w:lang w:val="en-GB"/>
              </w:rPr>
              <w:t>)</w:t>
            </w:r>
          </w:p>
        </w:tc>
      </w:tr>
    </w:tbl>
    <w:p w:rsidR="00012485" w:rsidRPr="00012485" w:rsidRDefault="00012485" w:rsidP="00012485">
      <w:pPr>
        <w:rPr>
          <w:rFonts w:eastAsia="Verdana" w:cs="Verdana"/>
          <w:szCs w:val="20"/>
          <w:lang w:val="en-GB"/>
        </w:rPr>
      </w:pPr>
    </w:p>
    <w:p w:rsidR="00CA6653" w:rsidRDefault="00CA6653">
      <w:pPr>
        <w:pStyle w:val="T1TableStyle"/>
        <w:rPr>
          <w:rFonts w:ascii="Verdana" w:eastAsia="Verdana" w:hAnsi="Verdana" w:cs="Verdana"/>
          <w:sz w:val="22"/>
          <w:lang w:val="en-GB"/>
        </w:rPr>
      </w:pPr>
    </w:p>
    <w:p w:rsidR="0076103D" w:rsidRDefault="0076103D">
      <w:pPr>
        <w:pStyle w:val="T1TableStyle"/>
        <w:rPr>
          <w:rFonts w:ascii="Verdana" w:eastAsia="Verdana" w:hAnsi="Verdana" w:cs="Verdana"/>
          <w:sz w:val="22"/>
          <w:lang w:val="en-GB"/>
        </w:rPr>
      </w:pPr>
    </w:p>
    <w:p w:rsidR="00CA6653" w:rsidRDefault="00CA6653" w:rsidP="00F32EC6">
      <w:pPr>
        <w:pStyle w:val="Normal0"/>
        <w:jc w:val="center"/>
      </w:pPr>
    </w:p>
    <w:p w:rsidR="006B3E21" w:rsidRDefault="006B3E21" w:rsidP="00F32EC6">
      <w:pPr>
        <w:pStyle w:val="Normal0"/>
        <w:jc w:val="center"/>
      </w:pPr>
    </w:p>
    <w:tbl>
      <w:tblPr>
        <w:tblW w:w="7993" w:type="dxa"/>
        <w:jc w:val="center"/>
        <w:tblLook w:val="04A0" w:firstRow="1" w:lastRow="0" w:firstColumn="1" w:lastColumn="0" w:noHBand="0" w:noVBand="1"/>
      </w:tblPr>
      <w:tblGrid>
        <w:gridCol w:w="2778"/>
        <w:gridCol w:w="2778"/>
        <w:gridCol w:w="2437"/>
      </w:tblGrid>
      <w:tr w:rsidR="0076103D" w:rsidRPr="00A51472" w:rsidTr="00A200D5">
        <w:trPr>
          <w:trHeight w:val="382"/>
          <w:jc w:val="center"/>
        </w:trPr>
        <w:tc>
          <w:tcPr>
            <w:tcW w:w="2778" w:type="dxa"/>
            <w:tcBorders>
              <w:top w:val="nil"/>
              <w:left w:val="nil"/>
              <w:bottom w:val="single" w:sz="4" w:space="0" w:color="auto"/>
              <w:right w:val="nil"/>
            </w:tcBorders>
            <w:shd w:val="clear" w:color="000000" w:fill="FFFFFF"/>
            <w:vAlign w:val="center"/>
          </w:tcPr>
          <w:p w:rsidR="0076103D" w:rsidRDefault="0076103D" w:rsidP="0076103D">
            <w:pPr>
              <w:jc w:val="center"/>
              <w:rPr>
                <w:rFonts w:eastAsia="Times New Roman" w:cs="Times New Roman"/>
                <w:b/>
                <w:bCs/>
                <w:color w:val="000000"/>
                <w:sz w:val="16"/>
                <w:szCs w:val="16"/>
                <w:lang w:val="en-GB" w:eastAsia="en-GB"/>
              </w:rPr>
            </w:pPr>
            <w:r w:rsidRPr="00A51472">
              <w:rPr>
                <w:rFonts w:eastAsia="Times New Roman" w:cs="Times New Roman"/>
                <w:b/>
                <w:bCs/>
                <w:color w:val="000000"/>
                <w:sz w:val="16"/>
                <w:szCs w:val="16"/>
                <w:lang w:val="en-GB" w:eastAsia="en-GB"/>
              </w:rPr>
              <w:t xml:space="preserve">2018/19 </w:t>
            </w:r>
          </w:p>
          <w:p w:rsidR="0076103D" w:rsidRPr="00A51472" w:rsidRDefault="0076103D" w:rsidP="0076103D">
            <w:pPr>
              <w:jc w:val="center"/>
              <w:rPr>
                <w:rFonts w:eastAsia="Times New Roman" w:cs="Times New Roman"/>
                <w:b/>
                <w:bCs/>
                <w:color w:val="000000"/>
                <w:sz w:val="16"/>
                <w:szCs w:val="16"/>
                <w:lang w:val="en-GB" w:eastAsia="en-GB"/>
              </w:rPr>
            </w:pPr>
            <w:r w:rsidRPr="00A51472">
              <w:rPr>
                <w:rFonts w:eastAsia="Times New Roman" w:cs="Times New Roman"/>
                <w:b/>
                <w:bCs/>
                <w:color w:val="000000"/>
                <w:sz w:val="16"/>
                <w:szCs w:val="16"/>
                <w:lang w:val="en-GB" w:eastAsia="en-GB"/>
              </w:rPr>
              <w:t>£000's</w:t>
            </w:r>
          </w:p>
        </w:tc>
        <w:tc>
          <w:tcPr>
            <w:tcW w:w="2778" w:type="dxa"/>
            <w:tcBorders>
              <w:top w:val="nil"/>
              <w:left w:val="nil"/>
              <w:bottom w:val="single" w:sz="4" w:space="0" w:color="auto"/>
              <w:right w:val="nil"/>
            </w:tcBorders>
            <w:shd w:val="clear" w:color="000000" w:fill="FFFFFF"/>
            <w:vAlign w:val="center"/>
            <w:hideMark/>
          </w:tcPr>
          <w:p w:rsidR="0076103D" w:rsidRPr="00A51472" w:rsidRDefault="0076103D">
            <w:pPr>
              <w:jc w:val="center"/>
              <w:rPr>
                <w:rFonts w:eastAsia="Times New Roman" w:cs="Times New Roman"/>
                <w:b/>
                <w:bCs/>
                <w:color w:val="000000"/>
                <w:sz w:val="16"/>
                <w:szCs w:val="16"/>
                <w:lang w:val="en-GB" w:eastAsia="en-GB"/>
              </w:rPr>
            </w:pPr>
            <w:r w:rsidRPr="00A51472">
              <w:rPr>
                <w:rFonts w:eastAsia="Times New Roman" w:cs="Times New Roman"/>
                <w:b/>
                <w:bCs/>
                <w:color w:val="000000"/>
                <w:sz w:val="16"/>
                <w:szCs w:val="16"/>
                <w:lang w:val="en-GB" w:eastAsia="en-GB"/>
              </w:rPr>
              <w:t>Creditors Category</w:t>
            </w:r>
          </w:p>
        </w:tc>
        <w:tc>
          <w:tcPr>
            <w:tcW w:w="2437" w:type="dxa"/>
            <w:tcBorders>
              <w:top w:val="nil"/>
              <w:left w:val="nil"/>
              <w:bottom w:val="single" w:sz="4" w:space="0" w:color="auto"/>
              <w:right w:val="nil"/>
            </w:tcBorders>
            <w:shd w:val="clear" w:color="000000" w:fill="FFFFFF"/>
            <w:vAlign w:val="center"/>
            <w:hideMark/>
          </w:tcPr>
          <w:p w:rsidR="0076103D" w:rsidRDefault="0076103D" w:rsidP="0076103D">
            <w:pPr>
              <w:jc w:val="center"/>
              <w:rPr>
                <w:rFonts w:eastAsia="Times New Roman" w:cs="Times New Roman"/>
                <w:b/>
                <w:bCs/>
                <w:color w:val="000000"/>
                <w:sz w:val="16"/>
                <w:szCs w:val="16"/>
                <w:lang w:val="en-GB" w:eastAsia="en-GB"/>
              </w:rPr>
            </w:pPr>
            <w:r w:rsidRPr="00A51472">
              <w:rPr>
                <w:rFonts w:eastAsia="Times New Roman" w:cs="Times New Roman"/>
                <w:b/>
                <w:bCs/>
                <w:color w:val="000000"/>
                <w:sz w:val="16"/>
                <w:szCs w:val="16"/>
                <w:lang w:val="en-GB" w:eastAsia="en-GB"/>
              </w:rPr>
              <w:t xml:space="preserve">2019/20 </w:t>
            </w:r>
          </w:p>
          <w:p w:rsidR="0076103D" w:rsidRPr="00A51472" w:rsidRDefault="0076103D" w:rsidP="0076103D">
            <w:pPr>
              <w:jc w:val="center"/>
              <w:rPr>
                <w:rFonts w:eastAsia="Times New Roman" w:cs="Times New Roman"/>
                <w:b/>
                <w:bCs/>
                <w:color w:val="000000"/>
                <w:sz w:val="16"/>
                <w:szCs w:val="16"/>
                <w:lang w:val="en-GB" w:eastAsia="en-GB"/>
              </w:rPr>
            </w:pPr>
            <w:r w:rsidRPr="00A51472">
              <w:rPr>
                <w:rFonts w:eastAsia="Times New Roman" w:cs="Times New Roman"/>
                <w:b/>
                <w:bCs/>
                <w:color w:val="000000"/>
                <w:sz w:val="16"/>
                <w:szCs w:val="16"/>
                <w:lang w:val="en-GB" w:eastAsia="en-GB"/>
              </w:rPr>
              <w:t>£000's</w:t>
            </w: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p>
        </w:tc>
        <w:tc>
          <w:tcPr>
            <w:tcW w:w="2778" w:type="dxa"/>
            <w:tcBorders>
              <w:top w:val="nil"/>
              <w:left w:val="nil"/>
              <w:bottom w:val="nil"/>
              <w:right w:val="nil"/>
            </w:tcBorders>
            <w:shd w:val="clear" w:color="000000" w:fill="FFFFFF"/>
            <w:noWrap/>
            <w:vAlign w:val="bottom"/>
          </w:tcPr>
          <w:p w:rsidR="0076103D" w:rsidRPr="00A200D5" w:rsidRDefault="0076103D" w:rsidP="0076103D">
            <w:pPr>
              <w:rPr>
                <w:rFonts w:eastAsia="Times New Roman" w:cs="Times New Roman"/>
                <w:b/>
                <w:color w:val="000000"/>
                <w:sz w:val="16"/>
                <w:szCs w:val="16"/>
                <w:lang w:val="en-GB" w:eastAsia="en-GB"/>
              </w:rPr>
            </w:pPr>
            <w:r w:rsidRPr="00A200D5">
              <w:rPr>
                <w:rFonts w:eastAsia="Times New Roman" w:cs="Times New Roman"/>
                <w:b/>
                <w:color w:val="000000"/>
                <w:sz w:val="16"/>
                <w:szCs w:val="16"/>
                <w:lang w:val="en-GB" w:eastAsia="en-GB"/>
              </w:rPr>
              <w:t>Analysis of Other Payables:</w:t>
            </w:r>
          </w:p>
        </w:tc>
        <w:tc>
          <w:tcPr>
            <w:tcW w:w="2437" w:type="dxa"/>
            <w:tcBorders>
              <w:top w:val="nil"/>
              <w:left w:val="nil"/>
              <w:bottom w:val="nil"/>
              <w:right w:val="nil"/>
            </w:tcBorders>
            <w:shd w:val="clear" w:color="000000" w:fill="FFFFFF"/>
            <w:noWrap/>
            <w:vAlign w:val="bottom"/>
          </w:tcPr>
          <w:p w:rsidR="0076103D" w:rsidRPr="00A51472" w:rsidRDefault="0076103D" w:rsidP="0076103D">
            <w:pPr>
              <w:jc w:val="center"/>
              <w:rPr>
                <w:rFonts w:eastAsia="Times New Roman" w:cs="Times New Roman"/>
                <w:color w:val="000000"/>
                <w:sz w:val="16"/>
                <w:szCs w:val="16"/>
                <w:lang w:val="en-GB" w:eastAsia="en-GB"/>
              </w:rPr>
            </w:pP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409 </w:t>
            </w:r>
          </w:p>
        </w:tc>
        <w:tc>
          <w:tcPr>
            <w:tcW w:w="2778" w:type="dxa"/>
            <w:tcBorders>
              <w:top w:val="nil"/>
              <w:left w:val="nil"/>
              <w:bottom w:val="nil"/>
              <w:right w:val="nil"/>
            </w:tcBorders>
            <w:shd w:val="clear" w:color="000000" w:fill="FFFFFF"/>
            <w:noWrap/>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Capital</w:t>
            </w:r>
          </w:p>
        </w:tc>
        <w:tc>
          <w:tcPr>
            <w:tcW w:w="2437" w:type="dxa"/>
            <w:tcBorders>
              <w:top w:val="nil"/>
              <w:left w:val="nil"/>
              <w:bottom w:val="nil"/>
              <w:right w:val="nil"/>
            </w:tcBorders>
            <w:shd w:val="clear" w:color="000000" w:fill="FFFFFF"/>
            <w:noWrap/>
            <w:vAlign w:val="bottom"/>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1,785 </w:t>
            </w: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1,251 </w:t>
            </w:r>
          </w:p>
        </w:tc>
        <w:tc>
          <w:tcPr>
            <w:tcW w:w="2778" w:type="dxa"/>
            <w:tcBorders>
              <w:top w:val="nil"/>
              <w:left w:val="nil"/>
              <w:bottom w:val="nil"/>
              <w:right w:val="nil"/>
            </w:tcBorders>
            <w:shd w:val="clear" w:color="000000" w:fill="FFFFFF"/>
            <w:noWrap/>
            <w:vAlign w:val="bottom"/>
            <w:hideMark/>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Collaboration</w:t>
            </w:r>
          </w:p>
        </w:tc>
        <w:tc>
          <w:tcPr>
            <w:tcW w:w="2437" w:type="dxa"/>
            <w:tcBorders>
              <w:top w:val="nil"/>
              <w:left w:val="nil"/>
              <w:bottom w:val="nil"/>
              <w:right w:val="nil"/>
            </w:tcBorders>
            <w:shd w:val="clear" w:color="000000" w:fill="FFFFFF"/>
            <w:noWrap/>
            <w:vAlign w:val="bottom"/>
            <w:hideMark/>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2,841 </w:t>
            </w: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1,996 </w:t>
            </w:r>
          </w:p>
        </w:tc>
        <w:tc>
          <w:tcPr>
            <w:tcW w:w="2778" w:type="dxa"/>
            <w:tcBorders>
              <w:top w:val="nil"/>
              <w:left w:val="nil"/>
              <w:bottom w:val="nil"/>
              <w:right w:val="nil"/>
            </w:tcBorders>
            <w:shd w:val="clear" w:color="000000" w:fill="FFFFFF"/>
            <w:noWrap/>
            <w:vAlign w:val="bottom"/>
            <w:hideMark/>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Council Tax Creditors</w:t>
            </w:r>
          </w:p>
        </w:tc>
        <w:tc>
          <w:tcPr>
            <w:tcW w:w="2437" w:type="dxa"/>
            <w:tcBorders>
              <w:top w:val="nil"/>
              <w:left w:val="nil"/>
              <w:bottom w:val="nil"/>
              <w:right w:val="nil"/>
            </w:tcBorders>
            <w:shd w:val="clear" w:color="000000" w:fill="FFFFFF"/>
            <w:noWrap/>
            <w:vAlign w:val="bottom"/>
            <w:hideMark/>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2,083 </w:t>
            </w: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1,038 </w:t>
            </w:r>
          </w:p>
        </w:tc>
        <w:tc>
          <w:tcPr>
            <w:tcW w:w="2778" w:type="dxa"/>
            <w:tcBorders>
              <w:top w:val="nil"/>
              <w:left w:val="nil"/>
              <w:bottom w:val="nil"/>
              <w:right w:val="nil"/>
            </w:tcBorders>
            <w:shd w:val="clear" w:color="000000" w:fill="FFFFFF"/>
            <w:noWrap/>
            <w:vAlign w:val="bottom"/>
            <w:hideMark/>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Estates</w:t>
            </w:r>
          </w:p>
        </w:tc>
        <w:tc>
          <w:tcPr>
            <w:tcW w:w="2437" w:type="dxa"/>
            <w:tcBorders>
              <w:top w:val="nil"/>
              <w:left w:val="nil"/>
              <w:bottom w:val="nil"/>
              <w:right w:val="nil"/>
            </w:tcBorders>
            <w:shd w:val="clear" w:color="000000" w:fill="FFFFFF"/>
            <w:noWrap/>
            <w:vAlign w:val="bottom"/>
            <w:hideMark/>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694 </w:t>
            </w: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1,801 </w:t>
            </w:r>
          </w:p>
        </w:tc>
        <w:tc>
          <w:tcPr>
            <w:tcW w:w="2778" w:type="dxa"/>
            <w:tcBorders>
              <w:top w:val="nil"/>
              <w:left w:val="nil"/>
              <w:bottom w:val="nil"/>
              <w:right w:val="nil"/>
            </w:tcBorders>
            <w:shd w:val="clear" w:color="000000" w:fill="FFFFFF"/>
            <w:noWrap/>
            <w:vAlign w:val="bottom"/>
            <w:hideMark/>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Forfeiture Monies</w:t>
            </w:r>
          </w:p>
        </w:tc>
        <w:tc>
          <w:tcPr>
            <w:tcW w:w="2437" w:type="dxa"/>
            <w:tcBorders>
              <w:top w:val="nil"/>
              <w:left w:val="nil"/>
              <w:bottom w:val="nil"/>
              <w:right w:val="nil"/>
            </w:tcBorders>
            <w:shd w:val="clear" w:color="000000" w:fill="FFFFFF"/>
            <w:noWrap/>
            <w:vAlign w:val="bottom"/>
            <w:hideMark/>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1,903 </w:t>
            </w: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739 </w:t>
            </w:r>
          </w:p>
        </w:tc>
        <w:tc>
          <w:tcPr>
            <w:tcW w:w="2778" w:type="dxa"/>
            <w:tcBorders>
              <w:top w:val="nil"/>
              <w:left w:val="nil"/>
              <w:bottom w:val="nil"/>
              <w:right w:val="nil"/>
            </w:tcBorders>
            <w:shd w:val="clear" w:color="000000" w:fill="FFFFFF"/>
            <w:noWrap/>
            <w:vAlign w:val="bottom"/>
            <w:hideMark/>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Insurance/Legal/Property</w:t>
            </w:r>
          </w:p>
        </w:tc>
        <w:tc>
          <w:tcPr>
            <w:tcW w:w="2437" w:type="dxa"/>
            <w:tcBorders>
              <w:top w:val="nil"/>
              <w:left w:val="nil"/>
              <w:bottom w:val="nil"/>
              <w:right w:val="nil"/>
            </w:tcBorders>
            <w:shd w:val="clear" w:color="000000" w:fill="FFFFFF"/>
            <w:noWrap/>
            <w:vAlign w:val="bottom"/>
            <w:hideMark/>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88 </w:t>
            </w: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2,711 </w:t>
            </w:r>
          </w:p>
        </w:tc>
        <w:tc>
          <w:tcPr>
            <w:tcW w:w="2778" w:type="dxa"/>
            <w:tcBorders>
              <w:top w:val="nil"/>
              <w:left w:val="nil"/>
              <w:bottom w:val="nil"/>
              <w:right w:val="nil"/>
            </w:tcBorders>
            <w:shd w:val="clear" w:color="000000" w:fill="FFFFFF"/>
            <w:noWrap/>
            <w:vAlign w:val="bottom"/>
            <w:hideMark/>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Other</w:t>
            </w:r>
          </w:p>
        </w:tc>
        <w:tc>
          <w:tcPr>
            <w:tcW w:w="2437" w:type="dxa"/>
            <w:tcBorders>
              <w:top w:val="nil"/>
              <w:left w:val="nil"/>
              <w:bottom w:val="nil"/>
              <w:right w:val="nil"/>
            </w:tcBorders>
            <w:shd w:val="clear" w:color="000000" w:fill="FFFFFF"/>
            <w:noWrap/>
            <w:vAlign w:val="bottom"/>
            <w:hideMark/>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5,</w:t>
            </w:r>
            <w:r>
              <w:rPr>
                <w:rFonts w:eastAsia="Times New Roman" w:cs="Times New Roman"/>
                <w:color w:val="000000"/>
                <w:sz w:val="16"/>
                <w:szCs w:val="16"/>
                <w:lang w:val="en-GB" w:eastAsia="en-GB"/>
              </w:rPr>
              <w:t>454</w:t>
            </w:r>
            <w:r w:rsidRPr="00A51472">
              <w:rPr>
                <w:rFonts w:eastAsia="Times New Roman" w:cs="Times New Roman"/>
                <w:color w:val="000000"/>
                <w:sz w:val="16"/>
                <w:szCs w:val="16"/>
                <w:lang w:val="en-GB" w:eastAsia="en-GB"/>
              </w:rPr>
              <w:t xml:space="preserve"> </w:t>
            </w: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5,561 </w:t>
            </w:r>
          </w:p>
        </w:tc>
        <w:tc>
          <w:tcPr>
            <w:tcW w:w="2778" w:type="dxa"/>
            <w:tcBorders>
              <w:top w:val="nil"/>
              <w:left w:val="nil"/>
              <w:bottom w:val="nil"/>
              <w:right w:val="nil"/>
            </w:tcBorders>
            <w:shd w:val="clear" w:color="000000" w:fill="FFFFFF"/>
            <w:noWrap/>
            <w:vAlign w:val="bottom"/>
            <w:hideMark/>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Partnership Monies</w:t>
            </w:r>
          </w:p>
        </w:tc>
        <w:tc>
          <w:tcPr>
            <w:tcW w:w="2437" w:type="dxa"/>
            <w:tcBorders>
              <w:top w:val="nil"/>
              <w:left w:val="nil"/>
              <w:bottom w:val="nil"/>
              <w:right w:val="nil"/>
            </w:tcBorders>
            <w:shd w:val="clear" w:color="000000" w:fill="FFFFFF"/>
            <w:noWrap/>
            <w:vAlign w:val="bottom"/>
            <w:hideMark/>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3,895 </w:t>
            </w:r>
          </w:p>
        </w:tc>
      </w:tr>
      <w:tr w:rsidR="0076103D" w:rsidRPr="00A51472" w:rsidTr="00A200D5">
        <w:trPr>
          <w:trHeight w:val="255"/>
          <w:jc w:val="center"/>
        </w:trPr>
        <w:tc>
          <w:tcPr>
            <w:tcW w:w="2778" w:type="dxa"/>
            <w:tcBorders>
              <w:top w:val="nil"/>
              <w:left w:val="nil"/>
              <w:bottom w:val="nil"/>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4,516 </w:t>
            </w:r>
          </w:p>
        </w:tc>
        <w:tc>
          <w:tcPr>
            <w:tcW w:w="2778" w:type="dxa"/>
            <w:tcBorders>
              <w:top w:val="nil"/>
              <w:left w:val="nil"/>
              <w:bottom w:val="nil"/>
              <w:right w:val="nil"/>
            </w:tcBorders>
            <w:shd w:val="clear" w:color="000000" w:fill="FFFFFF"/>
            <w:noWrap/>
            <w:vAlign w:val="bottom"/>
            <w:hideMark/>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Payroll/Pension</w:t>
            </w:r>
          </w:p>
        </w:tc>
        <w:tc>
          <w:tcPr>
            <w:tcW w:w="2437" w:type="dxa"/>
            <w:tcBorders>
              <w:top w:val="nil"/>
              <w:left w:val="nil"/>
              <w:bottom w:val="nil"/>
              <w:right w:val="nil"/>
            </w:tcBorders>
            <w:shd w:val="clear" w:color="000000" w:fill="FFFFFF"/>
            <w:noWrap/>
            <w:vAlign w:val="bottom"/>
            <w:hideMark/>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3,661 </w:t>
            </w:r>
          </w:p>
        </w:tc>
      </w:tr>
      <w:tr w:rsidR="0076103D" w:rsidRPr="00A51472" w:rsidTr="00A200D5">
        <w:trPr>
          <w:trHeight w:val="255"/>
          <w:jc w:val="center"/>
        </w:trPr>
        <w:tc>
          <w:tcPr>
            <w:tcW w:w="2778" w:type="dxa"/>
            <w:tcBorders>
              <w:top w:val="nil"/>
              <w:left w:val="nil"/>
              <w:bottom w:val="single" w:sz="4" w:space="0" w:color="auto"/>
              <w:right w:val="nil"/>
            </w:tcBorders>
            <w:shd w:val="clear" w:color="000000" w:fill="FFFFFF"/>
            <w:vAlign w:val="bottom"/>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3,898 </w:t>
            </w:r>
          </w:p>
        </w:tc>
        <w:tc>
          <w:tcPr>
            <w:tcW w:w="2778" w:type="dxa"/>
            <w:tcBorders>
              <w:top w:val="nil"/>
              <w:left w:val="nil"/>
              <w:bottom w:val="single" w:sz="4" w:space="0" w:color="auto"/>
              <w:right w:val="nil"/>
            </w:tcBorders>
            <w:shd w:val="clear" w:color="000000" w:fill="FFFFFF"/>
            <w:noWrap/>
            <w:vAlign w:val="bottom"/>
            <w:hideMark/>
          </w:tcPr>
          <w:p w:rsidR="0076103D" w:rsidRPr="00A51472" w:rsidRDefault="0076103D" w:rsidP="0076103D">
            <w:pP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Tax</w:t>
            </w:r>
          </w:p>
        </w:tc>
        <w:tc>
          <w:tcPr>
            <w:tcW w:w="2437" w:type="dxa"/>
            <w:tcBorders>
              <w:top w:val="nil"/>
              <w:left w:val="nil"/>
              <w:bottom w:val="single" w:sz="4" w:space="0" w:color="auto"/>
              <w:right w:val="nil"/>
            </w:tcBorders>
            <w:shd w:val="clear" w:color="000000" w:fill="FFFFFF"/>
            <w:noWrap/>
            <w:vAlign w:val="bottom"/>
            <w:hideMark/>
          </w:tcPr>
          <w:p w:rsidR="0076103D" w:rsidRPr="00A51472" w:rsidRDefault="0076103D" w:rsidP="0076103D">
            <w:pPr>
              <w:jc w:val="center"/>
              <w:rPr>
                <w:rFonts w:eastAsia="Times New Roman" w:cs="Times New Roman"/>
                <w:color w:val="000000"/>
                <w:sz w:val="16"/>
                <w:szCs w:val="16"/>
                <w:lang w:val="en-GB" w:eastAsia="en-GB"/>
              </w:rPr>
            </w:pPr>
            <w:r w:rsidRPr="00A51472">
              <w:rPr>
                <w:rFonts w:eastAsia="Times New Roman" w:cs="Times New Roman"/>
                <w:color w:val="000000"/>
                <w:sz w:val="16"/>
                <w:szCs w:val="16"/>
                <w:lang w:val="en-GB" w:eastAsia="en-GB"/>
              </w:rPr>
              <w:t xml:space="preserve">                         3,955 </w:t>
            </w:r>
          </w:p>
        </w:tc>
      </w:tr>
      <w:tr w:rsidR="0076103D" w:rsidRPr="00A51472" w:rsidTr="00A200D5">
        <w:trPr>
          <w:trHeight w:val="268"/>
          <w:jc w:val="center"/>
        </w:trPr>
        <w:tc>
          <w:tcPr>
            <w:tcW w:w="2778" w:type="dxa"/>
            <w:tcBorders>
              <w:top w:val="nil"/>
              <w:left w:val="nil"/>
              <w:bottom w:val="single" w:sz="8" w:space="0" w:color="auto"/>
              <w:right w:val="nil"/>
            </w:tcBorders>
            <w:shd w:val="clear" w:color="000000" w:fill="FFFFFF"/>
            <w:vAlign w:val="bottom"/>
          </w:tcPr>
          <w:p w:rsidR="0076103D" w:rsidRPr="00A51472" w:rsidRDefault="0076103D" w:rsidP="0076103D">
            <w:pPr>
              <w:rPr>
                <w:rFonts w:eastAsia="Times New Roman" w:cs="Times New Roman"/>
                <w:b/>
                <w:bCs/>
                <w:color w:val="000000"/>
                <w:sz w:val="16"/>
                <w:szCs w:val="16"/>
                <w:lang w:val="en-GB" w:eastAsia="en-GB"/>
              </w:rPr>
            </w:pPr>
            <w:r w:rsidRPr="00A51472">
              <w:rPr>
                <w:rFonts w:eastAsia="Times New Roman" w:cs="Times New Roman"/>
                <w:b/>
                <w:bCs/>
                <w:color w:val="000000"/>
                <w:sz w:val="16"/>
                <w:szCs w:val="16"/>
                <w:lang w:val="en-GB" w:eastAsia="en-GB"/>
              </w:rPr>
              <w:t xml:space="preserve">                  23,920 </w:t>
            </w:r>
          </w:p>
        </w:tc>
        <w:tc>
          <w:tcPr>
            <w:tcW w:w="2778" w:type="dxa"/>
            <w:tcBorders>
              <w:top w:val="nil"/>
              <w:left w:val="nil"/>
              <w:bottom w:val="single" w:sz="8" w:space="0" w:color="auto"/>
              <w:right w:val="nil"/>
            </w:tcBorders>
            <w:shd w:val="clear" w:color="000000" w:fill="FFFFFF"/>
            <w:noWrap/>
            <w:vAlign w:val="bottom"/>
            <w:hideMark/>
          </w:tcPr>
          <w:p w:rsidR="0076103D" w:rsidRPr="00A51472" w:rsidRDefault="0076103D" w:rsidP="0076103D">
            <w:pPr>
              <w:rPr>
                <w:rFonts w:eastAsia="Times New Roman" w:cs="Times New Roman"/>
                <w:b/>
                <w:bCs/>
                <w:color w:val="000000"/>
                <w:sz w:val="16"/>
                <w:szCs w:val="16"/>
                <w:lang w:val="en-GB" w:eastAsia="en-GB"/>
              </w:rPr>
            </w:pPr>
            <w:r w:rsidRPr="00A51472">
              <w:rPr>
                <w:rFonts w:eastAsia="Times New Roman" w:cs="Times New Roman"/>
                <w:b/>
                <w:bCs/>
                <w:color w:val="000000"/>
                <w:sz w:val="16"/>
                <w:szCs w:val="16"/>
                <w:lang w:val="en-GB" w:eastAsia="en-GB"/>
              </w:rPr>
              <w:t>Total</w:t>
            </w:r>
            <w:r>
              <w:rPr>
                <w:rFonts w:eastAsia="Times New Roman" w:cs="Times New Roman"/>
                <w:b/>
                <w:bCs/>
                <w:color w:val="000000"/>
                <w:sz w:val="16"/>
                <w:szCs w:val="16"/>
                <w:lang w:val="en-GB" w:eastAsia="en-GB"/>
              </w:rPr>
              <w:t xml:space="preserve"> Other Payables</w:t>
            </w:r>
          </w:p>
        </w:tc>
        <w:tc>
          <w:tcPr>
            <w:tcW w:w="2437" w:type="dxa"/>
            <w:tcBorders>
              <w:top w:val="nil"/>
              <w:left w:val="nil"/>
              <w:bottom w:val="single" w:sz="8" w:space="0" w:color="auto"/>
              <w:right w:val="nil"/>
            </w:tcBorders>
            <w:shd w:val="clear" w:color="000000" w:fill="FFFFFF"/>
            <w:noWrap/>
            <w:vAlign w:val="bottom"/>
            <w:hideMark/>
          </w:tcPr>
          <w:p w:rsidR="0076103D" w:rsidRPr="00A51472" w:rsidRDefault="0076103D" w:rsidP="0076103D">
            <w:pPr>
              <w:jc w:val="center"/>
              <w:rPr>
                <w:rFonts w:eastAsia="Times New Roman" w:cs="Times New Roman"/>
                <w:b/>
                <w:bCs/>
                <w:color w:val="000000"/>
                <w:sz w:val="16"/>
                <w:szCs w:val="16"/>
                <w:lang w:val="en-GB" w:eastAsia="en-GB"/>
              </w:rPr>
            </w:pPr>
            <w:r w:rsidRPr="00A51472">
              <w:rPr>
                <w:rFonts w:eastAsia="Times New Roman" w:cs="Times New Roman"/>
                <w:b/>
                <w:bCs/>
                <w:color w:val="000000"/>
                <w:sz w:val="16"/>
                <w:szCs w:val="16"/>
                <w:lang w:val="en-GB" w:eastAsia="en-GB"/>
              </w:rPr>
              <w:t xml:space="preserve">                      26,</w:t>
            </w:r>
            <w:r>
              <w:rPr>
                <w:rFonts w:eastAsia="Times New Roman" w:cs="Times New Roman"/>
                <w:b/>
                <w:bCs/>
                <w:color w:val="000000"/>
                <w:sz w:val="16"/>
                <w:szCs w:val="16"/>
                <w:lang w:val="en-GB" w:eastAsia="en-GB"/>
              </w:rPr>
              <w:t>359</w:t>
            </w:r>
            <w:r w:rsidRPr="00A51472">
              <w:rPr>
                <w:rFonts w:eastAsia="Times New Roman" w:cs="Times New Roman"/>
                <w:b/>
                <w:bCs/>
                <w:color w:val="000000"/>
                <w:sz w:val="16"/>
                <w:szCs w:val="16"/>
                <w:lang w:val="en-GB" w:eastAsia="en-GB"/>
              </w:rPr>
              <w:t xml:space="preserve"> </w:t>
            </w:r>
          </w:p>
        </w:tc>
      </w:tr>
    </w:tbl>
    <w:p w:rsidR="00502D6C" w:rsidRDefault="00502D6C" w:rsidP="005E24D5">
      <w:pPr>
        <w:pStyle w:val="Normal0"/>
        <w:jc w:val="center"/>
      </w:pPr>
    </w:p>
    <w:p w:rsidR="00B935AA" w:rsidRDefault="00B935AA">
      <w:pPr>
        <w:pStyle w:val="Normal0"/>
        <w:rPr>
          <w:rFonts w:cs="Times New Roman"/>
        </w:rPr>
      </w:pPr>
    </w:p>
    <w:p w:rsidR="00CA6653" w:rsidRDefault="00CA6653" w:rsidP="00A31A9E">
      <w:pPr>
        <w:pStyle w:val="Heading1"/>
      </w:pPr>
      <w:bookmarkStart w:id="29" w:name="_Toc55900420"/>
      <w:r w:rsidRPr="00482758">
        <w:t>Note 1</w:t>
      </w:r>
      <w:r w:rsidR="00502D6C">
        <w:t>8</w:t>
      </w:r>
      <w:r w:rsidRPr="00482758">
        <w:t xml:space="preserve"> - Provisions</w:t>
      </w:r>
      <w:bookmarkEnd w:id="29"/>
    </w:p>
    <w:p w:rsidR="00CA6653" w:rsidRDefault="00CA6653" w:rsidP="00CA6653">
      <w:pPr>
        <w:pStyle w:val="Normal0"/>
        <w:spacing w:line="240" w:lineRule="auto"/>
        <w:rPr>
          <w:rFonts w:ascii="Verdana" w:hAnsi="Verdana"/>
          <w:sz w:val="22"/>
          <w:szCs w:val="22"/>
          <w:lang w:val="pt-BR"/>
        </w:rPr>
      </w:pPr>
      <w:r>
        <w:rPr>
          <w:rFonts w:ascii="Verdana" w:eastAsia="Calibri" w:hAnsi="Verdana" w:cs="Arial"/>
          <w:sz w:val="22"/>
          <w:szCs w:val="22"/>
          <w:lang w:val="pt-BR"/>
        </w:rPr>
        <w:t>Provisions held at 31 March 20</w:t>
      </w:r>
      <w:r w:rsidR="00E539E1">
        <w:rPr>
          <w:rFonts w:ascii="Verdana" w:eastAsia="Calibri" w:hAnsi="Verdana" w:cs="Arial"/>
          <w:sz w:val="22"/>
          <w:szCs w:val="22"/>
          <w:lang w:val="pt-BR"/>
        </w:rPr>
        <w:t>20</w:t>
      </w:r>
      <w:r>
        <w:rPr>
          <w:rFonts w:ascii="Verdana" w:eastAsia="Calibri" w:hAnsi="Verdana" w:cs="Arial"/>
          <w:sz w:val="22"/>
          <w:szCs w:val="22"/>
          <w:lang w:val="pt-BR"/>
        </w:rPr>
        <w:t xml:space="preserve"> are as follows: </w:t>
      </w:r>
    </w:p>
    <w:tbl>
      <w:tblPr>
        <w:tblW w:w="0" w:type="auto"/>
        <w:jc w:val="center"/>
        <w:tblLayout w:type="fixed"/>
        <w:tblLook w:val="04A0" w:firstRow="1" w:lastRow="0" w:firstColumn="1" w:lastColumn="0" w:noHBand="0" w:noVBand="1"/>
      </w:tblPr>
      <w:tblGrid>
        <w:gridCol w:w="1755"/>
        <w:gridCol w:w="1335"/>
        <w:gridCol w:w="1335"/>
        <w:gridCol w:w="1650"/>
      </w:tblGrid>
      <w:tr w:rsidR="004D417B" w:rsidTr="00F32EC6">
        <w:trPr>
          <w:trHeight w:val="255"/>
          <w:jc w:val="center"/>
        </w:trPr>
        <w:tc>
          <w:tcPr>
            <w:tcW w:w="1755" w:type="dxa"/>
            <w:shd w:val="clear" w:color="auto" w:fill="auto"/>
            <w:tcMar>
              <w:top w:w="20" w:type="dxa"/>
              <w:left w:w="20" w:type="dxa"/>
              <w:bottom w:w="20" w:type="dxa"/>
              <w:right w:w="20" w:type="dxa"/>
            </w:tcMar>
            <w:vAlign w:val="bottom"/>
          </w:tcPr>
          <w:p w:rsidR="004D417B" w:rsidRDefault="00CA6653" w:rsidP="00CA6653">
            <w:pPr>
              <w:pStyle w:val="T1TableStyle"/>
              <w:rPr>
                <w:rFonts w:ascii="Verdana" w:eastAsia="Verdana" w:hAnsi="Verdana" w:cs="Verdana"/>
                <w:b/>
                <w:color w:val="000000"/>
                <w:szCs w:val="22"/>
                <w:lang w:val="en-GB"/>
              </w:rPr>
            </w:pPr>
            <w:r>
              <w:rPr>
                <w:rFonts w:ascii="Verdana" w:eastAsia="Verdana" w:hAnsi="Verdana" w:cs="Verdana"/>
                <w:b/>
                <w:color w:val="000000"/>
                <w:szCs w:val="22"/>
                <w:lang w:val="en-GB"/>
              </w:rPr>
              <w:t>Current Provisions</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650"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4D417B" w:rsidTr="00F32EC6">
        <w:trPr>
          <w:trHeight w:hRule="exact" w:val="300"/>
          <w:jc w:val="center"/>
        </w:trPr>
        <w:tc>
          <w:tcPr>
            <w:tcW w:w="175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650"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4D417B" w:rsidTr="00F32EC6">
        <w:trPr>
          <w:trHeight w:val="510"/>
          <w:jc w:val="center"/>
        </w:trPr>
        <w:tc>
          <w:tcPr>
            <w:tcW w:w="1755" w:type="dxa"/>
            <w:shd w:val="clear" w:color="auto" w:fill="auto"/>
            <w:tcMar>
              <w:top w:w="20" w:type="dxa"/>
              <w:left w:w="20" w:type="dxa"/>
              <w:bottom w:w="20" w:type="dxa"/>
              <w:right w:w="20" w:type="dxa"/>
            </w:tcMar>
            <w:vAlign w:val="bottom"/>
          </w:tcPr>
          <w:p w:rsidR="004D417B" w:rsidRDefault="00CA6653" w:rsidP="00CA6653">
            <w:pPr>
              <w:pStyle w:val="T1TableStyle"/>
              <w:rPr>
                <w:rFonts w:ascii="Verdana" w:eastAsia="Verdana" w:hAnsi="Verdana" w:cs="Verdana"/>
                <w:b/>
                <w:color w:val="000000"/>
                <w:szCs w:val="22"/>
                <w:lang w:val="en-GB"/>
              </w:rPr>
            </w:pPr>
            <w:r>
              <w:rPr>
                <w:rFonts w:ascii="Verdana" w:eastAsia="Verdana" w:hAnsi="Verdana" w:cs="Verdana"/>
                <w:b/>
                <w:color w:val="000000"/>
                <w:szCs w:val="22"/>
                <w:lang w:val="en-GB"/>
              </w:rPr>
              <w:t>2019/20</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b/>
                <w:color w:val="000000"/>
                <w:sz w:val="16"/>
                <w:szCs w:val="22"/>
                <w:lang w:val="en-GB"/>
              </w:rPr>
            </w:pPr>
            <w:r>
              <w:rPr>
                <w:rFonts w:ascii="Verdana" w:eastAsia="Verdana" w:hAnsi="Verdana" w:cs="Verdana"/>
                <w:b/>
                <w:color w:val="000000"/>
                <w:sz w:val="16"/>
                <w:szCs w:val="22"/>
                <w:lang w:val="en-GB"/>
              </w:rPr>
              <w:t>Restructuring Provision</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b/>
                <w:color w:val="000000"/>
                <w:sz w:val="16"/>
                <w:szCs w:val="22"/>
                <w:lang w:val="en-GB"/>
              </w:rPr>
            </w:pPr>
            <w:r>
              <w:rPr>
                <w:rFonts w:ascii="Verdana" w:eastAsia="Verdana" w:hAnsi="Verdana" w:cs="Verdana"/>
                <w:b/>
                <w:color w:val="000000"/>
                <w:sz w:val="16"/>
                <w:szCs w:val="22"/>
                <w:lang w:val="en-GB"/>
              </w:rPr>
              <w:t>Insurance Provision</w:t>
            </w:r>
          </w:p>
        </w:tc>
        <w:tc>
          <w:tcPr>
            <w:tcW w:w="1650"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b/>
                <w:color w:val="000000"/>
                <w:sz w:val="16"/>
                <w:szCs w:val="22"/>
                <w:lang w:val="en-GB"/>
              </w:rPr>
            </w:pPr>
            <w:r>
              <w:rPr>
                <w:rFonts w:ascii="Verdana" w:eastAsia="Verdana" w:hAnsi="Verdana" w:cs="Verdana"/>
                <w:b/>
                <w:color w:val="000000"/>
                <w:sz w:val="16"/>
                <w:szCs w:val="22"/>
                <w:lang w:val="en-GB"/>
              </w:rPr>
              <w:t>Total</w:t>
            </w:r>
          </w:p>
        </w:tc>
      </w:tr>
      <w:tr w:rsidR="004D417B" w:rsidTr="00F32EC6">
        <w:trPr>
          <w:trHeight w:val="300"/>
          <w:jc w:val="center"/>
        </w:trPr>
        <w:tc>
          <w:tcPr>
            <w:tcW w:w="1755" w:type="dxa"/>
            <w:tcBorders>
              <w:bottom w:val="single" w:sz="2" w:space="0" w:color="000000"/>
            </w:tcBorders>
            <w:shd w:val="clear" w:color="auto" w:fill="auto"/>
            <w:tcMar>
              <w:top w:w="20" w:type="dxa"/>
              <w:left w:w="20" w:type="dxa"/>
              <w:bottom w:w="20" w:type="dxa"/>
              <w:right w:w="20" w:type="dxa"/>
            </w:tcMar>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vAlign w:val="bottom"/>
          </w:tcPr>
          <w:p w:rsidR="004D417B" w:rsidRDefault="00CA6653" w:rsidP="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4D417B" w:rsidRDefault="00CA6653" w:rsidP="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£000</w:t>
            </w:r>
          </w:p>
        </w:tc>
        <w:tc>
          <w:tcPr>
            <w:tcW w:w="1650" w:type="dxa"/>
            <w:tcBorders>
              <w:bottom w:val="single" w:sz="2" w:space="0" w:color="000000"/>
            </w:tcBorders>
            <w:shd w:val="clear" w:color="auto" w:fill="auto"/>
            <w:tcMar>
              <w:top w:w="20" w:type="dxa"/>
              <w:left w:w="20" w:type="dxa"/>
              <w:bottom w:w="20" w:type="dxa"/>
              <w:right w:w="20" w:type="dxa"/>
            </w:tcMar>
            <w:vAlign w:val="bottom"/>
          </w:tcPr>
          <w:p w:rsidR="004D417B" w:rsidRDefault="00CA6653" w:rsidP="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£000</w:t>
            </w:r>
          </w:p>
        </w:tc>
      </w:tr>
      <w:tr w:rsidR="004D417B" w:rsidTr="00F32EC6">
        <w:trPr>
          <w:trHeight w:val="225"/>
          <w:jc w:val="center"/>
        </w:trPr>
        <w:tc>
          <w:tcPr>
            <w:tcW w:w="1755" w:type="dxa"/>
            <w:shd w:val="clear" w:color="auto" w:fill="auto"/>
            <w:tcMar>
              <w:top w:w="20" w:type="dxa"/>
              <w:left w:w="20" w:type="dxa"/>
              <w:bottom w:w="20" w:type="dxa"/>
              <w:right w:w="20" w:type="dxa"/>
            </w:tcMar>
          </w:tcPr>
          <w:p w:rsidR="004D417B" w:rsidRDefault="00CA6653" w:rsidP="00CA6653">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Opening Balance</w:t>
            </w:r>
          </w:p>
        </w:tc>
        <w:tc>
          <w:tcPr>
            <w:tcW w:w="1335" w:type="dxa"/>
            <w:shd w:val="clear" w:color="auto" w:fill="auto"/>
            <w:tcMar>
              <w:top w:w="20" w:type="dxa"/>
              <w:left w:w="20" w:type="dxa"/>
              <w:bottom w:w="20" w:type="dxa"/>
              <w:right w:w="20" w:type="dxa"/>
            </w:tcMar>
          </w:tcPr>
          <w:p w:rsidR="004D417B" w:rsidRDefault="00CA6653" w:rsidP="0066032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w:t>
            </w:r>
            <w:r w:rsidR="00660323">
              <w:rPr>
                <w:rFonts w:ascii="Verdana" w:eastAsia="Verdana" w:hAnsi="Verdana" w:cs="Verdana"/>
                <w:color w:val="000000"/>
                <w:sz w:val="16"/>
                <w:szCs w:val="22"/>
                <w:lang w:val="en-GB"/>
              </w:rPr>
              <w:t>10</w:t>
            </w:r>
            <w:r>
              <w:rPr>
                <w:rFonts w:ascii="Verdana" w:eastAsia="Verdana" w:hAnsi="Verdana" w:cs="Verdana"/>
                <w:color w:val="000000"/>
                <w:sz w:val="16"/>
                <w:szCs w:val="22"/>
                <w:lang w:val="en-GB"/>
              </w:rPr>
              <w:t>9)</w:t>
            </w:r>
          </w:p>
        </w:tc>
        <w:tc>
          <w:tcPr>
            <w:tcW w:w="1335" w:type="dxa"/>
            <w:shd w:val="clear" w:color="auto" w:fill="auto"/>
            <w:tcMar>
              <w:top w:w="20" w:type="dxa"/>
              <w:left w:w="20" w:type="dxa"/>
              <w:bottom w:w="20" w:type="dxa"/>
              <w:right w:w="20" w:type="dxa"/>
            </w:tcMar>
          </w:tcPr>
          <w:p w:rsidR="004D417B" w:rsidRDefault="00CA6653" w:rsidP="0066032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w:t>
            </w:r>
            <w:r w:rsidR="00660323">
              <w:rPr>
                <w:rFonts w:ascii="Verdana" w:eastAsia="Verdana" w:hAnsi="Verdana" w:cs="Verdana"/>
                <w:color w:val="000000"/>
                <w:sz w:val="16"/>
                <w:szCs w:val="22"/>
                <w:lang w:val="en-GB"/>
              </w:rPr>
              <w:t>720</w:t>
            </w:r>
            <w:r>
              <w:rPr>
                <w:rFonts w:ascii="Verdana" w:eastAsia="Verdana" w:hAnsi="Verdana" w:cs="Verdana"/>
                <w:color w:val="000000"/>
                <w:sz w:val="16"/>
                <w:szCs w:val="22"/>
                <w:lang w:val="en-GB"/>
              </w:rPr>
              <w:t>)</w:t>
            </w:r>
          </w:p>
        </w:tc>
        <w:tc>
          <w:tcPr>
            <w:tcW w:w="1650" w:type="dxa"/>
            <w:shd w:val="clear" w:color="auto" w:fill="auto"/>
            <w:tcMar>
              <w:top w:w="20" w:type="dxa"/>
              <w:left w:w="20" w:type="dxa"/>
              <w:bottom w:w="20" w:type="dxa"/>
              <w:right w:w="20" w:type="dxa"/>
            </w:tcMar>
          </w:tcPr>
          <w:p w:rsidR="004D417B" w:rsidRDefault="00CA6653" w:rsidP="0066032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w:t>
            </w:r>
            <w:r w:rsidR="00660323">
              <w:rPr>
                <w:rFonts w:ascii="Verdana" w:eastAsia="Verdana" w:hAnsi="Verdana" w:cs="Verdana"/>
                <w:color w:val="000000"/>
                <w:sz w:val="16"/>
                <w:szCs w:val="22"/>
                <w:lang w:val="en-GB"/>
              </w:rPr>
              <w:t>829</w:t>
            </w:r>
            <w:r>
              <w:rPr>
                <w:rFonts w:ascii="Verdana" w:eastAsia="Verdana" w:hAnsi="Verdana" w:cs="Verdana"/>
                <w:color w:val="000000"/>
                <w:sz w:val="16"/>
                <w:szCs w:val="22"/>
                <w:lang w:val="en-GB"/>
              </w:rPr>
              <w:t>)</w:t>
            </w:r>
          </w:p>
        </w:tc>
      </w:tr>
      <w:tr w:rsidR="004D417B" w:rsidTr="00F32EC6">
        <w:trPr>
          <w:trHeight w:val="630"/>
          <w:jc w:val="center"/>
        </w:trPr>
        <w:tc>
          <w:tcPr>
            <w:tcW w:w="1755" w:type="dxa"/>
            <w:shd w:val="clear" w:color="auto" w:fill="auto"/>
            <w:tcMar>
              <w:top w:w="20" w:type="dxa"/>
              <w:left w:w="20" w:type="dxa"/>
              <w:bottom w:w="20" w:type="dxa"/>
              <w:right w:w="20" w:type="dxa"/>
            </w:tcMar>
          </w:tcPr>
          <w:p w:rsidR="004D417B" w:rsidRDefault="00CA6653" w:rsidP="00CA6653">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Increase in provision during year</w:t>
            </w:r>
          </w:p>
          <w:p w:rsidR="00185102" w:rsidRDefault="00185102" w:rsidP="00CA6653">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Rounding</w:t>
            </w:r>
          </w:p>
        </w:tc>
        <w:tc>
          <w:tcPr>
            <w:tcW w:w="1335" w:type="dxa"/>
            <w:shd w:val="clear" w:color="auto" w:fill="auto"/>
            <w:tcMar>
              <w:top w:w="20" w:type="dxa"/>
              <w:left w:w="20" w:type="dxa"/>
              <w:bottom w:w="20" w:type="dxa"/>
              <w:right w:w="20" w:type="dxa"/>
            </w:tcMar>
          </w:tcPr>
          <w:p w:rsidR="004D417B" w:rsidRDefault="00CA6653" w:rsidP="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0</w:t>
            </w:r>
          </w:p>
          <w:p w:rsidR="00185102" w:rsidRDefault="00185102" w:rsidP="00CA6653">
            <w:pPr>
              <w:pStyle w:val="T1TableStyle"/>
              <w:jc w:val="right"/>
              <w:rPr>
                <w:rFonts w:ascii="Verdana" w:eastAsia="Verdana" w:hAnsi="Verdana" w:cs="Verdana"/>
                <w:color w:val="000000"/>
                <w:sz w:val="16"/>
                <w:szCs w:val="22"/>
                <w:lang w:val="en-GB"/>
              </w:rPr>
            </w:pPr>
          </w:p>
          <w:p w:rsidR="00185102" w:rsidRDefault="008C4680">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(1)</w:t>
            </w:r>
          </w:p>
        </w:tc>
        <w:tc>
          <w:tcPr>
            <w:tcW w:w="1335" w:type="dxa"/>
            <w:shd w:val="clear" w:color="auto" w:fill="auto"/>
            <w:tcMar>
              <w:top w:w="20" w:type="dxa"/>
              <w:left w:w="20" w:type="dxa"/>
              <w:bottom w:w="20" w:type="dxa"/>
              <w:right w:w="20" w:type="dxa"/>
            </w:tcMar>
          </w:tcPr>
          <w:p w:rsidR="004D417B" w:rsidRDefault="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(27</w:t>
            </w:r>
            <w:r w:rsidR="0086109C">
              <w:rPr>
                <w:rFonts w:ascii="Verdana" w:eastAsia="Verdana" w:hAnsi="Verdana" w:cs="Verdana"/>
                <w:color w:val="000000"/>
                <w:sz w:val="16"/>
                <w:szCs w:val="22"/>
                <w:lang w:val="en-GB"/>
              </w:rPr>
              <w:t>8</w:t>
            </w:r>
            <w:r>
              <w:rPr>
                <w:rFonts w:ascii="Verdana" w:eastAsia="Verdana" w:hAnsi="Verdana" w:cs="Verdana"/>
                <w:color w:val="000000"/>
                <w:sz w:val="16"/>
                <w:szCs w:val="22"/>
                <w:lang w:val="en-GB"/>
              </w:rPr>
              <w:t>)</w:t>
            </w:r>
          </w:p>
          <w:p w:rsidR="00185102" w:rsidRDefault="00185102">
            <w:pPr>
              <w:pStyle w:val="T1TableStyle"/>
              <w:jc w:val="right"/>
              <w:rPr>
                <w:rFonts w:ascii="Verdana" w:eastAsia="Verdana" w:hAnsi="Verdana" w:cs="Verdana"/>
                <w:color w:val="000000"/>
                <w:sz w:val="16"/>
                <w:szCs w:val="22"/>
                <w:lang w:val="en-GB"/>
              </w:rPr>
            </w:pPr>
          </w:p>
          <w:p w:rsidR="00185102" w:rsidRDefault="0086109C">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0</w:t>
            </w:r>
          </w:p>
        </w:tc>
        <w:tc>
          <w:tcPr>
            <w:tcW w:w="1650" w:type="dxa"/>
            <w:shd w:val="clear" w:color="auto" w:fill="auto"/>
            <w:tcMar>
              <w:top w:w="20" w:type="dxa"/>
              <w:left w:w="20" w:type="dxa"/>
              <w:bottom w:w="20" w:type="dxa"/>
              <w:right w:w="20" w:type="dxa"/>
            </w:tcMar>
          </w:tcPr>
          <w:p w:rsidR="004D417B" w:rsidRDefault="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(27</w:t>
            </w:r>
            <w:r w:rsidR="0086109C">
              <w:rPr>
                <w:rFonts w:ascii="Verdana" w:eastAsia="Verdana" w:hAnsi="Verdana" w:cs="Verdana"/>
                <w:color w:val="000000"/>
                <w:sz w:val="16"/>
                <w:szCs w:val="22"/>
                <w:lang w:val="en-GB"/>
              </w:rPr>
              <w:t>8</w:t>
            </w:r>
            <w:r>
              <w:rPr>
                <w:rFonts w:ascii="Verdana" w:eastAsia="Verdana" w:hAnsi="Verdana" w:cs="Verdana"/>
                <w:color w:val="000000"/>
                <w:sz w:val="16"/>
                <w:szCs w:val="22"/>
                <w:lang w:val="en-GB"/>
              </w:rPr>
              <w:t>)</w:t>
            </w:r>
          </w:p>
          <w:p w:rsidR="00185102" w:rsidRDefault="00185102">
            <w:pPr>
              <w:pStyle w:val="T1TableStyle"/>
              <w:jc w:val="right"/>
              <w:rPr>
                <w:rFonts w:ascii="Verdana" w:eastAsia="Verdana" w:hAnsi="Verdana" w:cs="Verdana"/>
                <w:color w:val="000000"/>
                <w:sz w:val="16"/>
                <w:szCs w:val="22"/>
                <w:lang w:val="en-GB"/>
              </w:rPr>
            </w:pPr>
          </w:p>
          <w:p w:rsidR="00185102" w:rsidRDefault="00185102">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(1)</w:t>
            </w:r>
          </w:p>
        </w:tc>
      </w:tr>
      <w:tr w:rsidR="004D417B" w:rsidTr="00F32EC6">
        <w:trPr>
          <w:trHeight w:val="315"/>
          <w:jc w:val="center"/>
        </w:trPr>
        <w:tc>
          <w:tcPr>
            <w:tcW w:w="1755"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4D417B" w:rsidRDefault="00CA6653" w:rsidP="00CA6653">
            <w:pPr>
              <w:pStyle w:val="T1TableStyle"/>
              <w:rPr>
                <w:rFonts w:ascii="Verdana" w:eastAsia="Verdana" w:hAnsi="Verdana" w:cs="Verdana"/>
                <w:b/>
                <w:color w:val="000000"/>
                <w:sz w:val="16"/>
                <w:szCs w:val="22"/>
                <w:lang w:val="en-GB"/>
              </w:rPr>
            </w:pPr>
            <w:r>
              <w:rPr>
                <w:rFonts w:ascii="Verdana" w:eastAsia="Verdana" w:hAnsi="Verdana" w:cs="Verdana"/>
                <w:b/>
                <w:color w:val="000000"/>
                <w:sz w:val="16"/>
                <w:szCs w:val="22"/>
                <w:lang w:val="en-GB"/>
              </w:rPr>
              <w:t>Closing Balance</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4D417B" w:rsidRDefault="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w:t>
            </w:r>
            <w:r w:rsidR="00660323">
              <w:rPr>
                <w:rFonts w:ascii="Verdana" w:eastAsia="Verdana" w:hAnsi="Verdana" w:cs="Verdana"/>
                <w:b/>
                <w:color w:val="000000"/>
                <w:sz w:val="16"/>
                <w:szCs w:val="22"/>
                <w:lang w:val="en-GB"/>
              </w:rPr>
              <w:t>1</w:t>
            </w:r>
            <w:r w:rsidR="008C4680">
              <w:rPr>
                <w:rFonts w:ascii="Verdana" w:eastAsia="Verdana" w:hAnsi="Verdana" w:cs="Verdana"/>
                <w:b/>
                <w:color w:val="000000"/>
                <w:sz w:val="16"/>
                <w:szCs w:val="22"/>
                <w:lang w:val="en-GB"/>
              </w:rPr>
              <w:t>10</w:t>
            </w:r>
            <w:r>
              <w:rPr>
                <w:rFonts w:ascii="Verdana" w:eastAsia="Verdana" w:hAnsi="Verdana" w:cs="Verdana"/>
                <w:b/>
                <w:color w:val="000000"/>
                <w:sz w:val="16"/>
                <w:szCs w:val="22"/>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4D417B" w:rsidRDefault="00CA6653" w:rsidP="0066032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w:t>
            </w:r>
            <w:r w:rsidR="00660323">
              <w:rPr>
                <w:rFonts w:ascii="Verdana" w:eastAsia="Verdana" w:hAnsi="Verdana" w:cs="Verdana"/>
                <w:b/>
                <w:color w:val="000000"/>
                <w:sz w:val="16"/>
                <w:szCs w:val="22"/>
                <w:lang w:val="en-GB"/>
              </w:rPr>
              <w:t>99</w:t>
            </w:r>
            <w:r w:rsidR="00185102">
              <w:rPr>
                <w:rFonts w:ascii="Verdana" w:eastAsia="Verdana" w:hAnsi="Verdana" w:cs="Verdana"/>
                <w:b/>
                <w:color w:val="000000"/>
                <w:sz w:val="16"/>
                <w:szCs w:val="22"/>
                <w:lang w:val="en-GB"/>
              </w:rPr>
              <w:t>8</w:t>
            </w:r>
            <w:r>
              <w:rPr>
                <w:rFonts w:ascii="Verdana" w:eastAsia="Verdana" w:hAnsi="Verdana" w:cs="Verdana"/>
                <w:b/>
                <w:color w:val="000000"/>
                <w:sz w:val="16"/>
                <w:szCs w:val="22"/>
                <w:lang w:val="en-GB"/>
              </w:rPr>
              <w:t>)</w:t>
            </w:r>
          </w:p>
        </w:tc>
        <w:tc>
          <w:tcPr>
            <w:tcW w:w="1650"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4D417B" w:rsidRDefault="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w:t>
            </w:r>
            <w:r w:rsidR="00660323">
              <w:rPr>
                <w:rFonts w:ascii="Verdana" w:eastAsia="Verdana" w:hAnsi="Verdana" w:cs="Verdana"/>
                <w:b/>
                <w:color w:val="000000"/>
                <w:sz w:val="16"/>
                <w:szCs w:val="22"/>
                <w:lang w:val="en-GB"/>
              </w:rPr>
              <w:t>1,10</w:t>
            </w:r>
            <w:r w:rsidR="00185102">
              <w:rPr>
                <w:rFonts w:ascii="Verdana" w:eastAsia="Verdana" w:hAnsi="Verdana" w:cs="Verdana"/>
                <w:b/>
                <w:color w:val="000000"/>
                <w:sz w:val="16"/>
                <w:szCs w:val="22"/>
                <w:lang w:val="en-GB"/>
              </w:rPr>
              <w:t>8)</w:t>
            </w:r>
          </w:p>
        </w:tc>
      </w:tr>
      <w:tr w:rsidR="004D417B" w:rsidTr="00F32EC6">
        <w:trPr>
          <w:trHeight w:hRule="exact" w:val="210"/>
          <w:jc w:val="center"/>
        </w:trPr>
        <w:tc>
          <w:tcPr>
            <w:tcW w:w="175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650"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4D417B" w:rsidTr="00F32EC6">
        <w:trPr>
          <w:trHeight w:hRule="exact" w:val="255"/>
          <w:jc w:val="center"/>
        </w:trPr>
        <w:tc>
          <w:tcPr>
            <w:tcW w:w="175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b/>
                <w:color w:val="000000"/>
                <w:sz w:val="2"/>
                <w:szCs w:val="22"/>
                <w:lang w:val="en-GB"/>
              </w:rPr>
            </w:pPr>
            <w:r>
              <w:rPr>
                <w:rFonts w:ascii="Verdana" w:eastAsia="Verdana" w:hAnsi="Verdana" w:cs="Verdana"/>
                <w:b/>
                <w:color w:val="000000"/>
                <w:sz w:val="2"/>
                <w:szCs w:val="22"/>
                <w:lang w:val="en-GB"/>
              </w:rPr>
              <w:t xml:space="preserve"> </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650"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r>
      <w:tr w:rsidR="004D417B" w:rsidTr="00F32EC6">
        <w:trPr>
          <w:trHeight w:val="510"/>
          <w:jc w:val="center"/>
        </w:trPr>
        <w:tc>
          <w:tcPr>
            <w:tcW w:w="1755" w:type="dxa"/>
            <w:shd w:val="clear" w:color="auto" w:fill="auto"/>
            <w:tcMar>
              <w:top w:w="20" w:type="dxa"/>
              <w:left w:w="20" w:type="dxa"/>
              <w:bottom w:w="20" w:type="dxa"/>
              <w:right w:w="20" w:type="dxa"/>
            </w:tcMar>
            <w:vAlign w:val="bottom"/>
          </w:tcPr>
          <w:p w:rsidR="004D417B" w:rsidRDefault="00CA6653" w:rsidP="00CA6653">
            <w:pPr>
              <w:pStyle w:val="T1TableStyle"/>
              <w:rPr>
                <w:rFonts w:ascii="Verdana" w:eastAsia="Verdana" w:hAnsi="Verdana" w:cs="Verdana"/>
                <w:b/>
                <w:color w:val="000000"/>
                <w:szCs w:val="22"/>
                <w:lang w:val="en-GB"/>
              </w:rPr>
            </w:pPr>
            <w:r>
              <w:rPr>
                <w:rFonts w:ascii="Verdana" w:eastAsia="Verdana" w:hAnsi="Verdana" w:cs="Verdana"/>
                <w:b/>
                <w:color w:val="000000"/>
                <w:szCs w:val="22"/>
                <w:lang w:val="en-GB"/>
              </w:rPr>
              <w:t>2018/19</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b/>
                <w:color w:val="000000"/>
                <w:sz w:val="16"/>
                <w:szCs w:val="22"/>
                <w:lang w:val="en-GB"/>
              </w:rPr>
            </w:pPr>
            <w:r>
              <w:rPr>
                <w:rFonts w:ascii="Verdana" w:eastAsia="Verdana" w:hAnsi="Verdana" w:cs="Verdana"/>
                <w:b/>
                <w:color w:val="000000"/>
                <w:sz w:val="16"/>
                <w:szCs w:val="22"/>
                <w:lang w:val="en-GB"/>
              </w:rPr>
              <w:t>Restructuring Provision</w:t>
            </w:r>
          </w:p>
        </w:tc>
        <w:tc>
          <w:tcPr>
            <w:tcW w:w="1335"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b/>
                <w:color w:val="000000"/>
                <w:sz w:val="16"/>
                <w:szCs w:val="22"/>
                <w:lang w:val="en-GB"/>
              </w:rPr>
            </w:pPr>
            <w:r>
              <w:rPr>
                <w:rFonts w:ascii="Verdana" w:eastAsia="Verdana" w:hAnsi="Verdana" w:cs="Verdana"/>
                <w:b/>
                <w:color w:val="000000"/>
                <w:sz w:val="16"/>
                <w:szCs w:val="22"/>
                <w:lang w:val="en-GB"/>
              </w:rPr>
              <w:t>Insurance Provision</w:t>
            </w:r>
          </w:p>
        </w:tc>
        <w:tc>
          <w:tcPr>
            <w:tcW w:w="1650" w:type="dxa"/>
            <w:shd w:val="clear" w:color="auto" w:fill="auto"/>
            <w:tcMar>
              <w:top w:w="20" w:type="dxa"/>
              <w:left w:w="20" w:type="dxa"/>
              <w:bottom w:w="20" w:type="dxa"/>
              <w:right w:w="20" w:type="dxa"/>
            </w:tcMar>
            <w:vAlign w:val="bottom"/>
          </w:tcPr>
          <w:p w:rsidR="004D417B" w:rsidRDefault="00CA6653" w:rsidP="00CA6653">
            <w:pPr>
              <w:pStyle w:val="T1TableStyle"/>
              <w:jc w:val="center"/>
              <w:rPr>
                <w:rFonts w:ascii="Verdana" w:eastAsia="Verdana" w:hAnsi="Verdana" w:cs="Verdana"/>
                <w:b/>
                <w:color w:val="000000"/>
                <w:sz w:val="16"/>
                <w:szCs w:val="22"/>
                <w:lang w:val="en-GB"/>
              </w:rPr>
            </w:pPr>
            <w:r>
              <w:rPr>
                <w:rFonts w:ascii="Verdana" w:eastAsia="Verdana" w:hAnsi="Verdana" w:cs="Verdana"/>
                <w:b/>
                <w:color w:val="000000"/>
                <w:sz w:val="16"/>
                <w:szCs w:val="22"/>
                <w:lang w:val="en-GB"/>
              </w:rPr>
              <w:t>Total</w:t>
            </w:r>
          </w:p>
        </w:tc>
      </w:tr>
      <w:tr w:rsidR="004D417B" w:rsidTr="00F32EC6">
        <w:trPr>
          <w:trHeight w:val="300"/>
          <w:jc w:val="center"/>
        </w:trPr>
        <w:tc>
          <w:tcPr>
            <w:tcW w:w="1755" w:type="dxa"/>
            <w:tcBorders>
              <w:bottom w:val="single" w:sz="2" w:space="0" w:color="000000"/>
            </w:tcBorders>
            <w:shd w:val="clear" w:color="auto" w:fill="auto"/>
            <w:tcMar>
              <w:top w:w="20" w:type="dxa"/>
              <w:left w:w="20" w:type="dxa"/>
              <w:bottom w:w="20" w:type="dxa"/>
              <w:right w:w="20" w:type="dxa"/>
            </w:tcMar>
          </w:tcPr>
          <w:p w:rsidR="004D417B" w:rsidRDefault="00CA6653" w:rsidP="00CA6653">
            <w:pPr>
              <w:pStyle w:val="T1TableStyle"/>
              <w:jc w:val="center"/>
              <w:rPr>
                <w:rFonts w:ascii="Verdana" w:eastAsia="Verdana" w:hAnsi="Verdana" w:cs="Verdana"/>
                <w:color w:val="000000"/>
                <w:sz w:val="2"/>
                <w:szCs w:val="22"/>
                <w:lang w:val="en-GB"/>
              </w:rPr>
            </w:pPr>
            <w:r>
              <w:rPr>
                <w:rFonts w:ascii="Verdana" w:eastAsia="Verdana" w:hAnsi="Verdana" w:cs="Verdana"/>
                <w:color w:val="000000"/>
                <w:sz w:val="2"/>
                <w:szCs w:val="2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vAlign w:val="bottom"/>
          </w:tcPr>
          <w:p w:rsidR="004D417B" w:rsidRDefault="00CA6653" w:rsidP="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£000</w:t>
            </w:r>
          </w:p>
        </w:tc>
        <w:tc>
          <w:tcPr>
            <w:tcW w:w="1335" w:type="dxa"/>
            <w:tcBorders>
              <w:bottom w:val="single" w:sz="2" w:space="0" w:color="000000"/>
            </w:tcBorders>
            <w:shd w:val="clear" w:color="auto" w:fill="auto"/>
            <w:tcMar>
              <w:top w:w="20" w:type="dxa"/>
              <w:left w:w="20" w:type="dxa"/>
              <w:bottom w:w="20" w:type="dxa"/>
              <w:right w:w="20" w:type="dxa"/>
            </w:tcMar>
            <w:vAlign w:val="bottom"/>
          </w:tcPr>
          <w:p w:rsidR="004D417B" w:rsidRDefault="00CA6653" w:rsidP="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£000</w:t>
            </w:r>
          </w:p>
        </w:tc>
        <w:tc>
          <w:tcPr>
            <w:tcW w:w="1650" w:type="dxa"/>
            <w:tcBorders>
              <w:bottom w:val="single" w:sz="2" w:space="0" w:color="000000"/>
            </w:tcBorders>
            <w:shd w:val="clear" w:color="auto" w:fill="auto"/>
            <w:tcMar>
              <w:top w:w="20" w:type="dxa"/>
              <w:left w:w="20" w:type="dxa"/>
              <w:bottom w:w="20" w:type="dxa"/>
              <w:right w:w="20" w:type="dxa"/>
            </w:tcMar>
            <w:vAlign w:val="bottom"/>
          </w:tcPr>
          <w:p w:rsidR="004D417B" w:rsidRDefault="00CA6653" w:rsidP="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£000</w:t>
            </w:r>
          </w:p>
        </w:tc>
      </w:tr>
      <w:tr w:rsidR="004D417B" w:rsidTr="00F32EC6">
        <w:trPr>
          <w:trHeight w:val="225"/>
          <w:jc w:val="center"/>
        </w:trPr>
        <w:tc>
          <w:tcPr>
            <w:tcW w:w="1755" w:type="dxa"/>
            <w:shd w:val="clear" w:color="auto" w:fill="auto"/>
            <w:tcMar>
              <w:top w:w="20" w:type="dxa"/>
              <w:left w:w="20" w:type="dxa"/>
              <w:bottom w:w="20" w:type="dxa"/>
              <w:right w:w="20" w:type="dxa"/>
            </w:tcMar>
          </w:tcPr>
          <w:p w:rsidR="004D417B" w:rsidRDefault="00CA6653" w:rsidP="00CA6653">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Opening Balance</w:t>
            </w:r>
          </w:p>
        </w:tc>
        <w:tc>
          <w:tcPr>
            <w:tcW w:w="1335" w:type="dxa"/>
            <w:shd w:val="clear" w:color="auto" w:fill="auto"/>
            <w:tcMar>
              <w:top w:w="20" w:type="dxa"/>
              <w:left w:w="20" w:type="dxa"/>
              <w:bottom w:w="20" w:type="dxa"/>
              <w:right w:w="20" w:type="dxa"/>
            </w:tcMar>
          </w:tcPr>
          <w:p w:rsidR="004D417B" w:rsidRDefault="00CA6653" w:rsidP="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(606)</w:t>
            </w:r>
          </w:p>
        </w:tc>
        <w:tc>
          <w:tcPr>
            <w:tcW w:w="1335" w:type="dxa"/>
            <w:shd w:val="clear" w:color="auto" w:fill="auto"/>
            <w:tcMar>
              <w:top w:w="20" w:type="dxa"/>
              <w:left w:w="20" w:type="dxa"/>
              <w:bottom w:w="20" w:type="dxa"/>
              <w:right w:w="20" w:type="dxa"/>
            </w:tcMar>
          </w:tcPr>
          <w:p w:rsidR="004D417B" w:rsidRDefault="00CA6653" w:rsidP="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(946)</w:t>
            </w:r>
          </w:p>
        </w:tc>
        <w:tc>
          <w:tcPr>
            <w:tcW w:w="1650" w:type="dxa"/>
            <w:shd w:val="clear" w:color="auto" w:fill="auto"/>
            <w:tcMar>
              <w:top w:w="20" w:type="dxa"/>
              <w:left w:w="20" w:type="dxa"/>
              <w:bottom w:w="20" w:type="dxa"/>
              <w:right w:w="20" w:type="dxa"/>
            </w:tcMar>
          </w:tcPr>
          <w:p w:rsidR="004D417B" w:rsidRDefault="00CA6653" w:rsidP="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(1,552)</w:t>
            </w:r>
          </w:p>
        </w:tc>
      </w:tr>
      <w:tr w:rsidR="004D417B" w:rsidTr="00F32EC6">
        <w:trPr>
          <w:trHeight w:val="420"/>
          <w:jc w:val="center"/>
        </w:trPr>
        <w:tc>
          <w:tcPr>
            <w:tcW w:w="1755" w:type="dxa"/>
            <w:shd w:val="clear" w:color="auto" w:fill="auto"/>
            <w:tcMar>
              <w:top w:w="20" w:type="dxa"/>
              <w:left w:w="20" w:type="dxa"/>
              <w:bottom w:w="20" w:type="dxa"/>
              <w:right w:w="20" w:type="dxa"/>
            </w:tcMar>
          </w:tcPr>
          <w:p w:rsidR="004D417B" w:rsidRDefault="00CA6653" w:rsidP="00CA6653">
            <w:pPr>
              <w:pStyle w:val="T1TableStyle"/>
              <w:rPr>
                <w:rFonts w:ascii="Verdana" w:eastAsia="Verdana" w:hAnsi="Verdana" w:cs="Verdana"/>
                <w:color w:val="000000"/>
                <w:sz w:val="16"/>
                <w:szCs w:val="22"/>
                <w:lang w:val="en-GB"/>
              </w:rPr>
            </w:pPr>
            <w:r>
              <w:rPr>
                <w:rFonts w:ascii="Verdana" w:eastAsia="Verdana" w:hAnsi="Verdana" w:cs="Verdana"/>
                <w:color w:val="000000"/>
                <w:sz w:val="16"/>
                <w:szCs w:val="22"/>
                <w:lang w:val="en-GB"/>
              </w:rPr>
              <w:t>Utilised during year</w:t>
            </w:r>
          </w:p>
        </w:tc>
        <w:tc>
          <w:tcPr>
            <w:tcW w:w="1335" w:type="dxa"/>
            <w:shd w:val="clear" w:color="auto" w:fill="auto"/>
            <w:tcMar>
              <w:top w:w="20" w:type="dxa"/>
              <w:left w:w="20" w:type="dxa"/>
              <w:bottom w:w="20" w:type="dxa"/>
              <w:right w:w="20" w:type="dxa"/>
            </w:tcMar>
          </w:tcPr>
          <w:p w:rsidR="004D417B" w:rsidRDefault="00CA6653" w:rsidP="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496</w:t>
            </w:r>
          </w:p>
        </w:tc>
        <w:tc>
          <w:tcPr>
            <w:tcW w:w="1335" w:type="dxa"/>
            <w:shd w:val="clear" w:color="auto" w:fill="auto"/>
            <w:tcMar>
              <w:top w:w="20" w:type="dxa"/>
              <w:left w:w="20" w:type="dxa"/>
              <w:bottom w:w="20" w:type="dxa"/>
              <w:right w:w="20" w:type="dxa"/>
            </w:tcMar>
          </w:tcPr>
          <w:p w:rsidR="004D417B" w:rsidRDefault="00CA6653" w:rsidP="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226</w:t>
            </w:r>
          </w:p>
        </w:tc>
        <w:tc>
          <w:tcPr>
            <w:tcW w:w="1650" w:type="dxa"/>
            <w:shd w:val="clear" w:color="auto" w:fill="auto"/>
            <w:tcMar>
              <w:top w:w="20" w:type="dxa"/>
              <w:left w:w="20" w:type="dxa"/>
              <w:bottom w:w="20" w:type="dxa"/>
              <w:right w:w="20" w:type="dxa"/>
            </w:tcMar>
          </w:tcPr>
          <w:p w:rsidR="004D417B" w:rsidRDefault="00CA6653" w:rsidP="00CA6653">
            <w:pPr>
              <w:pStyle w:val="T1TableStyle"/>
              <w:jc w:val="right"/>
              <w:rPr>
                <w:rFonts w:ascii="Verdana" w:eastAsia="Verdana" w:hAnsi="Verdana" w:cs="Verdana"/>
                <w:color w:val="000000"/>
                <w:sz w:val="16"/>
                <w:szCs w:val="22"/>
                <w:lang w:val="en-GB"/>
              </w:rPr>
            </w:pPr>
            <w:r>
              <w:rPr>
                <w:rFonts w:ascii="Verdana" w:eastAsia="Verdana" w:hAnsi="Verdana" w:cs="Verdana"/>
                <w:color w:val="000000"/>
                <w:sz w:val="16"/>
                <w:szCs w:val="22"/>
                <w:lang w:val="en-GB"/>
              </w:rPr>
              <w:t>723</w:t>
            </w:r>
          </w:p>
        </w:tc>
      </w:tr>
      <w:tr w:rsidR="004D417B" w:rsidTr="00F32EC6">
        <w:trPr>
          <w:trHeight w:val="315"/>
          <w:jc w:val="center"/>
        </w:trPr>
        <w:tc>
          <w:tcPr>
            <w:tcW w:w="1755"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4D417B" w:rsidRDefault="00CA6653" w:rsidP="00CA6653">
            <w:pPr>
              <w:pStyle w:val="T1TableStyle"/>
              <w:rPr>
                <w:rFonts w:ascii="Verdana" w:eastAsia="Verdana" w:hAnsi="Verdana" w:cs="Verdana"/>
                <w:b/>
                <w:color w:val="000000"/>
                <w:sz w:val="16"/>
                <w:szCs w:val="22"/>
                <w:lang w:val="en-GB"/>
              </w:rPr>
            </w:pPr>
            <w:r>
              <w:rPr>
                <w:rFonts w:ascii="Verdana" w:eastAsia="Verdana" w:hAnsi="Verdana" w:cs="Verdana"/>
                <w:b/>
                <w:color w:val="000000"/>
                <w:sz w:val="16"/>
                <w:szCs w:val="22"/>
                <w:lang w:val="en-GB"/>
              </w:rPr>
              <w:t>Closing Balance</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4D417B" w:rsidRDefault="00CA6653" w:rsidP="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(109)</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4D417B" w:rsidRDefault="00CA6653" w:rsidP="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(720)</w:t>
            </w:r>
          </w:p>
        </w:tc>
        <w:tc>
          <w:tcPr>
            <w:tcW w:w="1650" w:type="dxa"/>
            <w:tcBorders>
              <w:top w:val="single" w:sz="2" w:space="0" w:color="000000"/>
              <w:bottom w:val="single" w:sz="12" w:space="0" w:color="000000"/>
            </w:tcBorders>
            <w:shd w:val="clear" w:color="auto" w:fill="auto"/>
            <w:tcMar>
              <w:top w:w="20" w:type="dxa"/>
              <w:left w:w="20" w:type="dxa"/>
              <w:bottom w:w="20" w:type="dxa"/>
              <w:right w:w="20" w:type="dxa"/>
            </w:tcMar>
            <w:vAlign w:val="bottom"/>
          </w:tcPr>
          <w:p w:rsidR="004D417B" w:rsidRDefault="00CA6653" w:rsidP="00CA6653">
            <w:pPr>
              <w:pStyle w:val="T1TableStyle"/>
              <w:jc w:val="right"/>
              <w:rPr>
                <w:rFonts w:ascii="Verdana" w:eastAsia="Verdana" w:hAnsi="Verdana" w:cs="Verdana"/>
                <w:b/>
                <w:color w:val="000000"/>
                <w:sz w:val="16"/>
                <w:szCs w:val="22"/>
                <w:lang w:val="en-GB"/>
              </w:rPr>
            </w:pPr>
            <w:r>
              <w:rPr>
                <w:rFonts w:ascii="Verdana" w:eastAsia="Verdana" w:hAnsi="Verdana" w:cs="Verdana"/>
                <w:b/>
                <w:color w:val="000000"/>
                <w:sz w:val="16"/>
                <w:szCs w:val="22"/>
                <w:lang w:val="en-GB"/>
              </w:rPr>
              <w:t>(829)</w:t>
            </w:r>
          </w:p>
        </w:tc>
      </w:tr>
    </w:tbl>
    <w:p w:rsidR="00B935AA" w:rsidRDefault="00B935AA" w:rsidP="00660323">
      <w:pPr>
        <w:pStyle w:val="T1TableStyle"/>
        <w:rPr>
          <w:rFonts w:ascii="Verdana" w:eastAsia="Calibri" w:hAnsi="Verdana" w:cs="Arial"/>
          <w:sz w:val="22"/>
          <w:szCs w:val="22"/>
          <w:lang w:val="en-GB"/>
        </w:rPr>
      </w:pPr>
    </w:p>
    <w:p w:rsidR="00CA6653" w:rsidRDefault="00CA6653" w:rsidP="00CA4917">
      <w:pPr>
        <w:pStyle w:val="T1TableStyle"/>
        <w:jc w:val="both"/>
        <w:rPr>
          <w:rFonts w:ascii="Verdana" w:hAnsi="Verdana"/>
          <w:sz w:val="22"/>
          <w:szCs w:val="22"/>
          <w:lang w:val="en-GB"/>
        </w:rPr>
      </w:pPr>
      <w:r>
        <w:rPr>
          <w:rFonts w:ascii="Verdana" w:eastAsia="Calibri" w:hAnsi="Verdana" w:cs="Arial"/>
          <w:sz w:val="22"/>
          <w:szCs w:val="22"/>
          <w:lang w:val="en-GB"/>
        </w:rPr>
        <w:t>Restructuring Provision</w:t>
      </w:r>
    </w:p>
    <w:p w:rsidR="00CA6653" w:rsidRDefault="00CA6653" w:rsidP="00CA4917">
      <w:pPr>
        <w:pStyle w:val="Normal0"/>
        <w:spacing w:line="240" w:lineRule="auto"/>
        <w:jc w:val="both"/>
        <w:rPr>
          <w:rFonts w:ascii="Verdana" w:hAnsi="Verdana"/>
          <w:sz w:val="22"/>
          <w:szCs w:val="22"/>
          <w:lang w:val="en-GB"/>
        </w:rPr>
      </w:pPr>
    </w:p>
    <w:p w:rsidR="00CA6653" w:rsidRDefault="00CA6653" w:rsidP="00CA4917">
      <w:pPr>
        <w:pStyle w:val="Normal0"/>
        <w:spacing w:line="240" w:lineRule="auto"/>
        <w:jc w:val="both"/>
        <w:rPr>
          <w:rFonts w:ascii="Verdana" w:hAnsi="Verdana"/>
          <w:sz w:val="22"/>
          <w:szCs w:val="22"/>
          <w:lang w:val="en-GB"/>
        </w:rPr>
      </w:pPr>
      <w:r>
        <w:rPr>
          <w:rFonts w:ascii="Verdana" w:eastAsia="Calibri" w:hAnsi="Verdana" w:cs="Arial"/>
          <w:sz w:val="22"/>
          <w:szCs w:val="22"/>
          <w:lang w:val="en-GB"/>
        </w:rPr>
        <w:t>The restructuring provision has been created for restructuring costs in accordance with Strategic Change Programmes that had formal plans or supporting business cases as at the 31 March 20</w:t>
      </w:r>
      <w:r w:rsidR="00660323">
        <w:rPr>
          <w:rFonts w:ascii="Verdana" w:eastAsia="Calibri" w:hAnsi="Verdana" w:cs="Arial"/>
          <w:sz w:val="22"/>
          <w:szCs w:val="22"/>
          <w:lang w:val="en-GB"/>
        </w:rPr>
        <w:t>20</w:t>
      </w:r>
      <w:r>
        <w:rPr>
          <w:rFonts w:ascii="Verdana" w:eastAsia="Calibri" w:hAnsi="Verdana" w:cs="Arial"/>
          <w:sz w:val="22"/>
          <w:szCs w:val="22"/>
          <w:lang w:val="en-GB"/>
        </w:rPr>
        <w:t>. These change programmes are either in the process of being implemented or will be implemented during 20</w:t>
      </w:r>
      <w:r w:rsidR="00660323">
        <w:rPr>
          <w:rFonts w:ascii="Verdana" w:eastAsia="Calibri" w:hAnsi="Verdana" w:cs="Arial"/>
          <w:sz w:val="22"/>
          <w:szCs w:val="22"/>
          <w:lang w:val="en-GB"/>
        </w:rPr>
        <w:t>20/21</w:t>
      </w:r>
      <w:r>
        <w:rPr>
          <w:rFonts w:ascii="Verdana" w:eastAsia="Calibri" w:hAnsi="Verdana" w:cs="Arial"/>
          <w:sz w:val="22"/>
          <w:szCs w:val="22"/>
          <w:lang w:val="en-GB"/>
        </w:rPr>
        <w:t>. This provision is held in the Chief Constable's balance sheet and is shown here as part of the Group position.</w:t>
      </w:r>
    </w:p>
    <w:p w:rsidR="00CA6653" w:rsidRDefault="00CA6653" w:rsidP="00CA4917">
      <w:pPr>
        <w:pStyle w:val="Normal0"/>
        <w:spacing w:line="240" w:lineRule="auto"/>
        <w:jc w:val="both"/>
        <w:rPr>
          <w:rFonts w:ascii="Verdana" w:hAnsi="Verdana"/>
          <w:sz w:val="22"/>
          <w:szCs w:val="22"/>
          <w:lang w:val="en-GB"/>
        </w:rPr>
      </w:pPr>
    </w:p>
    <w:p w:rsidR="00495838" w:rsidRDefault="00495838">
      <w:pPr>
        <w:rPr>
          <w:rFonts w:eastAsia="Calibri" w:cs="Arial"/>
          <w:lang w:val="en-GB"/>
        </w:rPr>
      </w:pPr>
      <w:r>
        <w:rPr>
          <w:rFonts w:eastAsia="Calibri" w:cs="Arial"/>
          <w:lang w:val="en-GB"/>
        </w:rPr>
        <w:br w:type="page"/>
      </w:r>
    </w:p>
    <w:p w:rsidR="00CA6653" w:rsidRDefault="00CA6653" w:rsidP="00CA4917">
      <w:pPr>
        <w:pStyle w:val="Normal0"/>
        <w:spacing w:line="240" w:lineRule="auto"/>
        <w:jc w:val="both"/>
        <w:rPr>
          <w:rFonts w:ascii="Verdana" w:hAnsi="Verdana"/>
          <w:sz w:val="22"/>
          <w:szCs w:val="22"/>
          <w:lang w:val="en-GB"/>
        </w:rPr>
      </w:pPr>
      <w:r>
        <w:rPr>
          <w:rFonts w:ascii="Verdana" w:eastAsia="Calibri" w:hAnsi="Verdana" w:cs="Arial"/>
          <w:sz w:val="22"/>
          <w:szCs w:val="22"/>
          <w:lang w:val="en-GB"/>
        </w:rPr>
        <w:t>Insurance Provision</w:t>
      </w:r>
    </w:p>
    <w:p w:rsidR="00CA6653" w:rsidRDefault="00CA6653" w:rsidP="00CA4917">
      <w:pPr>
        <w:pStyle w:val="Normal0"/>
        <w:spacing w:line="240" w:lineRule="auto"/>
        <w:jc w:val="both"/>
        <w:rPr>
          <w:rFonts w:ascii="Verdana" w:hAnsi="Verdana"/>
          <w:sz w:val="22"/>
          <w:szCs w:val="22"/>
          <w:lang w:val="en-GB"/>
        </w:rPr>
      </w:pPr>
    </w:p>
    <w:p w:rsidR="00CA6653" w:rsidRDefault="00CA6653" w:rsidP="00CA4917">
      <w:pPr>
        <w:pStyle w:val="Normal0"/>
        <w:spacing w:line="240" w:lineRule="auto"/>
        <w:jc w:val="both"/>
        <w:rPr>
          <w:rFonts w:ascii="Verdana" w:hAnsi="Verdana"/>
          <w:sz w:val="22"/>
          <w:szCs w:val="22"/>
          <w:lang w:val="en-GB"/>
        </w:rPr>
      </w:pPr>
      <w:r>
        <w:rPr>
          <w:rFonts w:ascii="Verdana" w:eastAsia="Calibri" w:hAnsi="Verdana" w:cs="Arial"/>
          <w:sz w:val="22"/>
          <w:szCs w:val="22"/>
          <w:lang w:val="en-GB"/>
        </w:rPr>
        <w:t>The insurance provision is to cover the anticipated costs of reported claims as per the actuarial report produced by Marsh &amp; McLennan. This provision is held in the PCC's balance sheet and is shown here as part of the Group position.</w:t>
      </w:r>
    </w:p>
    <w:p w:rsidR="00CA6653" w:rsidRPr="00BC469E" w:rsidRDefault="00CA6653" w:rsidP="00CA6653">
      <w:pPr>
        <w:pStyle w:val="Normal0"/>
        <w:spacing w:line="240" w:lineRule="auto"/>
        <w:rPr>
          <w:rFonts w:ascii="Verdana" w:hAnsi="Verdana"/>
          <w:sz w:val="22"/>
          <w:szCs w:val="22"/>
          <w:lang w:val="en-GB"/>
        </w:rPr>
      </w:pPr>
    </w:p>
    <w:p w:rsidR="00CA6653" w:rsidRDefault="00502D6C" w:rsidP="00A31A9E">
      <w:pPr>
        <w:pStyle w:val="Heading1"/>
      </w:pPr>
      <w:bookmarkStart w:id="30" w:name="_Toc55900421"/>
      <w:r>
        <w:t>Note 19</w:t>
      </w:r>
      <w:r w:rsidR="00CA6653">
        <w:t xml:space="preserve"> - Usable Reserves</w:t>
      </w:r>
      <w:bookmarkEnd w:id="30"/>
      <w:r w:rsidR="00CA6653">
        <w:t xml:space="preserve"> </w:t>
      </w:r>
    </w:p>
    <w:p w:rsidR="00CA6653" w:rsidRDefault="00CA6653">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Movements in the Group’s usable reserves are detailed in the Movements in Reserves Statement. The balances are as follows:</w:t>
      </w:r>
    </w:p>
    <w:tbl>
      <w:tblPr>
        <w:tblW w:w="6804" w:type="dxa"/>
        <w:jc w:val="center"/>
        <w:tblLook w:val="04A0" w:firstRow="1" w:lastRow="0" w:firstColumn="1" w:lastColumn="0" w:noHBand="0" w:noVBand="1"/>
      </w:tblPr>
      <w:tblGrid>
        <w:gridCol w:w="1672"/>
        <w:gridCol w:w="3572"/>
        <w:gridCol w:w="1560"/>
      </w:tblGrid>
      <w:tr w:rsidR="001D2A48" w:rsidRPr="0014362D" w:rsidTr="00CA4917">
        <w:trPr>
          <w:trHeight w:val="127"/>
          <w:jc w:val="center"/>
        </w:trPr>
        <w:tc>
          <w:tcPr>
            <w:tcW w:w="1672" w:type="dxa"/>
            <w:shd w:val="clear" w:color="auto" w:fill="auto"/>
          </w:tcPr>
          <w:p w:rsidR="001D2A48" w:rsidRPr="00CA4917" w:rsidRDefault="001D2A48" w:rsidP="000D6EF8">
            <w:pPr>
              <w:rPr>
                <w:b/>
                <w:sz w:val="16"/>
                <w:szCs w:val="16"/>
              </w:rPr>
            </w:pPr>
            <w:bookmarkStart w:id="31" w:name="USABLE" w:colFirst="0" w:colLast="2"/>
            <w:r w:rsidRPr="00CA4917">
              <w:rPr>
                <w:b/>
                <w:sz w:val="16"/>
                <w:szCs w:val="16"/>
              </w:rPr>
              <w:t>31 March 2019</w:t>
            </w:r>
          </w:p>
        </w:tc>
        <w:tc>
          <w:tcPr>
            <w:tcW w:w="3572" w:type="dxa"/>
            <w:shd w:val="clear" w:color="auto" w:fill="auto"/>
          </w:tcPr>
          <w:p w:rsidR="001D2A48" w:rsidRPr="00CA4917" w:rsidRDefault="001D2A48" w:rsidP="000D6EF8">
            <w:pPr>
              <w:rPr>
                <w:b/>
                <w:sz w:val="16"/>
                <w:szCs w:val="16"/>
              </w:rPr>
            </w:pPr>
          </w:p>
        </w:tc>
        <w:tc>
          <w:tcPr>
            <w:tcW w:w="1560" w:type="dxa"/>
            <w:shd w:val="clear" w:color="auto" w:fill="auto"/>
          </w:tcPr>
          <w:p w:rsidR="001D2A48" w:rsidRPr="00CA4917" w:rsidRDefault="001D2A48" w:rsidP="000D6EF8">
            <w:pPr>
              <w:rPr>
                <w:b/>
                <w:sz w:val="16"/>
                <w:szCs w:val="16"/>
              </w:rPr>
            </w:pPr>
            <w:r w:rsidRPr="00CA4917">
              <w:rPr>
                <w:b/>
                <w:sz w:val="16"/>
                <w:szCs w:val="16"/>
              </w:rPr>
              <w:t>31 March 2020</w:t>
            </w:r>
          </w:p>
        </w:tc>
      </w:tr>
      <w:tr w:rsidR="001D2A48" w:rsidRPr="0014362D" w:rsidTr="00CA4917">
        <w:trPr>
          <w:trHeight w:val="303"/>
          <w:jc w:val="center"/>
        </w:trPr>
        <w:tc>
          <w:tcPr>
            <w:tcW w:w="1672" w:type="dxa"/>
            <w:tcBorders>
              <w:bottom w:val="single" w:sz="8" w:space="0" w:color="auto"/>
            </w:tcBorders>
            <w:shd w:val="clear" w:color="auto" w:fill="auto"/>
          </w:tcPr>
          <w:p w:rsidR="001D2A48" w:rsidRPr="00CA4917" w:rsidRDefault="001D2A48" w:rsidP="000D6EF8">
            <w:pPr>
              <w:rPr>
                <w:b/>
                <w:sz w:val="16"/>
                <w:szCs w:val="16"/>
              </w:rPr>
            </w:pPr>
            <w:r w:rsidRPr="00CA4917">
              <w:rPr>
                <w:b/>
                <w:sz w:val="16"/>
                <w:szCs w:val="16"/>
              </w:rPr>
              <w:t>£000</w:t>
            </w:r>
          </w:p>
        </w:tc>
        <w:tc>
          <w:tcPr>
            <w:tcW w:w="3572" w:type="dxa"/>
            <w:tcBorders>
              <w:bottom w:val="single" w:sz="8" w:space="0" w:color="auto"/>
            </w:tcBorders>
            <w:shd w:val="clear" w:color="auto" w:fill="auto"/>
          </w:tcPr>
          <w:p w:rsidR="001D2A48" w:rsidRPr="00CA4917" w:rsidRDefault="001D2A48" w:rsidP="000D6EF8">
            <w:pPr>
              <w:rPr>
                <w:b/>
                <w:sz w:val="16"/>
                <w:szCs w:val="16"/>
              </w:rPr>
            </w:pPr>
          </w:p>
        </w:tc>
        <w:tc>
          <w:tcPr>
            <w:tcW w:w="1560" w:type="dxa"/>
            <w:tcBorders>
              <w:bottom w:val="single" w:sz="8" w:space="0" w:color="auto"/>
            </w:tcBorders>
            <w:shd w:val="clear" w:color="auto" w:fill="auto"/>
          </w:tcPr>
          <w:p w:rsidR="001D2A48" w:rsidRPr="00CA4917" w:rsidRDefault="001D2A48" w:rsidP="000D6EF8">
            <w:pPr>
              <w:rPr>
                <w:b/>
                <w:sz w:val="16"/>
                <w:szCs w:val="16"/>
              </w:rPr>
            </w:pPr>
            <w:r w:rsidRPr="00CA4917">
              <w:rPr>
                <w:b/>
                <w:sz w:val="16"/>
                <w:szCs w:val="16"/>
              </w:rPr>
              <w:t>£000</w:t>
            </w:r>
          </w:p>
        </w:tc>
      </w:tr>
      <w:tr w:rsidR="001D2A48" w:rsidRPr="00BB3EAE" w:rsidTr="00CA4917">
        <w:trPr>
          <w:trHeight w:val="648"/>
          <w:jc w:val="center"/>
        </w:trPr>
        <w:tc>
          <w:tcPr>
            <w:tcW w:w="1672" w:type="dxa"/>
            <w:tcBorders>
              <w:top w:val="single" w:sz="8" w:space="0" w:color="auto"/>
              <w:bottom w:val="single" w:sz="4" w:space="0" w:color="auto"/>
            </w:tcBorders>
            <w:shd w:val="clear" w:color="auto" w:fill="auto"/>
          </w:tcPr>
          <w:p w:rsidR="001D2A48" w:rsidRPr="00CA4917" w:rsidRDefault="001D2A48" w:rsidP="004E6D30">
            <w:pPr>
              <w:jc w:val="right"/>
              <w:rPr>
                <w:sz w:val="16"/>
                <w:szCs w:val="16"/>
              </w:rPr>
            </w:pPr>
            <w:r w:rsidRPr="00CA4917">
              <w:rPr>
                <w:sz w:val="16"/>
                <w:szCs w:val="16"/>
              </w:rPr>
              <w:t>(6,812)</w:t>
            </w:r>
          </w:p>
          <w:p w:rsidR="001D2A48" w:rsidRPr="00CA4917" w:rsidRDefault="001D2A48" w:rsidP="004E6D30">
            <w:pPr>
              <w:jc w:val="right"/>
              <w:rPr>
                <w:sz w:val="16"/>
                <w:szCs w:val="16"/>
              </w:rPr>
            </w:pPr>
          </w:p>
        </w:tc>
        <w:tc>
          <w:tcPr>
            <w:tcW w:w="3572" w:type="dxa"/>
            <w:tcBorders>
              <w:top w:val="single" w:sz="8" w:space="0" w:color="auto"/>
              <w:bottom w:val="single" w:sz="4" w:space="0" w:color="auto"/>
            </w:tcBorders>
            <w:shd w:val="clear" w:color="auto" w:fill="auto"/>
          </w:tcPr>
          <w:p w:rsidR="001D2A48" w:rsidRPr="00CA4917" w:rsidRDefault="001D2A48" w:rsidP="000D6EF8">
            <w:pPr>
              <w:rPr>
                <w:sz w:val="16"/>
                <w:szCs w:val="16"/>
              </w:rPr>
            </w:pPr>
            <w:r w:rsidRPr="00CA4917">
              <w:rPr>
                <w:sz w:val="16"/>
                <w:szCs w:val="16"/>
              </w:rPr>
              <w:t>General Fund Balance</w:t>
            </w:r>
          </w:p>
          <w:p w:rsidR="001D2A48" w:rsidRPr="00CA4917" w:rsidRDefault="001D2A48" w:rsidP="000D6EF8">
            <w:pPr>
              <w:rPr>
                <w:sz w:val="16"/>
                <w:szCs w:val="16"/>
              </w:rPr>
            </w:pPr>
            <w:r w:rsidRPr="00CA4917">
              <w:rPr>
                <w:sz w:val="16"/>
                <w:szCs w:val="16"/>
              </w:rPr>
              <w:t>Transfer of Chief Constable Reserve to General Fund Balance</w:t>
            </w:r>
          </w:p>
        </w:tc>
        <w:tc>
          <w:tcPr>
            <w:tcW w:w="1560" w:type="dxa"/>
            <w:tcBorders>
              <w:top w:val="single" w:sz="8" w:space="0" w:color="auto"/>
              <w:bottom w:val="single" w:sz="4" w:space="0" w:color="auto"/>
            </w:tcBorders>
            <w:shd w:val="clear" w:color="auto" w:fill="auto"/>
          </w:tcPr>
          <w:p w:rsidR="001D2A48" w:rsidRPr="00CA4917" w:rsidRDefault="001D2A48" w:rsidP="004E6D30">
            <w:pPr>
              <w:jc w:val="right"/>
              <w:rPr>
                <w:sz w:val="16"/>
                <w:szCs w:val="16"/>
              </w:rPr>
            </w:pPr>
            <w:r w:rsidRPr="00CA4917">
              <w:rPr>
                <w:sz w:val="16"/>
                <w:szCs w:val="16"/>
              </w:rPr>
              <w:t>(7,0</w:t>
            </w:r>
            <w:r w:rsidR="00851B3C">
              <w:rPr>
                <w:sz w:val="16"/>
                <w:szCs w:val="16"/>
              </w:rPr>
              <w:t>4</w:t>
            </w:r>
            <w:r w:rsidRPr="00CA4917">
              <w:rPr>
                <w:sz w:val="16"/>
                <w:szCs w:val="16"/>
              </w:rPr>
              <w:t>9)</w:t>
            </w:r>
          </w:p>
          <w:p w:rsidR="001D2A48" w:rsidRPr="00CA4917" w:rsidRDefault="001D2A48" w:rsidP="004E6D30">
            <w:pPr>
              <w:jc w:val="right"/>
              <w:rPr>
                <w:sz w:val="16"/>
                <w:szCs w:val="16"/>
              </w:rPr>
            </w:pPr>
            <w:r w:rsidRPr="00CA4917">
              <w:rPr>
                <w:sz w:val="16"/>
                <w:szCs w:val="16"/>
              </w:rPr>
              <w:t>(1,071)</w:t>
            </w:r>
          </w:p>
        </w:tc>
      </w:tr>
      <w:tr w:rsidR="001D2A48" w:rsidRPr="00BB3EAE" w:rsidTr="00CA4917">
        <w:trPr>
          <w:trHeight w:val="351"/>
          <w:jc w:val="center"/>
        </w:trPr>
        <w:tc>
          <w:tcPr>
            <w:tcW w:w="1672" w:type="dxa"/>
            <w:tcBorders>
              <w:top w:val="single" w:sz="4" w:space="0" w:color="auto"/>
            </w:tcBorders>
            <w:shd w:val="clear" w:color="auto" w:fill="auto"/>
          </w:tcPr>
          <w:p w:rsidR="001D2A48" w:rsidRPr="00CA4917" w:rsidRDefault="001D2A48" w:rsidP="004E6D30">
            <w:pPr>
              <w:jc w:val="right"/>
              <w:rPr>
                <w:b/>
                <w:sz w:val="16"/>
                <w:szCs w:val="16"/>
              </w:rPr>
            </w:pPr>
            <w:r w:rsidRPr="00CA4917">
              <w:rPr>
                <w:b/>
                <w:sz w:val="16"/>
                <w:szCs w:val="16"/>
              </w:rPr>
              <w:t>(</w:t>
            </w:r>
            <w:r w:rsidR="00565394">
              <w:rPr>
                <w:b/>
                <w:sz w:val="16"/>
                <w:szCs w:val="16"/>
              </w:rPr>
              <w:t>6,812</w:t>
            </w:r>
            <w:r w:rsidRPr="00CA4917">
              <w:rPr>
                <w:b/>
                <w:sz w:val="16"/>
                <w:szCs w:val="16"/>
              </w:rPr>
              <w:t>)</w:t>
            </w:r>
          </w:p>
        </w:tc>
        <w:tc>
          <w:tcPr>
            <w:tcW w:w="3572" w:type="dxa"/>
            <w:tcBorders>
              <w:top w:val="single" w:sz="4" w:space="0" w:color="auto"/>
            </w:tcBorders>
            <w:shd w:val="clear" w:color="auto" w:fill="auto"/>
          </w:tcPr>
          <w:p w:rsidR="001D2A48" w:rsidRPr="00CA4917" w:rsidRDefault="001D2A48" w:rsidP="000D6EF8">
            <w:pPr>
              <w:rPr>
                <w:b/>
                <w:sz w:val="16"/>
                <w:szCs w:val="16"/>
              </w:rPr>
            </w:pPr>
            <w:r w:rsidRPr="00CA4917">
              <w:rPr>
                <w:b/>
                <w:sz w:val="16"/>
                <w:szCs w:val="16"/>
              </w:rPr>
              <w:t>Total Revised General Fund Balance</w:t>
            </w:r>
          </w:p>
        </w:tc>
        <w:tc>
          <w:tcPr>
            <w:tcW w:w="1560" w:type="dxa"/>
            <w:tcBorders>
              <w:top w:val="single" w:sz="4" w:space="0" w:color="auto"/>
            </w:tcBorders>
            <w:shd w:val="clear" w:color="auto" w:fill="auto"/>
          </w:tcPr>
          <w:p w:rsidR="001D2A48" w:rsidRPr="00CA4917" w:rsidRDefault="002A30E1" w:rsidP="004E6D30">
            <w:pPr>
              <w:jc w:val="right"/>
              <w:rPr>
                <w:b/>
                <w:sz w:val="16"/>
                <w:szCs w:val="16"/>
              </w:rPr>
            </w:pPr>
            <w:r w:rsidRPr="00CA4917">
              <w:rPr>
                <w:b/>
                <w:sz w:val="16"/>
                <w:szCs w:val="16"/>
              </w:rPr>
              <w:t>(8,1</w:t>
            </w:r>
            <w:r w:rsidR="00851B3C">
              <w:rPr>
                <w:b/>
                <w:sz w:val="16"/>
                <w:szCs w:val="16"/>
              </w:rPr>
              <w:t>2</w:t>
            </w:r>
            <w:r w:rsidR="001D2A48" w:rsidRPr="00CA4917">
              <w:rPr>
                <w:b/>
                <w:sz w:val="16"/>
                <w:szCs w:val="16"/>
              </w:rPr>
              <w:t>0)</w:t>
            </w:r>
          </w:p>
        </w:tc>
      </w:tr>
      <w:tr w:rsidR="001D2A48" w:rsidRPr="00BB3EAE" w:rsidTr="00CA4917">
        <w:trPr>
          <w:trHeight w:val="357"/>
          <w:jc w:val="center"/>
        </w:trPr>
        <w:tc>
          <w:tcPr>
            <w:tcW w:w="1672" w:type="dxa"/>
            <w:tcBorders>
              <w:top w:val="single" w:sz="4" w:space="0" w:color="auto"/>
            </w:tcBorders>
            <w:shd w:val="clear" w:color="auto" w:fill="auto"/>
          </w:tcPr>
          <w:p w:rsidR="001D2A48" w:rsidRPr="00CA4917" w:rsidRDefault="001D2A48" w:rsidP="004E6D30">
            <w:pPr>
              <w:jc w:val="right"/>
              <w:rPr>
                <w:b/>
                <w:sz w:val="16"/>
                <w:szCs w:val="16"/>
              </w:rPr>
            </w:pPr>
            <w:r w:rsidRPr="00CA4917">
              <w:rPr>
                <w:b/>
                <w:sz w:val="16"/>
                <w:szCs w:val="16"/>
              </w:rPr>
              <w:t>(</w:t>
            </w:r>
            <w:r w:rsidR="00F211F2">
              <w:rPr>
                <w:b/>
                <w:sz w:val="16"/>
                <w:szCs w:val="16"/>
              </w:rPr>
              <w:t>10,441</w:t>
            </w:r>
            <w:r w:rsidRPr="00CA4917">
              <w:rPr>
                <w:b/>
                <w:sz w:val="16"/>
                <w:szCs w:val="16"/>
              </w:rPr>
              <w:t>)</w:t>
            </w:r>
          </w:p>
        </w:tc>
        <w:tc>
          <w:tcPr>
            <w:tcW w:w="3572" w:type="dxa"/>
            <w:tcBorders>
              <w:top w:val="single" w:sz="4" w:space="0" w:color="auto"/>
            </w:tcBorders>
            <w:shd w:val="clear" w:color="auto" w:fill="auto"/>
          </w:tcPr>
          <w:p w:rsidR="001D2A48" w:rsidRPr="00CA4917" w:rsidRDefault="001D2A48" w:rsidP="000D6EF8">
            <w:pPr>
              <w:rPr>
                <w:b/>
                <w:sz w:val="16"/>
                <w:szCs w:val="16"/>
              </w:rPr>
            </w:pPr>
            <w:r w:rsidRPr="00CA4917">
              <w:rPr>
                <w:b/>
                <w:sz w:val="16"/>
                <w:szCs w:val="16"/>
              </w:rPr>
              <w:t>Earmarked General Fund Balance</w:t>
            </w:r>
          </w:p>
        </w:tc>
        <w:tc>
          <w:tcPr>
            <w:tcW w:w="1560" w:type="dxa"/>
            <w:tcBorders>
              <w:top w:val="single" w:sz="4" w:space="0" w:color="auto"/>
            </w:tcBorders>
            <w:shd w:val="clear" w:color="auto" w:fill="auto"/>
          </w:tcPr>
          <w:p w:rsidR="001D2A48" w:rsidRPr="00CA4917" w:rsidRDefault="001D2A48" w:rsidP="004E6D30">
            <w:pPr>
              <w:jc w:val="right"/>
              <w:rPr>
                <w:b/>
                <w:sz w:val="16"/>
                <w:szCs w:val="16"/>
              </w:rPr>
            </w:pPr>
            <w:r w:rsidRPr="00CA4917">
              <w:rPr>
                <w:b/>
                <w:sz w:val="16"/>
                <w:szCs w:val="16"/>
              </w:rPr>
              <w:t>(11,381)</w:t>
            </w:r>
          </w:p>
        </w:tc>
      </w:tr>
      <w:tr w:rsidR="001D2A48" w:rsidRPr="0014362D" w:rsidTr="00CA4917">
        <w:trPr>
          <w:trHeight w:val="299"/>
          <w:jc w:val="center"/>
        </w:trPr>
        <w:tc>
          <w:tcPr>
            <w:tcW w:w="1672" w:type="dxa"/>
            <w:shd w:val="clear" w:color="auto" w:fill="auto"/>
          </w:tcPr>
          <w:p w:rsidR="001D2A48" w:rsidRPr="00CA4917" w:rsidRDefault="001D2A48" w:rsidP="004E6D30">
            <w:pPr>
              <w:jc w:val="right"/>
              <w:rPr>
                <w:sz w:val="16"/>
                <w:szCs w:val="16"/>
              </w:rPr>
            </w:pPr>
            <w:r w:rsidRPr="00CA4917">
              <w:rPr>
                <w:sz w:val="16"/>
                <w:szCs w:val="16"/>
              </w:rPr>
              <w:t>(3,996)</w:t>
            </w:r>
          </w:p>
        </w:tc>
        <w:tc>
          <w:tcPr>
            <w:tcW w:w="3572" w:type="dxa"/>
            <w:shd w:val="clear" w:color="auto" w:fill="auto"/>
          </w:tcPr>
          <w:p w:rsidR="001D2A48" w:rsidRPr="00CA4917" w:rsidRDefault="001D2A48" w:rsidP="000D6EF8">
            <w:pPr>
              <w:rPr>
                <w:sz w:val="16"/>
                <w:szCs w:val="16"/>
              </w:rPr>
            </w:pPr>
            <w:r w:rsidRPr="00CA4917">
              <w:rPr>
                <w:sz w:val="16"/>
                <w:szCs w:val="16"/>
              </w:rPr>
              <w:t>Capital Receipts Reserve</w:t>
            </w:r>
          </w:p>
        </w:tc>
        <w:tc>
          <w:tcPr>
            <w:tcW w:w="1560" w:type="dxa"/>
            <w:shd w:val="clear" w:color="auto" w:fill="auto"/>
          </w:tcPr>
          <w:p w:rsidR="001D2A48" w:rsidRPr="00CA4917" w:rsidRDefault="001D2A48" w:rsidP="004E6D30">
            <w:pPr>
              <w:jc w:val="right"/>
              <w:rPr>
                <w:sz w:val="16"/>
                <w:szCs w:val="16"/>
              </w:rPr>
            </w:pPr>
            <w:r w:rsidRPr="00CA4917">
              <w:rPr>
                <w:sz w:val="16"/>
                <w:szCs w:val="16"/>
              </w:rPr>
              <w:t>(197)</w:t>
            </w:r>
          </w:p>
        </w:tc>
      </w:tr>
      <w:tr w:rsidR="001D2A48" w:rsidRPr="0014362D" w:rsidTr="00CA4917">
        <w:trPr>
          <w:trHeight w:val="227"/>
          <w:jc w:val="center"/>
        </w:trPr>
        <w:tc>
          <w:tcPr>
            <w:tcW w:w="1672" w:type="dxa"/>
            <w:tcBorders>
              <w:bottom w:val="single" w:sz="8" w:space="0" w:color="auto"/>
            </w:tcBorders>
            <w:shd w:val="clear" w:color="auto" w:fill="auto"/>
          </w:tcPr>
          <w:p w:rsidR="001D2A48" w:rsidRPr="00CA4917" w:rsidRDefault="001D2A48" w:rsidP="004E6D30">
            <w:pPr>
              <w:jc w:val="right"/>
              <w:rPr>
                <w:sz w:val="16"/>
                <w:szCs w:val="16"/>
              </w:rPr>
            </w:pPr>
            <w:r w:rsidRPr="00CA4917">
              <w:rPr>
                <w:sz w:val="16"/>
                <w:szCs w:val="16"/>
              </w:rPr>
              <w:t>(1,317)</w:t>
            </w:r>
          </w:p>
        </w:tc>
        <w:tc>
          <w:tcPr>
            <w:tcW w:w="3572" w:type="dxa"/>
            <w:tcBorders>
              <w:bottom w:val="single" w:sz="8" w:space="0" w:color="auto"/>
            </w:tcBorders>
            <w:shd w:val="clear" w:color="auto" w:fill="auto"/>
          </w:tcPr>
          <w:p w:rsidR="001D2A48" w:rsidRPr="00CA4917" w:rsidRDefault="001D2A48" w:rsidP="000D6EF8">
            <w:pPr>
              <w:rPr>
                <w:sz w:val="16"/>
                <w:szCs w:val="16"/>
              </w:rPr>
            </w:pPr>
            <w:r w:rsidRPr="00CA4917">
              <w:rPr>
                <w:sz w:val="16"/>
                <w:szCs w:val="16"/>
              </w:rPr>
              <w:t>Capital Grants Unapplied</w:t>
            </w:r>
          </w:p>
        </w:tc>
        <w:tc>
          <w:tcPr>
            <w:tcW w:w="1560" w:type="dxa"/>
            <w:tcBorders>
              <w:bottom w:val="single" w:sz="8" w:space="0" w:color="auto"/>
            </w:tcBorders>
            <w:shd w:val="clear" w:color="auto" w:fill="auto"/>
          </w:tcPr>
          <w:p w:rsidR="001D2A48" w:rsidRPr="00CA4917" w:rsidRDefault="001D2A48" w:rsidP="004E6D30">
            <w:pPr>
              <w:jc w:val="right"/>
              <w:rPr>
                <w:sz w:val="16"/>
                <w:szCs w:val="16"/>
              </w:rPr>
            </w:pPr>
            <w:r w:rsidRPr="00CA4917">
              <w:rPr>
                <w:sz w:val="16"/>
                <w:szCs w:val="16"/>
              </w:rPr>
              <w:t>(2,946)</w:t>
            </w:r>
          </w:p>
        </w:tc>
      </w:tr>
      <w:tr w:rsidR="001D2A48" w:rsidRPr="00BB3EAE" w:rsidTr="00CA4917">
        <w:trPr>
          <w:trHeight w:val="260"/>
          <w:jc w:val="center"/>
        </w:trPr>
        <w:tc>
          <w:tcPr>
            <w:tcW w:w="1672" w:type="dxa"/>
            <w:tcBorders>
              <w:top w:val="single" w:sz="8" w:space="0" w:color="auto"/>
              <w:bottom w:val="single" w:sz="12" w:space="0" w:color="auto"/>
            </w:tcBorders>
            <w:shd w:val="clear" w:color="auto" w:fill="auto"/>
          </w:tcPr>
          <w:p w:rsidR="001D2A48" w:rsidRPr="00CA4917" w:rsidRDefault="001D2A48" w:rsidP="004E6D30">
            <w:pPr>
              <w:jc w:val="right"/>
              <w:rPr>
                <w:b/>
                <w:sz w:val="16"/>
                <w:szCs w:val="16"/>
              </w:rPr>
            </w:pPr>
            <w:r w:rsidRPr="00CA4917">
              <w:rPr>
                <w:b/>
                <w:sz w:val="16"/>
                <w:szCs w:val="16"/>
              </w:rPr>
              <w:t>(22,566)</w:t>
            </w:r>
          </w:p>
        </w:tc>
        <w:tc>
          <w:tcPr>
            <w:tcW w:w="3572" w:type="dxa"/>
            <w:tcBorders>
              <w:top w:val="single" w:sz="8" w:space="0" w:color="auto"/>
              <w:bottom w:val="single" w:sz="12" w:space="0" w:color="auto"/>
            </w:tcBorders>
            <w:shd w:val="clear" w:color="auto" w:fill="auto"/>
          </w:tcPr>
          <w:p w:rsidR="001D2A48" w:rsidRPr="00CA4917" w:rsidRDefault="001D2A48" w:rsidP="000D6EF8">
            <w:pPr>
              <w:rPr>
                <w:b/>
                <w:sz w:val="16"/>
                <w:szCs w:val="16"/>
              </w:rPr>
            </w:pPr>
            <w:r w:rsidRPr="00CA4917">
              <w:rPr>
                <w:b/>
                <w:sz w:val="16"/>
                <w:szCs w:val="16"/>
              </w:rPr>
              <w:t>Total</w:t>
            </w:r>
          </w:p>
        </w:tc>
        <w:tc>
          <w:tcPr>
            <w:tcW w:w="1560" w:type="dxa"/>
            <w:tcBorders>
              <w:top w:val="single" w:sz="8" w:space="0" w:color="auto"/>
              <w:bottom w:val="single" w:sz="12" w:space="0" w:color="auto"/>
            </w:tcBorders>
            <w:shd w:val="clear" w:color="auto" w:fill="FFFFFF" w:themeFill="background1"/>
          </w:tcPr>
          <w:p w:rsidR="001D2A48" w:rsidRPr="00CA4917" w:rsidRDefault="001D2A48" w:rsidP="004E6D30">
            <w:pPr>
              <w:jc w:val="right"/>
              <w:rPr>
                <w:b/>
                <w:sz w:val="16"/>
                <w:szCs w:val="16"/>
                <w:highlight w:val="yellow"/>
              </w:rPr>
            </w:pPr>
            <w:r w:rsidRPr="00CA4917">
              <w:rPr>
                <w:b/>
                <w:sz w:val="16"/>
                <w:szCs w:val="16"/>
              </w:rPr>
              <w:t>(22,6</w:t>
            </w:r>
            <w:r w:rsidR="00851B3C">
              <w:rPr>
                <w:b/>
                <w:sz w:val="16"/>
                <w:szCs w:val="16"/>
              </w:rPr>
              <w:t>4</w:t>
            </w:r>
            <w:r w:rsidRPr="00CA4917">
              <w:rPr>
                <w:b/>
                <w:sz w:val="16"/>
                <w:szCs w:val="16"/>
              </w:rPr>
              <w:t>4)</w:t>
            </w:r>
          </w:p>
        </w:tc>
      </w:tr>
      <w:bookmarkEnd w:id="31"/>
    </w:tbl>
    <w:p w:rsidR="00CA6653" w:rsidRDefault="00CA6653">
      <w:pPr>
        <w:pStyle w:val="Normal0"/>
        <w:spacing w:after="160"/>
        <w:rPr>
          <w:rFonts w:ascii="Verdana" w:eastAsia="Verdana" w:hAnsi="Verdana" w:cs="Verdana"/>
          <w:sz w:val="22"/>
          <w:szCs w:val="22"/>
          <w:lang w:val="en-GB"/>
        </w:rPr>
      </w:pPr>
    </w:p>
    <w:tbl>
      <w:tblPr>
        <w:tblW w:w="0" w:type="auto"/>
        <w:jc w:val="center"/>
        <w:tblLayout w:type="fixed"/>
        <w:tblLook w:val="04A0" w:firstRow="1" w:lastRow="0" w:firstColumn="1" w:lastColumn="0" w:noHBand="0" w:noVBand="1"/>
      </w:tblPr>
      <w:tblGrid>
        <w:gridCol w:w="1335"/>
        <w:gridCol w:w="180"/>
        <w:gridCol w:w="3225"/>
        <w:gridCol w:w="1335"/>
      </w:tblGrid>
      <w:tr w:rsidR="004D417B" w:rsidTr="00F32EC6">
        <w:trPr>
          <w:trHeight w:val="300"/>
          <w:jc w:val="center"/>
        </w:trPr>
        <w:tc>
          <w:tcPr>
            <w:tcW w:w="6075" w:type="dxa"/>
            <w:gridSpan w:val="4"/>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lang w:val="en-GB"/>
              </w:rPr>
            </w:pPr>
            <w:r>
              <w:rPr>
                <w:rFonts w:ascii="Verdana" w:eastAsia="Verdana" w:hAnsi="Verdana" w:cs="Verdana"/>
                <w:b/>
                <w:color w:val="000000"/>
                <w:lang w:val="en-GB"/>
              </w:rPr>
              <w:t>Capital Receipts Reserve</w:t>
            </w:r>
          </w:p>
        </w:tc>
      </w:tr>
      <w:tr w:rsidR="004D417B" w:rsidTr="00F32EC6">
        <w:trPr>
          <w:trHeight w:hRule="exact" w:val="300"/>
          <w:jc w:val="center"/>
        </w:trPr>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r>
      <w:tr w:rsidR="004D417B" w:rsidTr="00F32EC6">
        <w:trPr>
          <w:trHeight w:val="510"/>
          <w:jc w:val="center"/>
        </w:trPr>
        <w:tc>
          <w:tcPr>
            <w:tcW w:w="1335"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80"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F32EC6">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F32EC6">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(8,806)</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Balance 1 April </w:t>
            </w:r>
          </w:p>
        </w:tc>
        <w:tc>
          <w:tcPr>
            <w:tcW w:w="1335" w:type="dxa"/>
            <w:shd w:val="clear" w:color="auto" w:fill="auto"/>
            <w:tcMar>
              <w:top w:w="20" w:type="dxa"/>
              <w:left w:w="20" w:type="dxa"/>
              <w:bottom w:w="20" w:type="dxa"/>
              <w:right w:w="20" w:type="dxa"/>
            </w:tcMar>
          </w:tcPr>
          <w:p w:rsidR="00CA6653" w:rsidRDefault="00CA6653" w:rsidP="001D2A4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1D2A48">
              <w:rPr>
                <w:rFonts w:ascii="Verdana" w:eastAsia="Verdana" w:hAnsi="Verdana" w:cs="Verdana"/>
                <w:color w:val="000000"/>
                <w:sz w:val="16"/>
                <w:lang w:val="en-GB"/>
              </w:rPr>
              <w:t>3,996</w:t>
            </w:r>
            <w:r>
              <w:rPr>
                <w:rFonts w:ascii="Verdana" w:eastAsia="Verdana" w:hAnsi="Verdana" w:cs="Verdana"/>
                <w:color w:val="000000"/>
                <w:sz w:val="16"/>
                <w:lang w:val="en-GB"/>
              </w:rPr>
              <w:t>)</w:t>
            </w:r>
          </w:p>
        </w:tc>
      </w:tr>
      <w:tr w:rsidR="004D417B" w:rsidTr="00F32EC6">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(1,022)</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Capital Receipts in year </w:t>
            </w:r>
          </w:p>
        </w:tc>
        <w:tc>
          <w:tcPr>
            <w:tcW w:w="1335" w:type="dxa"/>
            <w:shd w:val="clear" w:color="auto" w:fill="auto"/>
            <w:tcMar>
              <w:top w:w="20" w:type="dxa"/>
              <w:left w:w="20" w:type="dxa"/>
              <w:bottom w:w="20" w:type="dxa"/>
              <w:right w:w="20" w:type="dxa"/>
            </w:tcMar>
          </w:tcPr>
          <w:p w:rsidR="00CA6653" w:rsidRDefault="001D2A4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(467)</w:t>
            </w:r>
          </w:p>
        </w:tc>
      </w:tr>
      <w:tr w:rsidR="004D417B" w:rsidTr="00F32EC6">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5,832</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Capital Receipts used for financing </w:t>
            </w:r>
          </w:p>
        </w:tc>
        <w:tc>
          <w:tcPr>
            <w:tcW w:w="1335" w:type="dxa"/>
            <w:shd w:val="clear" w:color="auto" w:fill="auto"/>
            <w:tcMar>
              <w:top w:w="20" w:type="dxa"/>
              <w:left w:w="20" w:type="dxa"/>
              <w:bottom w:w="20" w:type="dxa"/>
              <w:right w:w="20" w:type="dxa"/>
            </w:tcMar>
          </w:tcPr>
          <w:p w:rsidR="00CA6653" w:rsidRDefault="001D2A4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4,266</w:t>
            </w:r>
          </w:p>
        </w:tc>
      </w:tr>
      <w:tr w:rsidR="004D417B" w:rsidTr="00F32EC6">
        <w:trPr>
          <w:trHeight w:val="31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(3,996)</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31 March </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rsidP="001D2A48">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1D2A48">
              <w:rPr>
                <w:rFonts w:ascii="Verdana" w:eastAsia="Verdana" w:hAnsi="Verdana" w:cs="Verdana"/>
                <w:b/>
                <w:color w:val="000000"/>
                <w:sz w:val="16"/>
                <w:lang w:val="en-GB"/>
              </w:rPr>
              <w:t>197</w:t>
            </w:r>
            <w:r>
              <w:rPr>
                <w:rFonts w:ascii="Verdana" w:eastAsia="Verdana" w:hAnsi="Verdana" w:cs="Verdana"/>
                <w:b/>
                <w:color w:val="000000"/>
                <w:sz w:val="16"/>
                <w:lang w:val="en-GB"/>
              </w:rPr>
              <w:t>)</w:t>
            </w:r>
          </w:p>
        </w:tc>
      </w:tr>
    </w:tbl>
    <w:p w:rsidR="00CA6653" w:rsidRDefault="00CA6653">
      <w:pPr>
        <w:pStyle w:val="T1TableStyle"/>
        <w:rPr>
          <w:rFonts w:ascii="Verdana" w:eastAsia="Verdana" w:hAnsi="Verdana" w:cs="Verdana"/>
          <w:sz w:val="22"/>
          <w:lang w:val="en-GB"/>
        </w:rPr>
      </w:pPr>
    </w:p>
    <w:p w:rsidR="00CA6653" w:rsidRDefault="00CA6653" w:rsidP="00CA4917">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This reserve comprises net proceeds arising from the sale of capital assets e.g. houses &amp; vehicles. The use of these receipts is limited by regulation (Part 1 of the Local Government Act 2003 and the Local Authorities Regulations 2003, Capital Finance and Accounting, England). The receipts can only be used to finance capital expenditure or the repayment of debt.</w:t>
      </w:r>
    </w:p>
    <w:tbl>
      <w:tblPr>
        <w:tblW w:w="0" w:type="auto"/>
        <w:jc w:val="center"/>
        <w:tblLayout w:type="fixed"/>
        <w:tblLook w:val="04A0" w:firstRow="1" w:lastRow="0" w:firstColumn="1" w:lastColumn="0" w:noHBand="0" w:noVBand="1"/>
      </w:tblPr>
      <w:tblGrid>
        <w:gridCol w:w="1335"/>
        <w:gridCol w:w="180"/>
        <w:gridCol w:w="3225"/>
        <w:gridCol w:w="1335"/>
      </w:tblGrid>
      <w:tr w:rsidR="004D417B" w:rsidTr="00F32EC6">
        <w:trPr>
          <w:trHeight w:val="300"/>
          <w:jc w:val="center"/>
        </w:trPr>
        <w:tc>
          <w:tcPr>
            <w:tcW w:w="6075" w:type="dxa"/>
            <w:gridSpan w:val="4"/>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lang w:val="en-GB"/>
              </w:rPr>
            </w:pPr>
            <w:r>
              <w:rPr>
                <w:rFonts w:ascii="Verdana" w:eastAsia="Verdana" w:hAnsi="Verdana" w:cs="Verdana"/>
                <w:b/>
                <w:color w:val="000000"/>
                <w:lang w:val="en-GB"/>
              </w:rPr>
              <w:t>Capital Grants Unapplied</w:t>
            </w:r>
          </w:p>
        </w:tc>
      </w:tr>
      <w:tr w:rsidR="004D417B" w:rsidTr="00F32EC6">
        <w:trPr>
          <w:trHeight w:hRule="exact" w:val="360"/>
          <w:jc w:val="center"/>
        </w:trPr>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335"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F32EC6">
        <w:trPr>
          <w:trHeight w:val="510"/>
          <w:jc w:val="center"/>
        </w:trPr>
        <w:tc>
          <w:tcPr>
            <w:tcW w:w="1335"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80"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F32EC6">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F32EC6">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(1,602)</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Balance 1 April </w:t>
            </w:r>
          </w:p>
        </w:tc>
        <w:tc>
          <w:tcPr>
            <w:tcW w:w="1335" w:type="dxa"/>
            <w:shd w:val="clear" w:color="auto" w:fill="auto"/>
            <w:tcMar>
              <w:top w:w="20" w:type="dxa"/>
              <w:left w:w="20" w:type="dxa"/>
              <w:bottom w:w="20" w:type="dxa"/>
              <w:right w:w="20" w:type="dxa"/>
            </w:tcMar>
          </w:tcPr>
          <w:p w:rsidR="00CA6653" w:rsidRDefault="00CA6653" w:rsidP="0052294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522941">
              <w:rPr>
                <w:rFonts w:ascii="Verdana" w:eastAsia="Verdana" w:hAnsi="Verdana" w:cs="Verdana"/>
                <w:color w:val="000000"/>
                <w:sz w:val="16"/>
                <w:lang w:val="en-GB"/>
              </w:rPr>
              <w:t>1,317</w:t>
            </w:r>
            <w:r>
              <w:rPr>
                <w:rFonts w:ascii="Verdana" w:eastAsia="Verdana" w:hAnsi="Verdana" w:cs="Verdana"/>
                <w:color w:val="000000"/>
                <w:sz w:val="16"/>
                <w:lang w:val="en-GB"/>
              </w:rPr>
              <w:t>)</w:t>
            </w:r>
          </w:p>
        </w:tc>
      </w:tr>
      <w:tr w:rsidR="004D417B" w:rsidTr="00F32EC6">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Capital grants recognised in year</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(64</w:t>
            </w:r>
            <w:r w:rsidR="00185102">
              <w:rPr>
                <w:rFonts w:ascii="Verdana" w:eastAsia="Verdana" w:hAnsi="Verdana" w:cs="Verdana"/>
                <w:color w:val="000000"/>
                <w:sz w:val="16"/>
                <w:lang w:val="en-GB"/>
              </w:rPr>
              <w:t>5</w:t>
            </w:r>
            <w:r>
              <w:rPr>
                <w:rFonts w:ascii="Verdana" w:eastAsia="Verdana" w:hAnsi="Verdana" w:cs="Verdana"/>
                <w:color w:val="000000"/>
                <w:sz w:val="16"/>
                <w:lang w:val="en-GB"/>
              </w:rPr>
              <w:t>)</w:t>
            </w:r>
          </w:p>
        </w:tc>
      </w:tr>
      <w:tr w:rsidR="004D417B" w:rsidTr="00F32EC6">
        <w:trPr>
          <w:trHeight w:val="42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Capital grants and contributions applied</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64</w:t>
            </w:r>
            <w:r w:rsidR="00185102">
              <w:rPr>
                <w:rFonts w:ascii="Verdana" w:eastAsia="Verdana" w:hAnsi="Verdana" w:cs="Verdana"/>
                <w:color w:val="000000"/>
                <w:sz w:val="16"/>
                <w:lang w:val="en-GB"/>
              </w:rPr>
              <w:t>5</w:t>
            </w:r>
          </w:p>
        </w:tc>
      </w:tr>
      <w:tr w:rsidR="004D417B" w:rsidTr="00F32EC6">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285</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movements</w:t>
            </w:r>
          </w:p>
        </w:tc>
        <w:tc>
          <w:tcPr>
            <w:tcW w:w="1335" w:type="dxa"/>
            <w:shd w:val="clear" w:color="auto" w:fill="auto"/>
            <w:tcMar>
              <w:top w:w="20" w:type="dxa"/>
              <w:left w:w="20" w:type="dxa"/>
              <w:bottom w:w="20" w:type="dxa"/>
              <w:right w:w="20" w:type="dxa"/>
            </w:tcMar>
          </w:tcPr>
          <w:p w:rsidR="00CA6653" w:rsidRDefault="00C20477" w:rsidP="00C20477">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(1,629)</w:t>
            </w:r>
          </w:p>
        </w:tc>
      </w:tr>
      <w:tr w:rsidR="004D417B" w:rsidTr="00F32EC6">
        <w:trPr>
          <w:trHeight w:val="31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(1,317)</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31 March </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rsidP="00522941">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522941">
              <w:rPr>
                <w:rFonts w:ascii="Verdana" w:eastAsia="Verdana" w:hAnsi="Verdana" w:cs="Verdana"/>
                <w:b/>
                <w:color w:val="000000"/>
                <w:sz w:val="16"/>
                <w:lang w:val="en-GB"/>
              </w:rPr>
              <w:t>2,946</w:t>
            </w:r>
            <w:r>
              <w:rPr>
                <w:rFonts w:ascii="Verdana" w:eastAsia="Verdana" w:hAnsi="Verdana" w:cs="Verdana"/>
                <w:b/>
                <w:color w:val="000000"/>
                <w:sz w:val="16"/>
                <w:lang w:val="en-GB"/>
              </w:rPr>
              <w:t>)</w:t>
            </w:r>
          </w:p>
        </w:tc>
      </w:tr>
    </w:tbl>
    <w:p w:rsidR="00CA6653" w:rsidRDefault="00CA6653">
      <w:pPr>
        <w:pStyle w:val="T1TableStyle"/>
        <w:rPr>
          <w:rFonts w:ascii="Verdana" w:eastAsia="Verdana" w:hAnsi="Verdana" w:cs="Verdana"/>
          <w:sz w:val="22"/>
          <w:lang w:val="en-GB"/>
        </w:rPr>
      </w:pPr>
    </w:p>
    <w:p w:rsidR="00CA6653" w:rsidRDefault="00CA6653" w:rsidP="00CA4917">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This balance represents capital grants or contributions that have been recognised as income in the Comprehensive Income and Expenditure Statement, but the expenditure to be financed from those grants or contributions has not been incurred.</w:t>
      </w:r>
    </w:p>
    <w:p w:rsidR="00D40F36" w:rsidRDefault="00D40F36" w:rsidP="00A31A9E">
      <w:pPr>
        <w:pStyle w:val="Heading1"/>
      </w:pPr>
    </w:p>
    <w:p w:rsidR="00CA6653" w:rsidRDefault="00CA6653" w:rsidP="00A31A9E">
      <w:pPr>
        <w:pStyle w:val="Heading1"/>
      </w:pPr>
      <w:bookmarkStart w:id="32" w:name="_Toc55900422"/>
      <w:r>
        <w:t xml:space="preserve">Note </w:t>
      </w:r>
      <w:r w:rsidR="00502D6C">
        <w:t>20</w:t>
      </w:r>
      <w:r>
        <w:t xml:space="preserve"> - Unusable Reserves</w:t>
      </w:r>
      <w:bookmarkEnd w:id="32"/>
      <w:r>
        <w:t xml:space="preserve"> </w:t>
      </w:r>
    </w:p>
    <w:tbl>
      <w:tblPr>
        <w:tblW w:w="11012" w:type="dxa"/>
        <w:jc w:val="center"/>
        <w:tblLook w:val="04A0" w:firstRow="1" w:lastRow="0" w:firstColumn="1" w:lastColumn="0" w:noHBand="0" w:noVBand="1"/>
      </w:tblPr>
      <w:tblGrid>
        <w:gridCol w:w="1456"/>
        <w:gridCol w:w="196"/>
        <w:gridCol w:w="399"/>
        <w:gridCol w:w="1252"/>
        <w:gridCol w:w="1979"/>
        <w:gridCol w:w="1458"/>
        <w:gridCol w:w="177"/>
        <w:gridCol w:w="2051"/>
        <w:gridCol w:w="2044"/>
      </w:tblGrid>
      <w:tr w:rsidR="004D417B" w:rsidTr="00A200D5">
        <w:trPr>
          <w:trHeight w:val="146"/>
          <w:jc w:val="center"/>
        </w:trPr>
        <w:tc>
          <w:tcPr>
            <w:tcW w:w="3303" w:type="dxa"/>
            <w:gridSpan w:val="4"/>
            <w:tcBorders>
              <w:top w:val="nil"/>
              <w:left w:val="nil"/>
              <w:bottom w:val="nil"/>
              <w:right w:val="nil"/>
            </w:tcBorders>
            <w:shd w:val="clear" w:color="000000" w:fill="FFFFFF"/>
            <w:noWrap/>
            <w:vAlign w:val="bottom"/>
            <w:hideMark/>
          </w:tcPr>
          <w:p w:rsidR="00CA6653" w:rsidRPr="00EA685A" w:rsidRDefault="00CA6653" w:rsidP="000775C0">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31 March 201</w:t>
            </w:r>
            <w:r w:rsidR="000775C0">
              <w:rPr>
                <w:rFonts w:ascii="Verdana" w:eastAsia="Times New Roman" w:hAnsi="Verdana" w:cs="Calibri"/>
                <w:b/>
                <w:bCs/>
                <w:color w:val="000000"/>
                <w:sz w:val="16"/>
                <w:szCs w:val="16"/>
                <w:lang w:eastAsia="en-GB"/>
              </w:rPr>
              <w:t>9</w:t>
            </w:r>
          </w:p>
        </w:tc>
        <w:tc>
          <w:tcPr>
            <w:tcW w:w="3614"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c>
          <w:tcPr>
            <w:tcW w:w="4095" w:type="dxa"/>
            <w:gridSpan w:val="2"/>
            <w:tcBorders>
              <w:top w:val="nil"/>
              <w:left w:val="nil"/>
              <w:bottom w:val="nil"/>
              <w:right w:val="nil"/>
            </w:tcBorders>
            <w:shd w:val="clear" w:color="000000" w:fill="FFFFFF"/>
            <w:noWrap/>
            <w:vAlign w:val="bottom"/>
            <w:hideMark/>
          </w:tcPr>
          <w:p w:rsidR="00CA6653" w:rsidRPr="00EA685A" w:rsidRDefault="00CA6653" w:rsidP="000775C0">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31 March 20</w:t>
            </w:r>
            <w:r w:rsidR="000775C0">
              <w:rPr>
                <w:rFonts w:ascii="Verdana" w:eastAsia="Times New Roman" w:hAnsi="Verdana" w:cs="Calibri"/>
                <w:b/>
                <w:bCs/>
                <w:color w:val="000000"/>
                <w:sz w:val="16"/>
                <w:szCs w:val="16"/>
                <w:lang w:eastAsia="en-GB"/>
              </w:rPr>
              <w:t>20</w:t>
            </w:r>
          </w:p>
        </w:tc>
      </w:tr>
      <w:tr w:rsidR="004D417B" w:rsidTr="00A200D5">
        <w:trPr>
          <w:trHeight w:val="146"/>
          <w:jc w:val="center"/>
        </w:trPr>
        <w:tc>
          <w:tcPr>
            <w:tcW w:w="2051"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PCC</w:t>
            </w:r>
          </w:p>
        </w:tc>
        <w:tc>
          <w:tcPr>
            <w:tcW w:w="1251"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Group</w:t>
            </w:r>
          </w:p>
        </w:tc>
        <w:tc>
          <w:tcPr>
            <w:tcW w:w="3614"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 </w:t>
            </w:r>
          </w:p>
        </w:tc>
        <w:tc>
          <w:tcPr>
            <w:tcW w:w="2051"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PCC</w:t>
            </w:r>
          </w:p>
        </w:tc>
        <w:tc>
          <w:tcPr>
            <w:tcW w:w="2043"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Group</w:t>
            </w:r>
          </w:p>
        </w:tc>
      </w:tr>
      <w:tr w:rsidR="004D417B" w:rsidTr="00A200D5">
        <w:trPr>
          <w:trHeight w:val="146"/>
          <w:jc w:val="center"/>
        </w:trPr>
        <w:tc>
          <w:tcPr>
            <w:tcW w:w="2051" w:type="dxa"/>
            <w:gridSpan w:val="3"/>
            <w:tcBorders>
              <w:top w:val="nil"/>
              <w:left w:val="nil"/>
              <w:bottom w:val="single" w:sz="4" w:space="0" w:color="auto"/>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£000</w:t>
            </w:r>
          </w:p>
        </w:tc>
        <w:tc>
          <w:tcPr>
            <w:tcW w:w="1251" w:type="dxa"/>
            <w:tcBorders>
              <w:top w:val="nil"/>
              <w:left w:val="nil"/>
              <w:bottom w:val="single" w:sz="4" w:space="0" w:color="auto"/>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£000</w:t>
            </w:r>
          </w:p>
        </w:tc>
        <w:tc>
          <w:tcPr>
            <w:tcW w:w="3614" w:type="dxa"/>
            <w:gridSpan w:val="3"/>
            <w:tcBorders>
              <w:top w:val="nil"/>
              <w:left w:val="nil"/>
              <w:bottom w:val="single" w:sz="4" w:space="0" w:color="auto"/>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 </w:t>
            </w:r>
          </w:p>
        </w:tc>
        <w:tc>
          <w:tcPr>
            <w:tcW w:w="2051" w:type="dxa"/>
            <w:tcBorders>
              <w:top w:val="nil"/>
              <w:left w:val="nil"/>
              <w:bottom w:val="single" w:sz="4" w:space="0" w:color="auto"/>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£000</w:t>
            </w:r>
          </w:p>
        </w:tc>
        <w:tc>
          <w:tcPr>
            <w:tcW w:w="2043" w:type="dxa"/>
            <w:tcBorders>
              <w:top w:val="nil"/>
              <w:left w:val="nil"/>
              <w:bottom w:val="single" w:sz="4" w:space="0" w:color="auto"/>
              <w:right w:val="nil"/>
            </w:tcBorders>
            <w:shd w:val="clear" w:color="000000" w:fill="FFFFFF"/>
            <w:noWrap/>
            <w:vAlign w:val="bottom"/>
            <w:hideMark/>
          </w:tcPr>
          <w:p w:rsidR="00CA6653" w:rsidRPr="00EA685A" w:rsidRDefault="00CA6653" w:rsidP="00CA6653">
            <w:pPr>
              <w:pStyle w:val="Normal0"/>
              <w:spacing w:line="240" w:lineRule="auto"/>
              <w:jc w:val="center"/>
              <w:rPr>
                <w:rFonts w:ascii="Verdana" w:eastAsia="Times New Roman" w:hAnsi="Verdana" w:cs="Calibri"/>
                <w:b/>
                <w:bCs/>
                <w:color w:val="000000"/>
                <w:sz w:val="16"/>
                <w:szCs w:val="16"/>
                <w:lang w:eastAsia="en-GB"/>
              </w:rPr>
            </w:pPr>
            <w:r w:rsidRPr="00EA685A">
              <w:rPr>
                <w:rFonts w:ascii="Verdana" w:eastAsia="Times New Roman" w:hAnsi="Verdana" w:cs="Calibri"/>
                <w:b/>
                <w:bCs/>
                <w:color w:val="000000"/>
                <w:sz w:val="16"/>
                <w:szCs w:val="16"/>
                <w:lang w:eastAsia="en-GB"/>
              </w:rPr>
              <w:t>£000</w:t>
            </w:r>
          </w:p>
        </w:tc>
      </w:tr>
      <w:tr w:rsidR="004D417B" w:rsidTr="00A200D5">
        <w:trPr>
          <w:trHeight w:val="57"/>
          <w:jc w:val="center"/>
        </w:trPr>
        <w:tc>
          <w:tcPr>
            <w:tcW w:w="2051"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c>
          <w:tcPr>
            <w:tcW w:w="1251"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c>
          <w:tcPr>
            <w:tcW w:w="3614"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c>
          <w:tcPr>
            <w:tcW w:w="2051"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c>
          <w:tcPr>
            <w:tcW w:w="2043"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r>
      <w:tr w:rsidR="004D417B" w:rsidTr="00A200D5">
        <w:trPr>
          <w:trHeight w:val="146"/>
          <w:jc w:val="center"/>
        </w:trPr>
        <w:tc>
          <w:tcPr>
            <w:tcW w:w="2051" w:type="dxa"/>
            <w:gridSpan w:val="3"/>
            <w:tcBorders>
              <w:top w:val="nil"/>
              <w:left w:val="nil"/>
              <w:bottom w:val="nil"/>
              <w:right w:val="nil"/>
            </w:tcBorders>
            <w:shd w:val="clear" w:color="000000" w:fill="FFFFFF"/>
            <w:noWrap/>
            <w:vAlign w:val="bottom"/>
            <w:hideMark/>
          </w:tcPr>
          <w:p w:rsidR="00CA6653" w:rsidRPr="00EA685A" w:rsidRDefault="00CA6653" w:rsidP="000775C0">
            <w:pPr>
              <w:pStyle w:val="Normal0"/>
              <w:spacing w:line="240" w:lineRule="auto"/>
              <w:jc w:val="right"/>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w:t>
            </w:r>
            <w:r w:rsidR="000775C0">
              <w:rPr>
                <w:rFonts w:ascii="Verdana" w:eastAsia="Times New Roman" w:hAnsi="Verdana" w:cs="Calibri"/>
                <w:color w:val="000000"/>
                <w:sz w:val="16"/>
                <w:szCs w:val="16"/>
                <w:lang w:eastAsia="en-GB"/>
              </w:rPr>
              <w:t>36,881</w:t>
            </w:r>
            <w:r w:rsidRPr="00EA685A">
              <w:rPr>
                <w:rFonts w:ascii="Verdana" w:eastAsia="Times New Roman" w:hAnsi="Verdana" w:cs="Calibri"/>
                <w:color w:val="000000"/>
                <w:sz w:val="16"/>
                <w:szCs w:val="16"/>
                <w:lang w:eastAsia="en-GB"/>
              </w:rPr>
              <w:t>)</w:t>
            </w:r>
          </w:p>
        </w:tc>
        <w:tc>
          <w:tcPr>
            <w:tcW w:w="1251" w:type="dxa"/>
            <w:tcBorders>
              <w:top w:val="nil"/>
              <w:left w:val="nil"/>
              <w:bottom w:val="nil"/>
              <w:right w:val="nil"/>
            </w:tcBorders>
            <w:shd w:val="clear" w:color="000000" w:fill="FFFFFF"/>
            <w:noWrap/>
            <w:vAlign w:val="bottom"/>
            <w:hideMark/>
          </w:tcPr>
          <w:p w:rsidR="00CA6653" w:rsidRPr="00EA685A" w:rsidRDefault="000775C0" w:rsidP="00CA6653">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(36,881)</w:t>
            </w:r>
          </w:p>
        </w:tc>
        <w:tc>
          <w:tcPr>
            <w:tcW w:w="3614"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ind w:firstLineChars="100" w:firstLine="160"/>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Revaluation Reserve</w:t>
            </w:r>
          </w:p>
        </w:tc>
        <w:tc>
          <w:tcPr>
            <w:tcW w:w="2051" w:type="dxa"/>
            <w:tcBorders>
              <w:top w:val="nil"/>
              <w:left w:val="nil"/>
              <w:bottom w:val="nil"/>
              <w:right w:val="nil"/>
            </w:tcBorders>
            <w:shd w:val="clear" w:color="000000" w:fill="FFFFFF"/>
            <w:noWrap/>
            <w:vAlign w:val="bottom"/>
            <w:hideMark/>
          </w:tcPr>
          <w:p w:rsidR="00CA6653" w:rsidRPr="00EA685A" w:rsidRDefault="00CA6653" w:rsidP="000775C0">
            <w:pPr>
              <w:pStyle w:val="Normal0"/>
              <w:spacing w:line="240" w:lineRule="auto"/>
              <w:jc w:val="right"/>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w:t>
            </w:r>
            <w:r w:rsidR="000775C0">
              <w:rPr>
                <w:rFonts w:ascii="Verdana" w:eastAsia="Times New Roman" w:hAnsi="Verdana" w:cs="Calibri"/>
                <w:color w:val="000000"/>
                <w:sz w:val="16"/>
                <w:szCs w:val="16"/>
                <w:lang w:eastAsia="en-GB"/>
              </w:rPr>
              <w:t>45,00</w:t>
            </w:r>
            <w:r w:rsidR="00226863">
              <w:rPr>
                <w:rFonts w:ascii="Verdana" w:eastAsia="Times New Roman" w:hAnsi="Verdana" w:cs="Calibri"/>
                <w:color w:val="000000"/>
                <w:sz w:val="16"/>
                <w:szCs w:val="16"/>
                <w:lang w:eastAsia="en-GB"/>
              </w:rPr>
              <w:t>5</w:t>
            </w:r>
            <w:r w:rsidRPr="00EA685A">
              <w:rPr>
                <w:rFonts w:ascii="Verdana" w:eastAsia="Times New Roman" w:hAnsi="Verdana" w:cs="Calibri"/>
                <w:color w:val="000000"/>
                <w:sz w:val="16"/>
                <w:szCs w:val="16"/>
                <w:lang w:eastAsia="en-GB"/>
              </w:rPr>
              <w:t>)</w:t>
            </w:r>
          </w:p>
        </w:tc>
        <w:tc>
          <w:tcPr>
            <w:tcW w:w="2043" w:type="dxa"/>
            <w:tcBorders>
              <w:top w:val="nil"/>
              <w:left w:val="nil"/>
              <w:bottom w:val="nil"/>
              <w:right w:val="nil"/>
            </w:tcBorders>
            <w:shd w:val="clear" w:color="000000" w:fill="FFFFFF"/>
            <w:noWrap/>
            <w:vAlign w:val="bottom"/>
            <w:hideMark/>
          </w:tcPr>
          <w:p w:rsidR="00CA6653" w:rsidRPr="00EA685A" w:rsidRDefault="00CA6653" w:rsidP="000775C0">
            <w:pPr>
              <w:pStyle w:val="Normal0"/>
              <w:spacing w:line="240" w:lineRule="auto"/>
              <w:jc w:val="right"/>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w:t>
            </w:r>
            <w:r w:rsidR="000775C0">
              <w:rPr>
                <w:rFonts w:ascii="Verdana" w:eastAsia="Times New Roman" w:hAnsi="Verdana" w:cs="Calibri"/>
                <w:color w:val="000000"/>
                <w:sz w:val="16"/>
                <w:szCs w:val="16"/>
                <w:lang w:eastAsia="en-GB"/>
              </w:rPr>
              <w:t>45,00</w:t>
            </w:r>
            <w:r w:rsidR="00226863">
              <w:rPr>
                <w:rFonts w:ascii="Verdana" w:eastAsia="Times New Roman" w:hAnsi="Verdana" w:cs="Calibri"/>
                <w:color w:val="000000"/>
                <w:sz w:val="16"/>
                <w:szCs w:val="16"/>
                <w:lang w:eastAsia="en-GB"/>
              </w:rPr>
              <w:t>5</w:t>
            </w:r>
            <w:r w:rsidRPr="00EA685A">
              <w:rPr>
                <w:rFonts w:ascii="Verdana" w:eastAsia="Times New Roman" w:hAnsi="Verdana" w:cs="Calibri"/>
                <w:color w:val="000000"/>
                <w:sz w:val="16"/>
                <w:szCs w:val="16"/>
                <w:lang w:eastAsia="en-GB"/>
              </w:rPr>
              <w:t>)</w:t>
            </w:r>
          </w:p>
        </w:tc>
      </w:tr>
      <w:tr w:rsidR="004D417B" w:rsidTr="00A200D5">
        <w:trPr>
          <w:trHeight w:val="146"/>
          <w:jc w:val="center"/>
        </w:trPr>
        <w:tc>
          <w:tcPr>
            <w:tcW w:w="2051" w:type="dxa"/>
            <w:gridSpan w:val="3"/>
            <w:tcBorders>
              <w:top w:val="nil"/>
              <w:left w:val="nil"/>
              <w:bottom w:val="nil"/>
              <w:right w:val="nil"/>
            </w:tcBorders>
            <w:shd w:val="clear" w:color="000000" w:fill="FFFFFF"/>
            <w:noWrap/>
            <w:vAlign w:val="bottom"/>
            <w:hideMark/>
          </w:tcPr>
          <w:p w:rsidR="00CA6653" w:rsidRPr="00EA685A" w:rsidRDefault="00CA6653" w:rsidP="000775C0">
            <w:pPr>
              <w:pStyle w:val="Normal0"/>
              <w:spacing w:line="240" w:lineRule="auto"/>
              <w:jc w:val="right"/>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w:t>
            </w:r>
            <w:r w:rsidR="000775C0">
              <w:rPr>
                <w:rFonts w:ascii="Verdana" w:eastAsia="Times New Roman" w:hAnsi="Verdana" w:cs="Calibri"/>
                <w:color w:val="000000"/>
                <w:sz w:val="16"/>
                <w:szCs w:val="16"/>
                <w:lang w:eastAsia="en-GB"/>
              </w:rPr>
              <w:t>63,700</w:t>
            </w:r>
            <w:r w:rsidRPr="00EA685A">
              <w:rPr>
                <w:rFonts w:ascii="Verdana" w:eastAsia="Times New Roman" w:hAnsi="Verdana" w:cs="Calibri"/>
                <w:color w:val="000000"/>
                <w:sz w:val="16"/>
                <w:szCs w:val="16"/>
                <w:lang w:eastAsia="en-GB"/>
              </w:rPr>
              <w:t>)</w:t>
            </w:r>
          </w:p>
        </w:tc>
        <w:tc>
          <w:tcPr>
            <w:tcW w:w="1251" w:type="dxa"/>
            <w:tcBorders>
              <w:top w:val="nil"/>
              <w:left w:val="nil"/>
              <w:bottom w:val="nil"/>
              <w:right w:val="nil"/>
            </w:tcBorders>
            <w:shd w:val="clear" w:color="000000" w:fill="FFFFFF"/>
            <w:noWrap/>
            <w:vAlign w:val="bottom"/>
            <w:hideMark/>
          </w:tcPr>
          <w:p w:rsidR="00CA6653" w:rsidRPr="00EA685A" w:rsidRDefault="000775C0" w:rsidP="00CA6653">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(63,700)</w:t>
            </w:r>
          </w:p>
        </w:tc>
        <w:tc>
          <w:tcPr>
            <w:tcW w:w="3614"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ind w:firstLineChars="100" w:firstLine="160"/>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Capital Adjustment Account</w:t>
            </w:r>
          </w:p>
        </w:tc>
        <w:tc>
          <w:tcPr>
            <w:tcW w:w="2051" w:type="dxa"/>
            <w:tcBorders>
              <w:top w:val="nil"/>
              <w:left w:val="nil"/>
              <w:bottom w:val="nil"/>
              <w:right w:val="nil"/>
            </w:tcBorders>
            <w:shd w:val="clear" w:color="000000" w:fill="FFFFFF"/>
            <w:noWrap/>
            <w:vAlign w:val="bottom"/>
            <w:hideMark/>
          </w:tcPr>
          <w:p w:rsidR="00CA6653" w:rsidRPr="00EA685A" w:rsidRDefault="000775C0">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(64,</w:t>
            </w:r>
            <w:r w:rsidR="004E5F32">
              <w:rPr>
                <w:rFonts w:ascii="Verdana" w:eastAsia="Times New Roman" w:hAnsi="Verdana" w:cs="Calibri"/>
                <w:color w:val="000000"/>
                <w:sz w:val="16"/>
                <w:szCs w:val="16"/>
                <w:lang w:eastAsia="en-GB"/>
              </w:rPr>
              <w:t>16</w:t>
            </w:r>
            <w:r w:rsidR="00744AD3">
              <w:rPr>
                <w:rFonts w:ascii="Verdana" w:eastAsia="Times New Roman" w:hAnsi="Verdana" w:cs="Calibri"/>
                <w:color w:val="000000"/>
                <w:sz w:val="16"/>
                <w:szCs w:val="16"/>
                <w:lang w:eastAsia="en-GB"/>
              </w:rPr>
              <w:t>4</w:t>
            </w:r>
            <w:r w:rsidR="00CA6653" w:rsidRPr="00EA685A">
              <w:rPr>
                <w:rFonts w:ascii="Verdana" w:eastAsia="Times New Roman" w:hAnsi="Verdana" w:cs="Calibri"/>
                <w:color w:val="000000"/>
                <w:sz w:val="16"/>
                <w:szCs w:val="16"/>
                <w:lang w:eastAsia="en-GB"/>
              </w:rPr>
              <w:t>)</w:t>
            </w:r>
          </w:p>
        </w:tc>
        <w:tc>
          <w:tcPr>
            <w:tcW w:w="2043" w:type="dxa"/>
            <w:tcBorders>
              <w:top w:val="nil"/>
              <w:left w:val="nil"/>
              <w:bottom w:val="nil"/>
              <w:right w:val="nil"/>
            </w:tcBorders>
            <w:shd w:val="clear" w:color="000000" w:fill="FFFFFF"/>
            <w:noWrap/>
            <w:vAlign w:val="bottom"/>
            <w:hideMark/>
          </w:tcPr>
          <w:p w:rsidR="00CA6653" w:rsidRPr="00EA685A" w:rsidRDefault="000775C0">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(64,1</w:t>
            </w:r>
            <w:r w:rsidR="004E5F32">
              <w:rPr>
                <w:rFonts w:ascii="Verdana" w:eastAsia="Times New Roman" w:hAnsi="Verdana" w:cs="Calibri"/>
                <w:color w:val="000000"/>
                <w:sz w:val="16"/>
                <w:szCs w:val="16"/>
                <w:lang w:eastAsia="en-GB"/>
              </w:rPr>
              <w:t>6</w:t>
            </w:r>
            <w:r w:rsidR="00744AD3">
              <w:rPr>
                <w:rFonts w:ascii="Verdana" w:eastAsia="Times New Roman" w:hAnsi="Verdana" w:cs="Calibri"/>
                <w:color w:val="000000"/>
                <w:sz w:val="16"/>
                <w:szCs w:val="16"/>
                <w:lang w:eastAsia="en-GB"/>
              </w:rPr>
              <w:t>4</w:t>
            </w:r>
            <w:r>
              <w:rPr>
                <w:rFonts w:ascii="Verdana" w:eastAsia="Times New Roman" w:hAnsi="Verdana" w:cs="Calibri"/>
                <w:color w:val="000000"/>
                <w:sz w:val="16"/>
                <w:szCs w:val="16"/>
                <w:lang w:eastAsia="en-GB"/>
              </w:rPr>
              <w:t>)</w:t>
            </w:r>
          </w:p>
        </w:tc>
      </w:tr>
      <w:tr w:rsidR="004D417B" w:rsidTr="00A200D5">
        <w:trPr>
          <w:trHeight w:val="146"/>
          <w:jc w:val="center"/>
        </w:trPr>
        <w:tc>
          <w:tcPr>
            <w:tcW w:w="2051"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jc w:val="right"/>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0</w:t>
            </w:r>
          </w:p>
        </w:tc>
        <w:tc>
          <w:tcPr>
            <w:tcW w:w="1251" w:type="dxa"/>
            <w:tcBorders>
              <w:top w:val="nil"/>
              <w:left w:val="nil"/>
              <w:bottom w:val="nil"/>
              <w:right w:val="nil"/>
            </w:tcBorders>
            <w:shd w:val="clear" w:color="000000" w:fill="FFFFFF"/>
            <w:noWrap/>
            <w:vAlign w:val="bottom"/>
            <w:hideMark/>
          </w:tcPr>
          <w:p w:rsidR="00CA6653" w:rsidRPr="00EA685A" w:rsidRDefault="000775C0">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2,156,9</w:t>
            </w:r>
            <w:r w:rsidR="00497146">
              <w:rPr>
                <w:rFonts w:ascii="Verdana" w:eastAsia="Times New Roman" w:hAnsi="Verdana" w:cs="Calibri"/>
                <w:color w:val="000000"/>
                <w:sz w:val="16"/>
                <w:szCs w:val="16"/>
                <w:lang w:eastAsia="en-GB"/>
              </w:rPr>
              <w:t>3</w:t>
            </w:r>
            <w:r>
              <w:rPr>
                <w:rFonts w:ascii="Verdana" w:eastAsia="Times New Roman" w:hAnsi="Verdana" w:cs="Calibri"/>
                <w:color w:val="000000"/>
                <w:sz w:val="16"/>
                <w:szCs w:val="16"/>
                <w:lang w:eastAsia="en-GB"/>
              </w:rPr>
              <w:t>0</w:t>
            </w:r>
          </w:p>
        </w:tc>
        <w:tc>
          <w:tcPr>
            <w:tcW w:w="3614"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ind w:firstLineChars="100" w:firstLine="160"/>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Pension Reserve</w:t>
            </w:r>
          </w:p>
        </w:tc>
        <w:tc>
          <w:tcPr>
            <w:tcW w:w="2051" w:type="dxa"/>
            <w:tcBorders>
              <w:top w:val="nil"/>
              <w:left w:val="nil"/>
              <w:bottom w:val="nil"/>
              <w:right w:val="nil"/>
            </w:tcBorders>
            <w:shd w:val="clear" w:color="000000" w:fill="FFFFFF"/>
            <w:noWrap/>
            <w:vAlign w:val="bottom"/>
            <w:hideMark/>
          </w:tcPr>
          <w:p w:rsidR="00CA6653" w:rsidRPr="00EA685A" w:rsidRDefault="005C7260">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1,4</w:t>
            </w:r>
            <w:r w:rsidR="008E2816">
              <w:rPr>
                <w:rFonts w:ascii="Verdana" w:eastAsia="Times New Roman" w:hAnsi="Verdana" w:cs="Calibri"/>
                <w:color w:val="000000"/>
                <w:sz w:val="16"/>
                <w:szCs w:val="16"/>
                <w:lang w:eastAsia="en-GB"/>
              </w:rPr>
              <w:t>03</w:t>
            </w:r>
          </w:p>
        </w:tc>
        <w:tc>
          <w:tcPr>
            <w:tcW w:w="2043" w:type="dxa"/>
            <w:tcBorders>
              <w:top w:val="nil"/>
              <w:left w:val="nil"/>
              <w:bottom w:val="nil"/>
              <w:right w:val="nil"/>
            </w:tcBorders>
            <w:shd w:val="clear" w:color="000000" w:fill="FFFFFF"/>
            <w:noWrap/>
            <w:vAlign w:val="bottom"/>
            <w:hideMark/>
          </w:tcPr>
          <w:p w:rsidR="00CA6653" w:rsidRPr="00EA685A" w:rsidRDefault="004E5F32">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2,</w:t>
            </w:r>
            <w:r w:rsidR="008E2816">
              <w:rPr>
                <w:rFonts w:ascii="Verdana" w:eastAsia="Times New Roman" w:hAnsi="Verdana" w:cs="Calibri"/>
                <w:color w:val="000000"/>
                <w:sz w:val="16"/>
                <w:szCs w:val="16"/>
                <w:lang w:eastAsia="en-GB"/>
              </w:rPr>
              <w:t>027,958</w:t>
            </w:r>
          </w:p>
        </w:tc>
      </w:tr>
      <w:tr w:rsidR="004D417B" w:rsidTr="00A200D5">
        <w:trPr>
          <w:trHeight w:val="146"/>
          <w:jc w:val="center"/>
        </w:trPr>
        <w:tc>
          <w:tcPr>
            <w:tcW w:w="2051" w:type="dxa"/>
            <w:gridSpan w:val="3"/>
            <w:tcBorders>
              <w:top w:val="nil"/>
              <w:left w:val="nil"/>
              <w:bottom w:val="nil"/>
              <w:right w:val="nil"/>
            </w:tcBorders>
            <w:shd w:val="clear" w:color="000000" w:fill="FFFFFF"/>
            <w:noWrap/>
            <w:vAlign w:val="bottom"/>
            <w:hideMark/>
          </w:tcPr>
          <w:p w:rsidR="00CA6653" w:rsidRPr="00EA685A" w:rsidRDefault="000775C0" w:rsidP="000775C0">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(321</w:t>
            </w:r>
            <w:r w:rsidR="00CA6653" w:rsidRPr="00EA685A">
              <w:rPr>
                <w:rFonts w:ascii="Verdana" w:eastAsia="Times New Roman" w:hAnsi="Verdana" w:cs="Calibri"/>
                <w:color w:val="000000"/>
                <w:sz w:val="16"/>
                <w:szCs w:val="16"/>
                <w:lang w:eastAsia="en-GB"/>
              </w:rPr>
              <w:t>)</w:t>
            </w:r>
          </w:p>
        </w:tc>
        <w:tc>
          <w:tcPr>
            <w:tcW w:w="1251" w:type="dxa"/>
            <w:tcBorders>
              <w:top w:val="nil"/>
              <w:left w:val="nil"/>
              <w:bottom w:val="nil"/>
              <w:right w:val="nil"/>
            </w:tcBorders>
            <w:shd w:val="clear" w:color="000000" w:fill="FFFFFF"/>
            <w:noWrap/>
            <w:vAlign w:val="bottom"/>
            <w:hideMark/>
          </w:tcPr>
          <w:p w:rsidR="00CA6653" w:rsidRPr="00EA685A" w:rsidRDefault="000775C0" w:rsidP="00CA6653">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(321)</w:t>
            </w:r>
          </w:p>
        </w:tc>
        <w:tc>
          <w:tcPr>
            <w:tcW w:w="3614"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ind w:firstLineChars="100" w:firstLine="160"/>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Collection Fund Adjustment Account</w:t>
            </w:r>
          </w:p>
        </w:tc>
        <w:tc>
          <w:tcPr>
            <w:tcW w:w="2051" w:type="dxa"/>
            <w:tcBorders>
              <w:top w:val="nil"/>
              <w:left w:val="nil"/>
              <w:bottom w:val="nil"/>
              <w:right w:val="nil"/>
            </w:tcBorders>
            <w:shd w:val="clear" w:color="000000" w:fill="FFFFFF"/>
            <w:noWrap/>
            <w:vAlign w:val="bottom"/>
            <w:hideMark/>
          </w:tcPr>
          <w:p w:rsidR="00CA6653" w:rsidRPr="00EA685A" w:rsidRDefault="00851B3C">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(410)</w:t>
            </w:r>
          </w:p>
        </w:tc>
        <w:tc>
          <w:tcPr>
            <w:tcW w:w="2043" w:type="dxa"/>
            <w:tcBorders>
              <w:top w:val="nil"/>
              <w:left w:val="nil"/>
              <w:bottom w:val="nil"/>
              <w:right w:val="nil"/>
            </w:tcBorders>
            <w:shd w:val="clear" w:color="000000" w:fill="FFFFFF"/>
            <w:noWrap/>
            <w:vAlign w:val="bottom"/>
            <w:hideMark/>
          </w:tcPr>
          <w:p w:rsidR="00CA6653" w:rsidRPr="00EA685A" w:rsidRDefault="00CA6653">
            <w:pPr>
              <w:pStyle w:val="Normal0"/>
              <w:spacing w:line="240" w:lineRule="auto"/>
              <w:jc w:val="right"/>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w:t>
            </w:r>
            <w:r w:rsidR="00851B3C">
              <w:rPr>
                <w:rFonts w:ascii="Verdana" w:eastAsia="Times New Roman" w:hAnsi="Verdana" w:cs="Calibri"/>
                <w:color w:val="000000"/>
                <w:sz w:val="16"/>
                <w:szCs w:val="16"/>
                <w:lang w:eastAsia="en-GB"/>
              </w:rPr>
              <w:t>410</w:t>
            </w:r>
            <w:r w:rsidRPr="00EA685A">
              <w:rPr>
                <w:rFonts w:ascii="Verdana" w:eastAsia="Times New Roman" w:hAnsi="Verdana" w:cs="Calibri"/>
                <w:color w:val="000000"/>
                <w:sz w:val="16"/>
                <w:szCs w:val="16"/>
                <w:lang w:eastAsia="en-GB"/>
              </w:rPr>
              <w:t>)</w:t>
            </w:r>
          </w:p>
        </w:tc>
      </w:tr>
      <w:tr w:rsidR="004D417B" w:rsidTr="00A200D5">
        <w:trPr>
          <w:trHeight w:val="146"/>
          <w:jc w:val="center"/>
        </w:trPr>
        <w:tc>
          <w:tcPr>
            <w:tcW w:w="2051"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jc w:val="right"/>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0</w:t>
            </w:r>
          </w:p>
        </w:tc>
        <w:tc>
          <w:tcPr>
            <w:tcW w:w="1251" w:type="dxa"/>
            <w:tcBorders>
              <w:top w:val="nil"/>
              <w:left w:val="nil"/>
              <w:bottom w:val="nil"/>
              <w:right w:val="nil"/>
            </w:tcBorders>
            <w:shd w:val="clear" w:color="000000" w:fill="FFFFFF"/>
            <w:noWrap/>
            <w:vAlign w:val="bottom"/>
            <w:hideMark/>
          </w:tcPr>
          <w:p w:rsidR="00CA6653" w:rsidRPr="00EA685A" w:rsidRDefault="000775C0" w:rsidP="00CA6653">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908</w:t>
            </w:r>
          </w:p>
        </w:tc>
        <w:tc>
          <w:tcPr>
            <w:tcW w:w="3614"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ind w:firstLineChars="100" w:firstLine="160"/>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Accumulated Absences Account</w:t>
            </w:r>
          </w:p>
        </w:tc>
        <w:tc>
          <w:tcPr>
            <w:tcW w:w="2051"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jc w:val="right"/>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0</w:t>
            </w:r>
          </w:p>
        </w:tc>
        <w:tc>
          <w:tcPr>
            <w:tcW w:w="2043" w:type="dxa"/>
            <w:tcBorders>
              <w:top w:val="nil"/>
              <w:left w:val="nil"/>
              <w:bottom w:val="nil"/>
              <w:right w:val="nil"/>
            </w:tcBorders>
            <w:shd w:val="clear" w:color="000000" w:fill="FFFFFF"/>
            <w:noWrap/>
            <w:vAlign w:val="bottom"/>
            <w:hideMark/>
          </w:tcPr>
          <w:p w:rsidR="00CA6653" w:rsidRPr="00EA685A" w:rsidRDefault="000775C0" w:rsidP="00CA6653">
            <w:pPr>
              <w:pStyle w:val="Normal0"/>
              <w:spacing w:line="240" w:lineRule="auto"/>
              <w:jc w:val="right"/>
              <w:rPr>
                <w:rFonts w:ascii="Verdana" w:eastAsia="Times New Roman" w:hAnsi="Verdana" w:cs="Calibri"/>
                <w:color w:val="000000"/>
                <w:sz w:val="16"/>
                <w:szCs w:val="16"/>
                <w:lang w:eastAsia="en-GB"/>
              </w:rPr>
            </w:pPr>
            <w:r>
              <w:rPr>
                <w:rFonts w:ascii="Verdana" w:eastAsia="Times New Roman" w:hAnsi="Verdana" w:cs="Calibri"/>
                <w:color w:val="000000"/>
                <w:sz w:val="16"/>
                <w:szCs w:val="16"/>
                <w:lang w:eastAsia="en-GB"/>
              </w:rPr>
              <w:t>1,053</w:t>
            </w:r>
          </w:p>
        </w:tc>
      </w:tr>
      <w:tr w:rsidR="004D417B" w:rsidTr="00A200D5">
        <w:trPr>
          <w:trHeight w:val="76"/>
          <w:jc w:val="center"/>
        </w:trPr>
        <w:tc>
          <w:tcPr>
            <w:tcW w:w="2051"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c>
          <w:tcPr>
            <w:tcW w:w="1251"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c>
          <w:tcPr>
            <w:tcW w:w="3614" w:type="dxa"/>
            <w:gridSpan w:val="3"/>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ind w:firstLineChars="100" w:firstLine="160"/>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c>
          <w:tcPr>
            <w:tcW w:w="2051"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c>
          <w:tcPr>
            <w:tcW w:w="2043" w:type="dxa"/>
            <w:tcBorders>
              <w:top w:val="nil"/>
              <w:left w:val="nil"/>
              <w:bottom w:val="nil"/>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color w:val="000000"/>
                <w:sz w:val="16"/>
                <w:szCs w:val="16"/>
                <w:lang w:eastAsia="en-GB"/>
              </w:rPr>
            </w:pPr>
            <w:r w:rsidRPr="00EA685A">
              <w:rPr>
                <w:rFonts w:ascii="Verdana" w:eastAsia="Times New Roman" w:hAnsi="Verdana" w:cs="Calibri"/>
                <w:color w:val="000000"/>
                <w:sz w:val="16"/>
                <w:szCs w:val="16"/>
                <w:lang w:eastAsia="en-GB"/>
              </w:rPr>
              <w:t> </w:t>
            </w:r>
          </w:p>
        </w:tc>
      </w:tr>
      <w:tr w:rsidR="004D417B" w:rsidTr="00A200D5">
        <w:trPr>
          <w:trHeight w:val="146"/>
          <w:jc w:val="center"/>
        </w:trPr>
        <w:tc>
          <w:tcPr>
            <w:tcW w:w="2051" w:type="dxa"/>
            <w:gridSpan w:val="3"/>
            <w:tcBorders>
              <w:top w:val="single" w:sz="4" w:space="0" w:color="auto"/>
              <w:left w:val="nil"/>
              <w:bottom w:val="nil"/>
              <w:right w:val="nil"/>
            </w:tcBorders>
            <w:shd w:val="clear" w:color="000000" w:fill="FFFFFF"/>
            <w:noWrap/>
            <w:vAlign w:val="bottom"/>
            <w:hideMark/>
          </w:tcPr>
          <w:p w:rsidR="00CA6653" w:rsidRPr="00EA685A" w:rsidRDefault="00CA6653" w:rsidP="000775C0">
            <w:pPr>
              <w:pStyle w:val="Normal0"/>
              <w:spacing w:line="240" w:lineRule="auto"/>
              <w:jc w:val="right"/>
              <w:rPr>
                <w:rFonts w:ascii="Verdana" w:eastAsia="Times New Roman" w:hAnsi="Verdana" w:cs="Calibri"/>
                <w:b/>
                <w:color w:val="000000"/>
                <w:sz w:val="16"/>
                <w:szCs w:val="16"/>
                <w:lang w:eastAsia="en-GB"/>
              </w:rPr>
            </w:pPr>
            <w:r w:rsidRPr="00EA685A">
              <w:rPr>
                <w:rFonts w:ascii="Verdana" w:eastAsia="Times New Roman" w:hAnsi="Verdana" w:cs="Calibri"/>
                <w:b/>
                <w:color w:val="000000"/>
                <w:sz w:val="16"/>
                <w:szCs w:val="16"/>
                <w:lang w:eastAsia="en-GB"/>
              </w:rPr>
              <w:t>(</w:t>
            </w:r>
            <w:r w:rsidR="000775C0">
              <w:rPr>
                <w:rFonts w:ascii="Verdana" w:eastAsia="Times New Roman" w:hAnsi="Verdana" w:cs="Calibri"/>
                <w:b/>
                <w:color w:val="000000"/>
                <w:sz w:val="16"/>
                <w:szCs w:val="16"/>
                <w:lang w:eastAsia="en-GB"/>
              </w:rPr>
              <w:t>100,902</w:t>
            </w:r>
            <w:r w:rsidRPr="00EA685A">
              <w:rPr>
                <w:rFonts w:ascii="Verdana" w:eastAsia="Times New Roman" w:hAnsi="Verdana" w:cs="Calibri"/>
                <w:b/>
                <w:color w:val="000000"/>
                <w:sz w:val="16"/>
                <w:szCs w:val="16"/>
                <w:lang w:eastAsia="en-GB"/>
              </w:rPr>
              <w:t>)</w:t>
            </w:r>
          </w:p>
        </w:tc>
        <w:tc>
          <w:tcPr>
            <w:tcW w:w="1251" w:type="dxa"/>
            <w:tcBorders>
              <w:top w:val="single" w:sz="4" w:space="0" w:color="auto"/>
              <w:left w:val="nil"/>
              <w:bottom w:val="nil"/>
              <w:right w:val="nil"/>
            </w:tcBorders>
            <w:shd w:val="clear" w:color="000000" w:fill="FFFFFF"/>
            <w:noWrap/>
            <w:vAlign w:val="bottom"/>
            <w:hideMark/>
          </w:tcPr>
          <w:p w:rsidR="00CA6653" w:rsidRPr="00EA685A" w:rsidRDefault="000775C0" w:rsidP="00CA6653">
            <w:pPr>
              <w:pStyle w:val="Normal0"/>
              <w:spacing w:line="240" w:lineRule="auto"/>
              <w:jc w:val="right"/>
              <w:rPr>
                <w:rFonts w:ascii="Verdana" w:eastAsia="Times New Roman" w:hAnsi="Verdana" w:cs="Calibri"/>
                <w:b/>
                <w:color w:val="000000"/>
                <w:sz w:val="16"/>
                <w:szCs w:val="16"/>
                <w:lang w:eastAsia="en-GB"/>
              </w:rPr>
            </w:pPr>
            <w:r>
              <w:rPr>
                <w:rFonts w:ascii="Verdana" w:eastAsia="Times New Roman" w:hAnsi="Verdana" w:cs="Calibri"/>
                <w:b/>
                <w:color w:val="000000"/>
                <w:sz w:val="16"/>
                <w:szCs w:val="16"/>
                <w:lang w:eastAsia="en-GB"/>
              </w:rPr>
              <w:t>2,056,936</w:t>
            </w:r>
          </w:p>
        </w:tc>
        <w:tc>
          <w:tcPr>
            <w:tcW w:w="3614" w:type="dxa"/>
            <w:gridSpan w:val="3"/>
            <w:tcBorders>
              <w:top w:val="single" w:sz="4" w:space="0" w:color="auto"/>
              <w:left w:val="nil"/>
              <w:bottom w:val="nil"/>
              <w:right w:val="nil"/>
            </w:tcBorders>
            <w:shd w:val="clear" w:color="000000" w:fill="FFFFFF"/>
            <w:noWrap/>
            <w:vAlign w:val="bottom"/>
            <w:hideMark/>
          </w:tcPr>
          <w:p w:rsidR="00CA6653" w:rsidRPr="00EA685A" w:rsidRDefault="00CA6653" w:rsidP="00CA6653">
            <w:pPr>
              <w:pStyle w:val="Normal0"/>
              <w:spacing w:line="240" w:lineRule="auto"/>
              <w:ind w:firstLineChars="100" w:firstLine="161"/>
              <w:rPr>
                <w:rFonts w:ascii="Verdana" w:eastAsia="Times New Roman" w:hAnsi="Verdana" w:cs="Calibri"/>
                <w:b/>
                <w:color w:val="000000"/>
                <w:sz w:val="16"/>
                <w:szCs w:val="16"/>
                <w:lang w:eastAsia="en-GB"/>
              </w:rPr>
            </w:pPr>
            <w:r w:rsidRPr="00EA685A">
              <w:rPr>
                <w:rFonts w:ascii="Verdana" w:eastAsia="Times New Roman" w:hAnsi="Verdana" w:cs="Calibri"/>
                <w:b/>
                <w:color w:val="000000"/>
                <w:sz w:val="16"/>
                <w:szCs w:val="16"/>
                <w:lang w:eastAsia="en-GB"/>
              </w:rPr>
              <w:t> </w:t>
            </w:r>
          </w:p>
        </w:tc>
        <w:tc>
          <w:tcPr>
            <w:tcW w:w="2051" w:type="dxa"/>
            <w:tcBorders>
              <w:top w:val="single" w:sz="4" w:space="0" w:color="auto"/>
              <w:left w:val="nil"/>
              <w:bottom w:val="nil"/>
              <w:right w:val="nil"/>
            </w:tcBorders>
            <w:shd w:val="clear" w:color="000000" w:fill="FFFFFF"/>
            <w:noWrap/>
            <w:vAlign w:val="bottom"/>
            <w:hideMark/>
          </w:tcPr>
          <w:p w:rsidR="00CA6653" w:rsidRPr="00EA685A" w:rsidRDefault="00CA6653">
            <w:pPr>
              <w:pStyle w:val="Normal0"/>
              <w:spacing w:line="240" w:lineRule="auto"/>
              <w:jc w:val="right"/>
              <w:rPr>
                <w:rFonts w:ascii="Verdana" w:eastAsia="Times New Roman" w:hAnsi="Verdana" w:cs="Calibri"/>
                <w:b/>
                <w:color w:val="000000"/>
                <w:sz w:val="16"/>
                <w:szCs w:val="16"/>
                <w:lang w:eastAsia="en-GB"/>
              </w:rPr>
            </w:pPr>
            <w:r w:rsidRPr="00EA685A">
              <w:rPr>
                <w:rFonts w:ascii="Verdana" w:eastAsia="Times New Roman" w:hAnsi="Verdana" w:cs="Calibri"/>
                <w:b/>
                <w:color w:val="000000"/>
                <w:sz w:val="16"/>
                <w:szCs w:val="16"/>
                <w:lang w:eastAsia="en-GB"/>
              </w:rPr>
              <w:t>(</w:t>
            </w:r>
            <w:r w:rsidR="000775C0">
              <w:rPr>
                <w:rFonts w:ascii="Verdana" w:eastAsia="Times New Roman" w:hAnsi="Verdana" w:cs="Calibri"/>
                <w:b/>
                <w:color w:val="000000"/>
                <w:sz w:val="16"/>
                <w:szCs w:val="16"/>
                <w:lang w:eastAsia="en-GB"/>
              </w:rPr>
              <w:t>10</w:t>
            </w:r>
            <w:r w:rsidR="00851B3C">
              <w:rPr>
                <w:rFonts w:ascii="Verdana" w:eastAsia="Times New Roman" w:hAnsi="Verdana" w:cs="Calibri"/>
                <w:b/>
                <w:color w:val="000000"/>
                <w:sz w:val="16"/>
                <w:szCs w:val="16"/>
                <w:lang w:eastAsia="en-GB"/>
              </w:rPr>
              <w:t>8</w:t>
            </w:r>
            <w:r w:rsidR="00744AD3">
              <w:rPr>
                <w:rFonts w:ascii="Verdana" w:eastAsia="Times New Roman" w:hAnsi="Verdana" w:cs="Calibri"/>
                <w:b/>
                <w:color w:val="000000"/>
                <w:sz w:val="16"/>
                <w:szCs w:val="16"/>
                <w:lang w:eastAsia="en-GB"/>
              </w:rPr>
              <w:t>,</w:t>
            </w:r>
            <w:r w:rsidR="00851B3C">
              <w:rPr>
                <w:rFonts w:ascii="Verdana" w:eastAsia="Times New Roman" w:hAnsi="Verdana" w:cs="Calibri"/>
                <w:b/>
                <w:color w:val="000000"/>
                <w:sz w:val="16"/>
                <w:szCs w:val="16"/>
                <w:lang w:eastAsia="en-GB"/>
              </w:rPr>
              <w:t>1</w:t>
            </w:r>
            <w:r w:rsidR="00F44547">
              <w:rPr>
                <w:rFonts w:ascii="Verdana" w:eastAsia="Times New Roman" w:hAnsi="Verdana" w:cs="Calibri"/>
                <w:b/>
                <w:color w:val="000000"/>
                <w:sz w:val="16"/>
                <w:szCs w:val="16"/>
                <w:lang w:eastAsia="en-GB"/>
              </w:rPr>
              <w:t>76</w:t>
            </w:r>
            <w:r w:rsidRPr="00EA685A">
              <w:rPr>
                <w:rFonts w:ascii="Verdana" w:eastAsia="Times New Roman" w:hAnsi="Verdana" w:cs="Calibri"/>
                <w:b/>
                <w:color w:val="000000"/>
                <w:sz w:val="16"/>
                <w:szCs w:val="16"/>
                <w:lang w:eastAsia="en-GB"/>
              </w:rPr>
              <w:t>)</w:t>
            </w:r>
          </w:p>
        </w:tc>
        <w:tc>
          <w:tcPr>
            <w:tcW w:w="2043" w:type="dxa"/>
            <w:tcBorders>
              <w:top w:val="single" w:sz="4" w:space="0" w:color="auto"/>
              <w:left w:val="nil"/>
              <w:bottom w:val="nil"/>
              <w:right w:val="nil"/>
            </w:tcBorders>
            <w:shd w:val="clear" w:color="000000" w:fill="FFFFFF"/>
            <w:noWrap/>
            <w:vAlign w:val="bottom"/>
            <w:hideMark/>
          </w:tcPr>
          <w:p w:rsidR="00CA6653" w:rsidRPr="00EA685A" w:rsidRDefault="000775C0">
            <w:pPr>
              <w:pStyle w:val="Normal0"/>
              <w:spacing w:line="240" w:lineRule="auto"/>
              <w:jc w:val="right"/>
              <w:rPr>
                <w:rFonts w:ascii="Verdana" w:eastAsia="Times New Roman" w:hAnsi="Verdana" w:cs="Calibri"/>
                <w:b/>
                <w:color w:val="000000"/>
                <w:sz w:val="16"/>
                <w:szCs w:val="16"/>
                <w:lang w:eastAsia="en-GB"/>
              </w:rPr>
            </w:pPr>
            <w:r>
              <w:rPr>
                <w:rFonts w:ascii="Verdana" w:eastAsia="Times New Roman" w:hAnsi="Verdana" w:cs="Calibri"/>
                <w:b/>
                <w:color w:val="000000"/>
                <w:sz w:val="16"/>
                <w:szCs w:val="16"/>
                <w:lang w:eastAsia="en-GB"/>
              </w:rPr>
              <w:t>1,</w:t>
            </w:r>
            <w:r w:rsidR="00F44547">
              <w:rPr>
                <w:rFonts w:ascii="Verdana" w:eastAsia="Times New Roman" w:hAnsi="Verdana" w:cs="Calibri"/>
                <w:b/>
                <w:color w:val="000000"/>
                <w:sz w:val="16"/>
                <w:szCs w:val="16"/>
                <w:lang w:eastAsia="en-GB"/>
              </w:rPr>
              <w:t>919,432</w:t>
            </w:r>
          </w:p>
        </w:tc>
      </w:tr>
      <w:tr w:rsidR="004D417B" w:rsidTr="00A200D5">
        <w:trPr>
          <w:trHeight w:val="157"/>
          <w:jc w:val="center"/>
        </w:trPr>
        <w:tc>
          <w:tcPr>
            <w:tcW w:w="2051" w:type="dxa"/>
            <w:gridSpan w:val="3"/>
            <w:tcBorders>
              <w:top w:val="nil"/>
              <w:left w:val="nil"/>
              <w:bottom w:val="single" w:sz="8" w:space="0" w:color="auto"/>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b/>
                <w:color w:val="000000"/>
                <w:sz w:val="16"/>
                <w:szCs w:val="16"/>
                <w:lang w:eastAsia="en-GB"/>
              </w:rPr>
            </w:pPr>
            <w:r w:rsidRPr="00EA685A">
              <w:rPr>
                <w:rFonts w:ascii="Verdana" w:eastAsia="Times New Roman" w:hAnsi="Verdana" w:cs="Calibri"/>
                <w:b/>
                <w:color w:val="000000"/>
                <w:sz w:val="16"/>
                <w:szCs w:val="16"/>
                <w:lang w:eastAsia="en-GB"/>
              </w:rPr>
              <w:t> </w:t>
            </w:r>
          </w:p>
        </w:tc>
        <w:tc>
          <w:tcPr>
            <w:tcW w:w="1251" w:type="dxa"/>
            <w:tcBorders>
              <w:top w:val="nil"/>
              <w:left w:val="nil"/>
              <w:bottom w:val="single" w:sz="8" w:space="0" w:color="auto"/>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b/>
                <w:color w:val="000000"/>
                <w:sz w:val="16"/>
                <w:szCs w:val="16"/>
                <w:lang w:eastAsia="en-GB"/>
              </w:rPr>
            </w:pPr>
            <w:r w:rsidRPr="00EA685A">
              <w:rPr>
                <w:rFonts w:ascii="Verdana" w:eastAsia="Times New Roman" w:hAnsi="Verdana" w:cs="Calibri"/>
                <w:b/>
                <w:color w:val="000000"/>
                <w:sz w:val="16"/>
                <w:szCs w:val="16"/>
                <w:lang w:eastAsia="en-GB"/>
              </w:rPr>
              <w:t> </w:t>
            </w:r>
          </w:p>
        </w:tc>
        <w:tc>
          <w:tcPr>
            <w:tcW w:w="3614" w:type="dxa"/>
            <w:gridSpan w:val="3"/>
            <w:tcBorders>
              <w:top w:val="nil"/>
              <w:left w:val="nil"/>
              <w:bottom w:val="single" w:sz="8" w:space="0" w:color="auto"/>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b/>
                <w:color w:val="000000"/>
                <w:sz w:val="16"/>
                <w:szCs w:val="16"/>
                <w:lang w:eastAsia="en-GB"/>
              </w:rPr>
            </w:pPr>
            <w:r w:rsidRPr="00EA685A">
              <w:rPr>
                <w:rFonts w:ascii="Verdana" w:eastAsia="Times New Roman" w:hAnsi="Verdana" w:cs="Calibri"/>
                <w:b/>
                <w:color w:val="000000"/>
                <w:sz w:val="16"/>
                <w:szCs w:val="16"/>
                <w:lang w:eastAsia="en-GB"/>
              </w:rPr>
              <w:t> </w:t>
            </w:r>
          </w:p>
        </w:tc>
        <w:tc>
          <w:tcPr>
            <w:tcW w:w="2051" w:type="dxa"/>
            <w:tcBorders>
              <w:top w:val="nil"/>
              <w:left w:val="nil"/>
              <w:bottom w:val="single" w:sz="8" w:space="0" w:color="auto"/>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b/>
                <w:color w:val="000000"/>
                <w:sz w:val="16"/>
                <w:szCs w:val="16"/>
                <w:lang w:eastAsia="en-GB"/>
              </w:rPr>
            </w:pPr>
            <w:r w:rsidRPr="00EA685A">
              <w:rPr>
                <w:rFonts w:ascii="Verdana" w:eastAsia="Times New Roman" w:hAnsi="Verdana" w:cs="Calibri"/>
                <w:b/>
                <w:color w:val="000000"/>
                <w:sz w:val="16"/>
                <w:szCs w:val="16"/>
                <w:lang w:eastAsia="en-GB"/>
              </w:rPr>
              <w:t> </w:t>
            </w:r>
          </w:p>
        </w:tc>
        <w:tc>
          <w:tcPr>
            <w:tcW w:w="2043" w:type="dxa"/>
            <w:tcBorders>
              <w:top w:val="nil"/>
              <w:left w:val="nil"/>
              <w:bottom w:val="single" w:sz="8" w:space="0" w:color="auto"/>
              <w:right w:val="nil"/>
            </w:tcBorders>
            <w:shd w:val="clear" w:color="000000" w:fill="FFFFFF"/>
            <w:noWrap/>
            <w:vAlign w:val="bottom"/>
            <w:hideMark/>
          </w:tcPr>
          <w:p w:rsidR="00CA6653" w:rsidRPr="00EA685A" w:rsidRDefault="00CA6653" w:rsidP="00CA6653">
            <w:pPr>
              <w:pStyle w:val="Normal0"/>
              <w:spacing w:line="240" w:lineRule="auto"/>
              <w:rPr>
                <w:rFonts w:ascii="Verdana" w:eastAsia="Times New Roman" w:hAnsi="Verdana" w:cs="Calibri"/>
                <w:b/>
                <w:color w:val="000000"/>
                <w:sz w:val="16"/>
                <w:szCs w:val="16"/>
                <w:lang w:eastAsia="en-GB"/>
              </w:rPr>
            </w:pPr>
            <w:r w:rsidRPr="00EA685A">
              <w:rPr>
                <w:rFonts w:ascii="Verdana" w:eastAsia="Times New Roman" w:hAnsi="Verdana" w:cs="Calibri"/>
                <w:b/>
                <w:color w:val="000000"/>
                <w:sz w:val="16"/>
                <w:szCs w:val="16"/>
                <w:lang w:eastAsia="en-GB"/>
              </w:rPr>
              <w:t> </w:t>
            </w:r>
          </w:p>
        </w:tc>
      </w:tr>
      <w:tr w:rsidR="004D417B" w:rsidTr="00A200D5">
        <w:trPr>
          <w:gridAfter w:val="3"/>
          <w:wAfter w:w="4272" w:type="dxa"/>
          <w:trHeight w:val="209"/>
          <w:jc w:val="center"/>
        </w:trPr>
        <w:tc>
          <w:tcPr>
            <w:tcW w:w="6740" w:type="dxa"/>
            <w:gridSpan w:val="6"/>
            <w:shd w:val="clear" w:color="auto" w:fill="auto"/>
            <w:tcMar>
              <w:top w:w="20" w:type="dxa"/>
              <w:left w:w="20" w:type="dxa"/>
              <w:bottom w:w="20" w:type="dxa"/>
              <w:right w:w="20" w:type="dxa"/>
            </w:tcMar>
            <w:vAlign w:val="bottom"/>
          </w:tcPr>
          <w:p w:rsidR="004D2548" w:rsidRDefault="004D2548">
            <w:pPr>
              <w:pStyle w:val="T1TableStyle"/>
              <w:rPr>
                <w:rFonts w:ascii="Verdana" w:eastAsia="Verdana" w:hAnsi="Verdana" w:cs="Verdana"/>
                <w:b/>
                <w:color w:val="000000"/>
                <w:lang w:val="en-GB"/>
              </w:rPr>
            </w:pPr>
          </w:p>
          <w:p w:rsidR="009940E0" w:rsidRDefault="009940E0">
            <w:pPr>
              <w:pStyle w:val="T1TableStyle"/>
              <w:rPr>
                <w:rFonts w:ascii="Verdana" w:eastAsia="Verdana" w:hAnsi="Verdana" w:cs="Verdana"/>
                <w:b/>
                <w:color w:val="000000"/>
                <w:lang w:val="en-GB"/>
              </w:rPr>
            </w:pPr>
          </w:p>
          <w:p w:rsidR="00CA6653" w:rsidRDefault="00CA6653">
            <w:pPr>
              <w:pStyle w:val="T1TableStyle"/>
              <w:rPr>
                <w:rFonts w:ascii="Verdana" w:eastAsia="Verdana" w:hAnsi="Verdana" w:cs="Verdana"/>
                <w:b/>
                <w:color w:val="000000"/>
                <w:lang w:val="en-GB"/>
              </w:rPr>
            </w:pPr>
            <w:r>
              <w:rPr>
                <w:rFonts w:ascii="Verdana" w:eastAsia="Verdana" w:hAnsi="Verdana" w:cs="Verdana"/>
                <w:b/>
                <w:color w:val="000000"/>
                <w:lang w:val="en-GB"/>
              </w:rPr>
              <w:t>Revaluation Reserve</w:t>
            </w:r>
          </w:p>
        </w:tc>
      </w:tr>
      <w:tr w:rsidR="004D417B" w:rsidTr="00A200D5">
        <w:trPr>
          <w:gridAfter w:val="3"/>
          <w:wAfter w:w="4274" w:type="dxa"/>
          <w:trHeight w:hRule="exact" w:val="251"/>
          <w:jc w:val="center"/>
        </w:trPr>
        <w:tc>
          <w:tcPr>
            <w:tcW w:w="1456"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96"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630" w:type="dxa"/>
            <w:gridSpan w:val="3"/>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456"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A200D5">
        <w:trPr>
          <w:gridAfter w:val="3"/>
          <w:wAfter w:w="4274" w:type="dxa"/>
          <w:trHeight w:val="209"/>
          <w:jc w:val="center"/>
        </w:trPr>
        <w:tc>
          <w:tcPr>
            <w:tcW w:w="1456"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96"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630" w:type="dxa"/>
            <w:gridSpan w:val="3"/>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456"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A200D5">
        <w:trPr>
          <w:gridAfter w:val="3"/>
          <w:wAfter w:w="4274" w:type="dxa"/>
          <w:trHeight w:val="209"/>
          <w:jc w:val="center"/>
        </w:trPr>
        <w:tc>
          <w:tcPr>
            <w:tcW w:w="1456"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96"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630" w:type="dxa"/>
            <w:gridSpan w:val="3"/>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456"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A200D5">
        <w:trPr>
          <w:gridAfter w:val="3"/>
          <w:wAfter w:w="4274" w:type="dxa"/>
          <w:trHeight w:val="209"/>
          <w:jc w:val="center"/>
        </w:trPr>
        <w:tc>
          <w:tcPr>
            <w:tcW w:w="1456" w:type="dxa"/>
            <w:shd w:val="clear" w:color="auto" w:fill="auto"/>
            <w:tcMar>
              <w:top w:w="20" w:type="dxa"/>
              <w:left w:w="20" w:type="dxa"/>
              <w:bottom w:w="20" w:type="dxa"/>
              <w:right w:w="20" w:type="dxa"/>
            </w:tcMar>
          </w:tcPr>
          <w:p w:rsidR="00CA6653" w:rsidRPr="00A200D5" w:rsidRDefault="00CA6653" w:rsidP="009940E0">
            <w:pPr>
              <w:pStyle w:val="T1TableStyle"/>
              <w:jc w:val="right"/>
              <w:rPr>
                <w:rFonts w:ascii="Verdana" w:eastAsia="Verdana" w:hAnsi="Verdana" w:cs="Verdana"/>
                <w:b/>
                <w:color w:val="000000"/>
                <w:sz w:val="16"/>
                <w:lang w:val="en-GB"/>
              </w:rPr>
            </w:pPr>
            <w:r w:rsidRPr="00A200D5">
              <w:rPr>
                <w:rFonts w:ascii="Verdana" w:eastAsia="Verdana" w:hAnsi="Verdana" w:cs="Verdana"/>
                <w:b/>
                <w:color w:val="000000"/>
                <w:sz w:val="16"/>
                <w:lang w:val="en-GB"/>
              </w:rPr>
              <w:t>(33,48</w:t>
            </w:r>
            <w:r w:rsidR="009940E0" w:rsidRPr="00A200D5">
              <w:rPr>
                <w:rFonts w:ascii="Verdana" w:eastAsia="Verdana" w:hAnsi="Verdana" w:cs="Verdana"/>
                <w:b/>
                <w:color w:val="000000"/>
                <w:sz w:val="16"/>
                <w:lang w:val="en-GB"/>
              </w:rPr>
              <w:t>1</w:t>
            </w:r>
            <w:r w:rsidRPr="00A200D5">
              <w:rPr>
                <w:rFonts w:ascii="Verdana" w:eastAsia="Verdana" w:hAnsi="Verdana" w:cs="Verdana"/>
                <w:b/>
                <w:color w:val="000000"/>
                <w:sz w:val="16"/>
                <w:lang w:val="en-GB"/>
              </w:rPr>
              <w:t>)</w:t>
            </w:r>
          </w:p>
        </w:tc>
        <w:tc>
          <w:tcPr>
            <w:tcW w:w="196" w:type="dxa"/>
            <w:shd w:val="clear" w:color="auto" w:fill="auto"/>
            <w:tcMar>
              <w:top w:w="20" w:type="dxa"/>
              <w:left w:w="20" w:type="dxa"/>
              <w:bottom w:w="20" w:type="dxa"/>
              <w:right w:w="20" w:type="dxa"/>
            </w:tcMar>
          </w:tcPr>
          <w:p w:rsidR="00CA6653" w:rsidRPr="00A200D5" w:rsidRDefault="00CA6653">
            <w:pPr>
              <w:pStyle w:val="T1TableStyle"/>
              <w:jc w:val="center"/>
              <w:rPr>
                <w:rFonts w:ascii="Verdana" w:eastAsia="Verdana" w:hAnsi="Verdana" w:cs="Verdana"/>
                <w:b/>
                <w:color w:val="000000"/>
                <w:sz w:val="2"/>
                <w:lang w:val="en-GB"/>
              </w:rPr>
            </w:pPr>
            <w:r w:rsidRPr="00A200D5">
              <w:rPr>
                <w:rFonts w:ascii="Verdana" w:eastAsia="Verdana" w:hAnsi="Verdana" w:cs="Verdana"/>
                <w:b/>
                <w:color w:val="000000"/>
                <w:sz w:val="2"/>
                <w:lang w:val="en-GB"/>
              </w:rPr>
              <w:t xml:space="preserve"> </w:t>
            </w:r>
          </w:p>
        </w:tc>
        <w:tc>
          <w:tcPr>
            <w:tcW w:w="3630" w:type="dxa"/>
            <w:gridSpan w:val="3"/>
            <w:shd w:val="clear" w:color="auto" w:fill="auto"/>
            <w:tcMar>
              <w:top w:w="20" w:type="dxa"/>
              <w:left w:w="20" w:type="dxa"/>
              <w:bottom w:w="20" w:type="dxa"/>
              <w:right w:w="20" w:type="dxa"/>
            </w:tcMar>
          </w:tcPr>
          <w:p w:rsidR="00CA6653" w:rsidRPr="00495838" w:rsidRDefault="00CA6653">
            <w:pPr>
              <w:pStyle w:val="T1TableStyle"/>
              <w:rPr>
                <w:rFonts w:ascii="Verdana" w:eastAsia="Verdana" w:hAnsi="Verdana" w:cs="Verdana"/>
                <w:b/>
                <w:color w:val="000000"/>
                <w:sz w:val="16"/>
                <w:lang w:val="en-GB"/>
              </w:rPr>
            </w:pPr>
            <w:r w:rsidRPr="00495838">
              <w:rPr>
                <w:rFonts w:ascii="Verdana" w:eastAsia="Verdana" w:hAnsi="Verdana" w:cs="Verdana"/>
                <w:b/>
                <w:color w:val="000000"/>
                <w:sz w:val="16"/>
                <w:lang w:val="en-GB"/>
              </w:rPr>
              <w:t xml:space="preserve">Balance 1 April </w:t>
            </w:r>
          </w:p>
        </w:tc>
        <w:tc>
          <w:tcPr>
            <w:tcW w:w="1456" w:type="dxa"/>
            <w:shd w:val="clear" w:color="auto" w:fill="auto"/>
            <w:tcMar>
              <w:top w:w="20" w:type="dxa"/>
              <w:left w:w="20" w:type="dxa"/>
              <w:bottom w:w="20" w:type="dxa"/>
              <w:right w:w="20" w:type="dxa"/>
            </w:tcMar>
          </w:tcPr>
          <w:p w:rsidR="00CA6653" w:rsidRPr="00A200D5" w:rsidRDefault="00CA6653" w:rsidP="009940E0">
            <w:pPr>
              <w:pStyle w:val="T1TableStyle"/>
              <w:jc w:val="right"/>
              <w:rPr>
                <w:rFonts w:ascii="Verdana" w:eastAsia="Verdana" w:hAnsi="Verdana" w:cs="Verdana"/>
                <w:b/>
                <w:color w:val="000000"/>
                <w:sz w:val="16"/>
                <w:lang w:val="en-GB"/>
              </w:rPr>
            </w:pPr>
            <w:r w:rsidRPr="00A200D5">
              <w:rPr>
                <w:rFonts w:ascii="Verdana" w:eastAsia="Verdana" w:hAnsi="Verdana" w:cs="Verdana"/>
                <w:b/>
                <w:color w:val="000000"/>
                <w:sz w:val="16"/>
                <w:lang w:val="en-GB"/>
              </w:rPr>
              <w:t>(</w:t>
            </w:r>
            <w:r w:rsidR="009940E0" w:rsidRPr="00A200D5">
              <w:rPr>
                <w:rFonts w:ascii="Verdana" w:eastAsia="Verdana" w:hAnsi="Verdana" w:cs="Verdana"/>
                <w:b/>
                <w:color w:val="000000"/>
                <w:sz w:val="16"/>
                <w:lang w:val="en-GB"/>
              </w:rPr>
              <w:t>36,881</w:t>
            </w:r>
            <w:r w:rsidRPr="00A200D5">
              <w:rPr>
                <w:rFonts w:ascii="Verdana" w:eastAsia="Verdana" w:hAnsi="Verdana" w:cs="Verdana"/>
                <w:b/>
                <w:color w:val="000000"/>
                <w:sz w:val="16"/>
                <w:lang w:val="en-GB"/>
              </w:rPr>
              <w:t>)</w:t>
            </w:r>
          </w:p>
        </w:tc>
      </w:tr>
      <w:tr w:rsidR="004D417B" w:rsidTr="00A200D5">
        <w:trPr>
          <w:gridAfter w:val="3"/>
          <w:wAfter w:w="4274" w:type="dxa"/>
          <w:trHeight w:val="209"/>
          <w:jc w:val="center"/>
        </w:trPr>
        <w:tc>
          <w:tcPr>
            <w:tcW w:w="1456" w:type="dxa"/>
            <w:shd w:val="clear" w:color="auto" w:fill="auto"/>
            <w:tcMar>
              <w:top w:w="20" w:type="dxa"/>
              <w:left w:w="20" w:type="dxa"/>
              <w:bottom w:w="20" w:type="dxa"/>
              <w:right w:w="20" w:type="dxa"/>
            </w:tcMar>
          </w:tcPr>
          <w:p w:rsidR="00CA6653" w:rsidRDefault="00CA6653" w:rsidP="009940E0">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(5,98</w:t>
            </w:r>
            <w:r w:rsidR="009940E0">
              <w:rPr>
                <w:rFonts w:ascii="Verdana" w:eastAsia="Verdana" w:hAnsi="Verdana" w:cs="Verdana"/>
                <w:color w:val="000000"/>
                <w:sz w:val="16"/>
                <w:lang w:val="en-GB"/>
              </w:rPr>
              <w:t>5</w:t>
            </w:r>
            <w:r>
              <w:rPr>
                <w:rFonts w:ascii="Verdana" w:eastAsia="Verdana" w:hAnsi="Verdana" w:cs="Verdana"/>
                <w:color w:val="000000"/>
                <w:sz w:val="16"/>
                <w:lang w:val="en-GB"/>
              </w:rPr>
              <w:t>)</w:t>
            </w:r>
          </w:p>
        </w:tc>
        <w:tc>
          <w:tcPr>
            <w:tcW w:w="196"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630" w:type="dxa"/>
            <w:gridSpan w:val="3"/>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Upward revaluation of assets</w:t>
            </w:r>
          </w:p>
        </w:tc>
        <w:tc>
          <w:tcPr>
            <w:tcW w:w="1456" w:type="dxa"/>
            <w:shd w:val="clear" w:color="auto" w:fill="auto"/>
            <w:tcMar>
              <w:top w:w="20" w:type="dxa"/>
              <w:left w:w="20" w:type="dxa"/>
              <w:bottom w:w="20" w:type="dxa"/>
              <w:right w:w="20" w:type="dxa"/>
            </w:tcMar>
          </w:tcPr>
          <w:p w:rsidR="00CA6653" w:rsidRDefault="001905E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(10,053)</w:t>
            </w:r>
          </w:p>
        </w:tc>
      </w:tr>
      <w:tr w:rsidR="004D417B" w:rsidTr="00A200D5">
        <w:trPr>
          <w:gridAfter w:val="3"/>
          <w:wAfter w:w="4274" w:type="dxa"/>
          <w:trHeight w:val="586"/>
          <w:jc w:val="center"/>
        </w:trPr>
        <w:tc>
          <w:tcPr>
            <w:tcW w:w="1456"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729</w:t>
            </w:r>
          </w:p>
        </w:tc>
        <w:tc>
          <w:tcPr>
            <w:tcW w:w="196"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630" w:type="dxa"/>
            <w:gridSpan w:val="3"/>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Downward revaluation of assets and impairment losses not charged to the Surplus or Deficit on the Provision of Services</w:t>
            </w:r>
          </w:p>
        </w:tc>
        <w:tc>
          <w:tcPr>
            <w:tcW w:w="1456" w:type="dxa"/>
            <w:shd w:val="clear" w:color="auto" w:fill="auto"/>
            <w:tcMar>
              <w:top w:w="20" w:type="dxa"/>
              <w:left w:w="20" w:type="dxa"/>
              <w:bottom w:w="20" w:type="dxa"/>
              <w:right w:w="20" w:type="dxa"/>
            </w:tcMar>
          </w:tcPr>
          <w:p w:rsidR="00CA6653" w:rsidRDefault="001905E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712</w:t>
            </w:r>
          </w:p>
        </w:tc>
      </w:tr>
      <w:tr w:rsidR="004D417B" w:rsidTr="00A200D5">
        <w:trPr>
          <w:gridAfter w:val="3"/>
          <w:wAfter w:w="4274" w:type="dxa"/>
          <w:trHeight w:val="733"/>
          <w:jc w:val="center"/>
        </w:trPr>
        <w:tc>
          <w:tcPr>
            <w:tcW w:w="1456"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(5,256)</w:t>
            </w:r>
          </w:p>
        </w:tc>
        <w:tc>
          <w:tcPr>
            <w:tcW w:w="196"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630" w:type="dxa"/>
            <w:gridSpan w:val="3"/>
            <w:tcBorders>
              <w:top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Surplus or deficit on revaluation of non-current assets not charged to the Surplus or Deficit on the Provision of Services</w:t>
            </w:r>
          </w:p>
        </w:tc>
        <w:tc>
          <w:tcPr>
            <w:tcW w:w="1456" w:type="dxa"/>
            <w:tcBorders>
              <w:top w:val="single" w:sz="2" w:space="0" w:color="000000"/>
            </w:tcBorders>
            <w:shd w:val="clear" w:color="auto" w:fill="auto"/>
            <w:tcMar>
              <w:top w:w="20" w:type="dxa"/>
              <w:left w:w="20" w:type="dxa"/>
              <w:bottom w:w="20" w:type="dxa"/>
              <w:right w:w="20" w:type="dxa"/>
            </w:tcMar>
          </w:tcPr>
          <w:p w:rsidR="00CA6653" w:rsidRDefault="00CA6653" w:rsidP="001905E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1905E5">
              <w:rPr>
                <w:rFonts w:ascii="Verdana" w:eastAsia="Verdana" w:hAnsi="Verdana" w:cs="Verdana"/>
                <w:b/>
                <w:color w:val="000000"/>
                <w:sz w:val="16"/>
                <w:lang w:val="en-GB"/>
              </w:rPr>
              <w:t>9,341</w:t>
            </w:r>
            <w:r>
              <w:rPr>
                <w:rFonts w:ascii="Verdana" w:eastAsia="Verdana" w:hAnsi="Verdana" w:cs="Verdana"/>
                <w:b/>
                <w:color w:val="000000"/>
                <w:sz w:val="16"/>
                <w:lang w:val="en-GB"/>
              </w:rPr>
              <w:t>)</w:t>
            </w:r>
          </w:p>
        </w:tc>
      </w:tr>
      <w:tr w:rsidR="004D417B" w:rsidTr="00A200D5">
        <w:trPr>
          <w:gridAfter w:val="3"/>
          <w:wAfter w:w="4274" w:type="dxa"/>
          <w:trHeight w:val="440"/>
          <w:jc w:val="center"/>
        </w:trPr>
        <w:tc>
          <w:tcPr>
            <w:tcW w:w="1456"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1,481</w:t>
            </w:r>
          </w:p>
        </w:tc>
        <w:tc>
          <w:tcPr>
            <w:tcW w:w="196"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630" w:type="dxa"/>
            <w:gridSpan w:val="3"/>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Difference between fair value depreciation and historical cost depreciation </w:t>
            </w:r>
          </w:p>
        </w:tc>
        <w:tc>
          <w:tcPr>
            <w:tcW w:w="1456"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1,216</w:t>
            </w:r>
          </w:p>
        </w:tc>
      </w:tr>
      <w:tr w:rsidR="004D417B" w:rsidTr="00A200D5">
        <w:trPr>
          <w:gridAfter w:val="3"/>
          <w:wAfter w:w="4274" w:type="dxa"/>
          <w:trHeight w:val="293"/>
          <w:jc w:val="center"/>
        </w:trPr>
        <w:tc>
          <w:tcPr>
            <w:tcW w:w="1456"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364</w:t>
            </w:r>
          </w:p>
        </w:tc>
        <w:tc>
          <w:tcPr>
            <w:tcW w:w="196"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630" w:type="dxa"/>
            <w:gridSpan w:val="3"/>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Accumulated gains on assets sold or scrapped</w:t>
            </w:r>
          </w:p>
        </w:tc>
        <w:tc>
          <w:tcPr>
            <w:tcW w:w="1456"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4D417B" w:rsidTr="00A200D5">
        <w:trPr>
          <w:gridAfter w:val="3"/>
          <w:wAfter w:w="4274" w:type="dxa"/>
          <w:trHeight w:val="293"/>
          <w:jc w:val="center"/>
        </w:trPr>
        <w:tc>
          <w:tcPr>
            <w:tcW w:w="1456"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1,845</w:t>
            </w:r>
          </w:p>
        </w:tc>
        <w:tc>
          <w:tcPr>
            <w:tcW w:w="196"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630" w:type="dxa"/>
            <w:gridSpan w:val="3"/>
            <w:tcBorders>
              <w:top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Amount written off to the Capital Adjustment Account</w:t>
            </w:r>
          </w:p>
        </w:tc>
        <w:tc>
          <w:tcPr>
            <w:tcW w:w="1456"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1,216</w:t>
            </w:r>
          </w:p>
        </w:tc>
      </w:tr>
      <w:tr w:rsidR="004D417B" w:rsidTr="00A200D5">
        <w:trPr>
          <w:gridAfter w:val="3"/>
          <w:wAfter w:w="4274" w:type="dxa"/>
          <w:trHeight w:val="209"/>
          <w:jc w:val="center"/>
        </w:trPr>
        <w:tc>
          <w:tcPr>
            <w:tcW w:w="1456"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w:t>
            </w:r>
          </w:p>
        </w:tc>
        <w:tc>
          <w:tcPr>
            <w:tcW w:w="196"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630" w:type="dxa"/>
            <w:gridSpan w:val="3"/>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movements</w:t>
            </w:r>
          </w:p>
        </w:tc>
        <w:tc>
          <w:tcPr>
            <w:tcW w:w="1456" w:type="dxa"/>
            <w:shd w:val="clear" w:color="auto" w:fill="auto"/>
            <w:tcMar>
              <w:top w:w="20" w:type="dxa"/>
              <w:left w:w="20" w:type="dxa"/>
              <w:bottom w:w="20" w:type="dxa"/>
              <w:right w:w="20" w:type="dxa"/>
            </w:tcMar>
          </w:tcPr>
          <w:p w:rsidR="00CA6653" w:rsidRDefault="00495838">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p>
        </w:tc>
      </w:tr>
      <w:tr w:rsidR="004D417B" w:rsidTr="00A200D5">
        <w:trPr>
          <w:gridAfter w:val="3"/>
          <w:wAfter w:w="4274" w:type="dxa"/>
          <w:trHeight w:val="220"/>
          <w:jc w:val="center"/>
        </w:trPr>
        <w:tc>
          <w:tcPr>
            <w:tcW w:w="1456"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rsidP="009940E0">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(36,88</w:t>
            </w:r>
            <w:r w:rsidR="009940E0">
              <w:rPr>
                <w:rFonts w:ascii="Verdana" w:eastAsia="Verdana" w:hAnsi="Verdana" w:cs="Verdana"/>
                <w:b/>
                <w:color w:val="000000"/>
                <w:sz w:val="16"/>
                <w:lang w:val="en-GB"/>
              </w:rPr>
              <w:t>1</w:t>
            </w:r>
            <w:r>
              <w:rPr>
                <w:rFonts w:ascii="Verdana" w:eastAsia="Verdana" w:hAnsi="Verdana" w:cs="Verdana"/>
                <w:b/>
                <w:color w:val="000000"/>
                <w:sz w:val="16"/>
                <w:lang w:val="en-GB"/>
              </w:rPr>
              <w:t>)</w:t>
            </w:r>
          </w:p>
        </w:tc>
        <w:tc>
          <w:tcPr>
            <w:tcW w:w="196"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630" w:type="dxa"/>
            <w:gridSpan w:val="3"/>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31 March </w:t>
            </w:r>
          </w:p>
        </w:tc>
        <w:tc>
          <w:tcPr>
            <w:tcW w:w="1456"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1905E5">
              <w:rPr>
                <w:rFonts w:ascii="Verdana" w:eastAsia="Verdana" w:hAnsi="Verdana" w:cs="Verdana"/>
                <w:b/>
                <w:color w:val="000000"/>
                <w:sz w:val="16"/>
                <w:lang w:val="en-GB"/>
              </w:rPr>
              <w:t>45,00</w:t>
            </w:r>
            <w:r w:rsidR="00495838">
              <w:rPr>
                <w:rFonts w:ascii="Verdana" w:eastAsia="Verdana" w:hAnsi="Verdana" w:cs="Verdana"/>
                <w:b/>
                <w:color w:val="000000"/>
                <w:sz w:val="16"/>
                <w:lang w:val="en-GB"/>
              </w:rPr>
              <w:t>5</w:t>
            </w:r>
            <w:r>
              <w:rPr>
                <w:rFonts w:ascii="Verdana" w:eastAsia="Verdana" w:hAnsi="Verdana" w:cs="Verdana"/>
                <w:b/>
                <w:color w:val="000000"/>
                <w:sz w:val="16"/>
                <w:lang w:val="en-GB"/>
              </w:rPr>
              <w:t>)</w:t>
            </w:r>
          </w:p>
        </w:tc>
      </w:tr>
    </w:tbl>
    <w:p w:rsidR="00CA6653" w:rsidRDefault="00CA6653">
      <w:pPr>
        <w:pStyle w:val="T1TableStyle"/>
        <w:rPr>
          <w:rFonts w:ascii="Verdana" w:eastAsia="Verdana" w:hAnsi="Verdana" w:cs="Verdana"/>
          <w:sz w:val="22"/>
          <w:lang w:val="en-GB"/>
        </w:rPr>
      </w:pPr>
    </w:p>
    <w:p w:rsidR="00CA4917" w:rsidRDefault="00CA4917" w:rsidP="00CA4917">
      <w:pPr>
        <w:pStyle w:val="T1TableStyle"/>
        <w:jc w:val="both"/>
        <w:rPr>
          <w:rFonts w:ascii="Verdana" w:eastAsia="Verdana" w:hAnsi="Verdana" w:cs="Verdana"/>
          <w:sz w:val="22"/>
          <w:lang w:val="en-GB"/>
        </w:rPr>
      </w:pPr>
      <w:r>
        <w:rPr>
          <w:rFonts w:ascii="Verdana" w:eastAsia="Verdana" w:hAnsi="Verdana" w:cs="Verdana"/>
          <w:sz w:val="22"/>
          <w:lang w:val="en-GB"/>
        </w:rPr>
        <w:t>The Revaluation Reserve contains the gains made by the Police and Crime Commissioner arising from increases in the value of its Property, Plant and Equipment and Intangible Assets.  The balance is reduced when assets with accumulated gains are:</w:t>
      </w:r>
    </w:p>
    <w:p w:rsidR="00CA4917" w:rsidRDefault="00CA4917" w:rsidP="00CA4917">
      <w:pPr>
        <w:pStyle w:val="T1TableStyle"/>
        <w:numPr>
          <w:ilvl w:val="0"/>
          <w:numId w:val="30"/>
        </w:numPr>
        <w:jc w:val="both"/>
        <w:rPr>
          <w:rFonts w:ascii="Verdana" w:eastAsia="Verdana" w:hAnsi="Verdana" w:cs="Verdana"/>
          <w:sz w:val="22"/>
          <w:lang w:val="en-GB"/>
        </w:rPr>
      </w:pPr>
      <w:r>
        <w:rPr>
          <w:rFonts w:ascii="Verdana" w:eastAsia="Verdana" w:hAnsi="Verdana" w:cs="Verdana"/>
          <w:sz w:val="22"/>
          <w:lang w:val="en-GB"/>
        </w:rPr>
        <w:t>re-valued downwards or impaired and the gains are lost</w:t>
      </w:r>
    </w:p>
    <w:p w:rsidR="00CA4917" w:rsidRDefault="00CA4917" w:rsidP="00CA4917">
      <w:pPr>
        <w:pStyle w:val="T1TableStyle"/>
        <w:numPr>
          <w:ilvl w:val="0"/>
          <w:numId w:val="30"/>
        </w:numPr>
        <w:jc w:val="both"/>
        <w:rPr>
          <w:rFonts w:ascii="Verdana" w:eastAsia="Verdana" w:hAnsi="Verdana" w:cs="Verdana"/>
          <w:sz w:val="22"/>
          <w:lang w:val="en-GB"/>
        </w:rPr>
      </w:pPr>
      <w:r>
        <w:rPr>
          <w:rFonts w:ascii="Verdana" w:eastAsia="Verdana" w:hAnsi="Verdana" w:cs="Verdana"/>
          <w:sz w:val="22"/>
          <w:lang w:val="en-GB"/>
        </w:rPr>
        <w:t>used in the provision of services and the gains are consumed through depreciation, or</w:t>
      </w:r>
    </w:p>
    <w:p w:rsidR="00CA4917" w:rsidRDefault="00CA4917" w:rsidP="00CA4917">
      <w:pPr>
        <w:pStyle w:val="T1TableStyle"/>
        <w:numPr>
          <w:ilvl w:val="0"/>
          <w:numId w:val="30"/>
        </w:numPr>
        <w:jc w:val="both"/>
        <w:rPr>
          <w:rFonts w:ascii="Verdana" w:eastAsia="Verdana" w:hAnsi="Verdana" w:cs="Verdana"/>
          <w:sz w:val="22"/>
          <w:lang w:val="en-GB"/>
        </w:rPr>
      </w:pPr>
      <w:r>
        <w:rPr>
          <w:rFonts w:ascii="Verdana" w:eastAsia="Verdana" w:hAnsi="Verdana" w:cs="Verdana"/>
          <w:sz w:val="22"/>
          <w:lang w:val="en-GB"/>
        </w:rPr>
        <w:t>disposed of and the gains are realised.</w:t>
      </w:r>
    </w:p>
    <w:p w:rsidR="00CA4917" w:rsidRDefault="00CA4917" w:rsidP="00CA4917">
      <w:pPr>
        <w:pStyle w:val="T1TableStyle"/>
        <w:jc w:val="both"/>
        <w:rPr>
          <w:rFonts w:ascii="Verdana" w:eastAsia="Verdana" w:hAnsi="Verdana" w:cs="Verdana"/>
          <w:sz w:val="22"/>
          <w:lang w:val="en-GB"/>
        </w:rPr>
      </w:pPr>
    </w:p>
    <w:p w:rsidR="00CA4917" w:rsidRDefault="00CA4917" w:rsidP="00CA4917">
      <w:pPr>
        <w:pStyle w:val="Normal0"/>
        <w:spacing w:after="160"/>
        <w:jc w:val="both"/>
        <w:rPr>
          <w:rFonts w:ascii="Verdana" w:eastAsia="Verdana" w:hAnsi="Verdana" w:cs="Verdana"/>
          <w:sz w:val="22"/>
          <w:szCs w:val="22"/>
          <w:lang w:val="en-GB"/>
        </w:rPr>
      </w:pPr>
      <w:r>
        <w:rPr>
          <w:rFonts w:ascii="Verdana" w:eastAsia="Verdana" w:hAnsi="Verdana" w:cs="Verdana"/>
          <w:sz w:val="22"/>
          <w:lang w:val="en-GB"/>
        </w:rPr>
        <w:t>The Revaluation Reserve contains only revaluation gains accumulated since 1 April 2007, the date that the reserve was created.  Accumulated gains arising before that date are consolidated into the balance on the Capital Adjustment Account</w:t>
      </w:r>
    </w:p>
    <w:p w:rsidR="00F32EC6" w:rsidRDefault="00CA4917" w:rsidP="00CA4917">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This reserve records the accumulated gains on non-current assets held by the Group and equity loans to police officers to assist in the purchase of their properties.</w:t>
      </w:r>
    </w:p>
    <w:p w:rsidR="00495838" w:rsidRDefault="00495838">
      <w:r>
        <w:br w:type="page"/>
      </w:r>
    </w:p>
    <w:tbl>
      <w:tblPr>
        <w:tblW w:w="0" w:type="auto"/>
        <w:tblLayout w:type="fixed"/>
        <w:tblLook w:val="04A0" w:firstRow="1" w:lastRow="0" w:firstColumn="1" w:lastColumn="0" w:noHBand="0" w:noVBand="1"/>
      </w:tblPr>
      <w:tblGrid>
        <w:gridCol w:w="2093"/>
        <w:gridCol w:w="282"/>
        <w:gridCol w:w="5058"/>
        <w:gridCol w:w="2095"/>
      </w:tblGrid>
      <w:tr w:rsidR="004D417B" w:rsidTr="00A200D5">
        <w:trPr>
          <w:trHeight w:val="154"/>
        </w:trPr>
        <w:tc>
          <w:tcPr>
            <w:tcW w:w="9528" w:type="dxa"/>
            <w:gridSpan w:val="4"/>
            <w:shd w:val="clear" w:color="auto" w:fill="auto"/>
            <w:tcMar>
              <w:top w:w="20" w:type="dxa"/>
              <w:left w:w="20" w:type="dxa"/>
              <w:bottom w:w="20" w:type="dxa"/>
              <w:right w:w="20" w:type="dxa"/>
            </w:tcMar>
            <w:vAlign w:val="bottom"/>
          </w:tcPr>
          <w:p w:rsidR="00495838" w:rsidRDefault="00495838">
            <w:pPr>
              <w:pStyle w:val="T1TableStyle"/>
              <w:rPr>
                <w:rFonts w:ascii="Verdana" w:eastAsia="Verdana" w:hAnsi="Verdana" w:cs="Verdana"/>
                <w:b/>
                <w:color w:val="000000"/>
                <w:lang w:val="en-GB"/>
              </w:rPr>
            </w:pPr>
          </w:p>
          <w:p w:rsidR="00CA6653" w:rsidRDefault="00CA6653">
            <w:pPr>
              <w:pStyle w:val="T1TableStyle"/>
              <w:rPr>
                <w:rFonts w:ascii="Verdana" w:eastAsia="Verdana" w:hAnsi="Verdana" w:cs="Verdana"/>
                <w:b/>
                <w:color w:val="000000"/>
                <w:lang w:val="en-GB"/>
              </w:rPr>
            </w:pPr>
            <w:r>
              <w:rPr>
                <w:rFonts w:ascii="Verdana" w:eastAsia="Verdana" w:hAnsi="Verdana" w:cs="Verdana"/>
                <w:b/>
                <w:color w:val="000000"/>
                <w:lang w:val="en-GB"/>
              </w:rPr>
              <w:t>Capital Adjustment Account</w:t>
            </w:r>
          </w:p>
        </w:tc>
      </w:tr>
      <w:tr w:rsidR="004D417B" w:rsidTr="00A200D5">
        <w:trPr>
          <w:trHeight w:hRule="exact" w:val="185"/>
        </w:trPr>
        <w:tc>
          <w:tcPr>
            <w:tcW w:w="2093"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82"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5058"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093"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r w:rsidR="00BE65D1">
              <w:rPr>
                <w:rFonts w:ascii="Verdana" w:eastAsia="Verdana" w:hAnsi="Verdana" w:cs="Verdana"/>
                <w:b/>
                <w:color w:val="000000"/>
                <w:sz w:val="2"/>
                <w:lang w:val="en-GB"/>
              </w:rPr>
              <w:t>9</w:t>
            </w:r>
          </w:p>
        </w:tc>
      </w:tr>
      <w:tr w:rsidR="004D417B" w:rsidTr="00A200D5">
        <w:trPr>
          <w:trHeight w:val="154"/>
        </w:trPr>
        <w:tc>
          <w:tcPr>
            <w:tcW w:w="2093"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282"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5058"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093"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A200D5">
        <w:trPr>
          <w:trHeight w:val="154"/>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282"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A200D5">
        <w:trPr>
          <w:trHeight w:val="154"/>
        </w:trPr>
        <w:tc>
          <w:tcPr>
            <w:tcW w:w="2093" w:type="dxa"/>
            <w:tcBorders>
              <w:top w:val="single" w:sz="2" w:space="0" w:color="000000"/>
            </w:tcBorders>
            <w:shd w:val="clear" w:color="auto" w:fill="auto"/>
            <w:tcMar>
              <w:top w:w="20" w:type="dxa"/>
              <w:left w:w="20" w:type="dxa"/>
              <w:bottom w:w="20" w:type="dxa"/>
              <w:right w:w="20" w:type="dxa"/>
            </w:tcMar>
          </w:tcPr>
          <w:p w:rsidR="00CA6653" w:rsidRDefault="00CA6653" w:rsidP="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(62,48</w:t>
            </w:r>
            <w:r w:rsidR="00F234DF">
              <w:rPr>
                <w:rFonts w:ascii="Verdana" w:eastAsia="Verdana" w:hAnsi="Verdana" w:cs="Verdana"/>
                <w:color w:val="000000"/>
                <w:sz w:val="16"/>
                <w:lang w:val="en-GB"/>
              </w:rPr>
              <w:t>6</w:t>
            </w:r>
            <w:r>
              <w:rPr>
                <w:rFonts w:ascii="Verdana" w:eastAsia="Verdana" w:hAnsi="Verdana" w:cs="Verdana"/>
                <w:color w:val="000000"/>
                <w:sz w:val="16"/>
                <w:lang w:val="en-GB"/>
              </w:rPr>
              <w:t>)</w:t>
            </w:r>
          </w:p>
        </w:tc>
        <w:tc>
          <w:tcPr>
            <w:tcW w:w="282"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1 April </w:t>
            </w:r>
          </w:p>
        </w:tc>
        <w:tc>
          <w:tcPr>
            <w:tcW w:w="2093" w:type="dxa"/>
            <w:tcBorders>
              <w:top w:val="single" w:sz="2" w:space="0" w:color="000000"/>
            </w:tcBorders>
            <w:shd w:val="clear" w:color="auto" w:fill="auto"/>
            <w:tcMar>
              <w:top w:w="20" w:type="dxa"/>
              <w:left w:w="20" w:type="dxa"/>
              <w:bottom w:w="20" w:type="dxa"/>
              <w:right w:w="20" w:type="dxa"/>
            </w:tcMar>
          </w:tcPr>
          <w:p w:rsidR="00CA6653" w:rsidRDefault="00CA6653" w:rsidP="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F234DF">
              <w:rPr>
                <w:rFonts w:ascii="Verdana" w:eastAsia="Verdana" w:hAnsi="Verdana" w:cs="Verdana"/>
                <w:color w:val="000000"/>
                <w:sz w:val="16"/>
                <w:lang w:val="en-GB"/>
              </w:rPr>
              <w:t>63,700</w:t>
            </w:r>
            <w:r>
              <w:rPr>
                <w:rFonts w:ascii="Verdana" w:eastAsia="Verdana" w:hAnsi="Verdana" w:cs="Verdana"/>
                <w:color w:val="000000"/>
                <w:sz w:val="16"/>
                <w:lang w:val="en-GB"/>
              </w:rPr>
              <w:t>)</w:t>
            </w:r>
          </w:p>
        </w:tc>
      </w:tr>
      <w:tr w:rsidR="004D417B" w:rsidTr="00A200D5">
        <w:trPr>
          <w:trHeight w:val="216"/>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7,554</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Charges for depreciation and impairment of non-current assets</w:t>
            </w:r>
          </w:p>
        </w:tc>
        <w:tc>
          <w:tcPr>
            <w:tcW w:w="2093" w:type="dxa"/>
            <w:shd w:val="clear" w:color="auto" w:fill="auto"/>
            <w:tcMar>
              <w:top w:w="20" w:type="dxa"/>
              <w:left w:w="20" w:type="dxa"/>
              <w:bottom w:w="20" w:type="dxa"/>
              <w:right w:w="20" w:type="dxa"/>
            </w:tcMar>
          </w:tcPr>
          <w:p w:rsidR="00CA6653" w:rsidRDefault="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7,33</w:t>
            </w:r>
            <w:r w:rsidR="00BE65D1">
              <w:rPr>
                <w:rFonts w:ascii="Verdana" w:eastAsia="Verdana" w:hAnsi="Verdana" w:cs="Verdana"/>
                <w:color w:val="000000"/>
                <w:sz w:val="16"/>
                <w:lang w:val="en-GB"/>
              </w:rPr>
              <w:t>9</w:t>
            </w:r>
          </w:p>
        </w:tc>
      </w:tr>
      <w:tr w:rsidR="004D417B" w:rsidTr="00A200D5">
        <w:trPr>
          <w:trHeight w:val="216"/>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(126)</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Revaluation losses on non-current assets</w:t>
            </w:r>
          </w:p>
        </w:tc>
        <w:tc>
          <w:tcPr>
            <w:tcW w:w="2093" w:type="dxa"/>
            <w:shd w:val="clear" w:color="auto" w:fill="auto"/>
            <w:tcMar>
              <w:top w:w="20" w:type="dxa"/>
              <w:left w:w="20" w:type="dxa"/>
              <w:bottom w:w="20" w:type="dxa"/>
              <w:right w:w="20" w:type="dxa"/>
            </w:tcMar>
          </w:tcPr>
          <w:p w:rsidR="00CA6653" w:rsidRDefault="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2,081</w:t>
            </w:r>
          </w:p>
        </w:tc>
      </w:tr>
      <w:tr w:rsidR="004D417B" w:rsidTr="00A200D5">
        <w:trPr>
          <w:trHeight w:val="154"/>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1,452</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Amortisation of intangible assets</w:t>
            </w:r>
          </w:p>
        </w:tc>
        <w:tc>
          <w:tcPr>
            <w:tcW w:w="2093" w:type="dxa"/>
            <w:shd w:val="clear" w:color="auto" w:fill="auto"/>
            <w:tcMar>
              <w:top w:w="20" w:type="dxa"/>
              <w:left w:w="20" w:type="dxa"/>
              <w:bottom w:w="20" w:type="dxa"/>
              <w:right w:w="20" w:type="dxa"/>
            </w:tcMar>
          </w:tcPr>
          <w:p w:rsidR="00CA6653" w:rsidRDefault="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1,776</w:t>
            </w:r>
          </w:p>
        </w:tc>
      </w:tr>
      <w:tr w:rsidR="004D417B" w:rsidTr="00A200D5">
        <w:trPr>
          <w:trHeight w:val="540"/>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1,264</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Amounts of non-current assets written off on disposal or sale as part of the gain/loss on disposal to the Comprehensive Income and Expenditure Statement</w:t>
            </w:r>
          </w:p>
        </w:tc>
        <w:tc>
          <w:tcPr>
            <w:tcW w:w="2093" w:type="dxa"/>
            <w:shd w:val="clear" w:color="auto" w:fill="auto"/>
            <w:tcMar>
              <w:top w:w="20" w:type="dxa"/>
              <w:left w:w="20" w:type="dxa"/>
              <w:bottom w:w="20" w:type="dxa"/>
              <w:right w:w="20" w:type="dxa"/>
            </w:tcMar>
          </w:tcPr>
          <w:p w:rsidR="00CA6653" w:rsidRDefault="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164</w:t>
            </w:r>
          </w:p>
        </w:tc>
      </w:tr>
      <w:tr w:rsidR="004D417B" w:rsidTr="00A200D5">
        <w:trPr>
          <w:trHeight w:val="463"/>
        </w:trPr>
        <w:tc>
          <w:tcPr>
            <w:tcW w:w="2093"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10,144</w:t>
            </w:r>
          </w:p>
        </w:tc>
        <w:tc>
          <w:tcPr>
            <w:tcW w:w="282"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Reversal of Items relating to capital expenditure debited or credited to the Comprehensive Income and Expenditure Statement</w:t>
            </w:r>
          </w:p>
        </w:tc>
        <w:tc>
          <w:tcPr>
            <w:tcW w:w="2093" w:type="dxa"/>
            <w:tcBorders>
              <w:top w:val="single" w:sz="2" w:space="0" w:color="000000"/>
            </w:tcBorders>
            <w:shd w:val="clear" w:color="auto" w:fill="auto"/>
            <w:tcMar>
              <w:top w:w="20" w:type="dxa"/>
              <w:left w:w="20" w:type="dxa"/>
              <w:bottom w:w="20" w:type="dxa"/>
              <w:right w:w="20" w:type="dxa"/>
            </w:tcMar>
          </w:tcPr>
          <w:p w:rsidR="00CA6653" w:rsidRDefault="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11,3</w:t>
            </w:r>
            <w:r w:rsidR="00BE65D1">
              <w:rPr>
                <w:rFonts w:ascii="Verdana" w:eastAsia="Verdana" w:hAnsi="Verdana" w:cs="Verdana"/>
                <w:color w:val="000000"/>
                <w:sz w:val="16"/>
                <w:lang w:val="en-GB"/>
              </w:rPr>
              <w:t>60</w:t>
            </w:r>
          </w:p>
        </w:tc>
      </w:tr>
      <w:tr w:rsidR="004D417B" w:rsidTr="00A200D5">
        <w:trPr>
          <w:trHeight w:val="239"/>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(1,845)</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Adjusting Amounts written out of the Revaluation Reserve</w:t>
            </w:r>
          </w:p>
        </w:tc>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(1,216)</w:t>
            </w:r>
          </w:p>
        </w:tc>
      </w:tr>
      <w:tr w:rsidR="004D417B" w:rsidTr="00A200D5">
        <w:trPr>
          <w:trHeight w:val="324"/>
        </w:trPr>
        <w:tc>
          <w:tcPr>
            <w:tcW w:w="2093"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8,299</w:t>
            </w:r>
          </w:p>
        </w:tc>
        <w:tc>
          <w:tcPr>
            <w:tcW w:w="282"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Net written out amount of the cost of non-current assets consumed in the year</w:t>
            </w:r>
          </w:p>
        </w:tc>
        <w:tc>
          <w:tcPr>
            <w:tcW w:w="2093" w:type="dxa"/>
            <w:tcBorders>
              <w:top w:val="single" w:sz="2" w:space="0" w:color="000000"/>
            </w:tcBorders>
            <w:shd w:val="clear" w:color="auto" w:fill="auto"/>
            <w:tcMar>
              <w:top w:w="20" w:type="dxa"/>
              <w:left w:w="20" w:type="dxa"/>
              <w:bottom w:w="20" w:type="dxa"/>
              <w:right w:w="20" w:type="dxa"/>
            </w:tcMar>
          </w:tcPr>
          <w:p w:rsidR="00CA6653" w:rsidRDefault="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10,1</w:t>
            </w:r>
            <w:r w:rsidR="00BE65D1">
              <w:rPr>
                <w:rFonts w:ascii="Verdana" w:eastAsia="Verdana" w:hAnsi="Verdana" w:cs="Verdana"/>
                <w:color w:val="000000"/>
                <w:sz w:val="16"/>
                <w:lang w:val="en-GB"/>
              </w:rPr>
              <w:t>44</w:t>
            </w:r>
          </w:p>
        </w:tc>
      </w:tr>
      <w:tr w:rsidR="004D417B" w:rsidTr="00A200D5">
        <w:trPr>
          <w:trHeight w:hRule="exact" w:val="162"/>
        </w:trPr>
        <w:tc>
          <w:tcPr>
            <w:tcW w:w="2093"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2093"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r>
      <w:tr w:rsidR="004D417B" w:rsidTr="00A200D5">
        <w:trPr>
          <w:trHeight w:val="239"/>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(5,832)</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Use of Capital Receipts Reserve to finance new capital expenditure</w:t>
            </w:r>
          </w:p>
        </w:tc>
        <w:tc>
          <w:tcPr>
            <w:tcW w:w="2093" w:type="dxa"/>
            <w:shd w:val="clear" w:color="auto" w:fill="auto"/>
            <w:tcMar>
              <w:top w:w="20" w:type="dxa"/>
              <w:left w:w="20" w:type="dxa"/>
              <w:bottom w:w="20" w:type="dxa"/>
              <w:right w:w="20" w:type="dxa"/>
            </w:tcMar>
          </w:tcPr>
          <w:p w:rsidR="00CA6653" w:rsidRDefault="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(4,266)</w:t>
            </w:r>
          </w:p>
        </w:tc>
      </w:tr>
      <w:tr w:rsidR="004D417B" w:rsidTr="00A200D5">
        <w:trPr>
          <w:trHeight w:val="540"/>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(801)</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Capital Grants and Contributions credited to the Comprehensive Income and Expenditure Statement that have been applied to capital financing</w:t>
            </w:r>
          </w:p>
        </w:tc>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w:t>
            </w:r>
            <w:r w:rsidR="005E3D39">
              <w:rPr>
                <w:rFonts w:ascii="Verdana" w:eastAsia="Verdana" w:hAnsi="Verdana" w:cs="Verdana"/>
                <w:color w:val="000000"/>
                <w:sz w:val="16"/>
                <w:lang w:val="en-GB"/>
              </w:rPr>
              <w:t>45</w:t>
            </w:r>
            <w:r>
              <w:rPr>
                <w:rFonts w:ascii="Verdana" w:eastAsia="Verdana" w:hAnsi="Verdana" w:cs="Verdana"/>
                <w:color w:val="000000"/>
                <w:sz w:val="16"/>
                <w:lang w:val="en-GB"/>
              </w:rPr>
              <w:t>)</w:t>
            </w:r>
          </w:p>
        </w:tc>
      </w:tr>
      <w:tr w:rsidR="004D417B" w:rsidTr="00A200D5">
        <w:trPr>
          <w:trHeight w:val="432"/>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(415)</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Statutory provision for the financing of capital investment charged against the General Fund and HRA balances</w:t>
            </w:r>
          </w:p>
        </w:tc>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BE65D1">
              <w:rPr>
                <w:rFonts w:ascii="Verdana" w:eastAsia="Verdana" w:hAnsi="Verdana" w:cs="Verdana"/>
                <w:color w:val="000000"/>
                <w:sz w:val="16"/>
                <w:lang w:val="en-GB"/>
              </w:rPr>
              <w:t>1</w:t>
            </w:r>
            <w:r w:rsidR="000D0ED6">
              <w:rPr>
                <w:rFonts w:ascii="Verdana" w:eastAsia="Verdana" w:hAnsi="Verdana" w:cs="Verdana"/>
                <w:color w:val="000000"/>
                <w:sz w:val="16"/>
                <w:lang w:val="en-GB"/>
              </w:rPr>
              <w:t>,</w:t>
            </w:r>
            <w:r w:rsidR="00BE65D1">
              <w:rPr>
                <w:rFonts w:ascii="Verdana" w:eastAsia="Verdana" w:hAnsi="Verdana" w:cs="Verdana"/>
                <w:color w:val="000000"/>
                <w:sz w:val="16"/>
                <w:lang w:val="en-GB"/>
              </w:rPr>
              <w:t>36</w:t>
            </w:r>
            <w:r w:rsidR="00AB39E1">
              <w:rPr>
                <w:rFonts w:ascii="Verdana" w:eastAsia="Verdana" w:hAnsi="Verdana" w:cs="Verdana"/>
                <w:color w:val="000000"/>
                <w:sz w:val="16"/>
                <w:lang w:val="en-GB"/>
              </w:rPr>
              <w:t>6</w:t>
            </w:r>
            <w:r>
              <w:rPr>
                <w:rFonts w:ascii="Verdana" w:eastAsia="Verdana" w:hAnsi="Verdana" w:cs="Verdana"/>
                <w:color w:val="000000"/>
                <w:sz w:val="16"/>
                <w:lang w:val="en-GB"/>
              </w:rPr>
              <w:t>)</w:t>
            </w:r>
          </w:p>
        </w:tc>
      </w:tr>
      <w:tr w:rsidR="004D417B" w:rsidTr="00A200D5">
        <w:trPr>
          <w:trHeight w:val="247"/>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(2,487)</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Capital expenditure charged against the General Fund and HRA balances</w:t>
            </w:r>
          </w:p>
        </w:tc>
        <w:tc>
          <w:tcPr>
            <w:tcW w:w="2093" w:type="dxa"/>
            <w:shd w:val="clear" w:color="auto" w:fill="auto"/>
            <w:tcMar>
              <w:top w:w="20" w:type="dxa"/>
              <w:left w:w="20" w:type="dxa"/>
              <w:bottom w:w="20" w:type="dxa"/>
              <w:right w:w="20" w:type="dxa"/>
            </w:tcMar>
          </w:tcPr>
          <w:p w:rsidR="00CA6653" w:rsidRDefault="00F234DF">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w:t>
            </w:r>
            <w:r w:rsidR="005E3D39">
              <w:rPr>
                <w:rFonts w:ascii="Verdana" w:eastAsia="Verdana" w:hAnsi="Verdana" w:cs="Verdana"/>
                <w:color w:val="000000"/>
                <w:sz w:val="16"/>
                <w:lang w:val="en-GB"/>
              </w:rPr>
              <w:t>496</w:t>
            </w:r>
            <w:r w:rsidR="00CA6653">
              <w:rPr>
                <w:rFonts w:ascii="Verdana" w:eastAsia="Verdana" w:hAnsi="Verdana" w:cs="Verdana"/>
                <w:color w:val="000000"/>
                <w:sz w:val="16"/>
                <w:lang w:val="en-GB"/>
              </w:rPr>
              <w:t>)</w:t>
            </w:r>
          </w:p>
        </w:tc>
      </w:tr>
      <w:tr w:rsidR="004D417B" w:rsidTr="00A200D5">
        <w:trPr>
          <w:trHeight w:val="216"/>
        </w:trPr>
        <w:tc>
          <w:tcPr>
            <w:tcW w:w="2093"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(9,535)</w:t>
            </w:r>
          </w:p>
        </w:tc>
        <w:tc>
          <w:tcPr>
            <w:tcW w:w="282"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Capital financing applied in year:</w:t>
            </w:r>
          </w:p>
        </w:tc>
        <w:tc>
          <w:tcPr>
            <w:tcW w:w="2093" w:type="dxa"/>
            <w:tcBorders>
              <w:top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F234DF">
              <w:rPr>
                <w:rFonts w:ascii="Verdana" w:eastAsia="Verdana" w:hAnsi="Verdana" w:cs="Verdana"/>
                <w:color w:val="000000"/>
                <w:sz w:val="16"/>
                <w:lang w:val="en-GB"/>
              </w:rPr>
              <w:t>10,</w:t>
            </w:r>
            <w:r w:rsidR="00BE65D1">
              <w:rPr>
                <w:rFonts w:ascii="Verdana" w:eastAsia="Verdana" w:hAnsi="Verdana" w:cs="Verdana"/>
                <w:color w:val="000000"/>
                <w:sz w:val="16"/>
                <w:lang w:val="en-GB"/>
              </w:rPr>
              <w:t>77</w:t>
            </w:r>
            <w:r w:rsidR="005E3D39">
              <w:rPr>
                <w:rFonts w:ascii="Verdana" w:eastAsia="Verdana" w:hAnsi="Verdana" w:cs="Verdana"/>
                <w:color w:val="000000"/>
                <w:sz w:val="16"/>
                <w:lang w:val="en-GB"/>
              </w:rPr>
              <w:t>3</w:t>
            </w:r>
            <w:r>
              <w:rPr>
                <w:rFonts w:ascii="Verdana" w:eastAsia="Verdana" w:hAnsi="Verdana" w:cs="Verdana"/>
                <w:color w:val="000000"/>
                <w:sz w:val="16"/>
                <w:lang w:val="en-GB"/>
              </w:rPr>
              <w:t>)</w:t>
            </w:r>
          </w:p>
        </w:tc>
      </w:tr>
      <w:tr w:rsidR="004D417B" w:rsidTr="00A200D5">
        <w:trPr>
          <w:trHeight w:val="154"/>
        </w:trPr>
        <w:tc>
          <w:tcPr>
            <w:tcW w:w="2093"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22</w:t>
            </w:r>
          </w:p>
        </w:tc>
        <w:tc>
          <w:tcPr>
            <w:tcW w:w="282"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505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Other movements</w:t>
            </w:r>
          </w:p>
        </w:tc>
        <w:tc>
          <w:tcPr>
            <w:tcW w:w="2093" w:type="dxa"/>
            <w:shd w:val="clear" w:color="auto" w:fill="auto"/>
            <w:tcMar>
              <w:top w:w="20" w:type="dxa"/>
              <w:left w:w="20" w:type="dxa"/>
              <w:bottom w:w="20" w:type="dxa"/>
              <w:right w:w="20" w:type="dxa"/>
            </w:tcMar>
          </w:tcPr>
          <w:p w:rsidR="00CA6653" w:rsidRDefault="00BE65D1">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16</w:t>
            </w:r>
            <w:r w:rsidR="0017093A">
              <w:rPr>
                <w:rFonts w:ascii="Verdana" w:eastAsia="Verdana" w:hAnsi="Verdana" w:cs="Verdana"/>
                <w:color w:val="000000"/>
                <w:sz w:val="16"/>
                <w:lang w:val="en-GB"/>
              </w:rPr>
              <w:t>5</w:t>
            </w:r>
          </w:p>
        </w:tc>
      </w:tr>
      <w:tr w:rsidR="004D417B" w:rsidTr="00A200D5">
        <w:trPr>
          <w:trHeight w:val="162"/>
        </w:trPr>
        <w:tc>
          <w:tcPr>
            <w:tcW w:w="2093"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rsidP="00F234DF">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(63,70</w:t>
            </w:r>
            <w:r w:rsidR="00F234DF">
              <w:rPr>
                <w:rFonts w:ascii="Verdana" w:eastAsia="Verdana" w:hAnsi="Verdana" w:cs="Verdana"/>
                <w:b/>
                <w:color w:val="000000"/>
                <w:sz w:val="16"/>
                <w:lang w:val="en-GB"/>
              </w:rPr>
              <w:t>0</w:t>
            </w:r>
            <w:r>
              <w:rPr>
                <w:rFonts w:ascii="Verdana" w:eastAsia="Verdana" w:hAnsi="Verdana" w:cs="Verdana"/>
                <w:b/>
                <w:color w:val="000000"/>
                <w:sz w:val="16"/>
                <w:lang w:val="en-GB"/>
              </w:rPr>
              <w:t>)</w:t>
            </w:r>
          </w:p>
        </w:tc>
        <w:tc>
          <w:tcPr>
            <w:tcW w:w="282"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5058"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31 March </w:t>
            </w:r>
          </w:p>
        </w:tc>
        <w:tc>
          <w:tcPr>
            <w:tcW w:w="2093"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F234DF">
              <w:rPr>
                <w:rFonts w:ascii="Verdana" w:eastAsia="Verdana" w:hAnsi="Verdana" w:cs="Verdana"/>
                <w:b/>
                <w:color w:val="000000"/>
                <w:sz w:val="16"/>
                <w:lang w:val="en-GB"/>
              </w:rPr>
              <w:t>64,</w:t>
            </w:r>
            <w:r w:rsidR="00851B3C">
              <w:rPr>
                <w:rFonts w:ascii="Verdana" w:eastAsia="Verdana" w:hAnsi="Verdana" w:cs="Verdana"/>
                <w:b/>
                <w:color w:val="000000"/>
                <w:sz w:val="16"/>
                <w:lang w:val="en-GB"/>
              </w:rPr>
              <w:t>16</w:t>
            </w:r>
            <w:r w:rsidR="008C6E2B">
              <w:rPr>
                <w:rFonts w:ascii="Verdana" w:eastAsia="Verdana" w:hAnsi="Verdana" w:cs="Verdana"/>
                <w:b/>
                <w:color w:val="000000"/>
                <w:sz w:val="16"/>
                <w:lang w:val="en-GB"/>
              </w:rPr>
              <w:t>4</w:t>
            </w:r>
            <w:r>
              <w:rPr>
                <w:rFonts w:ascii="Verdana" w:eastAsia="Verdana" w:hAnsi="Verdana" w:cs="Verdana"/>
                <w:b/>
                <w:color w:val="000000"/>
                <w:sz w:val="16"/>
                <w:lang w:val="en-GB"/>
              </w:rPr>
              <w:t>)</w:t>
            </w:r>
          </w:p>
        </w:tc>
      </w:tr>
    </w:tbl>
    <w:p w:rsidR="00CA6653" w:rsidRDefault="00CA6653">
      <w:pPr>
        <w:pStyle w:val="T1TableStyle"/>
        <w:rPr>
          <w:rFonts w:ascii="Verdana" w:eastAsia="Verdana" w:hAnsi="Verdana" w:cs="Verdana"/>
          <w:sz w:val="22"/>
          <w:lang w:val="en-GB"/>
        </w:rPr>
      </w:pPr>
    </w:p>
    <w:p w:rsidR="00CA6653" w:rsidRDefault="00CA6653" w:rsidP="00CA4917">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account accumulates the write down of the historical cost of non-current assets as they are consumed by depreciation and impairments, or written off on disposal. The written down historical cost is offset by the resources that have been set aside to finance capital expenditure. The account balance will reflect the timing difference between the cost of non-current assets consumed and the capital financing set aside to pay for them.</w:t>
      </w:r>
    </w:p>
    <w:tbl>
      <w:tblPr>
        <w:tblW w:w="9448" w:type="dxa"/>
        <w:tblLook w:val="04A0" w:firstRow="1" w:lastRow="0" w:firstColumn="1" w:lastColumn="0" w:noHBand="0" w:noVBand="1"/>
      </w:tblPr>
      <w:tblGrid>
        <w:gridCol w:w="1802"/>
        <w:gridCol w:w="4708"/>
        <w:gridCol w:w="1457"/>
        <w:gridCol w:w="1481"/>
      </w:tblGrid>
      <w:tr w:rsidR="00FA4173" w:rsidRPr="00FA4173" w:rsidTr="00A200D5">
        <w:trPr>
          <w:trHeight w:val="323"/>
        </w:trPr>
        <w:tc>
          <w:tcPr>
            <w:tcW w:w="1802" w:type="dxa"/>
            <w:tcBorders>
              <w:top w:val="nil"/>
              <w:left w:val="nil"/>
              <w:bottom w:val="nil"/>
              <w:right w:val="nil"/>
            </w:tcBorders>
            <w:shd w:val="clear" w:color="000000" w:fill="FFFFFF"/>
            <w:vAlign w:val="center"/>
            <w:hideMark/>
          </w:tcPr>
          <w:p w:rsidR="00FA4173" w:rsidRPr="00FA4173" w:rsidRDefault="00FA4173" w:rsidP="00FA4173">
            <w:pPr>
              <w:jc w:val="center"/>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31-Mar-19</w:t>
            </w:r>
          </w:p>
        </w:tc>
        <w:tc>
          <w:tcPr>
            <w:tcW w:w="4708" w:type="dxa"/>
            <w:tcBorders>
              <w:top w:val="nil"/>
              <w:left w:val="nil"/>
              <w:bottom w:val="nil"/>
              <w:right w:val="nil"/>
            </w:tcBorders>
            <w:shd w:val="clear" w:color="000000" w:fill="FFFFFF"/>
            <w:vAlign w:val="center"/>
            <w:hideMark/>
          </w:tcPr>
          <w:p w:rsidR="00FA4173" w:rsidRPr="00FA4173" w:rsidRDefault="00FA4173" w:rsidP="00FA4173">
            <w:pPr>
              <w:ind w:firstLineChars="100" w:firstLine="20"/>
              <w:rPr>
                <w:rFonts w:eastAsia="Times New Roman" w:cs="Times New Roman"/>
                <w:b/>
                <w:bCs/>
                <w:color w:val="000000"/>
                <w:sz w:val="2"/>
                <w:szCs w:val="2"/>
                <w:lang w:val="en-GB" w:eastAsia="en-GB"/>
              </w:rPr>
            </w:pPr>
            <w:r w:rsidRPr="00FA4173">
              <w:rPr>
                <w:rFonts w:eastAsia="Times New Roman" w:cs="Times New Roman"/>
                <w:b/>
                <w:bCs/>
                <w:color w:val="000000"/>
                <w:sz w:val="2"/>
                <w:szCs w:val="2"/>
                <w:lang w:val="en-GB" w:eastAsia="en-GB"/>
              </w:rPr>
              <w:t xml:space="preserve"> </w:t>
            </w:r>
          </w:p>
        </w:tc>
        <w:tc>
          <w:tcPr>
            <w:tcW w:w="2938" w:type="dxa"/>
            <w:gridSpan w:val="2"/>
            <w:tcBorders>
              <w:top w:val="nil"/>
              <w:left w:val="nil"/>
              <w:bottom w:val="nil"/>
              <w:right w:val="nil"/>
            </w:tcBorders>
            <w:shd w:val="clear" w:color="000000" w:fill="FFFFFF"/>
            <w:vAlign w:val="center"/>
            <w:hideMark/>
          </w:tcPr>
          <w:p w:rsidR="00FA4173" w:rsidRPr="00FA4173" w:rsidRDefault="00FA4173" w:rsidP="00FA4173">
            <w:pPr>
              <w:jc w:val="center"/>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31-Mar-20</w:t>
            </w:r>
          </w:p>
        </w:tc>
      </w:tr>
      <w:tr w:rsidR="00FA4173" w:rsidRPr="00FA4173" w:rsidTr="00A200D5">
        <w:trPr>
          <w:trHeight w:val="323"/>
        </w:trPr>
        <w:tc>
          <w:tcPr>
            <w:tcW w:w="1802" w:type="dxa"/>
            <w:tcBorders>
              <w:top w:val="nil"/>
              <w:left w:val="nil"/>
              <w:bottom w:val="nil"/>
              <w:right w:val="nil"/>
            </w:tcBorders>
            <w:shd w:val="clear" w:color="000000" w:fill="FFFFFF"/>
            <w:vAlign w:val="center"/>
            <w:hideMark/>
          </w:tcPr>
          <w:p w:rsidR="00FA4173" w:rsidRPr="00FA4173" w:rsidRDefault="00FA4173" w:rsidP="00FA4173">
            <w:pPr>
              <w:jc w:val="center"/>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Group</w:t>
            </w:r>
          </w:p>
        </w:tc>
        <w:tc>
          <w:tcPr>
            <w:tcW w:w="4708" w:type="dxa"/>
            <w:tcBorders>
              <w:top w:val="nil"/>
              <w:left w:val="nil"/>
              <w:bottom w:val="nil"/>
              <w:right w:val="nil"/>
            </w:tcBorders>
            <w:shd w:val="clear" w:color="000000" w:fill="FFFFFF"/>
            <w:vAlign w:val="center"/>
            <w:hideMark/>
          </w:tcPr>
          <w:p w:rsidR="00FA4173" w:rsidRPr="00FA4173" w:rsidRDefault="00FA4173" w:rsidP="00FA4173">
            <w:pPr>
              <w:ind w:firstLineChars="100" w:firstLine="20"/>
              <w:rPr>
                <w:rFonts w:eastAsia="Times New Roman" w:cs="Times New Roman"/>
                <w:b/>
                <w:bCs/>
                <w:color w:val="000000"/>
                <w:sz w:val="2"/>
                <w:szCs w:val="2"/>
                <w:lang w:val="en-GB" w:eastAsia="en-GB"/>
              </w:rPr>
            </w:pPr>
            <w:r w:rsidRPr="00FA4173">
              <w:rPr>
                <w:rFonts w:eastAsia="Times New Roman" w:cs="Times New Roman"/>
                <w:b/>
                <w:bCs/>
                <w:color w:val="000000"/>
                <w:sz w:val="2"/>
                <w:szCs w:val="2"/>
                <w:lang w:val="en-GB" w:eastAsia="en-GB"/>
              </w:rPr>
              <w:t> </w:t>
            </w:r>
          </w:p>
        </w:tc>
        <w:tc>
          <w:tcPr>
            <w:tcW w:w="1457" w:type="dxa"/>
            <w:tcBorders>
              <w:top w:val="nil"/>
              <w:left w:val="nil"/>
              <w:bottom w:val="nil"/>
              <w:right w:val="nil"/>
            </w:tcBorders>
            <w:shd w:val="clear" w:color="000000" w:fill="FFFFFF"/>
            <w:vAlign w:val="center"/>
            <w:hideMark/>
          </w:tcPr>
          <w:p w:rsidR="00FA4173" w:rsidRPr="00FA4173" w:rsidRDefault="00FA4173" w:rsidP="00FA4173">
            <w:pPr>
              <w:jc w:val="center"/>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PCC</w:t>
            </w:r>
          </w:p>
        </w:tc>
        <w:tc>
          <w:tcPr>
            <w:tcW w:w="1480" w:type="dxa"/>
            <w:tcBorders>
              <w:top w:val="nil"/>
              <w:left w:val="nil"/>
              <w:bottom w:val="nil"/>
              <w:right w:val="nil"/>
            </w:tcBorders>
            <w:shd w:val="clear" w:color="000000" w:fill="FFFFFF"/>
            <w:vAlign w:val="center"/>
            <w:hideMark/>
          </w:tcPr>
          <w:p w:rsidR="00FA4173" w:rsidRPr="00FA4173" w:rsidRDefault="00FA4173" w:rsidP="00FA4173">
            <w:pPr>
              <w:jc w:val="center"/>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Group</w:t>
            </w:r>
          </w:p>
        </w:tc>
      </w:tr>
      <w:tr w:rsidR="00FA4173" w:rsidRPr="00FA4173" w:rsidTr="00A200D5">
        <w:trPr>
          <w:trHeight w:val="339"/>
        </w:trPr>
        <w:tc>
          <w:tcPr>
            <w:tcW w:w="1802" w:type="dxa"/>
            <w:tcBorders>
              <w:top w:val="nil"/>
              <w:left w:val="nil"/>
              <w:bottom w:val="single" w:sz="8" w:space="0" w:color="000000"/>
              <w:right w:val="nil"/>
            </w:tcBorders>
            <w:shd w:val="clear" w:color="000000" w:fill="FFFFFF"/>
            <w:vAlign w:val="center"/>
            <w:hideMark/>
          </w:tcPr>
          <w:p w:rsidR="00FA4173" w:rsidRPr="00FA4173" w:rsidRDefault="00FA4173" w:rsidP="00FA4173">
            <w:pPr>
              <w:jc w:val="right"/>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£0</w:t>
            </w:r>
          </w:p>
        </w:tc>
        <w:tc>
          <w:tcPr>
            <w:tcW w:w="4708" w:type="dxa"/>
            <w:tcBorders>
              <w:top w:val="nil"/>
              <w:left w:val="nil"/>
              <w:bottom w:val="single" w:sz="8" w:space="0" w:color="000000"/>
              <w:right w:val="nil"/>
            </w:tcBorders>
            <w:shd w:val="clear" w:color="000000" w:fill="FFFFFF"/>
            <w:vAlign w:val="center"/>
            <w:hideMark/>
          </w:tcPr>
          <w:p w:rsidR="00FA4173" w:rsidRPr="00FA4173" w:rsidRDefault="00FA4173" w:rsidP="00FA4173">
            <w:pPr>
              <w:ind w:firstLineChars="100" w:firstLine="20"/>
              <w:rPr>
                <w:rFonts w:eastAsia="Times New Roman" w:cs="Times New Roman"/>
                <w:b/>
                <w:bCs/>
                <w:color w:val="000000"/>
                <w:sz w:val="2"/>
                <w:szCs w:val="2"/>
                <w:lang w:val="en-GB" w:eastAsia="en-GB"/>
              </w:rPr>
            </w:pPr>
            <w:r w:rsidRPr="00FA4173">
              <w:rPr>
                <w:rFonts w:eastAsia="Times New Roman" w:cs="Times New Roman"/>
                <w:b/>
                <w:bCs/>
                <w:color w:val="000000"/>
                <w:sz w:val="2"/>
                <w:szCs w:val="2"/>
                <w:lang w:val="en-GB" w:eastAsia="en-GB"/>
              </w:rPr>
              <w:t xml:space="preserve"> </w:t>
            </w:r>
          </w:p>
        </w:tc>
        <w:tc>
          <w:tcPr>
            <w:tcW w:w="1457" w:type="dxa"/>
            <w:tcBorders>
              <w:top w:val="nil"/>
              <w:left w:val="nil"/>
              <w:bottom w:val="single" w:sz="8" w:space="0" w:color="000000"/>
              <w:right w:val="nil"/>
            </w:tcBorders>
            <w:shd w:val="clear" w:color="000000" w:fill="FFFFFF"/>
            <w:vAlign w:val="center"/>
            <w:hideMark/>
          </w:tcPr>
          <w:p w:rsidR="00FA4173" w:rsidRPr="00FA4173" w:rsidRDefault="00FA4173" w:rsidP="00FA4173">
            <w:pPr>
              <w:jc w:val="right"/>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£0</w:t>
            </w:r>
          </w:p>
        </w:tc>
        <w:tc>
          <w:tcPr>
            <w:tcW w:w="1480" w:type="dxa"/>
            <w:tcBorders>
              <w:top w:val="nil"/>
              <w:left w:val="nil"/>
              <w:bottom w:val="single" w:sz="8" w:space="0" w:color="000000"/>
              <w:right w:val="nil"/>
            </w:tcBorders>
            <w:shd w:val="clear" w:color="000000" w:fill="FFFFFF"/>
            <w:vAlign w:val="center"/>
            <w:hideMark/>
          </w:tcPr>
          <w:p w:rsidR="00FA4173" w:rsidRPr="00FA4173" w:rsidRDefault="00FA4173" w:rsidP="00FA4173">
            <w:pPr>
              <w:jc w:val="right"/>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£0</w:t>
            </w:r>
          </w:p>
        </w:tc>
      </w:tr>
      <w:tr w:rsidR="00FA4173" w:rsidRPr="00FA4173" w:rsidTr="00A200D5">
        <w:trPr>
          <w:trHeight w:val="355"/>
        </w:trPr>
        <w:tc>
          <w:tcPr>
            <w:tcW w:w="1802"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1,928,225</w:t>
            </w:r>
          </w:p>
        </w:tc>
        <w:tc>
          <w:tcPr>
            <w:tcW w:w="4708" w:type="dxa"/>
            <w:tcBorders>
              <w:top w:val="nil"/>
              <w:left w:val="nil"/>
              <w:bottom w:val="nil"/>
              <w:right w:val="nil"/>
            </w:tcBorders>
            <w:shd w:val="clear" w:color="000000" w:fill="FFFFFF"/>
            <w:vAlign w:val="center"/>
            <w:hideMark/>
          </w:tcPr>
          <w:p w:rsidR="00FA4173" w:rsidRPr="00FA4173" w:rsidRDefault="00FA4173" w:rsidP="00FA4173">
            <w:pPr>
              <w:ind w:firstLineChars="100" w:firstLine="160"/>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 xml:space="preserve">Balance 1 April </w:t>
            </w:r>
          </w:p>
        </w:tc>
        <w:tc>
          <w:tcPr>
            <w:tcW w:w="1457"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0</w:t>
            </w:r>
          </w:p>
        </w:tc>
        <w:tc>
          <w:tcPr>
            <w:tcW w:w="1480"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2,156,930</w:t>
            </w:r>
          </w:p>
        </w:tc>
      </w:tr>
      <w:tr w:rsidR="00FA4173" w:rsidRPr="00FA4173" w:rsidTr="00A200D5">
        <w:trPr>
          <w:trHeight w:val="199"/>
        </w:trPr>
        <w:tc>
          <w:tcPr>
            <w:tcW w:w="1802"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0</w:t>
            </w:r>
          </w:p>
        </w:tc>
        <w:tc>
          <w:tcPr>
            <w:tcW w:w="4708" w:type="dxa"/>
            <w:tcBorders>
              <w:top w:val="nil"/>
              <w:left w:val="nil"/>
              <w:bottom w:val="nil"/>
              <w:right w:val="nil"/>
            </w:tcBorders>
            <w:shd w:val="clear" w:color="000000" w:fill="FFFFFF"/>
            <w:vAlign w:val="center"/>
            <w:hideMark/>
          </w:tcPr>
          <w:p w:rsidR="00FA4173" w:rsidRPr="00FA4173" w:rsidRDefault="00FA4173" w:rsidP="00FA4173">
            <w:pPr>
              <w:ind w:firstLineChars="100" w:firstLine="160"/>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Transfer from CC to PCC</w:t>
            </w:r>
          </w:p>
        </w:tc>
        <w:tc>
          <w:tcPr>
            <w:tcW w:w="1457"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1,414</w:t>
            </w:r>
          </w:p>
        </w:tc>
        <w:tc>
          <w:tcPr>
            <w:tcW w:w="1480"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 </w:t>
            </w:r>
          </w:p>
        </w:tc>
      </w:tr>
      <w:tr w:rsidR="00FA4173" w:rsidRPr="00FA4173" w:rsidTr="00A200D5">
        <w:trPr>
          <w:trHeight w:val="418"/>
        </w:trPr>
        <w:tc>
          <w:tcPr>
            <w:tcW w:w="1802" w:type="dxa"/>
            <w:tcBorders>
              <w:top w:val="single" w:sz="4" w:space="0" w:color="auto"/>
              <w:left w:val="nil"/>
              <w:bottom w:val="single" w:sz="8" w:space="0" w:color="auto"/>
              <w:right w:val="nil"/>
            </w:tcBorders>
            <w:shd w:val="clear" w:color="000000" w:fill="FFFFFF"/>
            <w:vAlign w:val="center"/>
            <w:hideMark/>
          </w:tcPr>
          <w:p w:rsidR="00FA4173" w:rsidRPr="00FA4173" w:rsidRDefault="00FA4173" w:rsidP="00FA4173">
            <w:pPr>
              <w:jc w:val="right"/>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1,928,225</w:t>
            </w:r>
          </w:p>
        </w:tc>
        <w:tc>
          <w:tcPr>
            <w:tcW w:w="4708" w:type="dxa"/>
            <w:tcBorders>
              <w:top w:val="single" w:sz="4" w:space="0" w:color="auto"/>
              <w:left w:val="nil"/>
              <w:bottom w:val="single" w:sz="8" w:space="0" w:color="auto"/>
              <w:right w:val="nil"/>
            </w:tcBorders>
            <w:shd w:val="clear" w:color="000000" w:fill="FFFFFF"/>
            <w:vAlign w:val="center"/>
            <w:hideMark/>
          </w:tcPr>
          <w:p w:rsidR="00FA4173" w:rsidRPr="00FA4173" w:rsidRDefault="00FA4173" w:rsidP="00FA4173">
            <w:pPr>
              <w:ind w:firstLineChars="100" w:firstLine="161"/>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 xml:space="preserve">Revised Balance 1 April </w:t>
            </w:r>
          </w:p>
        </w:tc>
        <w:tc>
          <w:tcPr>
            <w:tcW w:w="1457" w:type="dxa"/>
            <w:tcBorders>
              <w:top w:val="single" w:sz="4" w:space="0" w:color="auto"/>
              <w:left w:val="nil"/>
              <w:bottom w:val="single" w:sz="8" w:space="0" w:color="auto"/>
              <w:right w:val="nil"/>
            </w:tcBorders>
            <w:shd w:val="clear" w:color="000000" w:fill="FFFFFF"/>
            <w:vAlign w:val="center"/>
            <w:hideMark/>
          </w:tcPr>
          <w:p w:rsidR="00FA4173" w:rsidRPr="00FA4173" w:rsidRDefault="00FA4173" w:rsidP="00FA4173">
            <w:pPr>
              <w:jc w:val="right"/>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1,414</w:t>
            </w:r>
          </w:p>
        </w:tc>
        <w:tc>
          <w:tcPr>
            <w:tcW w:w="1480" w:type="dxa"/>
            <w:tcBorders>
              <w:top w:val="single" w:sz="4" w:space="0" w:color="auto"/>
              <w:left w:val="nil"/>
              <w:bottom w:val="single" w:sz="8" w:space="0" w:color="auto"/>
              <w:right w:val="nil"/>
            </w:tcBorders>
            <w:shd w:val="clear" w:color="000000" w:fill="FFFFFF"/>
            <w:vAlign w:val="center"/>
            <w:hideMark/>
          </w:tcPr>
          <w:p w:rsidR="00FA4173" w:rsidRPr="00FA4173" w:rsidRDefault="00FA4173" w:rsidP="00FA4173">
            <w:pPr>
              <w:jc w:val="right"/>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2,156,930</w:t>
            </w:r>
          </w:p>
        </w:tc>
      </w:tr>
      <w:tr w:rsidR="00FA4173" w:rsidRPr="00FA4173" w:rsidTr="00A200D5">
        <w:trPr>
          <w:trHeight w:val="374"/>
        </w:trPr>
        <w:tc>
          <w:tcPr>
            <w:tcW w:w="1802"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87,620</w:t>
            </w:r>
          </w:p>
        </w:tc>
        <w:tc>
          <w:tcPr>
            <w:tcW w:w="4708" w:type="dxa"/>
            <w:tcBorders>
              <w:top w:val="nil"/>
              <w:left w:val="nil"/>
              <w:bottom w:val="nil"/>
              <w:right w:val="nil"/>
            </w:tcBorders>
            <w:shd w:val="clear" w:color="000000" w:fill="FFFFFF"/>
            <w:vAlign w:val="center"/>
            <w:hideMark/>
          </w:tcPr>
          <w:p w:rsidR="00FA4173" w:rsidRPr="00FA4173" w:rsidRDefault="00FA4173" w:rsidP="00FA4173">
            <w:pPr>
              <w:ind w:firstLineChars="100" w:firstLine="160"/>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Re-measurements of the net defined benefit (liability)/asset</w:t>
            </w:r>
          </w:p>
        </w:tc>
        <w:tc>
          <w:tcPr>
            <w:tcW w:w="1457"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(152)</w:t>
            </w:r>
          </w:p>
        </w:tc>
        <w:tc>
          <w:tcPr>
            <w:tcW w:w="1480" w:type="dxa"/>
            <w:tcBorders>
              <w:top w:val="nil"/>
              <w:left w:val="nil"/>
              <w:bottom w:val="nil"/>
              <w:right w:val="nil"/>
            </w:tcBorders>
            <w:shd w:val="clear" w:color="000000" w:fill="FFFFFF"/>
            <w:vAlign w:val="center"/>
            <w:hideMark/>
          </w:tcPr>
          <w:p w:rsidR="00FA4173" w:rsidRPr="00FA4173" w:rsidRDefault="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(191,</w:t>
            </w:r>
            <w:r w:rsidR="000A6EDC">
              <w:rPr>
                <w:rFonts w:eastAsia="Times New Roman" w:cs="Times New Roman"/>
                <w:color w:val="000000"/>
                <w:sz w:val="16"/>
                <w:szCs w:val="16"/>
                <w:lang w:val="en-GB" w:eastAsia="en-GB"/>
              </w:rPr>
              <w:t>99</w:t>
            </w:r>
            <w:r w:rsidRPr="00FA4173">
              <w:rPr>
                <w:rFonts w:eastAsia="Times New Roman" w:cs="Times New Roman"/>
                <w:color w:val="000000"/>
                <w:sz w:val="16"/>
                <w:szCs w:val="16"/>
                <w:lang w:val="en-GB" w:eastAsia="en-GB"/>
              </w:rPr>
              <w:t>9)</w:t>
            </w:r>
          </w:p>
        </w:tc>
      </w:tr>
      <w:tr w:rsidR="00FA4173" w:rsidRPr="00FA4173" w:rsidTr="00A200D5">
        <w:trPr>
          <w:trHeight w:val="1359"/>
        </w:trPr>
        <w:tc>
          <w:tcPr>
            <w:tcW w:w="1802"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198,431</w:t>
            </w:r>
          </w:p>
        </w:tc>
        <w:tc>
          <w:tcPr>
            <w:tcW w:w="4708" w:type="dxa"/>
            <w:tcBorders>
              <w:top w:val="nil"/>
              <w:left w:val="nil"/>
              <w:bottom w:val="nil"/>
              <w:right w:val="nil"/>
            </w:tcBorders>
            <w:shd w:val="clear" w:color="000000" w:fill="FFFFFF"/>
            <w:vAlign w:val="center"/>
            <w:hideMark/>
          </w:tcPr>
          <w:p w:rsidR="00FA4173" w:rsidRPr="00FA4173" w:rsidRDefault="00FA4173" w:rsidP="00FA4173">
            <w:pPr>
              <w:ind w:firstLineChars="100" w:firstLine="160"/>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 xml:space="preserve">Reversal of items relating to retirement benefits debited or credited to the Surplus or Deficit on the Provision of Services in the Comprehensive Income and Expenditure Statement </w:t>
            </w:r>
          </w:p>
        </w:tc>
        <w:tc>
          <w:tcPr>
            <w:tcW w:w="1457" w:type="dxa"/>
            <w:tcBorders>
              <w:top w:val="nil"/>
              <w:left w:val="nil"/>
              <w:bottom w:val="nil"/>
              <w:right w:val="nil"/>
            </w:tcBorders>
            <w:shd w:val="clear" w:color="000000" w:fill="FFFFFF"/>
            <w:vAlign w:val="center"/>
            <w:hideMark/>
          </w:tcPr>
          <w:p w:rsidR="00FA4173" w:rsidRPr="00FA4173" w:rsidRDefault="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2</w:t>
            </w:r>
            <w:r w:rsidR="00735FC4">
              <w:rPr>
                <w:rFonts w:eastAsia="Times New Roman" w:cs="Times New Roman"/>
                <w:color w:val="000000"/>
                <w:sz w:val="16"/>
                <w:szCs w:val="16"/>
                <w:lang w:val="en-GB" w:eastAsia="en-GB"/>
              </w:rPr>
              <w:t>24</w:t>
            </w:r>
          </w:p>
        </w:tc>
        <w:tc>
          <w:tcPr>
            <w:tcW w:w="1480" w:type="dxa"/>
            <w:tcBorders>
              <w:top w:val="nil"/>
              <w:left w:val="nil"/>
              <w:bottom w:val="nil"/>
              <w:right w:val="nil"/>
            </w:tcBorders>
            <w:shd w:val="clear" w:color="000000" w:fill="FFFFFF"/>
            <w:vAlign w:val="center"/>
            <w:hideMark/>
          </w:tcPr>
          <w:p w:rsidR="00FA4173" w:rsidRPr="00FA4173" w:rsidRDefault="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1</w:t>
            </w:r>
            <w:r w:rsidR="000A6EDC">
              <w:rPr>
                <w:rFonts w:eastAsia="Times New Roman" w:cs="Times New Roman"/>
                <w:color w:val="000000"/>
                <w:sz w:val="16"/>
                <w:szCs w:val="16"/>
                <w:lang w:val="en-GB" w:eastAsia="en-GB"/>
              </w:rPr>
              <w:t>22</w:t>
            </w:r>
            <w:r w:rsidRPr="00FA4173">
              <w:rPr>
                <w:rFonts w:eastAsia="Times New Roman" w:cs="Times New Roman"/>
                <w:color w:val="000000"/>
                <w:sz w:val="16"/>
                <w:szCs w:val="16"/>
                <w:lang w:val="en-GB" w:eastAsia="en-GB"/>
              </w:rPr>
              <w:t>,</w:t>
            </w:r>
            <w:r w:rsidR="000A6EDC">
              <w:rPr>
                <w:rFonts w:eastAsia="Times New Roman" w:cs="Times New Roman"/>
                <w:color w:val="000000"/>
                <w:sz w:val="16"/>
                <w:szCs w:val="16"/>
                <w:lang w:val="en-GB" w:eastAsia="en-GB"/>
              </w:rPr>
              <w:t>914</w:t>
            </w:r>
          </w:p>
        </w:tc>
      </w:tr>
      <w:tr w:rsidR="00FA4173" w:rsidRPr="00FA4173" w:rsidTr="00A200D5">
        <w:trPr>
          <w:trHeight w:val="66"/>
        </w:trPr>
        <w:tc>
          <w:tcPr>
            <w:tcW w:w="1802"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(57,346)</w:t>
            </w:r>
          </w:p>
        </w:tc>
        <w:tc>
          <w:tcPr>
            <w:tcW w:w="4708" w:type="dxa"/>
            <w:tcBorders>
              <w:top w:val="nil"/>
              <w:left w:val="nil"/>
              <w:bottom w:val="nil"/>
              <w:right w:val="nil"/>
            </w:tcBorders>
            <w:shd w:val="clear" w:color="000000" w:fill="FFFFFF"/>
            <w:vAlign w:val="center"/>
            <w:hideMark/>
          </w:tcPr>
          <w:p w:rsidR="00FA4173" w:rsidRPr="00FA4173" w:rsidRDefault="00FA4173" w:rsidP="00FA4173">
            <w:pPr>
              <w:ind w:firstLineChars="100" w:firstLine="160"/>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Employer's pensions contributions and direct payments to pensioners payable in the year</w:t>
            </w:r>
          </w:p>
        </w:tc>
        <w:tc>
          <w:tcPr>
            <w:tcW w:w="1457"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(83)</w:t>
            </w:r>
          </w:p>
        </w:tc>
        <w:tc>
          <w:tcPr>
            <w:tcW w:w="1480" w:type="dxa"/>
            <w:tcBorders>
              <w:top w:val="nil"/>
              <w:left w:val="nil"/>
              <w:bottom w:val="nil"/>
              <w:right w:val="nil"/>
            </w:tcBorders>
            <w:shd w:val="clear" w:color="000000" w:fill="FFFFFF"/>
            <w:vAlign w:val="center"/>
            <w:hideMark/>
          </w:tcPr>
          <w:p w:rsidR="00FA4173" w:rsidRPr="00FA4173" w:rsidRDefault="00FA4173" w:rsidP="00FA4173">
            <w:pPr>
              <w:jc w:val="right"/>
              <w:rPr>
                <w:rFonts w:eastAsia="Times New Roman" w:cs="Times New Roman"/>
                <w:color w:val="000000"/>
                <w:sz w:val="16"/>
                <w:szCs w:val="16"/>
                <w:lang w:val="en-GB" w:eastAsia="en-GB"/>
              </w:rPr>
            </w:pPr>
            <w:r w:rsidRPr="00FA4173">
              <w:rPr>
                <w:rFonts w:eastAsia="Times New Roman" w:cs="Times New Roman"/>
                <w:color w:val="000000"/>
                <w:sz w:val="16"/>
                <w:szCs w:val="16"/>
                <w:lang w:val="en-GB" w:eastAsia="en-GB"/>
              </w:rPr>
              <w:t>(59,887)</w:t>
            </w:r>
          </w:p>
        </w:tc>
      </w:tr>
      <w:tr w:rsidR="00FA4173" w:rsidRPr="00FA4173" w:rsidTr="00A200D5">
        <w:trPr>
          <w:trHeight w:val="348"/>
        </w:trPr>
        <w:tc>
          <w:tcPr>
            <w:tcW w:w="1802" w:type="dxa"/>
            <w:tcBorders>
              <w:top w:val="single" w:sz="8" w:space="0" w:color="000000"/>
              <w:left w:val="nil"/>
              <w:bottom w:val="single" w:sz="12" w:space="0" w:color="000000"/>
              <w:right w:val="nil"/>
            </w:tcBorders>
            <w:shd w:val="clear" w:color="000000" w:fill="FFFFFF"/>
            <w:vAlign w:val="center"/>
            <w:hideMark/>
          </w:tcPr>
          <w:p w:rsidR="00FA4173" w:rsidRPr="00FA4173" w:rsidRDefault="00FA4173" w:rsidP="00FA4173">
            <w:pPr>
              <w:jc w:val="right"/>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2,156,930</w:t>
            </w:r>
          </w:p>
        </w:tc>
        <w:tc>
          <w:tcPr>
            <w:tcW w:w="4708" w:type="dxa"/>
            <w:tcBorders>
              <w:top w:val="single" w:sz="8" w:space="0" w:color="000000"/>
              <w:left w:val="nil"/>
              <w:bottom w:val="single" w:sz="12" w:space="0" w:color="000000"/>
              <w:right w:val="nil"/>
            </w:tcBorders>
            <w:shd w:val="clear" w:color="000000" w:fill="FFFFFF"/>
            <w:vAlign w:val="center"/>
            <w:hideMark/>
          </w:tcPr>
          <w:p w:rsidR="00FA4173" w:rsidRPr="00FA4173" w:rsidRDefault="00FA4173" w:rsidP="00FA4173">
            <w:pPr>
              <w:ind w:firstLineChars="100" w:firstLine="161"/>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 xml:space="preserve">Balance 31 March </w:t>
            </w:r>
          </w:p>
        </w:tc>
        <w:tc>
          <w:tcPr>
            <w:tcW w:w="1457" w:type="dxa"/>
            <w:tcBorders>
              <w:top w:val="single" w:sz="8" w:space="0" w:color="000000"/>
              <w:left w:val="nil"/>
              <w:bottom w:val="single" w:sz="12" w:space="0" w:color="000000"/>
              <w:right w:val="nil"/>
            </w:tcBorders>
            <w:shd w:val="clear" w:color="000000" w:fill="FFFFFF"/>
            <w:vAlign w:val="center"/>
            <w:hideMark/>
          </w:tcPr>
          <w:p w:rsidR="00FA4173" w:rsidRPr="00FA4173" w:rsidRDefault="00FA4173">
            <w:pPr>
              <w:jc w:val="right"/>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1,4</w:t>
            </w:r>
            <w:r w:rsidR="00735FC4">
              <w:rPr>
                <w:rFonts w:eastAsia="Times New Roman" w:cs="Times New Roman"/>
                <w:b/>
                <w:bCs/>
                <w:color w:val="000000"/>
                <w:sz w:val="16"/>
                <w:szCs w:val="16"/>
                <w:lang w:val="en-GB" w:eastAsia="en-GB"/>
              </w:rPr>
              <w:t>03</w:t>
            </w:r>
          </w:p>
        </w:tc>
        <w:tc>
          <w:tcPr>
            <w:tcW w:w="1480" w:type="dxa"/>
            <w:tcBorders>
              <w:top w:val="single" w:sz="8" w:space="0" w:color="000000"/>
              <w:left w:val="nil"/>
              <w:bottom w:val="single" w:sz="12" w:space="0" w:color="000000"/>
              <w:right w:val="nil"/>
            </w:tcBorders>
            <w:shd w:val="clear" w:color="000000" w:fill="FFFFFF"/>
            <w:vAlign w:val="center"/>
            <w:hideMark/>
          </w:tcPr>
          <w:p w:rsidR="00FA4173" w:rsidRPr="00FA4173" w:rsidRDefault="00FA4173">
            <w:pPr>
              <w:jc w:val="right"/>
              <w:rPr>
                <w:rFonts w:eastAsia="Times New Roman" w:cs="Times New Roman"/>
                <w:b/>
                <w:bCs/>
                <w:color w:val="000000"/>
                <w:sz w:val="16"/>
                <w:szCs w:val="16"/>
                <w:lang w:val="en-GB" w:eastAsia="en-GB"/>
              </w:rPr>
            </w:pPr>
            <w:r w:rsidRPr="00FA4173">
              <w:rPr>
                <w:rFonts w:eastAsia="Times New Roman" w:cs="Times New Roman"/>
                <w:b/>
                <w:bCs/>
                <w:color w:val="000000"/>
                <w:sz w:val="16"/>
                <w:szCs w:val="16"/>
                <w:lang w:val="en-GB" w:eastAsia="en-GB"/>
              </w:rPr>
              <w:t>2,0</w:t>
            </w:r>
            <w:r w:rsidR="000A6EDC">
              <w:rPr>
                <w:rFonts w:eastAsia="Times New Roman" w:cs="Times New Roman"/>
                <w:b/>
                <w:bCs/>
                <w:color w:val="000000"/>
                <w:sz w:val="16"/>
                <w:szCs w:val="16"/>
                <w:lang w:val="en-GB" w:eastAsia="en-GB"/>
              </w:rPr>
              <w:t>27,958</w:t>
            </w:r>
          </w:p>
        </w:tc>
      </w:tr>
    </w:tbl>
    <w:p w:rsidR="00FA4173" w:rsidRDefault="00FA4173" w:rsidP="00A200D5">
      <w:pPr>
        <w:pStyle w:val="Normal0"/>
        <w:rPr>
          <w:rFonts w:ascii="Verdana" w:eastAsia="Verdana" w:hAnsi="Verdana" w:cs="Verdana"/>
          <w:sz w:val="18"/>
          <w:szCs w:val="18"/>
          <w:lang w:val="en-GB"/>
        </w:rPr>
      </w:pPr>
    </w:p>
    <w:p w:rsidR="00FA4173" w:rsidRPr="00A200D5" w:rsidRDefault="00FA4173">
      <w:pPr>
        <w:pStyle w:val="Normal0"/>
        <w:spacing w:after="160"/>
        <w:rPr>
          <w:rFonts w:ascii="Verdana" w:eastAsia="Verdana" w:hAnsi="Verdana" w:cs="Verdana"/>
          <w:sz w:val="18"/>
          <w:szCs w:val="18"/>
          <w:lang w:val="en-GB"/>
        </w:rPr>
      </w:pPr>
      <w:r>
        <w:rPr>
          <w:rFonts w:ascii="Verdana" w:eastAsia="Verdana" w:hAnsi="Verdana" w:cs="Verdana"/>
          <w:sz w:val="18"/>
          <w:szCs w:val="18"/>
          <w:lang w:val="en-GB"/>
        </w:rPr>
        <w:t>The 2018/19 liability relating to PCC employees was included within the Chief Constable’s accounts on behalf of the Group, in the current year the PCC figures have been split out as shown in the table above.</w:t>
      </w:r>
    </w:p>
    <w:p w:rsidR="00FA4173" w:rsidRDefault="00FA4173">
      <w:pPr>
        <w:pStyle w:val="Normal0"/>
        <w:spacing w:after="160"/>
        <w:rPr>
          <w:rFonts w:ascii="Verdana" w:eastAsia="Verdana" w:hAnsi="Verdana" w:cs="Verdana"/>
          <w:sz w:val="22"/>
          <w:szCs w:val="22"/>
          <w:lang w:val="en-GB"/>
        </w:rPr>
      </w:pPr>
    </w:p>
    <w:p w:rsidR="00CA6653" w:rsidRDefault="00CA6653" w:rsidP="00CA4917">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The pension reserve is an accounting reserve included in the Group Accounts that equals the total pension liability (Police Officers and Police Staff).</w:t>
      </w:r>
    </w:p>
    <w:p w:rsidR="00937DD9" w:rsidRPr="00937DD9" w:rsidRDefault="00937DD9" w:rsidP="00937DD9">
      <w:pPr>
        <w:jc w:val="both"/>
        <w:rPr>
          <w:rFonts w:eastAsia="Verdana" w:cs="Verdana"/>
          <w:szCs w:val="20"/>
          <w:lang w:val="en-GB"/>
        </w:rPr>
      </w:pPr>
      <w:r w:rsidRPr="00937DD9">
        <w:rPr>
          <w:rFonts w:eastAsia="Verdana" w:cs="Verdana"/>
          <w:szCs w:val="20"/>
          <w:lang w:val="en-GB"/>
        </w:rPr>
        <w:t xml:space="preserve">The Pensions Reserve reflects the timing differences arising from the different arrangements for accounting for post-employment benefits and for funding benefits in accordance with statutory provisions [Statutory Instrument No. 2010/454].  The group accounts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However, statutory arrangements require benefits earned, to be financed as the Group maker employer contributions to pension funds, or eventual payment of any pensions for which it is directly responsible.  </w:t>
      </w:r>
    </w:p>
    <w:p w:rsidR="00937DD9" w:rsidRPr="00937DD9" w:rsidRDefault="00937DD9" w:rsidP="00937DD9">
      <w:pPr>
        <w:jc w:val="both"/>
        <w:rPr>
          <w:rFonts w:eastAsia="Verdana" w:cs="Verdana"/>
          <w:szCs w:val="20"/>
          <w:lang w:val="en-GB"/>
        </w:rPr>
      </w:pPr>
    </w:p>
    <w:p w:rsidR="00CA6653" w:rsidRDefault="00CA6653" w:rsidP="00CA4917">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Where the pension payments made for the year in accordance with the scheme requirements do not match the change in the Group’s recognised liability for the same period, the recognised cost of pensions will not match the amount to be raised in taxation. This is represented by an appropriation to or from the pension reserve, which equals the net change in the pension liability recognised in the Group Comprehensive Income and Expenditure Statement.</w:t>
      </w:r>
    </w:p>
    <w:p w:rsidR="00937DD9" w:rsidRPr="004E6D30" w:rsidRDefault="00937DD9" w:rsidP="00937DD9">
      <w:pPr>
        <w:pStyle w:val="Normal0"/>
        <w:spacing w:after="160"/>
        <w:jc w:val="both"/>
        <w:rPr>
          <w:rFonts w:ascii="Verdana" w:eastAsia="Verdana" w:hAnsi="Verdana" w:cs="Verdana"/>
          <w:sz w:val="22"/>
          <w:szCs w:val="22"/>
          <w:lang w:val="en-GB"/>
        </w:rPr>
      </w:pPr>
      <w:r w:rsidRPr="00937DD9">
        <w:rPr>
          <w:rFonts w:ascii="Verdana" w:eastAsia="Verdana" w:hAnsi="Verdana" w:cs="Verdana"/>
          <w:sz w:val="22"/>
          <w:szCs w:val="24"/>
          <w:lang w:val="en-GB"/>
        </w:rPr>
        <w:t xml:space="preserve">The debit balance on the Pensions Reserve therefore shows a substantial shortfall in the benefits earned by past and current employees and the resources set aside to meet them.  The statutory arrangements will ensure that funding will have been set aside by the time the benefits </w:t>
      </w:r>
      <w:r w:rsidRPr="004E6D30">
        <w:rPr>
          <w:rFonts w:ascii="Verdana" w:eastAsia="Verdana" w:hAnsi="Verdana" w:cs="Verdana"/>
          <w:sz w:val="22"/>
          <w:szCs w:val="22"/>
          <w:lang w:val="en-GB"/>
        </w:rPr>
        <w:t>come to be paid</w:t>
      </w:r>
    </w:p>
    <w:p w:rsidR="00CA6653" w:rsidRPr="004E6D30" w:rsidRDefault="00CA6653">
      <w:pPr>
        <w:pStyle w:val="Normal0"/>
        <w:spacing w:after="160"/>
        <w:rPr>
          <w:rFonts w:ascii="Verdana" w:eastAsia="Verdana" w:hAnsi="Verdana" w:cs="Verdana"/>
          <w:sz w:val="22"/>
          <w:szCs w:val="22"/>
          <w:lang w:val="en-GB"/>
        </w:rPr>
      </w:pPr>
      <w:r w:rsidRPr="004E6D30">
        <w:rPr>
          <w:rFonts w:ascii="Verdana" w:eastAsia="Verdana" w:hAnsi="Verdana" w:cs="Verdana"/>
          <w:sz w:val="22"/>
          <w:szCs w:val="22"/>
          <w:lang w:val="en-GB"/>
        </w:rPr>
        <w:t>Actuarial gains and losses are also recognised as movements on reserve above.</w:t>
      </w:r>
    </w:p>
    <w:p w:rsidR="004E6D30" w:rsidRPr="004E6D30" w:rsidRDefault="004E6D30" w:rsidP="004E6D30">
      <w:pPr>
        <w:pStyle w:val="Normal0"/>
        <w:spacing w:after="160"/>
        <w:jc w:val="both"/>
        <w:rPr>
          <w:rFonts w:ascii="Verdana" w:hAnsi="Verdana"/>
          <w:sz w:val="22"/>
          <w:szCs w:val="22"/>
        </w:rPr>
      </w:pPr>
      <w:r w:rsidRPr="004E6D30">
        <w:rPr>
          <w:rFonts w:ascii="Verdana" w:eastAsia="Verdana" w:hAnsi="Verdana" w:cs="Verdana"/>
          <w:sz w:val="22"/>
          <w:szCs w:val="22"/>
          <w:lang w:val="en-GB"/>
        </w:rPr>
        <w:t xml:space="preserve">During the 2019/20 and in line with best practice the </w:t>
      </w:r>
      <w:r w:rsidRPr="004E6D30">
        <w:rPr>
          <w:rFonts w:ascii="Verdana" w:hAnsi="Verdana"/>
          <w:sz w:val="22"/>
          <w:szCs w:val="22"/>
        </w:rPr>
        <w:t xml:space="preserve">civilian LGPS pension costs have been split to show the separate liability for the Chief Constable and the PCC for full transparency.  This amounts to a transfer of liability from the Chief Constable to the PCC of £1,414k which has been re-measured </w:t>
      </w:r>
      <w:r>
        <w:rPr>
          <w:rFonts w:ascii="Verdana" w:hAnsi="Verdana"/>
          <w:sz w:val="22"/>
          <w:szCs w:val="22"/>
        </w:rPr>
        <w:t xml:space="preserve">and included </w:t>
      </w:r>
      <w:r w:rsidRPr="004E6D30">
        <w:rPr>
          <w:rFonts w:ascii="Verdana" w:hAnsi="Verdana"/>
          <w:sz w:val="22"/>
          <w:szCs w:val="22"/>
        </w:rPr>
        <w:t>within other Comprehensive Income and Expenditure as the</w:t>
      </w:r>
      <w:r>
        <w:rPr>
          <w:rFonts w:ascii="Verdana" w:hAnsi="Verdana"/>
          <w:sz w:val="22"/>
          <w:szCs w:val="22"/>
        </w:rPr>
        <w:t xml:space="preserve"> following</w:t>
      </w:r>
      <w:r w:rsidRPr="004E6D30">
        <w:rPr>
          <w:rFonts w:ascii="Verdana" w:hAnsi="Verdana"/>
          <w:sz w:val="22"/>
          <w:szCs w:val="22"/>
        </w:rPr>
        <w:t xml:space="preserve"> table illustrates:</w:t>
      </w:r>
    </w:p>
    <w:tbl>
      <w:tblPr>
        <w:tblW w:w="9586" w:type="dxa"/>
        <w:jc w:val="center"/>
        <w:tblLook w:val="04A0" w:firstRow="1" w:lastRow="0" w:firstColumn="1" w:lastColumn="0" w:noHBand="0" w:noVBand="1"/>
      </w:tblPr>
      <w:tblGrid>
        <w:gridCol w:w="5144"/>
        <w:gridCol w:w="1519"/>
        <w:gridCol w:w="1573"/>
        <w:gridCol w:w="1350"/>
      </w:tblGrid>
      <w:tr w:rsidR="004E6D30" w:rsidRPr="00B31164" w:rsidTr="00A200D5">
        <w:trPr>
          <w:trHeight w:val="215"/>
          <w:jc w:val="center"/>
        </w:trPr>
        <w:tc>
          <w:tcPr>
            <w:tcW w:w="51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D30" w:rsidRPr="004E6D30" w:rsidRDefault="004E6D30" w:rsidP="005272A1">
            <w:pPr>
              <w:rPr>
                <w:rFonts w:eastAsia="Times New Roman"/>
                <w:b/>
                <w:color w:val="000000"/>
                <w:sz w:val="16"/>
                <w:szCs w:val="16"/>
                <w:lang w:eastAsia="en-GB"/>
              </w:rPr>
            </w:pPr>
            <w:r w:rsidRPr="00B31164">
              <w:rPr>
                <w:rFonts w:eastAsia="Times New Roman"/>
                <w:color w:val="000000"/>
                <w:sz w:val="16"/>
                <w:szCs w:val="16"/>
                <w:lang w:eastAsia="en-GB"/>
              </w:rPr>
              <w:t> </w:t>
            </w:r>
            <w:r w:rsidR="00DC597A">
              <w:rPr>
                <w:rFonts w:eastAsia="Times New Roman"/>
                <w:color w:val="000000"/>
                <w:sz w:val="16"/>
                <w:szCs w:val="16"/>
                <w:lang w:eastAsia="en-GB"/>
              </w:rPr>
              <w:t xml:space="preserve">  </w:t>
            </w:r>
            <w:r w:rsidRPr="004E6D30">
              <w:rPr>
                <w:rFonts w:eastAsia="Times New Roman"/>
                <w:b/>
                <w:color w:val="000000"/>
                <w:sz w:val="16"/>
                <w:szCs w:val="16"/>
                <w:lang w:eastAsia="en-GB"/>
              </w:rPr>
              <w:t>LGPS reallocation between Chief Constable and PCC</w:t>
            </w:r>
          </w:p>
        </w:tc>
        <w:tc>
          <w:tcPr>
            <w:tcW w:w="1519" w:type="dxa"/>
            <w:tcBorders>
              <w:top w:val="single" w:sz="4" w:space="0" w:color="auto"/>
              <w:left w:val="nil"/>
              <w:bottom w:val="nil"/>
              <w:right w:val="single" w:sz="4" w:space="0" w:color="auto"/>
            </w:tcBorders>
            <w:shd w:val="clear" w:color="000000" w:fill="FFFFFF"/>
            <w:noWrap/>
            <w:vAlign w:val="center"/>
            <w:hideMark/>
          </w:tcPr>
          <w:p w:rsidR="004E6D30" w:rsidRDefault="004E6D30" w:rsidP="005272A1">
            <w:pPr>
              <w:jc w:val="center"/>
              <w:rPr>
                <w:rFonts w:eastAsia="Times New Roman"/>
                <w:b/>
                <w:bCs/>
                <w:color w:val="000000"/>
                <w:sz w:val="16"/>
                <w:szCs w:val="16"/>
                <w:lang w:eastAsia="en-GB"/>
              </w:rPr>
            </w:pPr>
            <w:r w:rsidRPr="00B31164">
              <w:rPr>
                <w:rFonts w:eastAsia="Times New Roman"/>
                <w:b/>
                <w:bCs/>
                <w:color w:val="000000"/>
                <w:sz w:val="16"/>
                <w:szCs w:val="16"/>
                <w:lang w:eastAsia="en-GB"/>
              </w:rPr>
              <w:t>PCC</w:t>
            </w:r>
          </w:p>
          <w:p w:rsidR="004E6D30" w:rsidRPr="00B31164" w:rsidRDefault="004E6D30" w:rsidP="005272A1">
            <w:pPr>
              <w:jc w:val="center"/>
              <w:rPr>
                <w:rFonts w:eastAsia="Times New Roman"/>
                <w:b/>
                <w:bCs/>
                <w:color w:val="000000"/>
                <w:sz w:val="16"/>
                <w:szCs w:val="16"/>
                <w:lang w:eastAsia="en-GB"/>
              </w:rPr>
            </w:pPr>
            <w:r>
              <w:rPr>
                <w:rFonts w:eastAsia="Times New Roman"/>
                <w:b/>
                <w:bCs/>
                <w:color w:val="000000"/>
                <w:sz w:val="16"/>
                <w:szCs w:val="16"/>
                <w:lang w:eastAsia="en-GB"/>
              </w:rPr>
              <w:t>£000</w:t>
            </w:r>
          </w:p>
        </w:tc>
        <w:tc>
          <w:tcPr>
            <w:tcW w:w="1573" w:type="dxa"/>
            <w:tcBorders>
              <w:top w:val="single" w:sz="4" w:space="0" w:color="auto"/>
              <w:left w:val="nil"/>
              <w:bottom w:val="nil"/>
              <w:right w:val="single" w:sz="4" w:space="0" w:color="auto"/>
            </w:tcBorders>
            <w:shd w:val="clear" w:color="000000" w:fill="FFFFFF"/>
            <w:noWrap/>
            <w:vAlign w:val="center"/>
            <w:hideMark/>
          </w:tcPr>
          <w:p w:rsidR="004E6D30" w:rsidRDefault="004E6D30" w:rsidP="005272A1">
            <w:pPr>
              <w:jc w:val="center"/>
              <w:rPr>
                <w:rFonts w:eastAsia="Times New Roman"/>
                <w:b/>
                <w:bCs/>
                <w:color w:val="000000"/>
                <w:sz w:val="16"/>
                <w:szCs w:val="16"/>
                <w:lang w:eastAsia="en-GB"/>
              </w:rPr>
            </w:pPr>
            <w:r w:rsidRPr="00B31164">
              <w:rPr>
                <w:rFonts w:eastAsia="Times New Roman"/>
                <w:b/>
                <w:bCs/>
                <w:color w:val="000000"/>
                <w:sz w:val="16"/>
                <w:szCs w:val="16"/>
                <w:lang w:eastAsia="en-GB"/>
              </w:rPr>
              <w:t>CC</w:t>
            </w:r>
          </w:p>
          <w:p w:rsidR="004E6D30" w:rsidRPr="00B31164" w:rsidRDefault="004E6D30" w:rsidP="005272A1">
            <w:pPr>
              <w:jc w:val="center"/>
              <w:rPr>
                <w:rFonts w:eastAsia="Times New Roman"/>
                <w:b/>
                <w:bCs/>
                <w:color w:val="000000"/>
                <w:sz w:val="16"/>
                <w:szCs w:val="16"/>
                <w:lang w:eastAsia="en-GB"/>
              </w:rPr>
            </w:pPr>
            <w:r>
              <w:rPr>
                <w:rFonts w:eastAsia="Times New Roman"/>
                <w:b/>
                <w:bCs/>
                <w:color w:val="000000"/>
                <w:sz w:val="16"/>
                <w:szCs w:val="16"/>
                <w:lang w:eastAsia="en-GB"/>
              </w:rPr>
              <w:t>£000</w:t>
            </w:r>
          </w:p>
        </w:tc>
        <w:tc>
          <w:tcPr>
            <w:tcW w:w="1350" w:type="dxa"/>
            <w:tcBorders>
              <w:top w:val="single" w:sz="4" w:space="0" w:color="auto"/>
              <w:left w:val="nil"/>
              <w:bottom w:val="nil"/>
              <w:right w:val="single" w:sz="4" w:space="0" w:color="auto"/>
            </w:tcBorders>
            <w:shd w:val="clear" w:color="000000" w:fill="FFFFFF"/>
            <w:noWrap/>
            <w:vAlign w:val="center"/>
            <w:hideMark/>
          </w:tcPr>
          <w:p w:rsidR="004E6D30" w:rsidRDefault="004E6D30" w:rsidP="005272A1">
            <w:pPr>
              <w:jc w:val="center"/>
              <w:rPr>
                <w:rFonts w:eastAsia="Times New Roman"/>
                <w:b/>
                <w:bCs/>
                <w:color w:val="000000"/>
                <w:sz w:val="16"/>
                <w:szCs w:val="16"/>
                <w:lang w:eastAsia="en-GB"/>
              </w:rPr>
            </w:pPr>
            <w:r w:rsidRPr="00B31164">
              <w:rPr>
                <w:rFonts w:eastAsia="Times New Roman"/>
                <w:b/>
                <w:bCs/>
                <w:color w:val="000000"/>
                <w:sz w:val="16"/>
                <w:szCs w:val="16"/>
                <w:lang w:eastAsia="en-GB"/>
              </w:rPr>
              <w:t>GROUP</w:t>
            </w:r>
          </w:p>
          <w:p w:rsidR="004E6D30" w:rsidRPr="00B31164" w:rsidRDefault="004E6D30" w:rsidP="005272A1">
            <w:pPr>
              <w:jc w:val="center"/>
              <w:rPr>
                <w:rFonts w:eastAsia="Times New Roman"/>
                <w:b/>
                <w:bCs/>
                <w:color w:val="000000"/>
                <w:sz w:val="16"/>
                <w:szCs w:val="16"/>
                <w:lang w:eastAsia="en-GB"/>
              </w:rPr>
            </w:pPr>
            <w:r>
              <w:rPr>
                <w:rFonts w:eastAsia="Times New Roman"/>
                <w:b/>
                <w:bCs/>
                <w:color w:val="000000"/>
                <w:sz w:val="16"/>
                <w:szCs w:val="16"/>
                <w:lang w:eastAsia="en-GB"/>
              </w:rPr>
              <w:t>£000</w:t>
            </w:r>
          </w:p>
        </w:tc>
      </w:tr>
      <w:tr w:rsidR="004E6D30" w:rsidRPr="00B31164" w:rsidTr="00A200D5">
        <w:trPr>
          <w:trHeight w:val="284"/>
          <w:jc w:val="center"/>
        </w:trPr>
        <w:tc>
          <w:tcPr>
            <w:tcW w:w="5144" w:type="dxa"/>
            <w:tcBorders>
              <w:top w:val="nil"/>
              <w:left w:val="single" w:sz="4" w:space="0" w:color="auto"/>
              <w:bottom w:val="nil"/>
              <w:right w:val="nil"/>
            </w:tcBorders>
            <w:shd w:val="clear" w:color="000000" w:fill="FFFFFF"/>
            <w:noWrap/>
            <w:vAlign w:val="center"/>
            <w:hideMark/>
          </w:tcPr>
          <w:p w:rsidR="004E6D30" w:rsidRPr="00B31164" w:rsidRDefault="004E6D30" w:rsidP="005272A1">
            <w:pPr>
              <w:ind w:firstLineChars="100" w:firstLine="160"/>
              <w:rPr>
                <w:rFonts w:eastAsia="Times New Roman"/>
                <w:color w:val="000000"/>
                <w:sz w:val="16"/>
                <w:szCs w:val="16"/>
                <w:lang w:eastAsia="en-GB"/>
              </w:rPr>
            </w:pPr>
            <w:r w:rsidRPr="00B31164">
              <w:rPr>
                <w:rFonts w:eastAsia="Times New Roman"/>
                <w:color w:val="000000"/>
                <w:sz w:val="16"/>
                <w:szCs w:val="16"/>
                <w:lang w:eastAsia="en-GB"/>
              </w:rPr>
              <w:t>Transfer of liability to PCC re</w:t>
            </w:r>
            <w:r>
              <w:rPr>
                <w:rFonts w:eastAsia="Times New Roman"/>
                <w:color w:val="000000"/>
                <w:sz w:val="16"/>
                <w:szCs w:val="16"/>
                <w:lang w:eastAsia="en-GB"/>
              </w:rPr>
              <w:t>-</w:t>
            </w:r>
            <w:r w:rsidRPr="00B31164">
              <w:rPr>
                <w:rFonts w:eastAsia="Times New Roman"/>
                <w:color w:val="000000"/>
                <w:sz w:val="16"/>
                <w:szCs w:val="16"/>
                <w:lang w:eastAsia="en-GB"/>
              </w:rPr>
              <w:t>measurement</w:t>
            </w:r>
          </w:p>
        </w:tc>
        <w:tc>
          <w:tcPr>
            <w:tcW w:w="1519" w:type="dxa"/>
            <w:tcBorders>
              <w:top w:val="single" w:sz="4" w:space="0" w:color="auto"/>
              <w:left w:val="single" w:sz="4" w:space="0" w:color="auto"/>
              <w:bottom w:val="nil"/>
              <w:right w:val="single" w:sz="4" w:space="0" w:color="auto"/>
            </w:tcBorders>
            <w:shd w:val="clear" w:color="000000" w:fill="FFFFFF"/>
            <w:noWrap/>
            <w:vAlign w:val="center"/>
            <w:hideMark/>
          </w:tcPr>
          <w:p w:rsidR="004E6D30" w:rsidRPr="00B31164" w:rsidRDefault="004E6D30" w:rsidP="005272A1">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(1,414)</w:t>
            </w:r>
          </w:p>
        </w:tc>
        <w:tc>
          <w:tcPr>
            <w:tcW w:w="1573" w:type="dxa"/>
            <w:tcBorders>
              <w:top w:val="single" w:sz="4" w:space="0" w:color="auto"/>
              <w:left w:val="nil"/>
              <w:bottom w:val="nil"/>
              <w:right w:val="single" w:sz="4" w:space="0" w:color="auto"/>
            </w:tcBorders>
            <w:shd w:val="clear" w:color="000000" w:fill="FFFFFF"/>
            <w:noWrap/>
            <w:vAlign w:val="center"/>
            <w:hideMark/>
          </w:tcPr>
          <w:p w:rsidR="004E6D30" w:rsidRPr="00B31164" w:rsidRDefault="004E6D30" w:rsidP="005272A1">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1,414</w:t>
            </w:r>
          </w:p>
        </w:tc>
        <w:tc>
          <w:tcPr>
            <w:tcW w:w="1350" w:type="dxa"/>
            <w:tcBorders>
              <w:top w:val="single" w:sz="4" w:space="0" w:color="auto"/>
              <w:left w:val="nil"/>
              <w:bottom w:val="nil"/>
              <w:right w:val="single" w:sz="4" w:space="0" w:color="auto"/>
            </w:tcBorders>
            <w:shd w:val="clear" w:color="000000" w:fill="FFFFFF"/>
            <w:noWrap/>
            <w:vAlign w:val="center"/>
            <w:hideMark/>
          </w:tcPr>
          <w:p w:rsidR="004E6D30" w:rsidRPr="00B31164" w:rsidRDefault="004E6D30">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0</w:t>
            </w:r>
          </w:p>
        </w:tc>
      </w:tr>
      <w:tr w:rsidR="004E6D30" w:rsidRPr="00B31164" w:rsidTr="00A200D5">
        <w:trPr>
          <w:trHeight w:val="284"/>
          <w:jc w:val="center"/>
        </w:trPr>
        <w:tc>
          <w:tcPr>
            <w:tcW w:w="5144" w:type="dxa"/>
            <w:tcBorders>
              <w:top w:val="nil"/>
              <w:left w:val="single" w:sz="4" w:space="0" w:color="auto"/>
              <w:bottom w:val="nil"/>
              <w:right w:val="nil"/>
            </w:tcBorders>
            <w:shd w:val="clear" w:color="000000" w:fill="FFFFFF"/>
            <w:noWrap/>
            <w:vAlign w:val="center"/>
            <w:hideMark/>
          </w:tcPr>
          <w:p w:rsidR="004E6D30" w:rsidRPr="00B31164" w:rsidRDefault="004E6D30" w:rsidP="005272A1">
            <w:pPr>
              <w:ind w:firstLineChars="100" w:firstLine="160"/>
              <w:rPr>
                <w:rFonts w:eastAsia="Times New Roman"/>
                <w:color w:val="000000"/>
                <w:sz w:val="16"/>
                <w:szCs w:val="16"/>
                <w:lang w:eastAsia="en-GB"/>
              </w:rPr>
            </w:pPr>
            <w:r w:rsidRPr="00B31164">
              <w:rPr>
                <w:rFonts w:eastAsia="Times New Roman"/>
                <w:color w:val="000000"/>
                <w:sz w:val="16"/>
                <w:szCs w:val="16"/>
                <w:lang w:eastAsia="en-GB"/>
              </w:rPr>
              <w:t>LGPS actuarial re</w:t>
            </w:r>
            <w:r>
              <w:rPr>
                <w:rFonts w:eastAsia="Times New Roman"/>
                <w:color w:val="000000"/>
                <w:sz w:val="16"/>
                <w:szCs w:val="16"/>
                <w:lang w:eastAsia="en-GB"/>
              </w:rPr>
              <w:t>-</w:t>
            </w:r>
            <w:r w:rsidRPr="00B31164">
              <w:rPr>
                <w:rFonts w:eastAsia="Times New Roman"/>
                <w:color w:val="000000"/>
                <w:sz w:val="16"/>
                <w:szCs w:val="16"/>
                <w:lang w:eastAsia="en-GB"/>
              </w:rPr>
              <w:t>measurement</w:t>
            </w:r>
          </w:p>
        </w:tc>
        <w:tc>
          <w:tcPr>
            <w:tcW w:w="1519" w:type="dxa"/>
            <w:tcBorders>
              <w:top w:val="nil"/>
              <w:left w:val="single" w:sz="4" w:space="0" w:color="auto"/>
              <w:bottom w:val="nil"/>
              <w:right w:val="single" w:sz="4" w:space="0" w:color="auto"/>
            </w:tcBorders>
            <w:shd w:val="clear" w:color="000000" w:fill="FFFFFF"/>
            <w:noWrap/>
            <w:vAlign w:val="center"/>
            <w:hideMark/>
          </w:tcPr>
          <w:p w:rsidR="004E6D30" w:rsidRPr="00B31164" w:rsidRDefault="004E6D30" w:rsidP="005272A1">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152</w:t>
            </w:r>
          </w:p>
        </w:tc>
        <w:tc>
          <w:tcPr>
            <w:tcW w:w="1573" w:type="dxa"/>
            <w:tcBorders>
              <w:top w:val="nil"/>
              <w:left w:val="nil"/>
              <w:bottom w:val="nil"/>
              <w:right w:val="single" w:sz="4" w:space="0" w:color="auto"/>
            </w:tcBorders>
            <w:shd w:val="clear" w:color="000000" w:fill="FFFFFF"/>
            <w:noWrap/>
            <w:vAlign w:val="center"/>
            <w:hideMark/>
          </w:tcPr>
          <w:p w:rsidR="004E6D30" w:rsidRPr="00B31164" w:rsidRDefault="004E6D30" w:rsidP="005272A1">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50,687</w:t>
            </w:r>
          </w:p>
        </w:tc>
        <w:tc>
          <w:tcPr>
            <w:tcW w:w="1350" w:type="dxa"/>
            <w:tcBorders>
              <w:top w:val="nil"/>
              <w:left w:val="nil"/>
              <w:bottom w:val="nil"/>
              <w:right w:val="single" w:sz="4" w:space="0" w:color="auto"/>
            </w:tcBorders>
            <w:shd w:val="clear" w:color="000000" w:fill="FFFFFF"/>
            <w:noWrap/>
            <w:vAlign w:val="center"/>
            <w:hideMark/>
          </w:tcPr>
          <w:p w:rsidR="004E6D30" w:rsidRPr="00B31164" w:rsidRDefault="004E6D30">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50,839</w:t>
            </w:r>
          </w:p>
        </w:tc>
      </w:tr>
      <w:tr w:rsidR="004E6D30" w:rsidRPr="00B31164" w:rsidTr="00A200D5">
        <w:trPr>
          <w:trHeight w:val="284"/>
          <w:jc w:val="center"/>
        </w:trPr>
        <w:tc>
          <w:tcPr>
            <w:tcW w:w="5144" w:type="dxa"/>
            <w:tcBorders>
              <w:top w:val="nil"/>
              <w:left w:val="single" w:sz="4" w:space="0" w:color="auto"/>
              <w:bottom w:val="nil"/>
              <w:right w:val="nil"/>
            </w:tcBorders>
            <w:shd w:val="clear" w:color="000000" w:fill="FFFFFF"/>
            <w:noWrap/>
            <w:vAlign w:val="center"/>
            <w:hideMark/>
          </w:tcPr>
          <w:p w:rsidR="004E6D30" w:rsidRPr="00B31164" w:rsidRDefault="004E6D30" w:rsidP="005272A1">
            <w:pPr>
              <w:ind w:firstLineChars="100" w:firstLine="160"/>
              <w:rPr>
                <w:rFonts w:eastAsia="Times New Roman"/>
                <w:color w:val="000000"/>
                <w:sz w:val="16"/>
                <w:szCs w:val="16"/>
                <w:lang w:eastAsia="en-GB"/>
              </w:rPr>
            </w:pPr>
            <w:r w:rsidRPr="00B31164">
              <w:rPr>
                <w:rFonts w:eastAsia="Times New Roman"/>
                <w:color w:val="000000"/>
                <w:sz w:val="16"/>
                <w:szCs w:val="16"/>
                <w:lang w:eastAsia="en-GB"/>
              </w:rPr>
              <w:t>Police Pensions actuarial re</w:t>
            </w:r>
            <w:r>
              <w:rPr>
                <w:rFonts w:eastAsia="Times New Roman"/>
                <w:color w:val="000000"/>
                <w:sz w:val="16"/>
                <w:szCs w:val="16"/>
                <w:lang w:eastAsia="en-GB"/>
              </w:rPr>
              <w:t>-</w:t>
            </w:r>
            <w:r w:rsidRPr="00B31164">
              <w:rPr>
                <w:rFonts w:eastAsia="Times New Roman"/>
                <w:color w:val="000000"/>
                <w:sz w:val="16"/>
                <w:szCs w:val="16"/>
                <w:lang w:eastAsia="en-GB"/>
              </w:rPr>
              <w:t>mea</w:t>
            </w:r>
            <w:r>
              <w:rPr>
                <w:rFonts w:eastAsia="Times New Roman"/>
                <w:color w:val="000000"/>
                <w:sz w:val="16"/>
                <w:szCs w:val="16"/>
                <w:lang w:eastAsia="en-GB"/>
              </w:rPr>
              <w:t>s</w:t>
            </w:r>
            <w:r w:rsidRPr="00B31164">
              <w:rPr>
                <w:rFonts w:eastAsia="Times New Roman"/>
                <w:color w:val="000000"/>
                <w:sz w:val="16"/>
                <w:szCs w:val="16"/>
                <w:lang w:eastAsia="en-GB"/>
              </w:rPr>
              <w:t>urement</w:t>
            </w:r>
          </w:p>
        </w:tc>
        <w:tc>
          <w:tcPr>
            <w:tcW w:w="1519" w:type="dxa"/>
            <w:tcBorders>
              <w:top w:val="nil"/>
              <w:left w:val="single" w:sz="4" w:space="0" w:color="auto"/>
              <w:bottom w:val="nil"/>
              <w:right w:val="single" w:sz="4" w:space="0" w:color="auto"/>
            </w:tcBorders>
            <w:shd w:val="clear" w:color="000000" w:fill="FFFFFF"/>
            <w:noWrap/>
            <w:vAlign w:val="center"/>
            <w:hideMark/>
          </w:tcPr>
          <w:p w:rsidR="004E6D30" w:rsidRPr="00B31164" w:rsidRDefault="004E6D30" w:rsidP="005272A1">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0</w:t>
            </w:r>
          </w:p>
        </w:tc>
        <w:tc>
          <w:tcPr>
            <w:tcW w:w="1573" w:type="dxa"/>
            <w:tcBorders>
              <w:top w:val="nil"/>
              <w:left w:val="nil"/>
              <w:bottom w:val="nil"/>
              <w:right w:val="single" w:sz="4" w:space="0" w:color="auto"/>
            </w:tcBorders>
            <w:shd w:val="clear" w:color="000000" w:fill="FFFFFF"/>
            <w:noWrap/>
            <w:vAlign w:val="center"/>
            <w:hideMark/>
          </w:tcPr>
          <w:p w:rsidR="004E6D30" w:rsidRPr="00B31164" w:rsidRDefault="004E6D30">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14</w:t>
            </w:r>
            <w:r w:rsidR="0023131F">
              <w:rPr>
                <w:rFonts w:eastAsia="Times New Roman"/>
                <w:color w:val="000000"/>
                <w:sz w:val="16"/>
                <w:szCs w:val="16"/>
                <w:lang w:eastAsia="en-GB"/>
              </w:rPr>
              <w:t>1</w:t>
            </w:r>
            <w:r w:rsidRPr="00B31164">
              <w:rPr>
                <w:rFonts w:eastAsia="Times New Roman"/>
                <w:color w:val="000000"/>
                <w:sz w:val="16"/>
                <w:szCs w:val="16"/>
                <w:lang w:eastAsia="en-GB"/>
              </w:rPr>
              <w:t>,</w:t>
            </w:r>
            <w:r w:rsidR="0023131F">
              <w:rPr>
                <w:rFonts w:eastAsia="Times New Roman"/>
                <w:color w:val="000000"/>
                <w:sz w:val="16"/>
                <w:szCs w:val="16"/>
                <w:lang w:eastAsia="en-GB"/>
              </w:rPr>
              <w:t>16</w:t>
            </w:r>
            <w:r w:rsidRPr="00B31164">
              <w:rPr>
                <w:rFonts w:eastAsia="Times New Roman"/>
                <w:color w:val="000000"/>
                <w:sz w:val="16"/>
                <w:szCs w:val="16"/>
                <w:lang w:eastAsia="en-GB"/>
              </w:rPr>
              <w:t>0</w:t>
            </w:r>
          </w:p>
        </w:tc>
        <w:tc>
          <w:tcPr>
            <w:tcW w:w="1350" w:type="dxa"/>
            <w:tcBorders>
              <w:top w:val="nil"/>
              <w:left w:val="nil"/>
              <w:bottom w:val="nil"/>
              <w:right w:val="single" w:sz="4" w:space="0" w:color="auto"/>
            </w:tcBorders>
            <w:shd w:val="clear" w:color="000000" w:fill="FFFFFF"/>
            <w:noWrap/>
            <w:vAlign w:val="center"/>
            <w:hideMark/>
          </w:tcPr>
          <w:p w:rsidR="004E6D30" w:rsidRPr="00B31164" w:rsidRDefault="004E6D30">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14</w:t>
            </w:r>
            <w:r w:rsidR="0023131F">
              <w:rPr>
                <w:rFonts w:eastAsia="Times New Roman"/>
                <w:color w:val="000000"/>
                <w:sz w:val="16"/>
                <w:szCs w:val="16"/>
                <w:lang w:eastAsia="en-GB"/>
              </w:rPr>
              <w:t>1</w:t>
            </w:r>
            <w:r w:rsidRPr="00B31164">
              <w:rPr>
                <w:rFonts w:eastAsia="Times New Roman"/>
                <w:color w:val="000000"/>
                <w:sz w:val="16"/>
                <w:szCs w:val="16"/>
                <w:lang w:eastAsia="en-GB"/>
              </w:rPr>
              <w:t>,</w:t>
            </w:r>
            <w:r w:rsidR="0023131F">
              <w:rPr>
                <w:rFonts w:eastAsia="Times New Roman"/>
                <w:color w:val="000000"/>
                <w:sz w:val="16"/>
                <w:szCs w:val="16"/>
                <w:lang w:eastAsia="en-GB"/>
              </w:rPr>
              <w:t>16</w:t>
            </w:r>
            <w:r w:rsidRPr="00B31164">
              <w:rPr>
                <w:rFonts w:eastAsia="Times New Roman"/>
                <w:color w:val="000000"/>
                <w:sz w:val="16"/>
                <w:szCs w:val="16"/>
                <w:lang w:eastAsia="en-GB"/>
              </w:rPr>
              <w:t>0</w:t>
            </w:r>
          </w:p>
        </w:tc>
      </w:tr>
      <w:tr w:rsidR="004E6D30" w:rsidRPr="00B31164" w:rsidTr="00A200D5">
        <w:trPr>
          <w:trHeight w:val="284"/>
          <w:jc w:val="center"/>
        </w:trPr>
        <w:tc>
          <w:tcPr>
            <w:tcW w:w="5144" w:type="dxa"/>
            <w:tcBorders>
              <w:top w:val="single" w:sz="4" w:space="0" w:color="auto"/>
              <w:left w:val="single" w:sz="4" w:space="0" w:color="auto"/>
              <w:bottom w:val="single" w:sz="4" w:space="0" w:color="auto"/>
              <w:right w:val="nil"/>
            </w:tcBorders>
            <w:shd w:val="clear" w:color="000000" w:fill="FFFFFF"/>
            <w:noWrap/>
            <w:vAlign w:val="center"/>
            <w:hideMark/>
          </w:tcPr>
          <w:p w:rsidR="004E6D30" w:rsidRPr="00B31164" w:rsidRDefault="004E6D30" w:rsidP="005272A1">
            <w:pPr>
              <w:ind w:firstLineChars="100" w:firstLine="161"/>
              <w:rPr>
                <w:rFonts w:eastAsia="Times New Roman"/>
                <w:b/>
                <w:bCs/>
                <w:color w:val="000000"/>
                <w:sz w:val="16"/>
                <w:szCs w:val="16"/>
                <w:lang w:eastAsia="en-GB"/>
              </w:rPr>
            </w:pPr>
            <w:r w:rsidRPr="00B31164">
              <w:rPr>
                <w:rFonts w:eastAsia="Times New Roman"/>
                <w:b/>
                <w:bCs/>
                <w:color w:val="000000"/>
                <w:sz w:val="16"/>
                <w:szCs w:val="16"/>
                <w:lang w:eastAsia="en-GB"/>
              </w:rPr>
              <w:t>Total shown in Other CIES</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D30" w:rsidRPr="00B31164" w:rsidRDefault="004E6D30" w:rsidP="005272A1">
            <w:pPr>
              <w:ind w:firstLineChars="100" w:firstLine="161"/>
              <w:jc w:val="right"/>
              <w:rPr>
                <w:rFonts w:eastAsia="Times New Roman"/>
                <w:b/>
                <w:bCs/>
                <w:color w:val="000000"/>
                <w:sz w:val="16"/>
                <w:szCs w:val="16"/>
                <w:lang w:eastAsia="en-GB"/>
              </w:rPr>
            </w:pPr>
            <w:r w:rsidRPr="00B31164">
              <w:rPr>
                <w:rFonts w:eastAsia="Times New Roman"/>
                <w:b/>
                <w:bCs/>
                <w:color w:val="000000"/>
                <w:sz w:val="16"/>
                <w:szCs w:val="16"/>
                <w:lang w:eastAsia="en-GB"/>
              </w:rPr>
              <w:t>(1,262)</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4E6D30" w:rsidRPr="00B31164" w:rsidRDefault="004E6D30">
            <w:pPr>
              <w:ind w:firstLineChars="100" w:firstLine="161"/>
              <w:jc w:val="right"/>
              <w:rPr>
                <w:rFonts w:eastAsia="Times New Roman"/>
                <w:b/>
                <w:bCs/>
                <w:color w:val="000000"/>
                <w:sz w:val="16"/>
                <w:szCs w:val="16"/>
                <w:lang w:eastAsia="en-GB"/>
              </w:rPr>
            </w:pPr>
            <w:r w:rsidRPr="00B31164">
              <w:rPr>
                <w:rFonts w:eastAsia="Times New Roman"/>
                <w:b/>
                <w:bCs/>
                <w:color w:val="000000"/>
                <w:sz w:val="16"/>
                <w:szCs w:val="16"/>
                <w:lang w:eastAsia="en-GB"/>
              </w:rPr>
              <w:t>19</w:t>
            </w:r>
            <w:r w:rsidR="0023131F">
              <w:rPr>
                <w:rFonts w:eastAsia="Times New Roman"/>
                <w:b/>
                <w:bCs/>
                <w:color w:val="000000"/>
                <w:sz w:val="16"/>
                <w:szCs w:val="16"/>
                <w:lang w:eastAsia="en-GB"/>
              </w:rPr>
              <w:t>3</w:t>
            </w:r>
            <w:r w:rsidRPr="00B31164">
              <w:rPr>
                <w:rFonts w:eastAsia="Times New Roman"/>
                <w:b/>
                <w:bCs/>
                <w:color w:val="000000"/>
                <w:sz w:val="16"/>
                <w:szCs w:val="16"/>
                <w:lang w:eastAsia="en-GB"/>
              </w:rPr>
              <w:t>,</w:t>
            </w:r>
            <w:r w:rsidR="0023131F">
              <w:rPr>
                <w:rFonts w:eastAsia="Times New Roman"/>
                <w:b/>
                <w:bCs/>
                <w:color w:val="000000"/>
                <w:sz w:val="16"/>
                <w:szCs w:val="16"/>
                <w:lang w:eastAsia="en-GB"/>
              </w:rPr>
              <w:t>261</w:t>
            </w:r>
          </w:p>
        </w:tc>
        <w:tc>
          <w:tcPr>
            <w:tcW w:w="1350" w:type="dxa"/>
            <w:tcBorders>
              <w:top w:val="single" w:sz="4" w:space="0" w:color="auto"/>
              <w:left w:val="nil"/>
              <w:bottom w:val="single" w:sz="4" w:space="0" w:color="auto"/>
              <w:right w:val="single" w:sz="4" w:space="0" w:color="auto"/>
            </w:tcBorders>
            <w:shd w:val="clear" w:color="000000" w:fill="FFFFFF"/>
            <w:noWrap/>
            <w:vAlign w:val="center"/>
            <w:hideMark/>
          </w:tcPr>
          <w:p w:rsidR="004E6D30" w:rsidRPr="00B31164" w:rsidRDefault="004E6D30">
            <w:pPr>
              <w:ind w:firstLineChars="100" w:firstLine="161"/>
              <w:jc w:val="right"/>
              <w:rPr>
                <w:rFonts w:eastAsia="Times New Roman"/>
                <w:b/>
                <w:bCs/>
                <w:color w:val="000000"/>
                <w:sz w:val="16"/>
                <w:szCs w:val="16"/>
                <w:lang w:eastAsia="en-GB"/>
              </w:rPr>
            </w:pPr>
            <w:r w:rsidRPr="00B31164">
              <w:rPr>
                <w:rFonts w:eastAsia="Times New Roman"/>
                <w:b/>
                <w:bCs/>
                <w:color w:val="000000"/>
                <w:sz w:val="16"/>
                <w:szCs w:val="16"/>
                <w:lang w:eastAsia="en-GB"/>
              </w:rPr>
              <w:t>191,</w:t>
            </w:r>
            <w:r w:rsidR="0023131F">
              <w:rPr>
                <w:rFonts w:eastAsia="Times New Roman"/>
                <w:b/>
                <w:bCs/>
                <w:color w:val="000000"/>
                <w:sz w:val="16"/>
                <w:szCs w:val="16"/>
                <w:lang w:eastAsia="en-GB"/>
              </w:rPr>
              <w:t>99</w:t>
            </w:r>
            <w:r w:rsidRPr="00B31164">
              <w:rPr>
                <w:rFonts w:eastAsia="Times New Roman"/>
                <w:b/>
                <w:bCs/>
                <w:color w:val="000000"/>
                <w:sz w:val="16"/>
                <w:szCs w:val="16"/>
                <w:lang w:eastAsia="en-GB"/>
              </w:rPr>
              <w:t>9</w:t>
            </w:r>
          </w:p>
        </w:tc>
      </w:tr>
    </w:tbl>
    <w:p w:rsidR="004E6D30" w:rsidRDefault="004E6D30" w:rsidP="004E6D30"/>
    <w:tbl>
      <w:tblPr>
        <w:tblW w:w="0" w:type="auto"/>
        <w:jc w:val="center"/>
        <w:tblLayout w:type="fixed"/>
        <w:tblLook w:val="04A0" w:firstRow="1" w:lastRow="0" w:firstColumn="1" w:lastColumn="0" w:noHBand="0" w:noVBand="1"/>
      </w:tblPr>
      <w:tblGrid>
        <w:gridCol w:w="1335"/>
        <w:gridCol w:w="180"/>
        <w:gridCol w:w="3225"/>
        <w:gridCol w:w="1335"/>
      </w:tblGrid>
      <w:tr w:rsidR="004D417B" w:rsidTr="00F32EC6">
        <w:trPr>
          <w:trHeight w:val="300"/>
          <w:jc w:val="center"/>
        </w:trPr>
        <w:tc>
          <w:tcPr>
            <w:tcW w:w="6075" w:type="dxa"/>
            <w:gridSpan w:val="4"/>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lang w:val="en-GB"/>
              </w:rPr>
            </w:pPr>
            <w:r>
              <w:rPr>
                <w:rFonts w:ascii="Verdana" w:eastAsia="Verdana" w:hAnsi="Verdana" w:cs="Verdana"/>
                <w:b/>
                <w:color w:val="000000"/>
                <w:lang w:val="en-GB"/>
              </w:rPr>
              <w:t>Collection Fund Adjustment Account</w:t>
            </w:r>
          </w:p>
        </w:tc>
      </w:tr>
      <w:tr w:rsidR="004D417B" w:rsidTr="00F32EC6">
        <w:trPr>
          <w:trHeight w:hRule="exact" w:val="360"/>
          <w:jc w:val="center"/>
        </w:trPr>
        <w:tc>
          <w:tcPr>
            <w:tcW w:w="1335"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80"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F32EC6">
        <w:trPr>
          <w:trHeight w:val="300"/>
          <w:jc w:val="center"/>
        </w:trPr>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F32EC6">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F32EC6">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(1,036)</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 xml:space="preserve">Balance 1 April </w:t>
            </w:r>
          </w:p>
        </w:tc>
        <w:tc>
          <w:tcPr>
            <w:tcW w:w="1335" w:type="dxa"/>
            <w:shd w:val="clear" w:color="auto" w:fill="auto"/>
            <w:tcMar>
              <w:top w:w="20" w:type="dxa"/>
              <w:left w:w="20" w:type="dxa"/>
              <w:bottom w:w="20" w:type="dxa"/>
              <w:right w:w="20" w:type="dxa"/>
            </w:tcMar>
          </w:tcPr>
          <w:p w:rsidR="00CA6653" w:rsidRDefault="00CA6653" w:rsidP="001F13B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1F13B5">
              <w:rPr>
                <w:rFonts w:ascii="Verdana" w:eastAsia="Verdana" w:hAnsi="Verdana" w:cs="Verdana"/>
                <w:color w:val="000000"/>
                <w:sz w:val="16"/>
                <w:lang w:val="en-GB"/>
              </w:rPr>
              <w:t>321</w:t>
            </w:r>
            <w:r>
              <w:rPr>
                <w:rFonts w:ascii="Verdana" w:eastAsia="Verdana" w:hAnsi="Verdana" w:cs="Verdana"/>
                <w:color w:val="000000"/>
                <w:sz w:val="16"/>
                <w:lang w:val="en-GB"/>
              </w:rPr>
              <w:t>)</w:t>
            </w:r>
          </w:p>
        </w:tc>
      </w:tr>
      <w:tr w:rsidR="004D417B" w:rsidTr="00F32EC6">
        <w:trPr>
          <w:trHeight w:val="168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715</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 by which council tax and non-domestic rates income credited to the Comprehensive Income and Expenditure Statement is different from council tax income calculated for the year in accordance with statutory requirements</w:t>
            </w:r>
          </w:p>
        </w:tc>
        <w:tc>
          <w:tcPr>
            <w:tcW w:w="1335" w:type="dxa"/>
            <w:shd w:val="clear" w:color="auto" w:fill="auto"/>
            <w:tcMar>
              <w:top w:w="20" w:type="dxa"/>
              <w:left w:w="20" w:type="dxa"/>
              <w:bottom w:w="20" w:type="dxa"/>
              <w:right w:w="20" w:type="dxa"/>
            </w:tcMar>
          </w:tcPr>
          <w:p w:rsidR="00CA6653" w:rsidRDefault="00851B3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(89)</w:t>
            </w:r>
          </w:p>
        </w:tc>
      </w:tr>
      <w:tr w:rsidR="004D417B" w:rsidTr="00F32EC6">
        <w:trPr>
          <w:trHeight w:val="31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(321)</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31 March </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851B3C">
              <w:rPr>
                <w:rFonts w:ascii="Verdana" w:eastAsia="Verdana" w:hAnsi="Verdana" w:cs="Verdana"/>
                <w:b/>
                <w:color w:val="000000"/>
                <w:sz w:val="16"/>
                <w:lang w:val="en-GB"/>
              </w:rPr>
              <w:t>410</w:t>
            </w:r>
            <w:r>
              <w:rPr>
                <w:rFonts w:ascii="Verdana" w:eastAsia="Verdana" w:hAnsi="Verdana" w:cs="Verdana"/>
                <w:b/>
                <w:color w:val="000000"/>
                <w:sz w:val="16"/>
                <w:lang w:val="en-GB"/>
              </w:rPr>
              <w:t>)</w:t>
            </w:r>
          </w:p>
        </w:tc>
      </w:tr>
    </w:tbl>
    <w:p w:rsidR="00CA6653" w:rsidRDefault="00CA6653">
      <w:pPr>
        <w:pStyle w:val="T1TableStyle"/>
        <w:rPr>
          <w:rFonts w:ascii="Verdana" w:eastAsia="Verdana" w:hAnsi="Verdana" w:cs="Verdana"/>
          <w:sz w:val="22"/>
          <w:lang w:val="en-GB"/>
        </w:rPr>
      </w:pPr>
    </w:p>
    <w:p w:rsidR="00EE7B4F" w:rsidRDefault="00937DD9" w:rsidP="00937DD9">
      <w:pPr>
        <w:pStyle w:val="Normal0"/>
        <w:spacing w:after="160"/>
        <w:jc w:val="both"/>
        <w:rPr>
          <w:rFonts w:ascii="Verdana" w:eastAsia="Verdana" w:hAnsi="Verdana" w:cs="Verdana"/>
          <w:sz w:val="22"/>
          <w:szCs w:val="22"/>
          <w:lang w:val="en-GB"/>
        </w:rPr>
      </w:pPr>
      <w:r>
        <w:rPr>
          <w:rFonts w:ascii="Verdana" w:eastAsia="Verdana" w:hAnsi="Verdana" w:cs="Verdana"/>
          <w:sz w:val="22"/>
          <w:lang w:val="en-GB"/>
        </w:rPr>
        <w:t>The Collection Fund Adjustment Account reflects the differences arising from the recognition of council tax income in the Comprehensive Income and Expenditure Statement as it falls due for council tax payers, compared with the statutory arrangements for paying across amounts to the General Fund from the Collection Fund</w:t>
      </w:r>
    </w:p>
    <w:tbl>
      <w:tblPr>
        <w:tblW w:w="0" w:type="auto"/>
        <w:jc w:val="center"/>
        <w:tblLayout w:type="fixed"/>
        <w:tblLook w:val="04A0" w:firstRow="1" w:lastRow="0" w:firstColumn="1" w:lastColumn="0" w:noHBand="0" w:noVBand="1"/>
      </w:tblPr>
      <w:tblGrid>
        <w:gridCol w:w="1335"/>
        <w:gridCol w:w="180"/>
        <w:gridCol w:w="3225"/>
        <w:gridCol w:w="1335"/>
      </w:tblGrid>
      <w:tr w:rsidR="004D417B" w:rsidTr="00F32EC6">
        <w:trPr>
          <w:trHeight w:val="300"/>
          <w:jc w:val="center"/>
        </w:trPr>
        <w:tc>
          <w:tcPr>
            <w:tcW w:w="6075" w:type="dxa"/>
            <w:gridSpan w:val="4"/>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lang w:val="en-GB"/>
              </w:rPr>
            </w:pPr>
            <w:r>
              <w:rPr>
                <w:rFonts w:ascii="Verdana" w:eastAsia="Verdana" w:hAnsi="Verdana" w:cs="Verdana"/>
                <w:b/>
                <w:color w:val="000000"/>
                <w:lang w:val="en-GB"/>
              </w:rPr>
              <w:t>Accumulated Absences Account</w:t>
            </w:r>
          </w:p>
        </w:tc>
      </w:tr>
      <w:tr w:rsidR="004D417B" w:rsidTr="00F32EC6">
        <w:trPr>
          <w:trHeight w:hRule="exact" w:val="300"/>
          <w:jc w:val="center"/>
        </w:trPr>
        <w:tc>
          <w:tcPr>
            <w:tcW w:w="1335"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80"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CA6653" w:rsidRDefault="00CA6653">
            <w:pPr>
              <w:pStyle w:val="T1TableStyle"/>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F32EC6">
        <w:trPr>
          <w:trHeight w:val="300"/>
          <w:jc w:val="center"/>
        </w:trPr>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c>
          <w:tcPr>
            <w:tcW w:w="1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F32EC6">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F32EC6">
        <w:trPr>
          <w:trHeight w:val="30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602</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1 April </w:t>
            </w:r>
          </w:p>
        </w:tc>
        <w:tc>
          <w:tcPr>
            <w:tcW w:w="1335" w:type="dxa"/>
            <w:shd w:val="clear" w:color="auto" w:fill="auto"/>
            <w:tcMar>
              <w:top w:w="20" w:type="dxa"/>
              <w:left w:w="20" w:type="dxa"/>
              <w:bottom w:w="20" w:type="dxa"/>
              <w:right w:w="20" w:type="dxa"/>
            </w:tcMar>
          </w:tcPr>
          <w:p w:rsidR="00CA6653" w:rsidRDefault="00D84BE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908</w:t>
            </w:r>
          </w:p>
        </w:tc>
      </w:tr>
      <w:tr w:rsidR="004D417B" w:rsidTr="00F32EC6">
        <w:trPr>
          <w:trHeight w:val="63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(602)</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Settlement or cancellation of accrual made at the end of the preceding year</w:t>
            </w:r>
          </w:p>
        </w:tc>
        <w:tc>
          <w:tcPr>
            <w:tcW w:w="1335" w:type="dxa"/>
            <w:shd w:val="clear" w:color="auto" w:fill="auto"/>
            <w:tcMar>
              <w:top w:w="20" w:type="dxa"/>
              <w:left w:w="20" w:type="dxa"/>
              <w:bottom w:w="20" w:type="dxa"/>
              <w:right w:w="20" w:type="dxa"/>
            </w:tcMar>
          </w:tcPr>
          <w:p w:rsidR="00CA6653" w:rsidRDefault="00D84BE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(908)</w:t>
            </w:r>
          </w:p>
        </w:tc>
      </w:tr>
      <w:tr w:rsidR="004D417B" w:rsidTr="00F32EC6">
        <w:trPr>
          <w:trHeight w:val="420"/>
          <w:jc w:val="center"/>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908</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Amounts accrued at the end of the current year</w:t>
            </w:r>
          </w:p>
        </w:tc>
        <w:tc>
          <w:tcPr>
            <w:tcW w:w="1335" w:type="dxa"/>
            <w:shd w:val="clear" w:color="auto" w:fill="auto"/>
            <w:tcMar>
              <w:top w:w="20" w:type="dxa"/>
              <w:left w:w="20" w:type="dxa"/>
              <w:bottom w:w="20" w:type="dxa"/>
              <w:right w:w="20" w:type="dxa"/>
            </w:tcMar>
          </w:tcPr>
          <w:p w:rsidR="00CA6653" w:rsidRDefault="00D84BE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1,053</w:t>
            </w:r>
          </w:p>
        </w:tc>
      </w:tr>
      <w:tr w:rsidR="004D417B" w:rsidTr="00F32EC6">
        <w:trPr>
          <w:trHeight w:val="1680"/>
          <w:jc w:val="center"/>
        </w:trPr>
        <w:tc>
          <w:tcPr>
            <w:tcW w:w="133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306</w:t>
            </w:r>
          </w:p>
        </w:tc>
        <w:tc>
          <w:tcPr>
            <w:tcW w:w="180"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22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Amount by which officer remuneration charged to the Comprehensive Income and Expenditure Statement on an accruals basis is different from remuneration chargeable in year in accordance with statutory requirements</w:t>
            </w:r>
          </w:p>
        </w:tc>
        <w:tc>
          <w:tcPr>
            <w:tcW w:w="1335" w:type="dxa"/>
            <w:tcBorders>
              <w:top w:val="single" w:sz="2" w:space="0" w:color="000000"/>
              <w:bottom w:val="single" w:sz="2" w:space="0" w:color="000000"/>
            </w:tcBorders>
            <w:shd w:val="clear" w:color="auto" w:fill="auto"/>
            <w:tcMar>
              <w:top w:w="20" w:type="dxa"/>
              <w:left w:w="20" w:type="dxa"/>
              <w:bottom w:w="20" w:type="dxa"/>
              <w:right w:w="20" w:type="dxa"/>
            </w:tcMar>
          </w:tcPr>
          <w:p w:rsidR="00CA6653" w:rsidRDefault="00D84BE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145</w:t>
            </w:r>
          </w:p>
        </w:tc>
      </w:tr>
      <w:tr w:rsidR="004D417B" w:rsidTr="00F32EC6">
        <w:trPr>
          <w:trHeight w:val="31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908</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 xml:space="preserve">Balance 31 March </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rsidP="00D84BE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r w:rsidR="00D84BE5">
              <w:rPr>
                <w:rFonts w:ascii="Verdana" w:eastAsia="Verdana" w:hAnsi="Verdana" w:cs="Verdana"/>
                <w:b/>
                <w:color w:val="000000"/>
                <w:sz w:val="16"/>
                <w:lang w:val="en-GB"/>
              </w:rPr>
              <w:t>053</w:t>
            </w:r>
          </w:p>
        </w:tc>
      </w:tr>
    </w:tbl>
    <w:p w:rsidR="00CA6653" w:rsidRDefault="00CA6653">
      <w:pPr>
        <w:pStyle w:val="T1TableStyle"/>
        <w:rPr>
          <w:rFonts w:ascii="Verdana" w:eastAsia="Verdana" w:hAnsi="Verdana" w:cs="Verdana"/>
          <w:sz w:val="22"/>
          <w:lang w:val="en-GB"/>
        </w:rPr>
      </w:pPr>
    </w:p>
    <w:p w:rsidR="00CA6653" w:rsidRDefault="00CA6653" w:rsidP="00937DD9">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The Accumulated Absences Account </w:t>
      </w:r>
      <w:r w:rsidR="00937DD9">
        <w:rPr>
          <w:rFonts w:ascii="Verdana" w:eastAsia="Verdana" w:hAnsi="Verdana" w:cs="Verdana"/>
          <w:sz w:val="22"/>
          <w:szCs w:val="22"/>
          <w:lang w:val="en-GB"/>
        </w:rPr>
        <w:t>reflects</w:t>
      </w:r>
      <w:r>
        <w:rPr>
          <w:rFonts w:ascii="Verdana" w:eastAsia="Verdana" w:hAnsi="Verdana" w:cs="Verdana"/>
          <w:sz w:val="22"/>
          <w:szCs w:val="22"/>
          <w:lang w:val="en-GB"/>
        </w:rPr>
        <w:t xml:space="preserve"> the differences that would otherwise arise on the General Fund Balance from accruing for compensated absences earned but not taken in the year, e.g. annual leave entitlement carried forward at 31 March. Statutory arrangements require that the impact on the General Fund Balance is neutralised by transfers to or from the Account.</w:t>
      </w:r>
      <w:r w:rsidR="00D54C7D">
        <w:rPr>
          <w:rFonts w:ascii="Verdana" w:eastAsia="Verdana" w:hAnsi="Verdana" w:cs="Verdana"/>
          <w:sz w:val="22"/>
          <w:szCs w:val="22"/>
          <w:lang w:val="en-GB"/>
        </w:rPr>
        <w:t xml:space="preserve"> The above figures are for the Group and come from the Chief Constable accounts as the PCC had no balances for accumulated absences at the end of the 2019/20 year.</w:t>
      </w:r>
    </w:p>
    <w:p w:rsidR="00D40F36" w:rsidRPr="00A200D5" w:rsidRDefault="00D40F36" w:rsidP="00A200D5">
      <w:pPr>
        <w:rPr>
          <w:lang w:val="en-GB"/>
        </w:rPr>
      </w:pPr>
    </w:p>
    <w:p w:rsidR="00CA6653" w:rsidRPr="00480C30" w:rsidRDefault="00CA6653">
      <w:pPr>
        <w:pStyle w:val="Heading1"/>
      </w:pPr>
      <w:bookmarkStart w:id="33" w:name="_Toc55900423"/>
      <w:r w:rsidRPr="00480C30">
        <w:t>Note 2</w:t>
      </w:r>
      <w:r w:rsidR="00502D6C">
        <w:t>1</w:t>
      </w:r>
      <w:r w:rsidRPr="00480C30">
        <w:t xml:space="preserve"> - Collaborations</w:t>
      </w:r>
      <w:bookmarkEnd w:id="33"/>
    </w:p>
    <w:p w:rsidR="00CA6653" w:rsidRDefault="00CA6653" w:rsidP="00CA6653">
      <w:pPr>
        <w:pStyle w:val="Normal0"/>
        <w:jc w:val="both"/>
        <w:rPr>
          <w:rFonts w:ascii="Verdana" w:hAnsi="Verdana" w:cs="Times New Roman"/>
        </w:rPr>
      </w:pPr>
    </w:p>
    <w:p w:rsidR="00CA6653" w:rsidRPr="00937DD9" w:rsidRDefault="00CA6653" w:rsidP="00CA6653">
      <w:pPr>
        <w:pStyle w:val="Normal0"/>
        <w:jc w:val="both"/>
        <w:rPr>
          <w:rFonts w:ascii="Verdana" w:hAnsi="Verdana" w:cs="Times New Roman"/>
          <w:sz w:val="22"/>
          <w:szCs w:val="22"/>
        </w:rPr>
      </w:pPr>
      <w:r w:rsidRPr="00937DD9">
        <w:rPr>
          <w:rFonts w:ascii="Verdana" w:eastAsia="Calibri" w:hAnsi="Verdana" w:cs="Times New Roman"/>
          <w:sz w:val="22"/>
          <w:szCs w:val="22"/>
        </w:rPr>
        <w:t>The Police and Crime Commissioner and the Chief Constable for Surrey continues to develop joint working arrangements with other agencies principally with other south east region Police and Crime Commissioners and in particular the Sussex Police and Crime Commissioner and Chief Constable.</w:t>
      </w:r>
    </w:p>
    <w:p w:rsidR="00CA6653" w:rsidRPr="00937DD9" w:rsidRDefault="00CA6653" w:rsidP="00CA6653">
      <w:pPr>
        <w:pStyle w:val="Normal0"/>
        <w:jc w:val="both"/>
        <w:rPr>
          <w:rFonts w:ascii="Verdana" w:hAnsi="Verdana" w:cs="Times New Roman"/>
          <w:sz w:val="22"/>
          <w:szCs w:val="22"/>
        </w:rPr>
      </w:pPr>
    </w:p>
    <w:p w:rsidR="00CA6653" w:rsidRPr="00937DD9" w:rsidRDefault="00CA6653" w:rsidP="00CA6653">
      <w:pPr>
        <w:pStyle w:val="Normal0"/>
        <w:jc w:val="both"/>
        <w:rPr>
          <w:rFonts w:ascii="Verdana" w:hAnsi="Verdana" w:cs="Times New Roman"/>
          <w:sz w:val="22"/>
          <w:szCs w:val="22"/>
        </w:rPr>
      </w:pPr>
      <w:r w:rsidRPr="00937DD9">
        <w:rPr>
          <w:rFonts w:ascii="Verdana" w:eastAsia="Calibri" w:hAnsi="Verdana" w:cs="Times New Roman"/>
          <w:sz w:val="22"/>
          <w:szCs w:val="22"/>
        </w:rPr>
        <w:t>The Police and Crime Commissioners and Chief Constables of Surrey and Sussex Police have entered into a legal arrangement (section 22A agreement) to provide a number of services jointly with other police forces.  Each of these services is managed by one of the forces and includes a mix of staff from both forces.  The net cost of each service agreed to be provided jointly under the Section 22A agreement, which cannot be directly attributable to each force, are shared on a formula basis of Surrey 45%; Sussex 55%.</w:t>
      </w:r>
    </w:p>
    <w:p w:rsidR="00CA6653" w:rsidRPr="00937DD9" w:rsidRDefault="00CA6653" w:rsidP="00CA6653">
      <w:pPr>
        <w:pStyle w:val="Normal0"/>
        <w:jc w:val="both"/>
        <w:rPr>
          <w:rFonts w:ascii="Verdana" w:hAnsi="Verdana" w:cs="Times New Roman"/>
          <w:sz w:val="22"/>
          <w:szCs w:val="22"/>
        </w:rPr>
      </w:pPr>
    </w:p>
    <w:p w:rsidR="00CA6653" w:rsidRPr="00937DD9" w:rsidRDefault="00CA6653" w:rsidP="00CA6653">
      <w:pPr>
        <w:pStyle w:val="Normal0"/>
        <w:jc w:val="both"/>
        <w:rPr>
          <w:rFonts w:ascii="Verdana" w:hAnsi="Verdana" w:cs="Times New Roman"/>
          <w:sz w:val="22"/>
          <w:szCs w:val="22"/>
        </w:rPr>
      </w:pPr>
      <w:r w:rsidRPr="00937DD9">
        <w:rPr>
          <w:rFonts w:ascii="Verdana" w:eastAsia="Calibri" w:hAnsi="Verdana" w:cs="Times New Roman"/>
          <w:sz w:val="22"/>
          <w:szCs w:val="22"/>
        </w:rPr>
        <w:t>In 201</w:t>
      </w:r>
      <w:r w:rsidR="00E97CF6" w:rsidRPr="00937DD9">
        <w:rPr>
          <w:rFonts w:ascii="Verdana" w:eastAsia="Calibri" w:hAnsi="Verdana" w:cs="Times New Roman"/>
          <w:sz w:val="22"/>
          <w:szCs w:val="22"/>
        </w:rPr>
        <w:t>9</w:t>
      </w:r>
      <w:r w:rsidRPr="00937DD9">
        <w:rPr>
          <w:rFonts w:ascii="Verdana" w:eastAsia="Calibri" w:hAnsi="Verdana" w:cs="Times New Roman"/>
          <w:sz w:val="22"/>
          <w:szCs w:val="22"/>
        </w:rPr>
        <w:t>/</w:t>
      </w:r>
      <w:r w:rsidR="00E97CF6" w:rsidRPr="00937DD9">
        <w:rPr>
          <w:rFonts w:ascii="Verdana" w:eastAsia="Calibri" w:hAnsi="Verdana" w:cs="Times New Roman"/>
          <w:sz w:val="22"/>
          <w:szCs w:val="22"/>
        </w:rPr>
        <w:t>20</w:t>
      </w:r>
      <w:r w:rsidRPr="00937DD9">
        <w:rPr>
          <w:rFonts w:ascii="Verdana" w:eastAsia="Calibri" w:hAnsi="Verdana" w:cs="Times New Roman"/>
          <w:sz w:val="22"/>
          <w:szCs w:val="22"/>
        </w:rPr>
        <w:t xml:space="preserve"> the services provided jointly, included the Operations and Specialist Crime departments along with a number of support functions and projects.  The Police and Crime Commissioners and Chief Constables for Sussex, Surrey and Thames Valley Police continue to deliver a joint project to procure and implement a new Enterprise Resource Planning system (ERP).</w:t>
      </w:r>
    </w:p>
    <w:p w:rsidR="00CA6653" w:rsidRPr="00937DD9" w:rsidRDefault="00CA6653" w:rsidP="00CA6653">
      <w:pPr>
        <w:pStyle w:val="Normal0"/>
        <w:jc w:val="both"/>
        <w:rPr>
          <w:rFonts w:ascii="Verdana" w:hAnsi="Verdana" w:cs="Times New Roman"/>
          <w:sz w:val="22"/>
          <w:szCs w:val="22"/>
        </w:rPr>
      </w:pPr>
    </w:p>
    <w:p w:rsidR="00CA6653" w:rsidRPr="00937DD9" w:rsidRDefault="00CA6653" w:rsidP="00CA6653">
      <w:pPr>
        <w:pStyle w:val="Normal0"/>
        <w:jc w:val="both"/>
        <w:rPr>
          <w:rFonts w:ascii="Verdana" w:eastAsia="Calibri" w:hAnsi="Verdana" w:cs="Times New Roman"/>
          <w:sz w:val="22"/>
          <w:szCs w:val="22"/>
        </w:rPr>
      </w:pPr>
      <w:r w:rsidRPr="00937DD9">
        <w:rPr>
          <w:rFonts w:ascii="Verdana" w:eastAsia="Calibri" w:hAnsi="Verdana" w:cs="Times New Roman"/>
          <w:sz w:val="22"/>
          <w:szCs w:val="22"/>
        </w:rPr>
        <w:t>Each Force accounts for their share of total income and expenditure and assets in the Comprehensive Income and Expenditure Statement and Balance Sheet respectively.  The table below illustrates the Surrey share of the collaborated service costs.</w:t>
      </w:r>
    </w:p>
    <w:p w:rsidR="00B935AA" w:rsidRDefault="00B935AA" w:rsidP="00CA6653">
      <w:pPr>
        <w:pStyle w:val="Normal0"/>
        <w:jc w:val="both"/>
        <w:rPr>
          <w:rFonts w:ascii="Verdana" w:hAnsi="Verdana" w:cs="Times New Roman"/>
        </w:rPr>
      </w:pPr>
    </w:p>
    <w:p w:rsidR="00B935AA" w:rsidRDefault="00B935AA" w:rsidP="00CA6653">
      <w:pPr>
        <w:pStyle w:val="Normal0"/>
        <w:jc w:val="both"/>
        <w:rPr>
          <w:rFonts w:ascii="Verdana" w:hAnsi="Verdana" w:cs="Times New Roman"/>
        </w:rPr>
      </w:pPr>
    </w:p>
    <w:tbl>
      <w:tblPr>
        <w:tblW w:w="7792" w:type="dxa"/>
        <w:jc w:val="center"/>
        <w:tblLook w:val="04A0" w:firstRow="1" w:lastRow="0" w:firstColumn="1" w:lastColumn="0" w:noHBand="0" w:noVBand="1"/>
      </w:tblPr>
      <w:tblGrid>
        <w:gridCol w:w="1271"/>
        <w:gridCol w:w="5245"/>
        <w:gridCol w:w="1276"/>
      </w:tblGrid>
      <w:tr w:rsidR="00937DD9" w:rsidRPr="003D2B8F" w:rsidTr="00937DD9">
        <w:trPr>
          <w:trHeight w:val="634"/>
          <w:jc w:val="center"/>
        </w:trPr>
        <w:tc>
          <w:tcPr>
            <w:tcW w:w="1271" w:type="dxa"/>
            <w:tcBorders>
              <w:top w:val="single" w:sz="4" w:space="0" w:color="auto"/>
              <w:left w:val="single" w:sz="4" w:space="0" w:color="auto"/>
              <w:right w:val="single" w:sz="4" w:space="0" w:color="auto"/>
            </w:tcBorders>
            <w:shd w:val="clear" w:color="000000" w:fill="FFFFFF"/>
            <w:vAlign w:val="center"/>
          </w:tcPr>
          <w:p w:rsidR="00937DD9" w:rsidRPr="00937DD9" w:rsidRDefault="00937DD9" w:rsidP="00937DD9">
            <w:pPr>
              <w:jc w:val="center"/>
              <w:rPr>
                <w:b/>
                <w:lang w:val="en-GB" w:eastAsia="en-GB"/>
              </w:rPr>
            </w:pPr>
            <w:r w:rsidRPr="00937DD9">
              <w:rPr>
                <w:b/>
                <w:lang w:val="en-GB" w:eastAsia="en-GB"/>
              </w:rPr>
              <w:t>Surrey Share</w:t>
            </w:r>
            <w:r w:rsidRPr="00937DD9">
              <w:rPr>
                <w:b/>
                <w:lang w:val="en-GB" w:eastAsia="en-GB"/>
              </w:rPr>
              <w:br/>
              <w:t>2018-19</w:t>
            </w:r>
          </w:p>
        </w:tc>
        <w:tc>
          <w:tcPr>
            <w:tcW w:w="524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37DD9" w:rsidRPr="00937DD9" w:rsidRDefault="00937DD9" w:rsidP="00937DD9">
            <w:pPr>
              <w:jc w:val="center"/>
              <w:rPr>
                <w:b/>
                <w:lang w:val="en-GB" w:eastAsia="en-GB"/>
              </w:rPr>
            </w:pPr>
            <w:r>
              <w:rPr>
                <w:b/>
                <w:lang w:val="en-GB" w:eastAsia="en-GB"/>
              </w:rPr>
              <w:t>Collaboration Area</w:t>
            </w:r>
          </w:p>
        </w:tc>
        <w:tc>
          <w:tcPr>
            <w:tcW w:w="1276" w:type="dxa"/>
            <w:tcBorders>
              <w:top w:val="single" w:sz="4" w:space="0" w:color="auto"/>
              <w:left w:val="nil"/>
              <w:bottom w:val="nil"/>
              <w:right w:val="single" w:sz="4" w:space="0" w:color="auto"/>
            </w:tcBorders>
            <w:shd w:val="clear" w:color="000000" w:fill="FFFFFF"/>
            <w:vAlign w:val="center"/>
            <w:hideMark/>
          </w:tcPr>
          <w:p w:rsidR="00937DD9" w:rsidRPr="00937DD9" w:rsidRDefault="00937DD9" w:rsidP="00937DD9">
            <w:pPr>
              <w:jc w:val="center"/>
              <w:rPr>
                <w:b/>
                <w:lang w:val="en-GB" w:eastAsia="en-GB"/>
              </w:rPr>
            </w:pPr>
            <w:r w:rsidRPr="00937DD9">
              <w:rPr>
                <w:b/>
                <w:lang w:val="en-GB" w:eastAsia="en-GB"/>
              </w:rPr>
              <w:t>Surrey Share</w:t>
            </w:r>
            <w:r w:rsidRPr="00937DD9">
              <w:rPr>
                <w:b/>
                <w:lang w:val="en-GB" w:eastAsia="en-GB"/>
              </w:rPr>
              <w:br/>
              <w:t>2019-20</w:t>
            </w:r>
          </w:p>
        </w:tc>
      </w:tr>
      <w:tr w:rsidR="00937DD9" w:rsidRPr="003D2B8F" w:rsidTr="00937DD9">
        <w:trPr>
          <w:trHeight w:val="243"/>
          <w:jc w:val="center"/>
        </w:trPr>
        <w:tc>
          <w:tcPr>
            <w:tcW w:w="1271" w:type="dxa"/>
            <w:tcBorders>
              <w:left w:val="single" w:sz="4" w:space="0" w:color="auto"/>
              <w:bottom w:val="single" w:sz="4" w:space="0" w:color="auto"/>
              <w:right w:val="single" w:sz="4" w:space="0" w:color="auto"/>
            </w:tcBorders>
            <w:vAlign w:val="center"/>
          </w:tcPr>
          <w:p w:rsidR="00937DD9" w:rsidRPr="00937DD9" w:rsidRDefault="00937DD9" w:rsidP="00937DD9">
            <w:pPr>
              <w:jc w:val="center"/>
              <w:rPr>
                <w:b/>
                <w:lang w:val="en-GB" w:eastAsia="en-GB"/>
              </w:rPr>
            </w:pPr>
            <w:r w:rsidRPr="00937DD9">
              <w:rPr>
                <w:b/>
                <w:lang w:val="en-GB" w:eastAsia="en-GB"/>
              </w:rPr>
              <w:t>£m</w:t>
            </w: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37DD9" w:rsidRPr="00937DD9" w:rsidRDefault="00937DD9" w:rsidP="00937DD9">
            <w:pPr>
              <w:jc w:val="center"/>
              <w:rPr>
                <w:b/>
                <w:lang w:val="en-GB" w:eastAsia="en-GB"/>
              </w:rPr>
            </w:pPr>
          </w:p>
        </w:tc>
        <w:tc>
          <w:tcPr>
            <w:tcW w:w="1276" w:type="dxa"/>
            <w:tcBorders>
              <w:top w:val="nil"/>
              <w:left w:val="nil"/>
              <w:bottom w:val="single" w:sz="4" w:space="0" w:color="auto"/>
              <w:right w:val="single" w:sz="4" w:space="0" w:color="auto"/>
            </w:tcBorders>
            <w:shd w:val="clear" w:color="000000" w:fill="FFFFFF"/>
            <w:noWrap/>
            <w:vAlign w:val="center"/>
            <w:hideMark/>
          </w:tcPr>
          <w:p w:rsidR="00937DD9" w:rsidRPr="00937DD9" w:rsidRDefault="00937DD9" w:rsidP="00937DD9">
            <w:pPr>
              <w:jc w:val="center"/>
              <w:rPr>
                <w:b/>
                <w:lang w:val="en-GB" w:eastAsia="en-GB"/>
              </w:rPr>
            </w:pPr>
            <w:r w:rsidRPr="00937DD9">
              <w:rPr>
                <w:b/>
                <w:lang w:val="en-GB" w:eastAsia="en-GB"/>
              </w:rPr>
              <w:t>£m</w:t>
            </w:r>
          </w:p>
        </w:tc>
      </w:tr>
      <w:tr w:rsidR="00937DD9" w:rsidRPr="003D2B8F" w:rsidTr="00937DD9">
        <w:trPr>
          <w:trHeight w:val="243"/>
          <w:jc w:val="center"/>
        </w:trPr>
        <w:tc>
          <w:tcPr>
            <w:tcW w:w="1271" w:type="dxa"/>
            <w:tcBorders>
              <w:top w:val="single" w:sz="4" w:space="0" w:color="auto"/>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1.0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Change Delivery</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0.6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0.4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 xml:space="preserve">Chief Officers </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0.4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0.7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Enterprise Resource Planning (ERP) Project</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pPr>
              <w:jc w:val="right"/>
              <w:rPr>
                <w:lang w:val="en-GB" w:eastAsia="en-GB"/>
              </w:rPr>
            </w:pPr>
            <w:r w:rsidRPr="003D2B8F">
              <w:rPr>
                <w:lang w:val="en-GB" w:eastAsia="en-GB"/>
              </w:rPr>
              <w:t>1.</w:t>
            </w:r>
            <w:r w:rsidR="00223589">
              <w:rPr>
                <w:lang w:val="en-GB" w:eastAsia="en-GB"/>
              </w:rPr>
              <w:t>8</w:t>
            </w:r>
            <w:r w:rsidRPr="003D2B8F">
              <w:rPr>
                <w:lang w:val="en-GB" w:eastAsia="en-GB"/>
              </w:rPr>
              <w:t xml:space="preserve">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0.6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 xml:space="preserve">Finance  </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pPr>
              <w:jc w:val="right"/>
              <w:rPr>
                <w:lang w:val="en-GB" w:eastAsia="en-GB"/>
              </w:rPr>
            </w:pPr>
            <w:r w:rsidRPr="003D2B8F">
              <w:rPr>
                <w:lang w:val="en-GB" w:eastAsia="en-GB"/>
              </w:rPr>
              <w:t>1.</w:t>
            </w:r>
            <w:r w:rsidR="00223589">
              <w:rPr>
                <w:lang w:val="en-GB" w:eastAsia="en-GB"/>
              </w:rPr>
              <w:t>0</w:t>
            </w:r>
            <w:r w:rsidRPr="003D2B8F">
              <w:rPr>
                <w:lang w:val="en-GB" w:eastAsia="en-GB"/>
              </w:rPr>
              <w:t xml:space="preserve">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0.0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Estates Projects</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0.2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0.1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Insurance</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0.1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4.1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 xml:space="preserve">IT  </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4.9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0.6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IT Projects</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pPr>
              <w:jc w:val="right"/>
              <w:rPr>
                <w:lang w:val="en-GB" w:eastAsia="en-GB"/>
              </w:rPr>
            </w:pPr>
            <w:r w:rsidRPr="003D2B8F">
              <w:rPr>
                <w:lang w:val="en-GB" w:eastAsia="en-GB"/>
              </w:rPr>
              <w:t>1.</w:t>
            </w:r>
            <w:r w:rsidR="00223589">
              <w:rPr>
                <w:lang w:val="en-GB" w:eastAsia="en-GB"/>
              </w:rPr>
              <w:t>3</w:t>
            </w:r>
            <w:r w:rsidRPr="003D2B8F">
              <w:rPr>
                <w:lang w:val="en-GB" w:eastAsia="en-GB"/>
              </w:rPr>
              <w:t xml:space="preserve">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0.2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Procurement</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0.2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0.7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Transport</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0.9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15.1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Operations Department</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16.1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0.0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Operations Projects</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pPr>
              <w:jc w:val="right"/>
              <w:rPr>
                <w:lang w:val="en-GB" w:eastAsia="en-GB"/>
              </w:rPr>
            </w:pPr>
            <w:r w:rsidRPr="003D2B8F">
              <w:rPr>
                <w:lang w:val="en-GB" w:eastAsia="en-GB"/>
              </w:rPr>
              <w:t>0.</w:t>
            </w:r>
            <w:r w:rsidR="00223589">
              <w:rPr>
                <w:lang w:val="en-GB" w:eastAsia="en-GB"/>
              </w:rPr>
              <w:t>1</w:t>
            </w:r>
            <w:r w:rsidRPr="003D2B8F">
              <w:rPr>
                <w:lang w:val="en-GB" w:eastAsia="en-GB"/>
              </w:rPr>
              <w:t xml:space="preserve">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0.1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Health &amp; Safety</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0.1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14.5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Specialist Crime Department</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17.6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3.0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People Services</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3.3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0.5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Digital Enablement</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0.7  </w:t>
            </w:r>
          </w:p>
        </w:tc>
      </w:tr>
      <w:tr w:rsidR="00937DD9" w:rsidRPr="003D2B8F" w:rsidTr="00937DD9">
        <w:trPr>
          <w:trHeight w:val="243"/>
          <w:jc w:val="center"/>
        </w:trPr>
        <w:tc>
          <w:tcPr>
            <w:tcW w:w="1271" w:type="dxa"/>
            <w:tcBorders>
              <w:top w:val="nil"/>
              <w:left w:val="single" w:sz="4" w:space="0" w:color="auto"/>
              <w:bottom w:val="nil"/>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xml:space="preserve">0.3  </w:t>
            </w:r>
          </w:p>
        </w:tc>
        <w:tc>
          <w:tcPr>
            <w:tcW w:w="5245" w:type="dxa"/>
            <w:tcBorders>
              <w:top w:val="nil"/>
              <w:left w:val="single" w:sz="4" w:space="0" w:color="auto"/>
              <w:bottom w:val="nil"/>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Vetting</w:t>
            </w:r>
          </w:p>
        </w:tc>
        <w:tc>
          <w:tcPr>
            <w:tcW w:w="1276" w:type="dxa"/>
            <w:tcBorders>
              <w:top w:val="nil"/>
              <w:left w:val="nil"/>
              <w:bottom w:val="nil"/>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xml:space="preserve">0.4  </w:t>
            </w:r>
          </w:p>
        </w:tc>
      </w:tr>
      <w:tr w:rsidR="00937DD9" w:rsidRPr="003D2B8F" w:rsidTr="00937DD9">
        <w:trPr>
          <w:trHeight w:val="103"/>
          <w:jc w:val="center"/>
        </w:trPr>
        <w:tc>
          <w:tcPr>
            <w:tcW w:w="1271" w:type="dxa"/>
            <w:tcBorders>
              <w:top w:val="nil"/>
              <w:left w:val="single" w:sz="4" w:space="0" w:color="auto"/>
              <w:bottom w:val="single" w:sz="4" w:space="0" w:color="auto"/>
              <w:right w:val="single" w:sz="4" w:space="0" w:color="auto"/>
            </w:tcBorders>
            <w:shd w:val="clear" w:color="000000" w:fill="FFFFFF"/>
            <w:vAlign w:val="bottom"/>
          </w:tcPr>
          <w:p w:rsidR="00937DD9" w:rsidRPr="003D2B8F" w:rsidRDefault="00937DD9" w:rsidP="00937DD9">
            <w:pPr>
              <w:jc w:val="right"/>
              <w:rPr>
                <w:lang w:val="en-GB" w:eastAsia="en-GB"/>
              </w:rPr>
            </w:pPr>
            <w:r w:rsidRPr="003D2B8F">
              <w:rPr>
                <w:lang w:val="en-GB" w:eastAsia="en-GB"/>
              </w:rPr>
              <w:t> </w:t>
            </w:r>
          </w:p>
        </w:tc>
        <w:tc>
          <w:tcPr>
            <w:tcW w:w="5245" w:type="dxa"/>
            <w:tcBorders>
              <w:top w:val="nil"/>
              <w:left w:val="single" w:sz="4" w:space="0" w:color="auto"/>
              <w:bottom w:val="single" w:sz="4" w:space="0" w:color="auto"/>
              <w:right w:val="single" w:sz="4" w:space="0" w:color="auto"/>
            </w:tcBorders>
            <w:shd w:val="clear" w:color="000000" w:fill="FFFFFF"/>
            <w:noWrap/>
            <w:vAlign w:val="bottom"/>
            <w:hideMark/>
          </w:tcPr>
          <w:p w:rsidR="00937DD9" w:rsidRPr="003D2B8F" w:rsidRDefault="00937DD9" w:rsidP="00937DD9">
            <w:pPr>
              <w:rPr>
                <w:lang w:val="en-GB" w:eastAsia="en-GB"/>
              </w:rPr>
            </w:pPr>
            <w:r w:rsidRPr="003D2B8F">
              <w:rPr>
                <w:lang w:val="en-GB" w:eastAsia="en-GB"/>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37DD9" w:rsidRPr="003D2B8F" w:rsidRDefault="00937DD9" w:rsidP="00937DD9">
            <w:pPr>
              <w:jc w:val="right"/>
              <w:rPr>
                <w:lang w:val="en-GB" w:eastAsia="en-GB"/>
              </w:rPr>
            </w:pPr>
            <w:r w:rsidRPr="003D2B8F">
              <w:rPr>
                <w:lang w:val="en-GB" w:eastAsia="en-GB"/>
              </w:rPr>
              <w:t> </w:t>
            </w:r>
          </w:p>
        </w:tc>
      </w:tr>
      <w:tr w:rsidR="00937DD9" w:rsidRPr="003D2B8F" w:rsidTr="00937DD9">
        <w:trPr>
          <w:trHeight w:val="259"/>
          <w:jc w:val="center"/>
        </w:trPr>
        <w:tc>
          <w:tcPr>
            <w:tcW w:w="1271" w:type="dxa"/>
            <w:tcBorders>
              <w:top w:val="nil"/>
              <w:left w:val="single" w:sz="4" w:space="0" w:color="auto"/>
              <w:bottom w:val="single" w:sz="4" w:space="0" w:color="auto"/>
              <w:right w:val="nil"/>
            </w:tcBorders>
            <w:shd w:val="clear" w:color="000000" w:fill="FFFFFF"/>
            <w:vAlign w:val="center"/>
          </w:tcPr>
          <w:p w:rsidR="00937DD9" w:rsidRPr="00937DD9" w:rsidRDefault="00937DD9" w:rsidP="00937DD9">
            <w:pPr>
              <w:jc w:val="right"/>
              <w:rPr>
                <w:b/>
                <w:lang w:val="en-GB" w:eastAsia="en-GB"/>
              </w:rPr>
            </w:pPr>
            <w:r w:rsidRPr="00937DD9">
              <w:rPr>
                <w:b/>
                <w:lang w:val="en-GB" w:eastAsia="en-GB"/>
              </w:rPr>
              <w:t xml:space="preserve">41.9  </w:t>
            </w:r>
          </w:p>
        </w:tc>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rsidR="00937DD9" w:rsidRPr="00937DD9" w:rsidRDefault="00937DD9" w:rsidP="00937DD9">
            <w:pPr>
              <w:rPr>
                <w:b/>
                <w:lang w:val="en-GB" w:eastAsia="en-GB"/>
              </w:rPr>
            </w:pPr>
            <w:r w:rsidRPr="00937DD9">
              <w:rPr>
                <w:b/>
                <w:lang w:val="en-GB" w:eastAsia="en-GB"/>
              </w:rPr>
              <w:t> Total</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7DD9" w:rsidRPr="00937DD9" w:rsidRDefault="00937DD9">
            <w:pPr>
              <w:jc w:val="right"/>
              <w:rPr>
                <w:b/>
                <w:lang w:val="en-GB" w:eastAsia="en-GB"/>
              </w:rPr>
            </w:pPr>
            <w:r w:rsidRPr="00937DD9">
              <w:rPr>
                <w:b/>
                <w:lang w:val="en-GB" w:eastAsia="en-GB"/>
              </w:rPr>
              <w:t>49.</w:t>
            </w:r>
            <w:r w:rsidR="00223589">
              <w:rPr>
                <w:b/>
                <w:lang w:val="en-GB" w:eastAsia="en-GB"/>
              </w:rPr>
              <w:t>7</w:t>
            </w:r>
            <w:r w:rsidRPr="00937DD9">
              <w:rPr>
                <w:b/>
                <w:lang w:val="en-GB" w:eastAsia="en-GB"/>
              </w:rPr>
              <w:t xml:space="preserve">  </w:t>
            </w:r>
          </w:p>
        </w:tc>
      </w:tr>
    </w:tbl>
    <w:p w:rsidR="00CA6653" w:rsidRDefault="00CA6653" w:rsidP="00CA6653">
      <w:pPr>
        <w:pStyle w:val="Normal0"/>
        <w:jc w:val="center"/>
        <w:rPr>
          <w:rFonts w:ascii="Verdana" w:hAnsi="Verdana" w:cs="Times New Roman"/>
        </w:rPr>
      </w:pPr>
    </w:p>
    <w:p w:rsidR="00CA6653" w:rsidRPr="006B1B97" w:rsidRDefault="00502D6C" w:rsidP="00A31A9E">
      <w:pPr>
        <w:pStyle w:val="Heading1"/>
      </w:pPr>
      <w:bookmarkStart w:id="34" w:name="_Toc55900424"/>
      <w:r w:rsidRPr="006B1B97">
        <w:t>Note 22</w:t>
      </w:r>
      <w:r w:rsidR="00CA6653" w:rsidRPr="006B1B97">
        <w:t xml:space="preserve"> - Lease</w:t>
      </w:r>
      <w:r w:rsidR="00827814">
        <w:t>s</w:t>
      </w:r>
      <w:bookmarkEnd w:id="34"/>
      <w:r w:rsidR="00CA6653" w:rsidRPr="006B1B97">
        <w:t xml:space="preserve"> </w:t>
      </w:r>
    </w:p>
    <w:p w:rsidR="00AE5166" w:rsidRDefault="00AE5166" w:rsidP="00AE5166">
      <w:pPr>
        <w:pStyle w:val="Normal0"/>
        <w:spacing w:after="160"/>
        <w:jc w:val="both"/>
        <w:rPr>
          <w:rFonts w:ascii="Verdana" w:eastAsia="Calibri" w:hAnsi="Verdana" w:cs="Arial"/>
          <w:sz w:val="22"/>
          <w:szCs w:val="22"/>
        </w:rPr>
      </w:pPr>
      <w:r>
        <w:rPr>
          <w:rFonts w:ascii="Verdana" w:eastAsia="Calibri" w:hAnsi="Verdana" w:cs="Arial"/>
          <w:sz w:val="22"/>
          <w:szCs w:val="22"/>
        </w:rPr>
        <w:t>The Group as a Lessee</w:t>
      </w:r>
    </w:p>
    <w:p w:rsidR="00CA6653" w:rsidRPr="006B1B97" w:rsidRDefault="00CA6653" w:rsidP="00B57D1B">
      <w:pPr>
        <w:pStyle w:val="Normal0"/>
        <w:spacing w:after="160"/>
        <w:jc w:val="both"/>
        <w:rPr>
          <w:rFonts w:ascii="Verdana" w:eastAsia="Verdana" w:hAnsi="Verdana" w:cs="Verdana"/>
          <w:sz w:val="22"/>
          <w:szCs w:val="22"/>
          <w:lang w:val="en-GB"/>
        </w:rPr>
      </w:pPr>
      <w:r w:rsidRPr="006B1B97">
        <w:rPr>
          <w:rFonts w:ascii="Verdana" w:eastAsia="Verdana" w:hAnsi="Verdana" w:cs="Verdana"/>
          <w:sz w:val="22"/>
          <w:szCs w:val="22"/>
          <w:lang w:val="en-GB"/>
        </w:rPr>
        <w:t>As at the 31 March 20</w:t>
      </w:r>
      <w:r w:rsidR="006B1B97" w:rsidRPr="006B1B97">
        <w:rPr>
          <w:rFonts w:ascii="Verdana" w:eastAsia="Verdana" w:hAnsi="Verdana" w:cs="Verdana"/>
          <w:sz w:val="22"/>
          <w:szCs w:val="22"/>
          <w:lang w:val="en-GB"/>
        </w:rPr>
        <w:t>20</w:t>
      </w:r>
      <w:r w:rsidRPr="006B1B97">
        <w:rPr>
          <w:rFonts w:ascii="Verdana" w:eastAsia="Verdana" w:hAnsi="Verdana" w:cs="Verdana"/>
          <w:sz w:val="22"/>
          <w:szCs w:val="22"/>
          <w:lang w:val="en-GB"/>
        </w:rPr>
        <w:t xml:space="preserve"> the Group had the following future obligations in respect of operating leases:</w:t>
      </w:r>
    </w:p>
    <w:p w:rsidR="00CA6653" w:rsidRPr="006B1B97" w:rsidRDefault="00CA6653" w:rsidP="00B57D1B">
      <w:pPr>
        <w:pStyle w:val="Normal0"/>
        <w:spacing w:after="160"/>
        <w:jc w:val="both"/>
        <w:rPr>
          <w:rFonts w:ascii="Verdana" w:eastAsia="Verdana" w:hAnsi="Verdana" w:cs="Verdana"/>
          <w:sz w:val="22"/>
          <w:szCs w:val="22"/>
          <w:lang w:val="en-GB"/>
        </w:rPr>
      </w:pPr>
      <w:r w:rsidRPr="006B1B97">
        <w:rPr>
          <w:rFonts w:ascii="Verdana" w:eastAsia="Verdana" w:hAnsi="Verdana" w:cs="Verdana"/>
          <w:sz w:val="22"/>
          <w:szCs w:val="22"/>
          <w:lang w:val="en-GB"/>
        </w:rPr>
        <w:t>Vehicles, Plant, Furniture and Equipment</w:t>
      </w:r>
    </w:p>
    <w:p w:rsidR="00CA6653" w:rsidRPr="006B1B97" w:rsidRDefault="00CA6653" w:rsidP="00B57D1B">
      <w:pPr>
        <w:pStyle w:val="Normal0"/>
        <w:spacing w:after="160"/>
        <w:jc w:val="both"/>
        <w:rPr>
          <w:rFonts w:ascii="Verdana" w:eastAsia="Verdana" w:hAnsi="Verdana" w:cs="Verdana"/>
          <w:sz w:val="22"/>
          <w:szCs w:val="22"/>
          <w:lang w:val="en-GB"/>
        </w:rPr>
      </w:pPr>
      <w:r w:rsidRPr="006B1B97">
        <w:rPr>
          <w:rFonts w:ascii="Verdana" w:eastAsia="Verdana" w:hAnsi="Verdana" w:cs="Verdana"/>
          <w:sz w:val="22"/>
          <w:szCs w:val="22"/>
          <w:lang w:val="en-GB"/>
        </w:rPr>
        <w:t xml:space="preserve">The Group </w:t>
      </w:r>
      <w:r w:rsidR="00D33DEF">
        <w:rPr>
          <w:rFonts w:ascii="Verdana" w:eastAsia="Verdana" w:hAnsi="Verdana" w:cs="Verdana"/>
          <w:sz w:val="22"/>
          <w:szCs w:val="22"/>
          <w:lang w:val="en-GB"/>
        </w:rPr>
        <w:t xml:space="preserve">did not </w:t>
      </w:r>
      <w:r w:rsidRPr="006B1B97">
        <w:rPr>
          <w:rFonts w:ascii="Verdana" w:eastAsia="Verdana" w:hAnsi="Verdana" w:cs="Verdana"/>
          <w:sz w:val="22"/>
          <w:szCs w:val="22"/>
          <w:lang w:val="en-GB"/>
        </w:rPr>
        <w:t>enter</w:t>
      </w:r>
      <w:r w:rsidR="00D33DEF">
        <w:rPr>
          <w:rFonts w:ascii="Verdana" w:eastAsia="Verdana" w:hAnsi="Verdana" w:cs="Verdana"/>
          <w:sz w:val="22"/>
          <w:szCs w:val="22"/>
          <w:lang w:val="en-GB"/>
        </w:rPr>
        <w:t xml:space="preserve"> </w:t>
      </w:r>
      <w:r w:rsidRPr="006B1B97">
        <w:rPr>
          <w:rFonts w:ascii="Verdana" w:eastAsia="Verdana" w:hAnsi="Verdana" w:cs="Verdana"/>
          <w:sz w:val="22"/>
          <w:szCs w:val="22"/>
          <w:lang w:val="en-GB"/>
        </w:rPr>
        <w:t>into</w:t>
      </w:r>
      <w:r w:rsidR="00D33DEF">
        <w:rPr>
          <w:rFonts w:ascii="Verdana" w:eastAsia="Verdana" w:hAnsi="Verdana" w:cs="Verdana"/>
          <w:sz w:val="22"/>
          <w:szCs w:val="22"/>
          <w:lang w:val="en-GB"/>
        </w:rPr>
        <w:t xml:space="preserve"> any new </w:t>
      </w:r>
      <w:r w:rsidRPr="006B1B97">
        <w:rPr>
          <w:rFonts w:ascii="Verdana" w:eastAsia="Verdana" w:hAnsi="Verdana" w:cs="Verdana"/>
          <w:sz w:val="22"/>
          <w:szCs w:val="22"/>
          <w:lang w:val="en-GB"/>
        </w:rPr>
        <w:t>operating leases for this category during 201</w:t>
      </w:r>
      <w:r w:rsidR="006B1B97" w:rsidRPr="006B1B97">
        <w:rPr>
          <w:rFonts w:ascii="Verdana" w:eastAsia="Verdana" w:hAnsi="Verdana" w:cs="Verdana"/>
          <w:sz w:val="22"/>
          <w:szCs w:val="22"/>
          <w:lang w:val="en-GB"/>
        </w:rPr>
        <w:t>9</w:t>
      </w:r>
      <w:r w:rsidRPr="006B1B97">
        <w:rPr>
          <w:rFonts w:ascii="Verdana" w:eastAsia="Verdana" w:hAnsi="Verdana" w:cs="Verdana"/>
          <w:sz w:val="22"/>
          <w:szCs w:val="22"/>
          <w:lang w:val="en-GB"/>
        </w:rPr>
        <w:t>/</w:t>
      </w:r>
      <w:r w:rsidR="006B1B97" w:rsidRPr="006B1B97">
        <w:rPr>
          <w:rFonts w:ascii="Verdana" w:eastAsia="Verdana" w:hAnsi="Verdana" w:cs="Verdana"/>
          <w:sz w:val="22"/>
          <w:szCs w:val="22"/>
          <w:lang w:val="en-GB"/>
        </w:rPr>
        <w:t>20</w:t>
      </w:r>
      <w:r w:rsidRPr="006B1B97">
        <w:rPr>
          <w:rFonts w:ascii="Verdana" w:eastAsia="Verdana" w:hAnsi="Verdana" w:cs="Verdana"/>
          <w:sz w:val="22"/>
          <w:szCs w:val="22"/>
          <w:lang w:val="en-GB"/>
        </w:rPr>
        <w:t xml:space="preserve">, the lease for printers/photocopiers </w:t>
      </w:r>
      <w:r w:rsidR="006B1B97">
        <w:rPr>
          <w:rFonts w:ascii="Verdana" w:eastAsia="Verdana" w:hAnsi="Verdana" w:cs="Verdana"/>
          <w:sz w:val="22"/>
          <w:szCs w:val="22"/>
          <w:lang w:val="en-GB"/>
        </w:rPr>
        <w:t>was</w:t>
      </w:r>
      <w:r w:rsidRPr="006B1B97">
        <w:rPr>
          <w:rFonts w:ascii="Verdana" w:eastAsia="Verdana" w:hAnsi="Verdana" w:cs="Verdana"/>
          <w:sz w:val="22"/>
          <w:szCs w:val="22"/>
          <w:lang w:val="en-GB"/>
        </w:rPr>
        <w:t xml:space="preserve"> renewed in 2019/20. Payments due in 20</w:t>
      </w:r>
      <w:r w:rsidR="00D33DEF">
        <w:rPr>
          <w:rFonts w:ascii="Verdana" w:eastAsia="Verdana" w:hAnsi="Verdana" w:cs="Verdana"/>
          <w:sz w:val="22"/>
          <w:szCs w:val="22"/>
          <w:lang w:val="en-GB"/>
        </w:rPr>
        <w:t>20</w:t>
      </w:r>
      <w:r w:rsidRPr="006B1B97">
        <w:rPr>
          <w:rFonts w:ascii="Verdana" w:eastAsia="Verdana" w:hAnsi="Verdana" w:cs="Verdana"/>
          <w:sz w:val="22"/>
          <w:szCs w:val="22"/>
          <w:lang w:val="en-GB"/>
        </w:rPr>
        <w:t>/2</w:t>
      </w:r>
      <w:r w:rsidR="00D33DEF">
        <w:rPr>
          <w:rFonts w:ascii="Verdana" w:eastAsia="Verdana" w:hAnsi="Verdana" w:cs="Verdana"/>
          <w:sz w:val="22"/>
          <w:szCs w:val="22"/>
          <w:lang w:val="en-GB"/>
        </w:rPr>
        <w:t>1</w:t>
      </w:r>
      <w:r w:rsidRPr="006B1B97">
        <w:rPr>
          <w:rFonts w:ascii="Verdana" w:eastAsia="Verdana" w:hAnsi="Verdana" w:cs="Verdana"/>
          <w:sz w:val="22"/>
          <w:szCs w:val="22"/>
          <w:lang w:val="en-GB"/>
        </w:rPr>
        <w:t xml:space="preserve"> total £0.1m (201</w:t>
      </w:r>
      <w:r w:rsidR="00D33DEF">
        <w:rPr>
          <w:rFonts w:ascii="Verdana" w:eastAsia="Verdana" w:hAnsi="Verdana" w:cs="Verdana"/>
          <w:sz w:val="22"/>
          <w:szCs w:val="22"/>
          <w:lang w:val="en-GB"/>
        </w:rPr>
        <w:t>9</w:t>
      </w:r>
      <w:r w:rsidRPr="006B1B97">
        <w:rPr>
          <w:rFonts w:ascii="Verdana" w:eastAsia="Verdana" w:hAnsi="Verdana" w:cs="Verdana"/>
          <w:sz w:val="22"/>
          <w:szCs w:val="22"/>
          <w:lang w:val="en-GB"/>
        </w:rPr>
        <w:t>/</w:t>
      </w:r>
      <w:r w:rsidR="00D33DEF">
        <w:rPr>
          <w:rFonts w:ascii="Verdana" w:eastAsia="Verdana" w:hAnsi="Verdana" w:cs="Verdana"/>
          <w:sz w:val="22"/>
          <w:szCs w:val="22"/>
          <w:lang w:val="en-GB"/>
        </w:rPr>
        <w:t>20</w:t>
      </w:r>
      <w:r w:rsidRPr="006B1B97">
        <w:rPr>
          <w:rFonts w:ascii="Verdana" w:eastAsia="Verdana" w:hAnsi="Verdana" w:cs="Verdana"/>
          <w:sz w:val="22"/>
          <w:szCs w:val="22"/>
          <w:lang w:val="en-GB"/>
        </w:rPr>
        <w:t xml:space="preserve"> £0.1m).</w:t>
      </w:r>
    </w:p>
    <w:p w:rsidR="00CA6653" w:rsidRPr="006B1B97" w:rsidRDefault="00CA6653" w:rsidP="00B57D1B">
      <w:pPr>
        <w:pStyle w:val="Normal0"/>
        <w:spacing w:after="160"/>
        <w:jc w:val="both"/>
        <w:rPr>
          <w:rFonts w:ascii="Verdana" w:eastAsia="Verdana" w:hAnsi="Verdana" w:cs="Verdana"/>
          <w:sz w:val="22"/>
          <w:szCs w:val="22"/>
          <w:lang w:val="en-GB"/>
        </w:rPr>
      </w:pPr>
      <w:r w:rsidRPr="006B1B97">
        <w:rPr>
          <w:rFonts w:ascii="Verdana" w:eastAsia="Verdana" w:hAnsi="Verdana" w:cs="Verdana"/>
          <w:sz w:val="22"/>
          <w:szCs w:val="22"/>
          <w:lang w:val="en-GB"/>
        </w:rPr>
        <w:t>Land and Buildings</w:t>
      </w:r>
    </w:p>
    <w:p w:rsidR="00CA6653" w:rsidRPr="006B1B97" w:rsidRDefault="001520C3" w:rsidP="00B57D1B">
      <w:pPr>
        <w:pStyle w:val="Normal0"/>
        <w:spacing w:after="160"/>
        <w:jc w:val="both"/>
        <w:rPr>
          <w:rFonts w:ascii="Verdana" w:eastAsia="Verdana" w:hAnsi="Verdana" w:cs="Verdana"/>
          <w:sz w:val="22"/>
          <w:szCs w:val="22"/>
          <w:lang w:val="en-GB"/>
        </w:rPr>
      </w:pPr>
      <w:r w:rsidRPr="00AB5C55">
        <w:rPr>
          <w:rFonts w:ascii="Verdana" w:eastAsia="Verdana" w:hAnsi="Verdana" w:cs="Verdana"/>
          <w:sz w:val="22"/>
          <w:szCs w:val="22"/>
          <w:lang w:val="en-GB"/>
        </w:rPr>
        <w:t>The Group terminated one</w:t>
      </w:r>
      <w:r w:rsidR="00CA6653" w:rsidRPr="00AB5C55">
        <w:rPr>
          <w:rFonts w:ascii="Verdana" w:eastAsia="Verdana" w:hAnsi="Verdana" w:cs="Verdana"/>
          <w:sz w:val="22"/>
          <w:szCs w:val="22"/>
          <w:lang w:val="en-GB"/>
        </w:rPr>
        <w:t xml:space="preserve">, entered into one and </w:t>
      </w:r>
      <w:r w:rsidRPr="00AB5C55">
        <w:rPr>
          <w:rFonts w:ascii="Verdana" w:eastAsia="Verdana" w:hAnsi="Verdana" w:cs="Verdana"/>
          <w:sz w:val="22"/>
          <w:szCs w:val="22"/>
          <w:lang w:val="en-GB"/>
        </w:rPr>
        <w:t>r</w:t>
      </w:r>
      <w:r>
        <w:rPr>
          <w:rFonts w:ascii="Verdana" w:eastAsia="Verdana" w:hAnsi="Verdana" w:cs="Verdana"/>
          <w:sz w:val="22"/>
          <w:szCs w:val="22"/>
          <w:lang w:val="en-GB"/>
        </w:rPr>
        <w:t>enegotiated three</w:t>
      </w:r>
      <w:r w:rsidR="00CA6653" w:rsidRPr="006B1B97">
        <w:rPr>
          <w:rFonts w:ascii="Verdana" w:eastAsia="Verdana" w:hAnsi="Verdana" w:cs="Verdana"/>
          <w:sz w:val="22"/>
          <w:szCs w:val="22"/>
          <w:lang w:val="en-GB"/>
        </w:rPr>
        <w:t xml:space="preserve"> operating lease</w:t>
      </w:r>
      <w:r w:rsidR="00D33DEF">
        <w:rPr>
          <w:rFonts w:ascii="Verdana" w:eastAsia="Verdana" w:hAnsi="Verdana" w:cs="Verdana"/>
          <w:sz w:val="22"/>
          <w:szCs w:val="22"/>
          <w:lang w:val="en-GB"/>
        </w:rPr>
        <w:t>s</w:t>
      </w:r>
      <w:r w:rsidR="00CA6653" w:rsidRPr="006B1B97">
        <w:rPr>
          <w:rFonts w:ascii="Verdana" w:eastAsia="Verdana" w:hAnsi="Verdana" w:cs="Verdana"/>
          <w:sz w:val="22"/>
          <w:szCs w:val="22"/>
          <w:lang w:val="en-GB"/>
        </w:rPr>
        <w:t xml:space="preserve"> during 201</w:t>
      </w:r>
      <w:r w:rsidR="00D33DEF">
        <w:rPr>
          <w:rFonts w:ascii="Verdana" w:eastAsia="Verdana" w:hAnsi="Verdana" w:cs="Verdana"/>
          <w:sz w:val="22"/>
          <w:szCs w:val="22"/>
          <w:lang w:val="en-GB"/>
        </w:rPr>
        <w:t>9</w:t>
      </w:r>
      <w:r w:rsidR="00CA6653" w:rsidRPr="006B1B97">
        <w:rPr>
          <w:rFonts w:ascii="Verdana" w:eastAsia="Verdana" w:hAnsi="Verdana" w:cs="Verdana"/>
          <w:sz w:val="22"/>
          <w:szCs w:val="22"/>
          <w:lang w:val="en-GB"/>
        </w:rPr>
        <w:t>/</w:t>
      </w:r>
      <w:r w:rsidR="00D33DEF">
        <w:rPr>
          <w:rFonts w:ascii="Verdana" w:eastAsia="Verdana" w:hAnsi="Verdana" w:cs="Verdana"/>
          <w:sz w:val="22"/>
          <w:szCs w:val="22"/>
          <w:lang w:val="en-GB"/>
        </w:rPr>
        <w:t>20</w:t>
      </w:r>
      <w:r w:rsidR="00CA6653" w:rsidRPr="006B1B97">
        <w:rPr>
          <w:rFonts w:ascii="Verdana" w:eastAsia="Verdana" w:hAnsi="Verdana" w:cs="Verdana"/>
          <w:sz w:val="22"/>
          <w:szCs w:val="22"/>
          <w:lang w:val="en-GB"/>
        </w:rPr>
        <w:t>. For these and existing arrangements held under operating leases during 201</w:t>
      </w:r>
      <w:r w:rsidR="00705322">
        <w:rPr>
          <w:rFonts w:ascii="Verdana" w:eastAsia="Verdana" w:hAnsi="Verdana" w:cs="Verdana"/>
          <w:sz w:val="22"/>
          <w:szCs w:val="22"/>
          <w:lang w:val="en-GB"/>
        </w:rPr>
        <w:t>9</w:t>
      </w:r>
      <w:r w:rsidR="00CA6653" w:rsidRPr="006B1B97">
        <w:rPr>
          <w:rFonts w:ascii="Verdana" w:eastAsia="Verdana" w:hAnsi="Verdana" w:cs="Verdana"/>
          <w:sz w:val="22"/>
          <w:szCs w:val="22"/>
          <w:lang w:val="en-GB"/>
        </w:rPr>
        <w:t>/</w:t>
      </w:r>
      <w:r w:rsidR="00705322">
        <w:rPr>
          <w:rFonts w:ascii="Verdana" w:eastAsia="Verdana" w:hAnsi="Verdana" w:cs="Verdana"/>
          <w:sz w:val="22"/>
          <w:szCs w:val="22"/>
          <w:lang w:val="en-GB"/>
        </w:rPr>
        <w:t>20</w:t>
      </w:r>
      <w:r w:rsidR="00CA6653" w:rsidRPr="006B1B97">
        <w:rPr>
          <w:rFonts w:ascii="Verdana" w:eastAsia="Verdana" w:hAnsi="Verdana" w:cs="Verdana"/>
          <w:sz w:val="22"/>
          <w:szCs w:val="22"/>
          <w:lang w:val="en-GB"/>
        </w:rPr>
        <w:t xml:space="preserve"> rental payments were £1.</w:t>
      </w:r>
      <w:r w:rsidR="00D33DEF">
        <w:rPr>
          <w:rFonts w:ascii="Verdana" w:eastAsia="Verdana" w:hAnsi="Verdana" w:cs="Verdana"/>
          <w:sz w:val="22"/>
          <w:szCs w:val="22"/>
          <w:lang w:val="en-GB"/>
        </w:rPr>
        <w:t>3</w:t>
      </w:r>
      <w:r w:rsidR="00CA6653" w:rsidRPr="006B1B97">
        <w:rPr>
          <w:rFonts w:ascii="Verdana" w:eastAsia="Verdana" w:hAnsi="Verdana" w:cs="Verdana"/>
          <w:sz w:val="22"/>
          <w:szCs w:val="22"/>
          <w:lang w:val="en-GB"/>
        </w:rPr>
        <w:t>m (201</w:t>
      </w:r>
      <w:r w:rsidR="00705322">
        <w:rPr>
          <w:rFonts w:ascii="Verdana" w:eastAsia="Verdana" w:hAnsi="Verdana" w:cs="Verdana"/>
          <w:sz w:val="22"/>
          <w:szCs w:val="22"/>
          <w:lang w:val="en-GB"/>
        </w:rPr>
        <w:t>8</w:t>
      </w:r>
      <w:r w:rsidR="00CA6653" w:rsidRPr="006B1B97">
        <w:rPr>
          <w:rFonts w:ascii="Verdana" w:eastAsia="Verdana" w:hAnsi="Verdana" w:cs="Verdana"/>
          <w:sz w:val="22"/>
          <w:szCs w:val="22"/>
          <w:lang w:val="en-GB"/>
        </w:rPr>
        <w:t>/1</w:t>
      </w:r>
      <w:r w:rsidR="00705322">
        <w:rPr>
          <w:rFonts w:ascii="Verdana" w:eastAsia="Verdana" w:hAnsi="Verdana" w:cs="Verdana"/>
          <w:sz w:val="22"/>
          <w:szCs w:val="22"/>
          <w:lang w:val="en-GB"/>
        </w:rPr>
        <w:t>9</w:t>
      </w:r>
      <w:r w:rsidR="00CA6653" w:rsidRPr="006B1B97">
        <w:rPr>
          <w:rFonts w:ascii="Verdana" w:eastAsia="Verdana" w:hAnsi="Verdana" w:cs="Verdana"/>
          <w:sz w:val="22"/>
          <w:szCs w:val="22"/>
          <w:lang w:val="en-GB"/>
        </w:rPr>
        <w:t xml:space="preserve"> £1.0m).</w:t>
      </w:r>
    </w:p>
    <w:p w:rsidR="00CA6653" w:rsidRPr="006B1B97" w:rsidRDefault="00CA6653" w:rsidP="00B57D1B">
      <w:pPr>
        <w:pStyle w:val="Normal0"/>
        <w:spacing w:after="160"/>
        <w:jc w:val="both"/>
        <w:rPr>
          <w:rFonts w:ascii="Verdana" w:eastAsia="Verdana" w:hAnsi="Verdana" w:cs="Verdana"/>
          <w:sz w:val="22"/>
          <w:szCs w:val="22"/>
          <w:lang w:val="en-GB"/>
        </w:rPr>
      </w:pPr>
      <w:r w:rsidRPr="006B1B97">
        <w:rPr>
          <w:rFonts w:ascii="Verdana" w:eastAsia="Verdana" w:hAnsi="Verdana" w:cs="Verdana"/>
          <w:sz w:val="22"/>
          <w:szCs w:val="22"/>
          <w:lang w:val="en-GB"/>
        </w:rPr>
        <w:t>Commitments Under Operating Leases</w:t>
      </w:r>
    </w:p>
    <w:p w:rsidR="00CA6653" w:rsidRPr="006B1B97" w:rsidRDefault="00CA6653" w:rsidP="00B57D1B">
      <w:pPr>
        <w:pStyle w:val="Normal0"/>
        <w:spacing w:after="160"/>
        <w:jc w:val="both"/>
        <w:rPr>
          <w:rFonts w:ascii="Verdana" w:eastAsia="Verdana" w:hAnsi="Verdana" w:cs="Verdana"/>
          <w:sz w:val="22"/>
          <w:szCs w:val="22"/>
          <w:lang w:val="en-GB"/>
        </w:rPr>
      </w:pPr>
      <w:r w:rsidRPr="006B1B97">
        <w:rPr>
          <w:rFonts w:ascii="Verdana" w:eastAsia="Verdana" w:hAnsi="Verdana" w:cs="Verdana"/>
          <w:sz w:val="22"/>
          <w:szCs w:val="22"/>
          <w:lang w:val="en-GB"/>
        </w:rPr>
        <w:t>The Group was committed at 31 March 20</w:t>
      </w:r>
      <w:r w:rsidR="006B1B97" w:rsidRPr="006B1B97">
        <w:rPr>
          <w:rFonts w:ascii="Verdana" w:eastAsia="Verdana" w:hAnsi="Verdana" w:cs="Verdana"/>
          <w:sz w:val="22"/>
          <w:szCs w:val="22"/>
          <w:lang w:val="en-GB"/>
        </w:rPr>
        <w:t>20</w:t>
      </w:r>
      <w:r w:rsidRPr="006B1B97">
        <w:rPr>
          <w:rFonts w:ascii="Verdana" w:eastAsia="Verdana" w:hAnsi="Verdana" w:cs="Verdana"/>
          <w:sz w:val="22"/>
          <w:szCs w:val="22"/>
          <w:lang w:val="en-GB"/>
        </w:rPr>
        <w:t xml:space="preserve"> to making payments of £1.</w:t>
      </w:r>
      <w:r w:rsidR="00D33DEF">
        <w:rPr>
          <w:rFonts w:ascii="Verdana" w:eastAsia="Verdana" w:hAnsi="Verdana" w:cs="Verdana"/>
          <w:sz w:val="22"/>
          <w:szCs w:val="22"/>
          <w:lang w:val="en-GB"/>
        </w:rPr>
        <w:t>1</w:t>
      </w:r>
      <w:r w:rsidRPr="006B1B97">
        <w:rPr>
          <w:rFonts w:ascii="Verdana" w:eastAsia="Verdana" w:hAnsi="Verdana" w:cs="Verdana"/>
          <w:sz w:val="22"/>
          <w:szCs w:val="22"/>
          <w:lang w:val="en-GB"/>
        </w:rPr>
        <w:t xml:space="preserve">m under operating </w:t>
      </w:r>
      <w:r w:rsidR="00D33DEF">
        <w:rPr>
          <w:rFonts w:ascii="Verdana" w:eastAsia="Verdana" w:hAnsi="Verdana" w:cs="Verdana"/>
          <w:sz w:val="22"/>
          <w:szCs w:val="22"/>
          <w:lang w:val="en-GB"/>
        </w:rPr>
        <w:t xml:space="preserve">18 operating </w:t>
      </w:r>
      <w:r w:rsidRPr="006B1B97">
        <w:rPr>
          <w:rFonts w:ascii="Verdana" w:eastAsia="Verdana" w:hAnsi="Verdana" w:cs="Verdana"/>
          <w:sz w:val="22"/>
          <w:szCs w:val="22"/>
          <w:lang w:val="en-GB"/>
        </w:rPr>
        <w:t>leases in 20</w:t>
      </w:r>
      <w:r w:rsidR="00D33DEF">
        <w:rPr>
          <w:rFonts w:ascii="Verdana" w:eastAsia="Verdana" w:hAnsi="Verdana" w:cs="Verdana"/>
          <w:sz w:val="22"/>
          <w:szCs w:val="22"/>
          <w:lang w:val="en-GB"/>
        </w:rPr>
        <w:t>20</w:t>
      </w:r>
      <w:r w:rsidRPr="006B1B97">
        <w:rPr>
          <w:rFonts w:ascii="Verdana" w:eastAsia="Verdana" w:hAnsi="Verdana" w:cs="Verdana"/>
          <w:sz w:val="22"/>
          <w:szCs w:val="22"/>
          <w:lang w:val="en-GB"/>
        </w:rPr>
        <w:t>/2</w:t>
      </w:r>
      <w:r w:rsidR="00D33DEF">
        <w:rPr>
          <w:rFonts w:ascii="Verdana" w:eastAsia="Verdana" w:hAnsi="Verdana" w:cs="Verdana"/>
          <w:sz w:val="22"/>
          <w:szCs w:val="22"/>
          <w:lang w:val="en-GB"/>
        </w:rPr>
        <w:t xml:space="preserve">1, £4.1m </w:t>
      </w:r>
      <w:r w:rsidR="00D33DEF" w:rsidRPr="00D33DEF">
        <w:rPr>
          <w:rFonts w:ascii="Verdana" w:eastAsia="Verdana" w:hAnsi="Verdana" w:cs="Verdana"/>
          <w:sz w:val="22"/>
          <w:szCs w:val="22"/>
          <w:lang w:val="en-GB"/>
        </w:rPr>
        <w:t>payment commitment for 13 operating leases</w:t>
      </w:r>
      <w:r w:rsidR="00D33DEF">
        <w:rPr>
          <w:rFonts w:ascii="Verdana" w:eastAsia="Verdana" w:hAnsi="Verdana" w:cs="Verdana"/>
          <w:sz w:val="22"/>
          <w:szCs w:val="22"/>
          <w:lang w:val="en-GB"/>
        </w:rPr>
        <w:t xml:space="preserve"> that will take place in the period</w:t>
      </w:r>
      <w:r w:rsidR="00D33DEF" w:rsidRPr="00D33DEF">
        <w:rPr>
          <w:rFonts w:ascii="Verdana" w:eastAsia="Verdana" w:hAnsi="Verdana" w:cs="Verdana"/>
          <w:sz w:val="22"/>
          <w:szCs w:val="22"/>
          <w:lang w:val="en-GB"/>
        </w:rPr>
        <w:t xml:space="preserve"> </w:t>
      </w:r>
      <w:r w:rsidR="00D33DEF">
        <w:rPr>
          <w:rFonts w:ascii="Verdana" w:eastAsia="Verdana" w:hAnsi="Verdana" w:cs="Verdana"/>
          <w:sz w:val="22"/>
          <w:szCs w:val="22"/>
          <w:lang w:val="en-GB"/>
        </w:rPr>
        <w:t>from 2021/22 to 2024/25</w:t>
      </w:r>
      <w:r w:rsidR="00D33DEF" w:rsidRPr="00D33DEF">
        <w:rPr>
          <w:rFonts w:ascii="Verdana" w:eastAsia="Verdana" w:hAnsi="Verdana" w:cs="Verdana"/>
          <w:sz w:val="22"/>
          <w:szCs w:val="22"/>
          <w:lang w:val="en-GB"/>
        </w:rPr>
        <w:t>, and £6.2m payment commitment for 7 operating leases</w:t>
      </w:r>
      <w:r w:rsidR="001D03D1">
        <w:rPr>
          <w:rFonts w:ascii="Verdana" w:eastAsia="Verdana" w:hAnsi="Verdana" w:cs="Verdana"/>
          <w:sz w:val="22"/>
          <w:szCs w:val="22"/>
          <w:lang w:val="en-GB"/>
        </w:rPr>
        <w:t xml:space="preserve"> that will be taking place</w:t>
      </w:r>
      <w:r w:rsidR="00D33DEF" w:rsidRPr="00D33DEF">
        <w:rPr>
          <w:rFonts w:ascii="Verdana" w:eastAsia="Verdana" w:hAnsi="Verdana" w:cs="Verdana"/>
          <w:sz w:val="22"/>
          <w:szCs w:val="22"/>
          <w:lang w:val="en-GB"/>
        </w:rPr>
        <w:t xml:space="preserve"> </w:t>
      </w:r>
      <w:r w:rsidR="00D33DEF">
        <w:rPr>
          <w:rFonts w:ascii="Verdana" w:eastAsia="Verdana" w:hAnsi="Verdana" w:cs="Verdana"/>
          <w:sz w:val="22"/>
          <w:szCs w:val="22"/>
          <w:lang w:val="en-GB"/>
        </w:rPr>
        <w:t xml:space="preserve">from 2025/26 to </w:t>
      </w:r>
      <w:r w:rsidR="00D33DEF" w:rsidRPr="00D33DEF">
        <w:rPr>
          <w:rFonts w:ascii="Verdana" w:eastAsia="Verdana" w:hAnsi="Verdana" w:cs="Verdana"/>
          <w:sz w:val="22"/>
          <w:szCs w:val="22"/>
          <w:lang w:val="en-GB"/>
        </w:rPr>
        <w:t>2038/39, therefore the Group has future commitments of £11.4m for leasing premises for policing purposes:</w:t>
      </w:r>
    </w:p>
    <w:p w:rsidR="00B935AA" w:rsidRPr="006B1B97" w:rsidRDefault="00B935AA">
      <w:pPr>
        <w:pStyle w:val="Normal0"/>
        <w:spacing w:after="160"/>
        <w:rPr>
          <w:rFonts w:ascii="Verdana" w:eastAsia="Verdana" w:hAnsi="Verdana" w:cs="Verdana"/>
          <w:sz w:val="22"/>
          <w:szCs w:val="22"/>
          <w:lang w:val="en-GB"/>
        </w:rPr>
      </w:pPr>
    </w:p>
    <w:tbl>
      <w:tblPr>
        <w:tblW w:w="0" w:type="auto"/>
        <w:jc w:val="center"/>
        <w:tblLayout w:type="fixed"/>
        <w:tblLook w:val="04A0" w:firstRow="1" w:lastRow="0" w:firstColumn="1" w:lastColumn="0" w:noHBand="0" w:noVBand="1"/>
      </w:tblPr>
      <w:tblGrid>
        <w:gridCol w:w="1335"/>
        <w:gridCol w:w="225"/>
        <w:gridCol w:w="2175"/>
        <w:gridCol w:w="1335"/>
      </w:tblGrid>
      <w:tr w:rsidR="004D417B" w:rsidRPr="006B1B97" w:rsidTr="006B1B97">
        <w:trPr>
          <w:trHeight w:val="300"/>
          <w:jc w:val="center"/>
        </w:trPr>
        <w:tc>
          <w:tcPr>
            <w:tcW w:w="5070" w:type="dxa"/>
            <w:gridSpan w:val="4"/>
            <w:shd w:val="clear" w:color="auto" w:fill="auto"/>
            <w:tcMar>
              <w:top w:w="20" w:type="dxa"/>
              <w:left w:w="20" w:type="dxa"/>
              <w:bottom w:w="20" w:type="dxa"/>
              <w:right w:w="20" w:type="dxa"/>
            </w:tcMar>
            <w:vAlign w:val="bottom"/>
          </w:tcPr>
          <w:p w:rsidR="00CA6653" w:rsidRPr="006B1B97" w:rsidRDefault="00CA6653">
            <w:pPr>
              <w:pStyle w:val="T1TableStyle"/>
              <w:rPr>
                <w:rFonts w:ascii="Verdana" w:eastAsia="Verdana" w:hAnsi="Verdana" w:cs="Verdana"/>
                <w:b/>
                <w:color w:val="000000"/>
                <w:lang w:val="en-GB"/>
              </w:rPr>
            </w:pPr>
            <w:r w:rsidRPr="006B1B97">
              <w:rPr>
                <w:rFonts w:ascii="Verdana" w:eastAsia="Verdana" w:hAnsi="Verdana" w:cs="Verdana"/>
                <w:b/>
                <w:color w:val="000000"/>
                <w:lang w:val="en-GB"/>
              </w:rPr>
              <w:t>Authority as Lessee - Operating Leases</w:t>
            </w:r>
          </w:p>
        </w:tc>
      </w:tr>
      <w:tr w:rsidR="004D417B" w:rsidRPr="006B1B97" w:rsidTr="006B1B97">
        <w:trPr>
          <w:trHeight w:hRule="exact" w:val="360"/>
          <w:jc w:val="center"/>
        </w:trPr>
        <w:tc>
          <w:tcPr>
            <w:tcW w:w="1335" w:type="dxa"/>
            <w:shd w:val="clear" w:color="auto" w:fill="auto"/>
            <w:tcMar>
              <w:top w:w="20" w:type="dxa"/>
              <w:left w:w="20" w:type="dxa"/>
              <w:bottom w:w="20" w:type="dxa"/>
              <w:right w:w="20" w:type="dxa"/>
            </w:tcMar>
            <w:vAlign w:val="bottom"/>
          </w:tcPr>
          <w:p w:rsidR="00CA6653" w:rsidRPr="006B1B97" w:rsidRDefault="00CA6653">
            <w:pPr>
              <w:pStyle w:val="T1TableStyle"/>
              <w:rPr>
                <w:rFonts w:ascii="Verdana" w:eastAsia="Verdana" w:hAnsi="Verdana" w:cs="Verdana"/>
                <w:b/>
                <w:color w:val="000000"/>
                <w:sz w:val="2"/>
                <w:lang w:val="en-GB"/>
              </w:rPr>
            </w:pPr>
            <w:r w:rsidRPr="006B1B97">
              <w:rPr>
                <w:rFonts w:ascii="Verdana" w:eastAsia="Verdana" w:hAnsi="Verdana" w:cs="Verdana"/>
                <w:b/>
                <w:color w:val="000000"/>
                <w:sz w:val="2"/>
                <w:lang w:val="en-GB"/>
              </w:rPr>
              <w:t xml:space="preserve"> </w:t>
            </w:r>
          </w:p>
        </w:tc>
        <w:tc>
          <w:tcPr>
            <w:tcW w:w="225" w:type="dxa"/>
            <w:shd w:val="clear" w:color="auto" w:fill="auto"/>
            <w:tcMar>
              <w:top w:w="20" w:type="dxa"/>
              <w:left w:w="20" w:type="dxa"/>
              <w:bottom w:w="20" w:type="dxa"/>
              <w:right w:w="20" w:type="dxa"/>
            </w:tcMar>
            <w:vAlign w:val="bottom"/>
          </w:tcPr>
          <w:p w:rsidR="00CA6653" w:rsidRPr="006B1B97" w:rsidRDefault="00CA6653">
            <w:pPr>
              <w:pStyle w:val="T1TableStyle"/>
              <w:rPr>
                <w:rFonts w:ascii="Verdana" w:eastAsia="Verdana" w:hAnsi="Verdana" w:cs="Verdana"/>
                <w:b/>
                <w:color w:val="000000"/>
                <w:sz w:val="2"/>
                <w:lang w:val="en-GB"/>
              </w:rPr>
            </w:pPr>
            <w:r w:rsidRPr="006B1B97">
              <w:rPr>
                <w:rFonts w:ascii="Verdana" w:eastAsia="Verdana" w:hAnsi="Verdana" w:cs="Verdana"/>
                <w:b/>
                <w:color w:val="000000"/>
                <w:sz w:val="2"/>
                <w:lang w:val="en-GB"/>
              </w:rPr>
              <w:t xml:space="preserve"> </w:t>
            </w:r>
          </w:p>
        </w:tc>
        <w:tc>
          <w:tcPr>
            <w:tcW w:w="2175" w:type="dxa"/>
            <w:shd w:val="clear" w:color="auto" w:fill="auto"/>
            <w:tcMar>
              <w:top w:w="20" w:type="dxa"/>
              <w:left w:w="20" w:type="dxa"/>
              <w:bottom w:w="20" w:type="dxa"/>
              <w:right w:w="20" w:type="dxa"/>
            </w:tcMar>
            <w:vAlign w:val="bottom"/>
          </w:tcPr>
          <w:p w:rsidR="00CA6653" w:rsidRPr="006B1B97" w:rsidRDefault="00CA6653">
            <w:pPr>
              <w:pStyle w:val="T1TableStyle"/>
              <w:rPr>
                <w:rFonts w:ascii="Verdana" w:eastAsia="Verdana" w:hAnsi="Verdana" w:cs="Verdana"/>
                <w:b/>
                <w:color w:val="000000"/>
                <w:sz w:val="2"/>
                <w:lang w:val="en-GB"/>
              </w:rPr>
            </w:pPr>
            <w:r w:rsidRPr="006B1B97">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CA6653" w:rsidRPr="006B1B97" w:rsidRDefault="00CA6653">
            <w:pPr>
              <w:pStyle w:val="T1TableStyle"/>
              <w:rPr>
                <w:rFonts w:ascii="Verdana" w:eastAsia="Verdana" w:hAnsi="Verdana" w:cs="Verdana"/>
                <w:b/>
                <w:color w:val="000000"/>
                <w:sz w:val="2"/>
                <w:lang w:val="en-GB"/>
              </w:rPr>
            </w:pPr>
            <w:r w:rsidRPr="006B1B97">
              <w:rPr>
                <w:rFonts w:ascii="Verdana" w:eastAsia="Verdana" w:hAnsi="Verdana" w:cs="Verdana"/>
                <w:b/>
                <w:color w:val="000000"/>
                <w:sz w:val="2"/>
                <w:lang w:val="en-GB"/>
              </w:rPr>
              <w:t xml:space="preserve"> </w:t>
            </w:r>
          </w:p>
        </w:tc>
      </w:tr>
      <w:tr w:rsidR="004D417B" w:rsidRPr="006B1B97" w:rsidTr="006B1B97">
        <w:trPr>
          <w:trHeight w:val="795"/>
          <w:jc w:val="center"/>
        </w:trPr>
        <w:tc>
          <w:tcPr>
            <w:tcW w:w="5070" w:type="dxa"/>
            <w:gridSpan w:val="4"/>
            <w:shd w:val="clear" w:color="auto" w:fill="auto"/>
            <w:tcMar>
              <w:top w:w="20" w:type="dxa"/>
              <w:left w:w="20" w:type="dxa"/>
              <w:bottom w:w="20" w:type="dxa"/>
              <w:right w:w="20" w:type="dxa"/>
            </w:tcMar>
            <w:vAlign w:val="center"/>
          </w:tcPr>
          <w:p w:rsidR="00CA6653" w:rsidRPr="006B1B97" w:rsidRDefault="00CA6653">
            <w:pPr>
              <w:pStyle w:val="T1TableStyle"/>
              <w:rPr>
                <w:rFonts w:ascii="Verdana" w:eastAsia="Verdana" w:hAnsi="Verdana" w:cs="Verdana"/>
                <w:b/>
                <w:color w:val="000000"/>
                <w:sz w:val="16"/>
                <w:lang w:val="en-GB"/>
              </w:rPr>
            </w:pPr>
            <w:r w:rsidRPr="006B1B97">
              <w:rPr>
                <w:rFonts w:ascii="Verdana" w:eastAsia="Verdana" w:hAnsi="Verdana" w:cs="Verdana"/>
                <w:b/>
                <w:color w:val="000000"/>
                <w:sz w:val="16"/>
                <w:lang w:val="en-GB"/>
              </w:rPr>
              <w:t>The future minimum lease payments due under non-cancellable operating leases in future years are set out below:</w:t>
            </w:r>
          </w:p>
        </w:tc>
      </w:tr>
      <w:tr w:rsidR="004D417B" w:rsidRPr="006B1B97" w:rsidTr="006B1B97">
        <w:trPr>
          <w:trHeight w:val="300"/>
          <w:jc w:val="center"/>
        </w:trPr>
        <w:tc>
          <w:tcPr>
            <w:tcW w:w="1335" w:type="dxa"/>
            <w:shd w:val="clear" w:color="auto" w:fill="auto"/>
            <w:tcMar>
              <w:top w:w="20" w:type="dxa"/>
              <w:left w:w="20" w:type="dxa"/>
              <w:bottom w:w="20" w:type="dxa"/>
              <w:right w:w="20" w:type="dxa"/>
            </w:tcMar>
            <w:vAlign w:val="bottom"/>
          </w:tcPr>
          <w:p w:rsidR="00CA6653" w:rsidRPr="006B1B97" w:rsidRDefault="00CA6653" w:rsidP="00BF4518">
            <w:pPr>
              <w:pStyle w:val="T1TableStyle"/>
              <w:jc w:val="center"/>
              <w:rPr>
                <w:rFonts w:ascii="Verdana" w:eastAsia="Verdana" w:hAnsi="Verdana" w:cs="Verdana"/>
                <w:b/>
                <w:color w:val="000000"/>
                <w:sz w:val="16"/>
                <w:lang w:val="en-GB"/>
              </w:rPr>
            </w:pPr>
            <w:r w:rsidRPr="006B1B97">
              <w:rPr>
                <w:rFonts w:ascii="Verdana" w:eastAsia="Verdana" w:hAnsi="Verdana" w:cs="Verdana"/>
                <w:b/>
                <w:color w:val="000000"/>
                <w:sz w:val="16"/>
                <w:lang w:val="en-GB"/>
              </w:rPr>
              <w:t>31 March 2019</w:t>
            </w:r>
          </w:p>
        </w:tc>
        <w:tc>
          <w:tcPr>
            <w:tcW w:w="225" w:type="dxa"/>
            <w:shd w:val="clear" w:color="auto" w:fill="auto"/>
            <w:tcMar>
              <w:top w:w="20" w:type="dxa"/>
              <w:left w:w="20" w:type="dxa"/>
              <w:bottom w:w="20" w:type="dxa"/>
              <w:right w:w="20" w:type="dxa"/>
            </w:tcMar>
            <w:vAlign w:val="bottom"/>
          </w:tcPr>
          <w:p w:rsidR="00CA6653" w:rsidRPr="006B1B97" w:rsidRDefault="00CA6653" w:rsidP="00BF4518">
            <w:pPr>
              <w:pStyle w:val="T1TableStyle"/>
              <w:jc w:val="center"/>
              <w:rPr>
                <w:rFonts w:ascii="Verdana" w:eastAsia="Verdana" w:hAnsi="Verdana" w:cs="Verdana"/>
                <w:b/>
                <w:color w:val="000000"/>
                <w:sz w:val="2"/>
                <w:lang w:val="en-GB"/>
              </w:rPr>
            </w:pPr>
          </w:p>
        </w:tc>
        <w:tc>
          <w:tcPr>
            <w:tcW w:w="2175" w:type="dxa"/>
            <w:shd w:val="clear" w:color="auto" w:fill="auto"/>
            <w:tcMar>
              <w:top w:w="20" w:type="dxa"/>
              <w:left w:w="20" w:type="dxa"/>
              <w:bottom w:w="20" w:type="dxa"/>
              <w:right w:w="20" w:type="dxa"/>
            </w:tcMar>
            <w:vAlign w:val="bottom"/>
          </w:tcPr>
          <w:p w:rsidR="00CA6653" w:rsidRPr="006B1B97" w:rsidRDefault="00CA6653" w:rsidP="00BF4518">
            <w:pPr>
              <w:pStyle w:val="T1TableStyle"/>
              <w:jc w:val="center"/>
              <w:rPr>
                <w:rFonts w:ascii="Verdana" w:eastAsia="Verdana" w:hAnsi="Verdana" w:cs="Verdana"/>
                <w:b/>
                <w:color w:val="000000"/>
                <w:sz w:val="2"/>
                <w:lang w:val="en-GB"/>
              </w:rPr>
            </w:pPr>
          </w:p>
        </w:tc>
        <w:tc>
          <w:tcPr>
            <w:tcW w:w="1335" w:type="dxa"/>
            <w:shd w:val="clear" w:color="auto" w:fill="auto"/>
            <w:tcMar>
              <w:top w:w="20" w:type="dxa"/>
              <w:left w:w="20" w:type="dxa"/>
              <w:bottom w:w="20" w:type="dxa"/>
              <w:right w:w="20" w:type="dxa"/>
            </w:tcMar>
            <w:vAlign w:val="bottom"/>
          </w:tcPr>
          <w:p w:rsidR="00CA6653" w:rsidRPr="006B1B97" w:rsidRDefault="00CA6653" w:rsidP="00BF4518">
            <w:pPr>
              <w:pStyle w:val="T1TableStyle"/>
              <w:jc w:val="center"/>
              <w:rPr>
                <w:rFonts w:ascii="Verdana" w:eastAsia="Verdana" w:hAnsi="Verdana" w:cs="Verdana"/>
                <w:b/>
                <w:color w:val="000000"/>
                <w:sz w:val="16"/>
                <w:lang w:val="en-GB"/>
              </w:rPr>
            </w:pPr>
            <w:r w:rsidRPr="006B1B97">
              <w:rPr>
                <w:rFonts w:ascii="Verdana" w:eastAsia="Verdana" w:hAnsi="Verdana" w:cs="Verdana"/>
                <w:b/>
                <w:color w:val="000000"/>
                <w:sz w:val="16"/>
                <w:lang w:val="en-GB"/>
              </w:rPr>
              <w:t>31 March 2020</w:t>
            </w:r>
          </w:p>
        </w:tc>
      </w:tr>
      <w:tr w:rsidR="004D417B" w:rsidRPr="006B1B97" w:rsidTr="006B1B97">
        <w:trPr>
          <w:trHeight w:val="300"/>
          <w:jc w:val="center"/>
        </w:trPr>
        <w:tc>
          <w:tcPr>
            <w:tcW w:w="1335" w:type="dxa"/>
            <w:tcBorders>
              <w:bottom w:val="single" w:sz="2" w:space="0" w:color="000000"/>
            </w:tcBorders>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16"/>
                <w:lang w:val="en-GB"/>
              </w:rPr>
            </w:pPr>
            <w:r w:rsidRPr="006B1B97">
              <w:rPr>
                <w:rFonts w:ascii="Verdana" w:eastAsia="Verdana" w:hAnsi="Verdana" w:cs="Verdana"/>
                <w:b/>
                <w:color w:val="000000"/>
                <w:sz w:val="16"/>
                <w:lang w:val="en-GB"/>
              </w:rPr>
              <w:t>£000</w:t>
            </w:r>
          </w:p>
        </w:tc>
        <w:tc>
          <w:tcPr>
            <w:tcW w:w="225" w:type="dxa"/>
            <w:tcBorders>
              <w:bottom w:val="single" w:sz="2" w:space="0" w:color="000000"/>
            </w:tcBorders>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2"/>
                <w:lang w:val="en-GB"/>
              </w:rPr>
            </w:pPr>
          </w:p>
        </w:tc>
        <w:tc>
          <w:tcPr>
            <w:tcW w:w="2175" w:type="dxa"/>
            <w:tcBorders>
              <w:bottom w:val="single" w:sz="2" w:space="0" w:color="000000"/>
            </w:tcBorders>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2"/>
                <w:lang w:val="en-GB"/>
              </w:rPr>
            </w:pPr>
          </w:p>
        </w:tc>
        <w:tc>
          <w:tcPr>
            <w:tcW w:w="1335" w:type="dxa"/>
            <w:tcBorders>
              <w:bottom w:val="single" w:sz="2" w:space="0" w:color="000000"/>
            </w:tcBorders>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16"/>
                <w:lang w:val="en-GB"/>
              </w:rPr>
            </w:pPr>
            <w:r w:rsidRPr="006B1B97">
              <w:rPr>
                <w:rFonts w:ascii="Verdana" w:eastAsia="Verdana" w:hAnsi="Verdana" w:cs="Verdana"/>
                <w:b/>
                <w:color w:val="000000"/>
                <w:sz w:val="16"/>
                <w:lang w:val="en-GB"/>
              </w:rPr>
              <w:t>£000</w:t>
            </w:r>
          </w:p>
        </w:tc>
      </w:tr>
      <w:tr w:rsidR="004D417B" w:rsidRPr="006B1B97" w:rsidTr="006B1B97">
        <w:trPr>
          <w:trHeight w:hRule="exact" w:val="300"/>
          <w:jc w:val="center"/>
        </w:trPr>
        <w:tc>
          <w:tcPr>
            <w:tcW w:w="133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2"/>
                <w:lang w:val="en-GB"/>
              </w:rPr>
            </w:pPr>
          </w:p>
        </w:tc>
        <w:tc>
          <w:tcPr>
            <w:tcW w:w="22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2"/>
                <w:lang w:val="en-GB"/>
              </w:rPr>
            </w:pPr>
          </w:p>
        </w:tc>
        <w:tc>
          <w:tcPr>
            <w:tcW w:w="217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2"/>
                <w:lang w:val="en-GB"/>
              </w:rPr>
            </w:pPr>
          </w:p>
        </w:tc>
        <w:tc>
          <w:tcPr>
            <w:tcW w:w="133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2"/>
                <w:lang w:val="en-GB"/>
              </w:rPr>
            </w:pPr>
          </w:p>
        </w:tc>
      </w:tr>
      <w:tr w:rsidR="004D417B" w:rsidRPr="006B1B97" w:rsidTr="006B1B97">
        <w:trPr>
          <w:trHeight w:val="300"/>
          <w:jc w:val="center"/>
        </w:trPr>
        <w:tc>
          <w:tcPr>
            <w:tcW w:w="1335" w:type="dxa"/>
            <w:shd w:val="clear" w:color="auto" w:fill="auto"/>
            <w:tcMar>
              <w:top w:w="20" w:type="dxa"/>
              <w:left w:w="20" w:type="dxa"/>
              <w:bottom w:w="20" w:type="dxa"/>
              <w:right w:w="20" w:type="dxa"/>
            </w:tcMar>
          </w:tcPr>
          <w:p w:rsidR="00CA6653" w:rsidRPr="006B1B97" w:rsidRDefault="00CA6653" w:rsidP="00A200D5">
            <w:pPr>
              <w:pStyle w:val="T1TableStyle"/>
              <w:jc w:val="right"/>
              <w:rPr>
                <w:rFonts w:ascii="Verdana" w:eastAsia="Verdana" w:hAnsi="Verdana" w:cs="Verdana"/>
                <w:color w:val="000000"/>
                <w:sz w:val="16"/>
                <w:lang w:val="en-GB"/>
              </w:rPr>
            </w:pPr>
            <w:r w:rsidRPr="006B1B97">
              <w:rPr>
                <w:rFonts w:ascii="Verdana" w:eastAsia="Verdana" w:hAnsi="Verdana" w:cs="Verdana"/>
                <w:color w:val="000000"/>
                <w:sz w:val="16"/>
                <w:lang w:val="en-GB"/>
              </w:rPr>
              <w:t>1,164</w:t>
            </w:r>
          </w:p>
        </w:tc>
        <w:tc>
          <w:tcPr>
            <w:tcW w:w="22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color w:val="000000"/>
                <w:sz w:val="2"/>
                <w:lang w:val="en-GB"/>
              </w:rPr>
            </w:pPr>
          </w:p>
        </w:tc>
        <w:tc>
          <w:tcPr>
            <w:tcW w:w="217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color w:val="000000"/>
                <w:sz w:val="16"/>
                <w:lang w:val="en-GB"/>
              </w:rPr>
            </w:pPr>
            <w:r w:rsidRPr="006B1B97">
              <w:rPr>
                <w:rFonts w:ascii="Verdana" w:eastAsia="Verdana" w:hAnsi="Verdana" w:cs="Verdana"/>
                <w:color w:val="000000"/>
                <w:sz w:val="16"/>
                <w:lang w:val="en-GB"/>
              </w:rPr>
              <w:t>Not later than one year</w:t>
            </w:r>
          </w:p>
        </w:tc>
        <w:tc>
          <w:tcPr>
            <w:tcW w:w="1335" w:type="dxa"/>
            <w:shd w:val="clear" w:color="auto" w:fill="auto"/>
            <w:tcMar>
              <w:top w:w="20" w:type="dxa"/>
              <w:left w:w="20" w:type="dxa"/>
              <w:bottom w:w="20" w:type="dxa"/>
              <w:right w:w="20" w:type="dxa"/>
            </w:tcMar>
          </w:tcPr>
          <w:p w:rsidR="00CA6653" w:rsidRPr="006B1B97" w:rsidRDefault="00BF4518" w:rsidP="00A200D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w:t>
            </w:r>
            <w:r w:rsidR="00CA6653" w:rsidRPr="006B1B97">
              <w:rPr>
                <w:rFonts w:ascii="Verdana" w:eastAsia="Verdana" w:hAnsi="Verdana" w:cs="Verdana"/>
                <w:color w:val="000000"/>
                <w:sz w:val="16"/>
                <w:lang w:val="en-GB"/>
              </w:rPr>
              <w:t>,</w:t>
            </w:r>
            <w:r w:rsidR="00827814">
              <w:rPr>
                <w:rFonts w:ascii="Verdana" w:eastAsia="Verdana" w:hAnsi="Verdana" w:cs="Verdana"/>
                <w:color w:val="000000"/>
                <w:sz w:val="16"/>
                <w:lang w:val="en-GB"/>
              </w:rPr>
              <w:t>211</w:t>
            </w:r>
          </w:p>
        </w:tc>
      </w:tr>
      <w:tr w:rsidR="004D417B" w:rsidRPr="006B1B97" w:rsidTr="006B1B97">
        <w:trPr>
          <w:trHeight w:val="630"/>
          <w:jc w:val="center"/>
        </w:trPr>
        <w:tc>
          <w:tcPr>
            <w:tcW w:w="1335" w:type="dxa"/>
            <w:shd w:val="clear" w:color="auto" w:fill="auto"/>
            <w:tcMar>
              <w:top w:w="20" w:type="dxa"/>
              <w:left w:w="20" w:type="dxa"/>
              <w:bottom w:w="20" w:type="dxa"/>
              <w:right w:w="20" w:type="dxa"/>
            </w:tcMar>
          </w:tcPr>
          <w:p w:rsidR="00CA6653" w:rsidRPr="006B1B97" w:rsidRDefault="00CA6653" w:rsidP="00A200D5">
            <w:pPr>
              <w:pStyle w:val="T1TableStyle"/>
              <w:jc w:val="right"/>
              <w:rPr>
                <w:rFonts w:ascii="Verdana" w:eastAsia="Verdana" w:hAnsi="Verdana" w:cs="Verdana"/>
                <w:color w:val="000000"/>
                <w:sz w:val="16"/>
                <w:lang w:val="en-GB"/>
              </w:rPr>
            </w:pPr>
            <w:r w:rsidRPr="006B1B97">
              <w:rPr>
                <w:rFonts w:ascii="Verdana" w:eastAsia="Verdana" w:hAnsi="Verdana" w:cs="Verdana"/>
                <w:color w:val="000000"/>
                <w:sz w:val="16"/>
                <w:lang w:val="en-GB"/>
              </w:rPr>
              <w:t>4,325</w:t>
            </w:r>
          </w:p>
        </w:tc>
        <w:tc>
          <w:tcPr>
            <w:tcW w:w="22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color w:val="000000"/>
                <w:sz w:val="2"/>
                <w:lang w:val="en-GB"/>
              </w:rPr>
            </w:pPr>
          </w:p>
        </w:tc>
        <w:tc>
          <w:tcPr>
            <w:tcW w:w="217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color w:val="000000"/>
                <w:sz w:val="16"/>
                <w:lang w:val="en-GB"/>
              </w:rPr>
            </w:pPr>
            <w:r w:rsidRPr="006B1B97">
              <w:rPr>
                <w:rFonts w:ascii="Verdana" w:eastAsia="Verdana" w:hAnsi="Verdana" w:cs="Verdana"/>
                <w:color w:val="000000"/>
                <w:sz w:val="16"/>
                <w:lang w:val="en-GB"/>
              </w:rPr>
              <w:t>Later than one year and not later than five years</w:t>
            </w:r>
          </w:p>
        </w:tc>
        <w:tc>
          <w:tcPr>
            <w:tcW w:w="1335" w:type="dxa"/>
            <w:shd w:val="clear" w:color="auto" w:fill="auto"/>
            <w:tcMar>
              <w:top w:w="20" w:type="dxa"/>
              <w:left w:w="20" w:type="dxa"/>
              <w:bottom w:w="20" w:type="dxa"/>
              <w:right w:w="20" w:type="dxa"/>
            </w:tcMar>
          </w:tcPr>
          <w:p w:rsidR="00CA6653" w:rsidRPr="006B1B97" w:rsidRDefault="00BF4518" w:rsidP="00A200D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w:t>
            </w:r>
            <w:r w:rsidR="00CA6653" w:rsidRPr="006B1B97">
              <w:rPr>
                <w:rFonts w:ascii="Verdana" w:eastAsia="Verdana" w:hAnsi="Verdana" w:cs="Verdana"/>
                <w:color w:val="000000"/>
                <w:sz w:val="16"/>
                <w:lang w:val="en-GB"/>
              </w:rPr>
              <w:t>,</w:t>
            </w:r>
            <w:r w:rsidR="00827814">
              <w:rPr>
                <w:rFonts w:ascii="Verdana" w:eastAsia="Verdana" w:hAnsi="Verdana" w:cs="Verdana"/>
                <w:color w:val="000000"/>
                <w:sz w:val="16"/>
                <w:lang w:val="en-GB"/>
              </w:rPr>
              <w:t>436</w:t>
            </w:r>
          </w:p>
        </w:tc>
      </w:tr>
      <w:tr w:rsidR="004D417B" w:rsidRPr="006B1B97" w:rsidTr="006B1B97">
        <w:trPr>
          <w:trHeight w:val="300"/>
          <w:jc w:val="center"/>
        </w:trPr>
        <w:tc>
          <w:tcPr>
            <w:tcW w:w="1335" w:type="dxa"/>
            <w:shd w:val="clear" w:color="auto" w:fill="auto"/>
            <w:tcMar>
              <w:top w:w="20" w:type="dxa"/>
              <w:left w:w="20" w:type="dxa"/>
              <w:bottom w:w="20" w:type="dxa"/>
              <w:right w:w="20" w:type="dxa"/>
            </w:tcMar>
          </w:tcPr>
          <w:p w:rsidR="00CA6653" w:rsidRPr="006B1B97" w:rsidRDefault="00CA6653" w:rsidP="00A200D5">
            <w:pPr>
              <w:pStyle w:val="T1TableStyle"/>
              <w:jc w:val="right"/>
              <w:rPr>
                <w:rFonts w:ascii="Verdana" w:eastAsia="Verdana" w:hAnsi="Verdana" w:cs="Verdana"/>
                <w:color w:val="000000"/>
                <w:sz w:val="16"/>
                <w:lang w:val="en-GB"/>
              </w:rPr>
            </w:pPr>
            <w:r w:rsidRPr="006B1B97">
              <w:rPr>
                <w:rFonts w:ascii="Verdana" w:eastAsia="Verdana" w:hAnsi="Verdana" w:cs="Verdana"/>
                <w:color w:val="000000"/>
                <w:sz w:val="16"/>
                <w:lang w:val="en-GB"/>
              </w:rPr>
              <w:t>7,744</w:t>
            </w:r>
          </w:p>
        </w:tc>
        <w:tc>
          <w:tcPr>
            <w:tcW w:w="22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color w:val="000000"/>
                <w:sz w:val="2"/>
                <w:lang w:val="en-GB"/>
              </w:rPr>
            </w:pPr>
          </w:p>
        </w:tc>
        <w:tc>
          <w:tcPr>
            <w:tcW w:w="2175" w:type="dxa"/>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color w:val="000000"/>
                <w:sz w:val="16"/>
                <w:lang w:val="en-GB"/>
              </w:rPr>
            </w:pPr>
            <w:r w:rsidRPr="006B1B97">
              <w:rPr>
                <w:rFonts w:ascii="Verdana" w:eastAsia="Verdana" w:hAnsi="Verdana" w:cs="Verdana"/>
                <w:color w:val="000000"/>
                <w:sz w:val="16"/>
                <w:lang w:val="en-GB"/>
              </w:rPr>
              <w:t>Later than five years</w:t>
            </w:r>
          </w:p>
        </w:tc>
        <w:tc>
          <w:tcPr>
            <w:tcW w:w="1335" w:type="dxa"/>
            <w:shd w:val="clear" w:color="auto" w:fill="auto"/>
            <w:tcMar>
              <w:top w:w="20" w:type="dxa"/>
              <w:left w:w="20" w:type="dxa"/>
              <w:bottom w:w="20" w:type="dxa"/>
              <w:right w:w="20" w:type="dxa"/>
            </w:tcMar>
          </w:tcPr>
          <w:p w:rsidR="00CA6653" w:rsidRPr="006B1B97" w:rsidRDefault="00D33DEF" w:rsidP="00A200D5">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6</w:t>
            </w:r>
            <w:r w:rsidR="00CA6653" w:rsidRPr="006B1B97">
              <w:rPr>
                <w:rFonts w:ascii="Verdana" w:eastAsia="Verdana" w:hAnsi="Verdana" w:cs="Verdana"/>
                <w:color w:val="000000"/>
                <w:sz w:val="16"/>
                <w:lang w:val="en-GB"/>
              </w:rPr>
              <w:t>,</w:t>
            </w:r>
            <w:r w:rsidR="00827814">
              <w:rPr>
                <w:rFonts w:ascii="Verdana" w:eastAsia="Verdana" w:hAnsi="Verdana" w:cs="Verdana"/>
                <w:color w:val="000000"/>
                <w:sz w:val="16"/>
                <w:lang w:val="en-GB"/>
              </w:rPr>
              <w:t>625</w:t>
            </w:r>
          </w:p>
        </w:tc>
      </w:tr>
      <w:tr w:rsidR="004D417B" w:rsidTr="006B1B97">
        <w:trPr>
          <w:trHeight w:val="315"/>
          <w:jc w:val="center"/>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6B1B97" w:rsidRDefault="00CA6653" w:rsidP="00A200D5">
            <w:pPr>
              <w:pStyle w:val="T1TableStyle"/>
              <w:jc w:val="right"/>
              <w:rPr>
                <w:rFonts w:ascii="Verdana" w:eastAsia="Verdana" w:hAnsi="Verdana" w:cs="Verdana"/>
                <w:b/>
                <w:color w:val="000000"/>
                <w:sz w:val="16"/>
                <w:lang w:val="en-GB"/>
              </w:rPr>
            </w:pPr>
            <w:r w:rsidRPr="006B1B97">
              <w:rPr>
                <w:rFonts w:ascii="Verdana" w:eastAsia="Verdana" w:hAnsi="Verdana" w:cs="Verdana"/>
                <w:b/>
                <w:color w:val="000000"/>
                <w:sz w:val="16"/>
                <w:lang w:val="en-GB"/>
              </w:rPr>
              <w:t>13,233</w:t>
            </w:r>
          </w:p>
        </w:tc>
        <w:tc>
          <w:tcPr>
            <w:tcW w:w="22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2"/>
                <w:lang w:val="en-GB"/>
              </w:rPr>
            </w:pPr>
          </w:p>
        </w:tc>
        <w:tc>
          <w:tcPr>
            <w:tcW w:w="217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6B1B97" w:rsidRDefault="00CA6653" w:rsidP="00BF4518">
            <w:pPr>
              <w:pStyle w:val="T1TableStyle"/>
              <w:jc w:val="center"/>
              <w:rPr>
                <w:rFonts w:ascii="Verdana" w:eastAsia="Verdana" w:hAnsi="Verdana" w:cs="Verdana"/>
                <w:b/>
                <w:color w:val="000000"/>
                <w:sz w:val="16"/>
                <w:lang w:val="en-GB"/>
              </w:rPr>
            </w:pPr>
            <w:r w:rsidRPr="006B1B97">
              <w:rPr>
                <w:rFonts w:ascii="Verdana" w:eastAsia="Verdana" w:hAnsi="Verdana" w:cs="Verdana"/>
                <w:b/>
                <w:color w:val="000000"/>
                <w:sz w:val="16"/>
                <w:lang w:val="en-GB"/>
              </w:rPr>
              <w:t>Total</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BF4518" w:rsidP="00A200D5">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w:t>
            </w:r>
            <w:r w:rsidR="00827814">
              <w:rPr>
                <w:rFonts w:ascii="Verdana" w:eastAsia="Verdana" w:hAnsi="Verdana" w:cs="Verdana"/>
                <w:b/>
                <w:color w:val="000000"/>
                <w:sz w:val="16"/>
                <w:lang w:val="en-GB"/>
              </w:rPr>
              <w:t>2,272</w:t>
            </w:r>
          </w:p>
        </w:tc>
      </w:tr>
    </w:tbl>
    <w:p w:rsidR="00CA6653" w:rsidRDefault="00CA6653" w:rsidP="00BF4518">
      <w:pPr>
        <w:pStyle w:val="T1TableStyle"/>
        <w:jc w:val="center"/>
        <w:rPr>
          <w:rFonts w:ascii="Verdana" w:eastAsia="Verdana" w:hAnsi="Verdana" w:cs="Verdana"/>
          <w:sz w:val="22"/>
          <w:lang w:val="en-GB"/>
        </w:rPr>
      </w:pPr>
    </w:p>
    <w:p w:rsidR="001D03D1" w:rsidRDefault="001D03D1" w:rsidP="001D03D1">
      <w:pPr>
        <w:pStyle w:val="Normal0"/>
        <w:spacing w:after="160"/>
        <w:jc w:val="both"/>
        <w:rPr>
          <w:rFonts w:ascii="Verdana" w:eastAsia="Calibri" w:hAnsi="Verdana" w:cs="Arial"/>
          <w:sz w:val="22"/>
          <w:szCs w:val="22"/>
        </w:rPr>
      </w:pPr>
    </w:p>
    <w:p w:rsidR="001D03D1" w:rsidRDefault="00AE5166" w:rsidP="001D03D1">
      <w:pPr>
        <w:pStyle w:val="Normal0"/>
        <w:spacing w:after="160"/>
        <w:jc w:val="both"/>
        <w:rPr>
          <w:rFonts w:ascii="Verdana" w:eastAsia="Calibri" w:hAnsi="Verdana" w:cs="Arial"/>
          <w:sz w:val="22"/>
          <w:szCs w:val="22"/>
        </w:rPr>
      </w:pPr>
      <w:r>
        <w:rPr>
          <w:rFonts w:ascii="Verdana" w:eastAsia="Calibri" w:hAnsi="Verdana" w:cs="Arial"/>
          <w:sz w:val="22"/>
          <w:szCs w:val="22"/>
        </w:rPr>
        <w:t>The Group as a Lessor</w:t>
      </w:r>
    </w:p>
    <w:p w:rsidR="001D03D1" w:rsidRDefault="001D03D1" w:rsidP="001D03D1">
      <w:pPr>
        <w:pStyle w:val="Normal0"/>
        <w:spacing w:after="160"/>
        <w:jc w:val="both"/>
        <w:rPr>
          <w:rFonts w:ascii="Verdana" w:eastAsia="Calibri" w:hAnsi="Verdana" w:cs="Arial"/>
          <w:sz w:val="22"/>
          <w:szCs w:val="22"/>
        </w:rPr>
      </w:pPr>
      <w:r w:rsidRPr="001D03D1">
        <w:rPr>
          <w:rFonts w:ascii="Verdana" w:eastAsia="Calibri" w:hAnsi="Verdana" w:cs="Arial"/>
          <w:sz w:val="22"/>
          <w:szCs w:val="22"/>
        </w:rPr>
        <w:t>The Group leases sites under operating lease arrangements to other public organisations and / or partnerships such as Surrey County Council and Highways England. In addition to that the Group received rental income of £417k in 2019 /20 from his Leatherhead site, but this rental income will be reduced as the Group will be building up its new headquarter offices in that site.</w:t>
      </w:r>
    </w:p>
    <w:p w:rsidR="001D03D1" w:rsidRDefault="00AE5166" w:rsidP="001D03D1">
      <w:pPr>
        <w:pStyle w:val="Normal0"/>
        <w:spacing w:after="160"/>
        <w:jc w:val="both"/>
        <w:rPr>
          <w:rFonts w:ascii="Verdana" w:eastAsia="Calibri" w:hAnsi="Verdana" w:cs="Arial"/>
          <w:sz w:val="22"/>
          <w:szCs w:val="22"/>
        </w:rPr>
      </w:pPr>
      <w:r>
        <w:rPr>
          <w:rFonts w:ascii="Verdana" w:eastAsia="Calibri" w:hAnsi="Verdana" w:cs="Arial"/>
          <w:sz w:val="22"/>
          <w:szCs w:val="22"/>
        </w:rPr>
        <w:t>The group is expecting a rental income from his sites of £355k in 2020/21 and £155k</w:t>
      </w:r>
      <w:r w:rsidR="006E047D">
        <w:rPr>
          <w:rFonts w:ascii="Verdana" w:eastAsia="Calibri" w:hAnsi="Verdana" w:cs="Arial"/>
          <w:sz w:val="22"/>
          <w:szCs w:val="22"/>
        </w:rPr>
        <w:t xml:space="preserve"> within the period</w:t>
      </w:r>
      <w:r>
        <w:rPr>
          <w:rFonts w:ascii="Verdana" w:eastAsia="Calibri" w:hAnsi="Verdana" w:cs="Arial"/>
          <w:sz w:val="22"/>
          <w:szCs w:val="22"/>
        </w:rPr>
        <w:t xml:space="preserve"> </w:t>
      </w:r>
      <w:r w:rsidR="006E047D">
        <w:rPr>
          <w:rFonts w:ascii="Verdana" w:eastAsia="Calibri" w:hAnsi="Verdana" w:cs="Arial"/>
          <w:sz w:val="22"/>
          <w:szCs w:val="22"/>
        </w:rPr>
        <w:t>from</w:t>
      </w:r>
      <w:r>
        <w:rPr>
          <w:rFonts w:ascii="Verdana" w:eastAsia="Calibri" w:hAnsi="Verdana" w:cs="Arial"/>
          <w:sz w:val="22"/>
          <w:szCs w:val="22"/>
        </w:rPr>
        <w:t xml:space="preserve"> 2021/22</w:t>
      </w:r>
      <w:r w:rsidR="006E047D">
        <w:rPr>
          <w:rFonts w:ascii="Verdana" w:eastAsia="Calibri" w:hAnsi="Verdana" w:cs="Arial"/>
          <w:sz w:val="22"/>
          <w:szCs w:val="22"/>
        </w:rPr>
        <w:t xml:space="preserve"> to 2021/25</w:t>
      </w:r>
      <w:r>
        <w:rPr>
          <w:rFonts w:ascii="Verdana" w:eastAsia="Calibri" w:hAnsi="Verdana" w:cs="Arial"/>
          <w:sz w:val="22"/>
          <w:szCs w:val="22"/>
        </w:rPr>
        <w:t>.</w:t>
      </w:r>
    </w:p>
    <w:p w:rsidR="001D03D1" w:rsidRPr="001D03D1" w:rsidRDefault="001D03D1" w:rsidP="001D03D1">
      <w:pPr>
        <w:pStyle w:val="Normal0"/>
        <w:spacing w:after="160"/>
        <w:jc w:val="both"/>
        <w:rPr>
          <w:rFonts w:ascii="Verdana" w:eastAsia="Calibri" w:hAnsi="Verdana" w:cs="Arial"/>
          <w:sz w:val="22"/>
          <w:szCs w:val="22"/>
        </w:rPr>
      </w:pPr>
    </w:p>
    <w:tbl>
      <w:tblPr>
        <w:tblW w:w="5545" w:type="dxa"/>
        <w:jc w:val="center"/>
        <w:tblLook w:val="04A0" w:firstRow="1" w:lastRow="0" w:firstColumn="1" w:lastColumn="0" w:noHBand="0" w:noVBand="1"/>
      </w:tblPr>
      <w:tblGrid>
        <w:gridCol w:w="1763"/>
        <w:gridCol w:w="2429"/>
        <w:gridCol w:w="1353"/>
      </w:tblGrid>
      <w:tr w:rsidR="001D03D1" w:rsidRPr="005628D3" w:rsidTr="00A200D5">
        <w:trPr>
          <w:trHeight w:val="220"/>
          <w:jc w:val="center"/>
        </w:trPr>
        <w:tc>
          <w:tcPr>
            <w:tcW w:w="5545" w:type="dxa"/>
            <w:gridSpan w:val="3"/>
            <w:tcBorders>
              <w:top w:val="nil"/>
              <w:left w:val="nil"/>
              <w:bottom w:val="nil"/>
            </w:tcBorders>
            <w:shd w:val="clear" w:color="auto" w:fill="auto"/>
            <w:noWrap/>
            <w:vAlign w:val="bottom"/>
            <w:hideMark/>
          </w:tcPr>
          <w:p w:rsidR="001D03D1" w:rsidRPr="005628D3" w:rsidRDefault="001D03D1" w:rsidP="001D03D1">
            <w:pPr>
              <w:jc w:val="center"/>
              <w:rPr>
                <w:rFonts w:eastAsia="Times New Roman" w:cs="Arial"/>
                <w:b/>
                <w:bCs/>
                <w:color w:val="000000"/>
                <w:sz w:val="16"/>
                <w:szCs w:val="16"/>
                <w:lang w:eastAsia="en-GB"/>
              </w:rPr>
            </w:pPr>
            <w:r w:rsidRPr="00694FC6">
              <w:rPr>
                <w:rFonts w:eastAsia="Verdana" w:cs="Verdana"/>
                <w:b/>
                <w:color w:val="000000"/>
                <w:sz w:val="20"/>
                <w:szCs w:val="20"/>
              </w:rPr>
              <w:t>Authority as Lessor - Operating Leases</w:t>
            </w:r>
          </w:p>
        </w:tc>
      </w:tr>
      <w:tr w:rsidR="001D03D1" w:rsidRPr="005628D3" w:rsidTr="00A200D5">
        <w:trPr>
          <w:trHeight w:val="220"/>
          <w:jc w:val="center"/>
        </w:trPr>
        <w:tc>
          <w:tcPr>
            <w:tcW w:w="1763" w:type="dxa"/>
            <w:tcBorders>
              <w:top w:val="nil"/>
              <w:left w:val="nil"/>
              <w:bottom w:val="nil"/>
              <w:right w:val="nil"/>
            </w:tcBorders>
            <w:shd w:val="clear" w:color="auto" w:fill="auto"/>
            <w:noWrap/>
            <w:vAlign w:val="bottom"/>
            <w:hideMark/>
          </w:tcPr>
          <w:p w:rsidR="001D03D1" w:rsidRPr="005628D3" w:rsidRDefault="001D03D1" w:rsidP="001D03D1">
            <w:pPr>
              <w:rPr>
                <w:rFonts w:ascii="Times New Roman" w:eastAsia="Times New Roman" w:hAnsi="Times New Roman"/>
                <w:sz w:val="20"/>
                <w:szCs w:val="20"/>
                <w:lang w:eastAsia="en-GB"/>
              </w:rPr>
            </w:pPr>
          </w:p>
        </w:tc>
        <w:tc>
          <w:tcPr>
            <w:tcW w:w="2429" w:type="dxa"/>
            <w:tcBorders>
              <w:top w:val="nil"/>
              <w:left w:val="nil"/>
              <w:bottom w:val="nil"/>
              <w:right w:val="nil"/>
            </w:tcBorders>
            <w:shd w:val="clear" w:color="auto" w:fill="auto"/>
            <w:noWrap/>
            <w:vAlign w:val="bottom"/>
            <w:hideMark/>
          </w:tcPr>
          <w:p w:rsidR="001D03D1" w:rsidRPr="005628D3" w:rsidRDefault="001D03D1" w:rsidP="001D03D1">
            <w:pPr>
              <w:rPr>
                <w:rFonts w:ascii="Times New Roman" w:eastAsia="Times New Roman" w:hAnsi="Times New Roman"/>
                <w:sz w:val="20"/>
                <w:szCs w:val="20"/>
                <w:lang w:eastAsia="en-GB"/>
              </w:rPr>
            </w:pPr>
          </w:p>
        </w:tc>
        <w:tc>
          <w:tcPr>
            <w:tcW w:w="1352" w:type="dxa"/>
            <w:tcBorders>
              <w:top w:val="nil"/>
              <w:left w:val="nil"/>
              <w:bottom w:val="nil"/>
              <w:right w:val="nil"/>
            </w:tcBorders>
            <w:shd w:val="clear" w:color="auto" w:fill="auto"/>
            <w:noWrap/>
            <w:vAlign w:val="bottom"/>
            <w:hideMark/>
          </w:tcPr>
          <w:p w:rsidR="001D03D1" w:rsidRPr="005628D3" w:rsidRDefault="001D03D1" w:rsidP="001D03D1">
            <w:pPr>
              <w:rPr>
                <w:rFonts w:ascii="Times New Roman" w:eastAsia="Times New Roman" w:hAnsi="Times New Roman"/>
                <w:sz w:val="20"/>
                <w:szCs w:val="20"/>
                <w:lang w:eastAsia="en-GB"/>
              </w:rPr>
            </w:pPr>
          </w:p>
        </w:tc>
      </w:tr>
      <w:tr w:rsidR="001D03D1" w:rsidRPr="005628D3" w:rsidTr="00A200D5">
        <w:trPr>
          <w:trHeight w:val="660"/>
          <w:jc w:val="center"/>
        </w:trPr>
        <w:tc>
          <w:tcPr>
            <w:tcW w:w="1763" w:type="dxa"/>
            <w:tcBorders>
              <w:top w:val="nil"/>
              <w:left w:val="nil"/>
              <w:bottom w:val="single" w:sz="4" w:space="0" w:color="auto"/>
              <w:right w:val="nil"/>
            </w:tcBorders>
            <w:shd w:val="clear" w:color="auto" w:fill="auto"/>
            <w:vAlign w:val="bottom"/>
            <w:hideMark/>
          </w:tcPr>
          <w:p w:rsidR="001D03D1" w:rsidRPr="005628D3" w:rsidRDefault="001D03D1" w:rsidP="00A200D5">
            <w:pPr>
              <w:jc w:val="center"/>
              <w:rPr>
                <w:rFonts w:eastAsia="Times New Roman" w:cs="Arial"/>
                <w:b/>
                <w:bCs/>
                <w:color w:val="000000"/>
                <w:sz w:val="16"/>
                <w:szCs w:val="16"/>
                <w:lang w:eastAsia="en-GB"/>
              </w:rPr>
            </w:pPr>
            <w:r w:rsidRPr="005628D3">
              <w:rPr>
                <w:rFonts w:eastAsia="Times New Roman" w:cs="Arial"/>
                <w:b/>
                <w:bCs/>
                <w:color w:val="000000"/>
                <w:sz w:val="16"/>
                <w:szCs w:val="16"/>
                <w:lang w:eastAsia="en-GB"/>
              </w:rPr>
              <w:t>31/03/2019</w:t>
            </w:r>
            <w:r w:rsidRPr="005628D3">
              <w:rPr>
                <w:rFonts w:eastAsia="Times New Roman" w:cs="Arial"/>
                <w:b/>
                <w:bCs/>
                <w:color w:val="000000"/>
                <w:sz w:val="16"/>
                <w:szCs w:val="16"/>
                <w:lang w:eastAsia="en-GB"/>
              </w:rPr>
              <w:br/>
              <w:t>£000</w:t>
            </w:r>
          </w:p>
        </w:tc>
        <w:tc>
          <w:tcPr>
            <w:tcW w:w="2429" w:type="dxa"/>
            <w:tcBorders>
              <w:top w:val="nil"/>
              <w:left w:val="nil"/>
              <w:bottom w:val="single" w:sz="4" w:space="0" w:color="auto"/>
              <w:right w:val="nil"/>
            </w:tcBorders>
            <w:shd w:val="clear" w:color="auto" w:fill="auto"/>
            <w:noWrap/>
            <w:vAlign w:val="bottom"/>
            <w:hideMark/>
          </w:tcPr>
          <w:p w:rsidR="001D03D1" w:rsidRPr="005628D3" w:rsidRDefault="001D03D1" w:rsidP="00A200D5">
            <w:pPr>
              <w:jc w:val="center"/>
              <w:rPr>
                <w:rFonts w:eastAsia="Times New Roman" w:cs="Arial"/>
                <w:b/>
                <w:bCs/>
                <w:color w:val="000000"/>
                <w:sz w:val="16"/>
                <w:szCs w:val="16"/>
                <w:lang w:eastAsia="en-GB"/>
              </w:rPr>
            </w:pPr>
          </w:p>
        </w:tc>
        <w:tc>
          <w:tcPr>
            <w:tcW w:w="1352" w:type="dxa"/>
            <w:tcBorders>
              <w:top w:val="nil"/>
              <w:left w:val="nil"/>
              <w:bottom w:val="single" w:sz="4" w:space="0" w:color="auto"/>
              <w:right w:val="nil"/>
            </w:tcBorders>
            <w:shd w:val="clear" w:color="auto" w:fill="auto"/>
            <w:vAlign w:val="bottom"/>
            <w:hideMark/>
          </w:tcPr>
          <w:p w:rsidR="001D03D1" w:rsidRPr="005628D3" w:rsidRDefault="001D03D1" w:rsidP="00A200D5">
            <w:pPr>
              <w:jc w:val="center"/>
              <w:rPr>
                <w:rFonts w:eastAsia="Times New Roman" w:cs="Arial"/>
                <w:b/>
                <w:bCs/>
                <w:color w:val="000000"/>
                <w:sz w:val="16"/>
                <w:szCs w:val="16"/>
                <w:lang w:eastAsia="en-GB"/>
              </w:rPr>
            </w:pPr>
            <w:r w:rsidRPr="005628D3">
              <w:rPr>
                <w:rFonts w:eastAsia="Times New Roman" w:cs="Arial"/>
                <w:b/>
                <w:bCs/>
                <w:color w:val="000000"/>
                <w:sz w:val="16"/>
                <w:szCs w:val="16"/>
                <w:lang w:eastAsia="en-GB"/>
              </w:rPr>
              <w:t>31/03/2020</w:t>
            </w:r>
            <w:r w:rsidRPr="005628D3">
              <w:rPr>
                <w:rFonts w:eastAsia="Times New Roman" w:cs="Arial"/>
                <w:b/>
                <w:bCs/>
                <w:color w:val="000000"/>
                <w:sz w:val="16"/>
                <w:szCs w:val="16"/>
                <w:lang w:eastAsia="en-GB"/>
              </w:rPr>
              <w:br/>
              <w:t>£000</w:t>
            </w:r>
          </w:p>
        </w:tc>
      </w:tr>
      <w:tr w:rsidR="001D03D1" w:rsidRPr="005628D3" w:rsidTr="00A200D5">
        <w:trPr>
          <w:trHeight w:val="220"/>
          <w:jc w:val="center"/>
        </w:trPr>
        <w:tc>
          <w:tcPr>
            <w:tcW w:w="1763" w:type="dxa"/>
            <w:tcBorders>
              <w:top w:val="nil"/>
              <w:left w:val="nil"/>
              <w:bottom w:val="nil"/>
              <w:right w:val="nil"/>
            </w:tcBorders>
            <w:shd w:val="clear" w:color="auto" w:fill="auto"/>
            <w:noWrap/>
            <w:vAlign w:val="bottom"/>
            <w:hideMark/>
          </w:tcPr>
          <w:p w:rsidR="001D03D1" w:rsidRPr="005628D3" w:rsidRDefault="001D03D1" w:rsidP="00A200D5">
            <w:pPr>
              <w:jc w:val="right"/>
              <w:rPr>
                <w:rFonts w:eastAsia="Times New Roman" w:cs="Arial"/>
                <w:color w:val="000000"/>
                <w:sz w:val="16"/>
                <w:szCs w:val="16"/>
                <w:lang w:eastAsia="en-GB"/>
              </w:rPr>
            </w:pPr>
            <w:r>
              <w:rPr>
                <w:rFonts w:eastAsia="Times New Roman" w:cs="Arial"/>
                <w:color w:val="000000"/>
                <w:sz w:val="16"/>
                <w:szCs w:val="16"/>
                <w:lang w:eastAsia="en-GB"/>
              </w:rPr>
              <w:t>579</w:t>
            </w:r>
          </w:p>
        </w:tc>
        <w:tc>
          <w:tcPr>
            <w:tcW w:w="2429" w:type="dxa"/>
            <w:tcBorders>
              <w:top w:val="nil"/>
              <w:left w:val="nil"/>
              <w:bottom w:val="nil"/>
              <w:right w:val="nil"/>
            </w:tcBorders>
            <w:shd w:val="clear" w:color="auto" w:fill="auto"/>
            <w:vAlign w:val="bottom"/>
            <w:hideMark/>
          </w:tcPr>
          <w:p w:rsidR="001D03D1" w:rsidRPr="005628D3" w:rsidRDefault="001D03D1">
            <w:pPr>
              <w:jc w:val="center"/>
              <w:rPr>
                <w:rFonts w:eastAsia="Times New Roman" w:cs="Arial"/>
                <w:color w:val="000000"/>
                <w:sz w:val="16"/>
                <w:szCs w:val="16"/>
                <w:lang w:eastAsia="en-GB"/>
              </w:rPr>
            </w:pPr>
            <w:r w:rsidRPr="005628D3">
              <w:rPr>
                <w:rFonts w:eastAsia="Times New Roman" w:cs="Arial"/>
                <w:color w:val="000000"/>
                <w:sz w:val="16"/>
                <w:szCs w:val="16"/>
                <w:lang w:eastAsia="en-GB"/>
              </w:rPr>
              <w:t>Not later than one year</w:t>
            </w:r>
          </w:p>
        </w:tc>
        <w:tc>
          <w:tcPr>
            <w:tcW w:w="1352" w:type="dxa"/>
            <w:tcBorders>
              <w:top w:val="nil"/>
              <w:left w:val="nil"/>
              <w:bottom w:val="nil"/>
              <w:right w:val="nil"/>
            </w:tcBorders>
            <w:shd w:val="clear" w:color="auto" w:fill="auto"/>
            <w:noWrap/>
            <w:vAlign w:val="bottom"/>
            <w:hideMark/>
          </w:tcPr>
          <w:p w:rsidR="001D03D1" w:rsidRPr="005628D3" w:rsidRDefault="001D03D1" w:rsidP="00A200D5">
            <w:pPr>
              <w:jc w:val="right"/>
              <w:rPr>
                <w:rFonts w:eastAsia="Times New Roman" w:cs="Arial"/>
                <w:color w:val="000000"/>
                <w:sz w:val="16"/>
                <w:szCs w:val="16"/>
                <w:lang w:eastAsia="en-GB"/>
              </w:rPr>
            </w:pPr>
            <w:r>
              <w:rPr>
                <w:rFonts w:eastAsia="Times New Roman" w:cs="Arial"/>
                <w:color w:val="000000"/>
                <w:sz w:val="16"/>
                <w:szCs w:val="16"/>
                <w:lang w:eastAsia="en-GB"/>
              </w:rPr>
              <w:t>355</w:t>
            </w:r>
          </w:p>
        </w:tc>
      </w:tr>
      <w:tr w:rsidR="001D03D1" w:rsidRPr="005628D3" w:rsidTr="00A200D5">
        <w:trPr>
          <w:trHeight w:val="220"/>
          <w:jc w:val="center"/>
        </w:trPr>
        <w:tc>
          <w:tcPr>
            <w:tcW w:w="1763" w:type="dxa"/>
            <w:tcBorders>
              <w:top w:val="nil"/>
              <w:left w:val="nil"/>
              <w:bottom w:val="nil"/>
              <w:right w:val="nil"/>
            </w:tcBorders>
            <w:shd w:val="clear" w:color="auto" w:fill="auto"/>
            <w:noWrap/>
            <w:vAlign w:val="bottom"/>
          </w:tcPr>
          <w:p w:rsidR="001D03D1" w:rsidRPr="005628D3" w:rsidRDefault="001D03D1" w:rsidP="00A200D5">
            <w:pPr>
              <w:jc w:val="right"/>
              <w:rPr>
                <w:rFonts w:eastAsia="Times New Roman" w:cs="Arial"/>
                <w:color w:val="000000"/>
                <w:sz w:val="16"/>
                <w:szCs w:val="16"/>
                <w:lang w:eastAsia="en-GB"/>
              </w:rPr>
            </w:pPr>
          </w:p>
        </w:tc>
        <w:tc>
          <w:tcPr>
            <w:tcW w:w="2429" w:type="dxa"/>
            <w:tcBorders>
              <w:top w:val="nil"/>
              <w:left w:val="nil"/>
              <w:bottom w:val="nil"/>
              <w:right w:val="nil"/>
            </w:tcBorders>
            <w:shd w:val="clear" w:color="auto" w:fill="auto"/>
            <w:vAlign w:val="bottom"/>
          </w:tcPr>
          <w:p w:rsidR="001D03D1" w:rsidRPr="005628D3" w:rsidRDefault="001D03D1">
            <w:pPr>
              <w:jc w:val="center"/>
              <w:rPr>
                <w:rFonts w:eastAsia="Times New Roman" w:cs="Arial"/>
                <w:color w:val="000000"/>
                <w:sz w:val="16"/>
                <w:szCs w:val="16"/>
                <w:lang w:eastAsia="en-GB"/>
              </w:rPr>
            </w:pPr>
          </w:p>
        </w:tc>
        <w:tc>
          <w:tcPr>
            <w:tcW w:w="1352" w:type="dxa"/>
            <w:tcBorders>
              <w:top w:val="nil"/>
              <w:left w:val="nil"/>
              <w:bottom w:val="nil"/>
              <w:right w:val="nil"/>
            </w:tcBorders>
            <w:shd w:val="clear" w:color="auto" w:fill="auto"/>
            <w:noWrap/>
            <w:vAlign w:val="bottom"/>
          </w:tcPr>
          <w:p w:rsidR="001D03D1" w:rsidRPr="005628D3" w:rsidRDefault="001D03D1" w:rsidP="00A200D5">
            <w:pPr>
              <w:jc w:val="right"/>
              <w:rPr>
                <w:rFonts w:eastAsia="Times New Roman" w:cs="Arial"/>
                <w:color w:val="000000"/>
                <w:sz w:val="16"/>
                <w:szCs w:val="16"/>
                <w:lang w:eastAsia="en-GB"/>
              </w:rPr>
            </w:pPr>
          </w:p>
        </w:tc>
      </w:tr>
      <w:tr w:rsidR="001D03D1" w:rsidRPr="005628D3" w:rsidTr="00A200D5">
        <w:trPr>
          <w:trHeight w:val="440"/>
          <w:jc w:val="center"/>
        </w:trPr>
        <w:tc>
          <w:tcPr>
            <w:tcW w:w="1763" w:type="dxa"/>
            <w:tcBorders>
              <w:top w:val="nil"/>
              <w:left w:val="nil"/>
              <w:bottom w:val="nil"/>
              <w:right w:val="nil"/>
            </w:tcBorders>
            <w:shd w:val="clear" w:color="auto" w:fill="auto"/>
            <w:noWrap/>
            <w:vAlign w:val="bottom"/>
            <w:hideMark/>
          </w:tcPr>
          <w:p w:rsidR="001D03D1" w:rsidRPr="005628D3" w:rsidRDefault="001D03D1" w:rsidP="00A200D5">
            <w:pPr>
              <w:jc w:val="right"/>
              <w:rPr>
                <w:rFonts w:eastAsia="Times New Roman" w:cs="Arial"/>
                <w:color w:val="000000"/>
                <w:sz w:val="16"/>
                <w:szCs w:val="16"/>
                <w:lang w:eastAsia="en-GB"/>
              </w:rPr>
            </w:pPr>
            <w:r>
              <w:rPr>
                <w:rFonts w:eastAsia="Times New Roman" w:cs="Arial"/>
                <w:color w:val="000000"/>
                <w:sz w:val="16"/>
                <w:szCs w:val="16"/>
                <w:lang w:eastAsia="en-GB"/>
              </w:rPr>
              <w:t>431</w:t>
            </w:r>
          </w:p>
        </w:tc>
        <w:tc>
          <w:tcPr>
            <w:tcW w:w="2429" w:type="dxa"/>
            <w:tcBorders>
              <w:top w:val="nil"/>
              <w:left w:val="nil"/>
              <w:bottom w:val="nil"/>
              <w:right w:val="nil"/>
            </w:tcBorders>
            <w:shd w:val="clear" w:color="auto" w:fill="auto"/>
            <w:vAlign w:val="bottom"/>
            <w:hideMark/>
          </w:tcPr>
          <w:p w:rsidR="001D03D1" w:rsidRPr="005628D3" w:rsidRDefault="001D03D1">
            <w:pPr>
              <w:jc w:val="center"/>
              <w:rPr>
                <w:rFonts w:eastAsia="Times New Roman" w:cs="Arial"/>
                <w:color w:val="000000"/>
                <w:sz w:val="16"/>
                <w:szCs w:val="16"/>
                <w:lang w:eastAsia="en-GB"/>
              </w:rPr>
            </w:pPr>
            <w:r w:rsidRPr="005628D3">
              <w:rPr>
                <w:rFonts w:eastAsia="Times New Roman" w:cs="Arial"/>
                <w:color w:val="000000"/>
                <w:sz w:val="16"/>
                <w:szCs w:val="16"/>
                <w:lang w:eastAsia="en-GB"/>
              </w:rPr>
              <w:t>Later than one year and not later than five years</w:t>
            </w:r>
          </w:p>
        </w:tc>
        <w:tc>
          <w:tcPr>
            <w:tcW w:w="1352" w:type="dxa"/>
            <w:tcBorders>
              <w:top w:val="nil"/>
              <w:left w:val="nil"/>
              <w:bottom w:val="nil"/>
              <w:right w:val="nil"/>
            </w:tcBorders>
            <w:shd w:val="clear" w:color="auto" w:fill="auto"/>
            <w:noWrap/>
            <w:vAlign w:val="bottom"/>
            <w:hideMark/>
          </w:tcPr>
          <w:p w:rsidR="001D03D1" w:rsidRPr="005628D3" w:rsidRDefault="001D03D1" w:rsidP="00A200D5">
            <w:pPr>
              <w:jc w:val="right"/>
              <w:rPr>
                <w:rFonts w:eastAsia="Times New Roman" w:cs="Arial"/>
                <w:color w:val="000000"/>
                <w:sz w:val="16"/>
                <w:szCs w:val="16"/>
                <w:lang w:eastAsia="en-GB"/>
              </w:rPr>
            </w:pPr>
            <w:r w:rsidRPr="005628D3">
              <w:rPr>
                <w:rFonts w:eastAsia="Times New Roman" w:cs="Arial"/>
                <w:color w:val="000000"/>
                <w:sz w:val="16"/>
                <w:szCs w:val="16"/>
                <w:lang w:eastAsia="en-GB"/>
              </w:rPr>
              <w:t>1</w:t>
            </w:r>
            <w:r>
              <w:rPr>
                <w:rFonts w:eastAsia="Times New Roman" w:cs="Arial"/>
                <w:color w:val="000000"/>
                <w:sz w:val="16"/>
                <w:szCs w:val="16"/>
                <w:lang w:eastAsia="en-GB"/>
              </w:rPr>
              <w:t>55</w:t>
            </w:r>
          </w:p>
        </w:tc>
      </w:tr>
      <w:tr w:rsidR="001D03D1" w:rsidRPr="005628D3" w:rsidTr="00A200D5">
        <w:trPr>
          <w:trHeight w:val="220"/>
          <w:jc w:val="center"/>
        </w:trPr>
        <w:tc>
          <w:tcPr>
            <w:tcW w:w="1763" w:type="dxa"/>
            <w:tcBorders>
              <w:top w:val="nil"/>
              <w:left w:val="nil"/>
              <w:bottom w:val="single" w:sz="4" w:space="0" w:color="auto"/>
              <w:right w:val="nil"/>
            </w:tcBorders>
            <w:shd w:val="clear" w:color="auto" w:fill="auto"/>
            <w:noWrap/>
            <w:vAlign w:val="bottom"/>
            <w:hideMark/>
          </w:tcPr>
          <w:p w:rsidR="001D03D1" w:rsidRPr="005628D3" w:rsidRDefault="001D03D1" w:rsidP="00A200D5">
            <w:pPr>
              <w:jc w:val="right"/>
              <w:rPr>
                <w:rFonts w:eastAsia="Times New Roman" w:cs="Arial"/>
                <w:color w:val="000000"/>
                <w:sz w:val="16"/>
                <w:szCs w:val="16"/>
                <w:lang w:eastAsia="en-GB"/>
              </w:rPr>
            </w:pPr>
            <w:r w:rsidRPr="005628D3">
              <w:rPr>
                <w:rFonts w:eastAsia="Times New Roman" w:cs="Arial"/>
                <w:color w:val="000000"/>
                <w:sz w:val="16"/>
                <w:szCs w:val="16"/>
                <w:lang w:eastAsia="en-GB"/>
              </w:rPr>
              <w:t>79</w:t>
            </w:r>
          </w:p>
        </w:tc>
        <w:tc>
          <w:tcPr>
            <w:tcW w:w="2429" w:type="dxa"/>
            <w:tcBorders>
              <w:top w:val="nil"/>
              <w:left w:val="nil"/>
              <w:bottom w:val="single" w:sz="4" w:space="0" w:color="auto"/>
              <w:right w:val="nil"/>
            </w:tcBorders>
            <w:shd w:val="clear" w:color="auto" w:fill="auto"/>
            <w:vAlign w:val="bottom"/>
            <w:hideMark/>
          </w:tcPr>
          <w:p w:rsidR="001D03D1" w:rsidRPr="005628D3" w:rsidRDefault="001D03D1">
            <w:pPr>
              <w:jc w:val="center"/>
              <w:rPr>
                <w:rFonts w:eastAsia="Times New Roman" w:cs="Arial"/>
                <w:color w:val="000000"/>
                <w:sz w:val="16"/>
                <w:szCs w:val="16"/>
                <w:lang w:eastAsia="en-GB"/>
              </w:rPr>
            </w:pPr>
            <w:r w:rsidRPr="005628D3">
              <w:rPr>
                <w:rFonts w:eastAsia="Times New Roman" w:cs="Arial"/>
                <w:color w:val="000000"/>
                <w:sz w:val="16"/>
                <w:szCs w:val="16"/>
                <w:lang w:eastAsia="en-GB"/>
              </w:rPr>
              <w:t>Later than five years</w:t>
            </w:r>
          </w:p>
        </w:tc>
        <w:tc>
          <w:tcPr>
            <w:tcW w:w="1352" w:type="dxa"/>
            <w:tcBorders>
              <w:top w:val="nil"/>
              <w:left w:val="nil"/>
              <w:bottom w:val="single" w:sz="4" w:space="0" w:color="auto"/>
              <w:right w:val="nil"/>
            </w:tcBorders>
            <w:shd w:val="clear" w:color="auto" w:fill="auto"/>
            <w:noWrap/>
            <w:vAlign w:val="bottom"/>
            <w:hideMark/>
          </w:tcPr>
          <w:p w:rsidR="001D03D1" w:rsidRPr="005628D3" w:rsidRDefault="001D03D1" w:rsidP="00A200D5">
            <w:pPr>
              <w:jc w:val="right"/>
              <w:rPr>
                <w:rFonts w:eastAsia="Times New Roman" w:cs="Arial"/>
                <w:color w:val="000000"/>
                <w:sz w:val="16"/>
                <w:szCs w:val="16"/>
                <w:lang w:eastAsia="en-GB"/>
              </w:rPr>
            </w:pPr>
            <w:r w:rsidRPr="005628D3">
              <w:rPr>
                <w:rFonts w:eastAsia="Times New Roman" w:cs="Arial"/>
                <w:color w:val="000000"/>
                <w:sz w:val="16"/>
                <w:szCs w:val="16"/>
                <w:lang w:eastAsia="en-GB"/>
              </w:rPr>
              <w:t>-</w:t>
            </w:r>
          </w:p>
        </w:tc>
      </w:tr>
      <w:tr w:rsidR="001D03D1" w:rsidRPr="005628D3" w:rsidTr="00A200D5">
        <w:trPr>
          <w:trHeight w:val="220"/>
          <w:jc w:val="center"/>
        </w:trPr>
        <w:tc>
          <w:tcPr>
            <w:tcW w:w="1763" w:type="dxa"/>
            <w:tcBorders>
              <w:top w:val="single" w:sz="4" w:space="0" w:color="auto"/>
              <w:left w:val="nil"/>
              <w:bottom w:val="single" w:sz="4" w:space="0" w:color="auto"/>
              <w:right w:val="nil"/>
            </w:tcBorders>
            <w:shd w:val="clear" w:color="auto" w:fill="auto"/>
            <w:noWrap/>
            <w:vAlign w:val="bottom"/>
            <w:hideMark/>
          </w:tcPr>
          <w:p w:rsidR="001D03D1" w:rsidRPr="005628D3" w:rsidRDefault="001D03D1" w:rsidP="00A200D5">
            <w:pPr>
              <w:jc w:val="right"/>
              <w:rPr>
                <w:rFonts w:eastAsia="Times New Roman" w:cs="Arial"/>
                <w:b/>
                <w:color w:val="000000"/>
                <w:sz w:val="16"/>
                <w:szCs w:val="16"/>
                <w:lang w:eastAsia="en-GB"/>
              </w:rPr>
            </w:pPr>
            <w:r>
              <w:rPr>
                <w:rFonts w:eastAsia="Times New Roman" w:cs="Arial"/>
                <w:b/>
                <w:color w:val="000000"/>
                <w:sz w:val="16"/>
                <w:szCs w:val="16"/>
                <w:lang w:eastAsia="en-GB"/>
              </w:rPr>
              <w:t>1,090</w:t>
            </w:r>
          </w:p>
        </w:tc>
        <w:tc>
          <w:tcPr>
            <w:tcW w:w="2429" w:type="dxa"/>
            <w:tcBorders>
              <w:top w:val="single" w:sz="4" w:space="0" w:color="auto"/>
              <w:left w:val="nil"/>
              <w:bottom w:val="single" w:sz="4" w:space="0" w:color="auto"/>
              <w:right w:val="nil"/>
            </w:tcBorders>
            <w:shd w:val="clear" w:color="auto" w:fill="auto"/>
            <w:vAlign w:val="bottom"/>
            <w:hideMark/>
          </w:tcPr>
          <w:p w:rsidR="001D03D1" w:rsidRPr="005628D3" w:rsidRDefault="001D03D1">
            <w:pPr>
              <w:jc w:val="center"/>
              <w:rPr>
                <w:rFonts w:eastAsia="Times New Roman" w:cs="Arial"/>
                <w:b/>
                <w:color w:val="000000"/>
                <w:sz w:val="16"/>
                <w:szCs w:val="16"/>
                <w:lang w:eastAsia="en-GB"/>
              </w:rPr>
            </w:pPr>
            <w:r w:rsidRPr="005628D3">
              <w:rPr>
                <w:rFonts w:eastAsia="Times New Roman" w:cs="Arial"/>
                <w:b/>
                <w:color w:val="000000"/>
                <w:sz w:val="16"/>
                <w:szCs w:val="16"/>
                <w:lang w:eastAsia="en-GB"/>
              </w:rPr>
              <w:t>Total</w:t>
            </w:r>
          </w:p>
        </w:tc>
        <w:tc>
          <w:tcPr>
            <w:tcW w:w="1352" w:type="dxa"/>
            <w:tcBorders>
              <w:top w:val="single" w:sz="4" w:space="0" w:color="auto"/>
              <w:left w:val="nil"/>
              <w:bottom w:val="single" w:sz="4" w:space="0" w:color="auto"/>
              <w:right w:val="nil"/>
            </w:tcBorders>
            <w:shd w:val="clear" w:color="auto" w:fill="auto"/>
            <w:noWrap/>
            <w:vAlign w:val="bottom"/>
            <w:hideMark/>
          </w:tcPr>
          <w:p w:rsidR="001D03D1" w:rsidRPr="005628D3" w:rsidRDefault="001D03D1" w:rsidP="00A200D5">
            <w:pPr>
              <w:jc w:val="right"/>
              <w:rPr>
                <w:rFonts w:eastAsia="Times New Roman" w:cs="Arial"/>
                <w:b/>
                <w:color w:val="000000"/>
                <w:sz w:val="16"/>
                <w:szCs w:val="16"/>
                <w:lang w:eastAsia="en-GB"/>
              </w:rPr>
            </w:pPr>
            <w:r>
              <w:rPr>
                <w:rFonts w:eastAsia="Times New Roman" w:cs="Arial"/>
                <w:b/>
                <w:color w:val="000000"/>
                <w:sz w:val="16"/>
                <w:szCs w:val="16"/>
                <w:lang w:eastAsia="en-GB"/>
              </w:rPr>
              <w:t>510</w:t>
            </w:r>
          </w:p>
        </w:tc>
      </w:tr>
    </w:tbl>
    <w:p w:rsidR="001D03D1" w:rsidRPr="001D03D1" w:rsidRDefault="001D03D1" w:rsidP="001D03D1">
      <w:pPr>
        <w:pStyle w:val="Normal0"/>
        <w:spacing w:after="160"/>
        <w:jc w:val="both"/>
        <w:rPr>
          <w:rFonts w:ascii="Verdana" w:eastAsia="Calibri" w:hAnsi="Verdana" w:cs="Arial"/>
          <w:sz w:val="22"/>
          <w:szCs w:val="22"/>
        </w:rPr>
      </w:pPr>
    </w:p>
    <w:p w:rsidR="001D03D1" w:rsidRPr="001D03D1" w:rsidRDefault="001D03D1" w:rsidP="001D03D1">
      <w:pPr>
        <w:pStyle w:val="Normal0"/>
        <w:spacing w:after="160"/>
        <w:jc w:val="both"/>
        <w:rPr>
          <w:rFonts w:ascii="Verdana" w:eastAsia="Calibri" w:hAnsi="Verdana" w:cs="Arial"/>
          <w:sz w:val="22"/>
          <w:szCs w:val="22"/>
        </w:rPr>
      </w:pPr>
    </w:p>
    <w:p w:rsidR="001D03D1" w:rsidRPr="00A200D5" w:rsidRDefault="001D03D1" w:rsidP="00A200D5">
      <w:pPr>
        <w:pStyle w:val="Normal0"/>
        <w:spacing w:after="160"/>
        <w:jc w:val="both"/>
        <w:rPr>
          <w:rFonts w:ascii="Verdana" w:eastAsia="Calibri" w:hAnsi="Verdana" w:cs="Arial"/>
          <w:sz w:val="22"/>
          <w:szCs w:val="22"/>
        </w:rPr>
      </w:pPr>
      <w:r w:rsidRPr="001D03D1">
        <w:rPr>
          <w:rFonts w:ascii="Verdana" w:eastAsia="Calibri" w:hAnsi="Verdana" w:cs="Arial"/>
          <w:sz w:val="22"/>
          <w:szCs w:val="22"/>
        </w:rPr>
        <w:t xml:space="preserve">The minimum lease payments receivable do not include rents that are contingent on events taking place after the lease was entered into, such as adjustments following rent reviews. There were no contingent rents receivable by the Group </w:t>
      </w:r>
      <w:r w:rsidR="00AE5166">
        <w:rPr>
          <w:rFonts w:ascii="Verdana" w:eastAsia="Calibri" w:hAnsi="Verdana" w:cs="Arial"/>
          <w:sz w:val="22"/>
          <w:szCs w:val="22"/>
        </w:rPr>
        <w:t xml:space="preserve">in </w:t>
      </w:r>
      <w:r w:rsidRPr="001D03D1">
        <w:rPr>
          <w:rFonts w:ascii="Verdana" w:eastAsia="Calibri" w:hAnsi="Verdana" w:cs="Arial"/>
          <w:sz w:val="22"/>
          <w:szCs w:val="22"/>
        </w:rPr>
        <w:t>2019/20 (2018/19 £Nil).</w:t>
      </w:r>
    </w:p>
    <w:p w:rsidR="001D03D1" w:rsidRPr="00A200D5" w:rsidRDefault="001D03D1" w:rsidP="00A31A9E">
      <w:pPr>
        <w:pStyle w:val="Heading1"/>
        <w:rPr>
          <w:rFonts w:ascii="Verdana" w:eastAsia="Calibri" w:hAnsi="Verdana" w:cs="Arial"/>
          <w:color w:val="auto"/>
          <w:sz w:val="22"/>
          <w:szCs w:val="22"/>
          <w:lang w:val="en-US"/>
        </w:rPr>
      </w:pPr>
    </w:p>
    <w:p w:rsidR="00CA6653" w:rsidRDefault="00502D6C" w:rsidP="00A31A9E">
      <w:pPr>
        <w:pStyle w:val="Heading1"/>
      </w:pPr>
      <w:bookmarkStart w:id="35" w:name="_Toc55900425"/>
      <w:r>
        <w:t>Note 23</w:t>
      </w:r>
      <w:r w:rsidR="00CA6653" w:rsidRPr="00482758">
        <w:t xml:space="preserve"> - Service Concession Arrangements</w:t>
      </w:r>
      <w:bookmarkEnd w:id="35"/>
    </w:p>
    <w:p w:rsidR="00CA6653" w:rsidRPr="00482758" w:rsidRDefault="00CA6653" w:rsidP="00B57D1B">
      <w:pPr>
        <w:pStyle w:val="Normal0"/>
        <w:spacing w:after="160" w:line="259" w:lineRule="auto"/>
        <w:jc w:val="both"/>
        <w:rPr>
          <w:rFonts w:ascii="Verdana" w:hAnsi="Verdana"/>
          <w:sz w:val="22"/>
          <w:szCs w:val="22"/>
          <w:lang w:val="pt-BR"/>
        </w:rPr>
      </w:pPr>
      <w:r w:rsidRPr="00482758">
        <w:rPr>
          <w:rFonts w:ascii="Verdana" w:eastAsia="Calibri" w:hAnsi="Verdana" w:cs="Arial"/>
          <w:sz w:val="22"/>
          <w:szCs w:val="22"/>
          <w:lang w:val="pt-BR"/>
        </w:rPr>
        <w:t>The Group has no assets recognised under a PFI arrangement and therefore has no outstanding contractual commitment with external organisations.</w:t>
      </w:r>
    </w:p>
    <w:p w:rsidR="00297720" w:rsidRDefault="00297720" w:rsidP="00A31A9E">
      <w:pPr>
        <w:pStyle w:val="Heading1"/>
      </w:pPr>
    </w:p>
    <w:p w:rsidR="00CA6653" w:rsidRPr="003A2445" w:rsidRDefault="00CA6653" w:rsidP="00A31A9E">
      <w:pPr>
        <w:pStyle w:val="Heading1"/>
      </w:pPr>
      <w:bookmarkStart w:id="36" w:name="_Toc55900426"/>
      <w:r w:rsidRPr="003A2445">
        <w:t>Note 2</w:t>
      </w:r>
      <w:r w:rsidR="00502D6C">
        <w:t>4</w:t>
      </w:r>
      <w:r w:rsidRPr="003A2445">
        <w:t xml:space="preserve"> - Joint Audit Committee</w:t>
      </w:r>
      <w:bookmarkEnd w:id="36"/>
    </w:p>
    <w:p w:rsidR="00CA6653" w:rsidRPr="001634A7" w:rsidRDefault="00CA6653" w:rsidP="00CA6653">
      <w:pPr>
        <w:pStyle w:val="Normal0"/>
        <w:jc w:val="both"/>
        <w:rPr>
          <w:rFonts w:ascii="Verdana" w:hAnsi="Verdana" w:cs="Arial"/>
        </w:rPr>
      </w:pPr>
    </w:p>
    <w:p w:rsidR="00CA6653" w:rsidRPr="00B57D1B" w:rsidRDefault="00CA6653" w:rsidP="00CA6653">
      <w:pPr>
        <w:pStyle w:val="Normal0"/>
        <w:jc w:val="both"/>
        <w:rPr>
          <w:rFonts w:ascii="Verdana" w:hAnsi="Verdana" w:cs="Arial"/>
          <w:sz w:val="22"/>
          <w:szCs w:val="22"/>
        </w:rPr>
      </w:pPr>
      <w:r w:rsidRPr="00B57D1B">
        <w:rPr>
          <w:rFonts w:ascii="Verdana" w:eastAsia="Calibri" w:hAnsi="Verdana" w:cs="Arial"/>
          <w:sz w:val="22"/>
          <w:szCs w:val="22"/>
        </w:rPr>
        <w:t>Under the governance arrangements for policing, the Chief Constable and the PCC have a Joint Audit Committee to provide independent and effective assurance about the adequacy of financial management and reporting. The Committee help to raise the profile of internal control, risk management and financial reporting issues within Surrey Police and provide a forum for discussion with internal and external auditors.</w:t>
      </w:r>
    </w:p>
    <w:p w:rsidR="00CA6653" w:rsidRPr="00B57D1B" w:rsidRDefault="00CA6653" w:rsidP="00CA6653">
      <w:pPr>
        <w:pStyle w:val="Normal0"/>
        <w:jc w:val="both"/>
        <w:rPr>
          <w:rFonts w:ascii="Verdana" w:hAnsi="Verdana" w:cs="Arial"/>
          <w:sz w:val="22"/>
          <w:szCs w:val="22"/>
        </w:rPr>
      </w:pPr>
    </w:p>
    <w:p w:rsidR="00CA6653" w:rsidRPr="00B57D1B" w:rsidRDefault="00CA6653" w:rsidP="00CA6653">
      <w:pPr>
        <w:pStyle w:val="Normal0"/>
        <w:jc w:val="both"/>
        <w:rPr>
          <w:rFonts w:ascii="Verdana" w:hAnsi="Verdana" w:cs="Arial"/>
          <w:sz w:val="22"/>
          <w:szCs w:val="22"/>
        </w:rPr>
      </w:pPr>
      <w:r w:rsidRPr="00B57D1B">
        <w:rPr>
          <w:rFonts w:ascii="Verdana" w:eastAsia="Calibri" w:hAnsi="Verdana" w:cs="Arial"/>
          <w:sz w:val="22"/>
          <w:szCs w:val="22"/>
        </w:rPr>
        <w:t>Members’ Allowances for the Joint Audit Committee are:</w:t>
      </w:r>
    </w:p>
    <w:p w:rsidR="00CA6653" w:rsidRPr="00B57D1B" w:rsidRDefault="00CA6653" w:rsidP="00CA6653">
      <w:pPr>
        <w:pStyle w:val="Normal0"/>
        <w:jc w:val="both"/>
        <w:rPr>
          <w:rFonts w:ascii="Verdana" w:hAnsi="Verdana" w:cs="Arial"/>
          <w:sz w:val="22"/>
          <w:szCs w:val="22"/>
        </w:rPr>
      </w:pPr>
    </w:p>
    <w:p w:rsidR="00CA6653" w:rsidRPr="00B57D1B" w:rsidRDefault="00CA6653" w:rsidP="00CA6653">
      <w:pPr>
        <w:pStyle w:val="Normal0"/>
        <w:jc w:val="both"/>
        <w:rPr>
          <w:rFonts w:ascii="Verdana" w:hAnsi="Verdana" w:cs="Arial"/>
          <w:sz w:val="22"/>
          <w:szCs w:val="22"/>
        </w:rPr>
      </w:pPr>
      <w:r w:rsidRPr="00B57D1B">
        <w:rPr>
          <w:rFonts w:ascii="Verdana" w:eastAsia="Calibri" w:hAnsi="Verdana" w:cs="Arial"/>
          <w:sz w:val="22"/>
          <w:szCs w:val="22"/>
        </w:rPr>
        <w:t>Members’ Allowances</w:t>
      </w:r>
      <w:r w:rsidRPr="00B57D1B">
        <w:rPr>
          <w:rFonts w:ascii="Verdana" w:eastAsia="Calibri" w:hAnsi="Verdana" w:cs="Arial"/>
          <w:sz w:val="22"/>
          <w:szCs w:val="22"/>
        </w:rPr>
        <w:tab/>
      </w:r>
      <w:r w:rsidRPr="00B57D1B">
        <w:rPr>
          <w:rFonts w:ascii="Verdana" w:eastAsia="Calibri" w:hAnsi="Verdana" w:cs="Arial"/>
          <w:sz w:val="22"/>
          <w:szCs w:val="22"/>
        </w:rPr>
        <w:tab/>
        <w:t>£1,7</w:t>
      </w:r>
      <w:r w:rsidR="00E97CF6" w:rsidRPr="00B57D1B">
        <w:rPr>
          <w:rFonts w:ascii="Verdana" w:eastAsia="Calibri" w:hAnsi="Verdana" w:cs="Arial"/>
          <w:sz w:val="22"/>
          <w:szCs w:val="22"/>
        </w:rPr>
        <w:t>68</w:t>
      </w:r>
      <w:r w:rsidRPr="00B57D1B">
        <w:rPr>
          <w:rFonts w:ascii="Verdana" w:eastAsia="Calibri" w:hAnsi="Verdana" w:cs="Arial"/>
          <w:sz w:val="22"/>
          <w:szCs w:val="22"/>
        </w:rPr>
        <w:t>.4</w:t>
      </w:r>
      <w:r w:rsidR="00E97CF6" w:rsidRPr="00B57D1B">
        <w:rPr>
          <w:rFonts w:ascii="Verdana" w:eastAsia="Calibri" w:hAnsi="Verdana" w:cs="Arial"/>
          <w:sz w:val="22"/>
          <w:szCs w:val="22"/>
        </w:rPr>
        <w:t>7</w:t>
      </w:r>
      <w:r w:rsidRPr="00B57D1B">
        <w:rPr>
          <w:rFonts w:ascii="Verdana" w:eastAsia="Calibri" w:hAnsi="Verdana" w:cs="Arial"/>
          <w:sz w:val="22"/>
          <w:szCs w:val="22"/>
        </w:rPr>
        <w:t xml:space="preserve"> per annum</w:t>
      </w:r>
    </w:p>
    <w:p w:rsidR="00CA6653" w:rsidRPr="00B57D1B" w:rsidRDefault="00CA6653" w:rsidP="00CA6653">
      <w:pPr>
        <w:pStyle w:val="Normal0"/>
        <w:jc w:val="both"/>
        <w:rPr>
          <w:rFonts w:ascii="Verdana" w:hAnsi="Verdana" w:cs="Arial"/>
          <w:sz w:val="22"/>
          <w:szCs w:val="22"/>
        </w:rPr>
      </w:pPr>
    </w:p>
    <w:p w:rsidR="00CA6653" w:rsidRPr="00B57D1B" w:rsidRDefault="00CA6653" w:rsidP="00CA6653">
      <w:pPr>
        <w:pStyle w:val="Normal0"/>
        <w:jc w:val="both"/>
        <w:rPr>
          <w:rFonts w:ascii="Verdana" w:hAnsi="Verdana" w:cs="Arial"/>
          <w:sz w:val="22"/>
          <w:szCs w:val="22"/>
        </w:rPr>
      </w:pPr>
      <w:r w:rsidRPr="00B57D1B">
        <w:rPr>
          <w:rFonts w:ascii="Verdana" w:eastAsia="Calibri" w:hAnsi="Verdana" w:cs="Arial"/>
          <w:sz w:val="22"/>
          <w:szCs w:val="22"/>
        </w:rPr>
        <w:t xml:space="preserve">Chair Allowance </w:t>
      </w:r>
      <w:r w:rsidRPr="00B57D1B">
        <w:rPr>
          <w:rFonts w:ascii="Verdana" w:eastAsia="Calibri" w:hAnsi="Verdana" w:cs="Arial"/>
          <w:sz w:val="22"/>
          <w:szCs w:val="22"/>
        </w:rPr>
        <w:tab/>
      </w:r>
      <w:r w:rsidRPr="00B57D1B">
        <w:rPr>
          <w:rFonts w:ascii="Verdana" w:eastAsia="Calibri" w:hAnsi="Verdana" w:cs="Arial"/>
          <w:sz w:val="22"/>
          <w:szCs w:val="22"/>
        </w:rPr>
        <w:tab/>
      </w:r>
      <w:r w:rsidRPr="00B57D1B">
        <w:rPr>
          <w:rFonts w:ascii="Verdana" w:eastAsia="Calibri" w:hAnsi="Verdana" w:cs="Arial"/>
          <w:sz w:val="22"/>
          <w:szCs w:val="22"/>
        </w:rPr>
        <w:tab/>
        <w:t>£2,500.00 per annum</w:t>
      </w:r>
    </w:p>
    <w:p w:rsidR="00CA6653" w:rsidRPr="00B57D1B" w:rsidRDefault="00CA6653">
      <w:pPr>
        <w:pStyle w:val="Normal0"/>
        <w:rPr>
          <w:rFonts w:ascii="Verdana" w:hAnsi="Verdana" w:cs="Times New Roman"/>
          <w:sz w:val="22"/>
          <w:szCs w:val="22"/>
        </w:rPr>
      </w:pPr>
    </w:p>
    <w:p w:rsidR="00CA6653" w:rsidRPr="009B7ED3" w:rsidRDefault="00CA6653" w:rsidP="00A31A9E">
      <w:pPr>
        <w:pStyle w:val="Heading1"/>
      </w:pPr>
      <w:bookmarkStart w:id="37" w:name="_Toc55900427"/>
      <w:r w:rsidRPr="009B7ED3">
        <w:t>Note 2</w:t>
      </w:r>
      <w:r w:rsidR="00502D6C" w:rsidRPr="009B7ED3">
        <w:t>5</w:t>
      </w:r>
      <w:r w:rsidRPr="009B7ED3">
        <w:t xml:space="preserve"> - Officers’ Remuneration</w:t>
      </w:r>
      <w:bookmarkEnd w:id="37"/>
      <w:r w:rsidRPr="009B7ED3">
        <w:t xml:space="preserve"> </w:t>
      </w:r>
    </w:p>
    <w:p w:rsidR="00CA6653" w:rsidRPr="009B7ED3" w:rsidRDefault="00CA6653">
      <w:pPr>
        <w:pStyle w:val="Normal0"/>
        <w:spacing w:after="160" w:line="259" w:lineRule="auto"/>
        <w:rPr>
          <w:rFonts w:ascii="Verdana" w:eastAsia="Verdana" w:hAnsi="Verdana" w:cs="Verdana"/>
          <w:sz w:val="22"/>
          <w:szCs w:val="22"/>
          <w:lang w:val="en-GB"/>
        </w:rPr>
      </w:pPr>
      <w:r w:rsidRPr="009B7ED3">
        <w:rPr>
          <w:rFonts w:ascii="Verdana" w:eastAsia="Verdana" w:hAnsi="Verdana" w:cs="Verdana"/>
          <w:sz w:val="22"/>
          <w:szCs w:val="22"/>
          <w:lang w:val="en-GB"/>
        </w:rPr>
        <w:t>This statement shows remuneration for senior employees responsible for the management of Surrey Police along with the number of employees (including Police Officers and the PCC) whose remuneration was £50,000 or more.</w:t>
      </w:r>
    </w:p>
    <w:p w:rsidR="00CA6653" w:rsidRPr="009B7ED3" w:rsidRDefault="00CA6653">
      <w:pPr>
        <w:pStyle w:val="Normal0"/>
        <w:spacing w:after="160" w:line="259" w:lineRule="auto"/>
        <w:rPr>
          <w:rFonts w:ascii="Verdana" w:eastAsia="Verdana" w:hAnsi="Verdana" w:cs="Verdana"/>
          <w:sz w:val="22"/>
          <w:szCs w:val="22"/>
          <w:lang w:val="en-GB"/>
        </w:rPr>
      </w:pPr>
      <w:r w:rsidRPr="009B7ED3">
        <w:rPr>
          <w:rFonts w:ascii="Verdana" w:eastAsia="Verdana" w:hAnsi="Verdana" w:cs="Verdana"/>
          <w:sz w:val="22"/>
          <w:szCs w:val="22"/>
          <w:lang w:val="en-GB"/>
        </w:rPr>
        <w:t>There are a small number of employees included that are seconded to other agencies. These costs are fully recovered.</w:t>
      </w:r>
    </w:p>
    <w:p w:rsidR="00F50D36" w:rsidRDefault="0016302C">
      <w:pPr>
        <w:pStyle w:val="Normal0"/>
        <w:spacing w:after="160" w:line="259" w:lineRule="auto"/>
        <w:rPr>
          <w:rFonts w:ascii="Verdana" w:eastAsia="Verdana" w:hAnsi="Verdana" w:cs="Verdana"/>
          <w:sz w:val="22"/>
          <w:szCs w:val="22"/>
          <w:lang w:val="en-GB"/>
        </w:rPr>
      </w:pPr>
      <w:r w:rsidRPr="0016302C">
        <w:rPr>
          <w:noProof/>
          <w:lang w:val="en-GB" w:eastAsia="en-GB"/>
        </w:rPr>
        <w:drawing>
          <wp:inline distT="0" distB="0" distL="0" distR="0">
            <wp:extent cx="6642100" cy="5930769"/>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2100" cy="5930769"/>
                    </a:xfrm>
                    <a:prstGeom prst="rect">
                      <a:avLst/>
                    </a:prstGeom>
                    <a:noFill/>
                    <a:ln>
                      <a:noFill/>
                    </a:ln>
                  </pic:spPr>
                </pic:pic>
              </a:graphicData>
            </a:graphic>
          </wp:inline>
        </w:drawing>
      </w:r>
    </w:p>
    <w:p w:rsidR="00CA6653" w:rsidRDefault="00CA6653">
      <w:pPr>
        <w:pStyle w:val="Normal0"/>
        <w:spacing w:after="160" w:line="259" w:lineRule="auto"/>
        <w:rPr>
          <w:rFonts w:ascii="Verdana" w:eastAsia="Verdana" w:hAnsi="Verdana" w:cs="Verdana"/>
          <w:sz w:val="22"/>
          <w:szCs w:val="22"/>
          <w:highlight w:val="yellow"/>
          <w:lang w:val="en-GB"/>
        </w:rPr>
      </w:pPr>
    </w:p>
    <w:p w:rsidR="00F50D36" w:rsidRDefault="00F50D36" w:rsidP="00A200D5">
      <w:pPr>
        <w:pStyle w:val="Normal0"/>
        <w:spacing w:after="160" w:line="259" w:lineRule="auto"/>
        <w:jc w:val="center"/>
        <w:rPr>
          <w:rFonts w:ascii="Verdana" w:eastAsia="Verdana" w:hAnsi="Verdana" w:cs="Verdana"/>
          <w:sz w:val="22"/>
          <w:szCs w:val="22"/>
          <w:highlight w:val="yellow"/>
          <w:lang w:val="en-GB"/>
        </w:rPr>
      </w:pPr>
      <w:r w:rsidRPr="00A200D5">
        <w:rPr>
          <w:noProof/>
          <w:lang w:val="en-GB" w:eastAsia="en-GB"/>
        </w:rPr>
        <w:drawing>
          <wp:inline distT="0" distB="0" distL="0" distR="0">
            <wp:extent cx="2762688" cy="44447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9692" cy="4456048"/>
                    </a:xfrm>
                    <a:prstGeom prst="rect">
                      <a:avLst/>
                    </a:prstGeom>
                    <a:noFill/>
                    <a:ln>
                      <a:noFill/>
                    </a:ln>
                  </pic:spPr>
                </pic:pic>
              </a:graphicData>
            </a:graphic>
          </wp:inline>
        </w:drawing>
      </w:r>
    </w:p>
    <w:p w:rsidR="00B935AA" w:rsidRPr="00043A44" w:rsidRDefault="00B935AA">
      <w:pPr>
        <w:pStyle w:val="T1TableStyle"/>
        <w:rPr>
          <w:rFonts w:ascii="Verdana" w:eastAsia="Verdana" w:hAnsi="Verdana" w:cs="Verdana"/>
          <w:sz w:val="22"/>
          <w:lang w:val="en-GB"/>
        </w:rPr>
      </w:pPr>
    </w:p>
    <w:p w:rsidR="00B935AA" w:rsidRPr="00043A44" w:rsidRDefault="00B935AA">
      <w:pPr>
        <w:pStyle w:val="T1TableStyle"/>
        <w:rPr>
          <w:rFonts w:ascii="Verdana" w:eastAsia="Verdana" w:hAnsi="Verdana" w:cs="Verdana"/>
          <w:sz w:val="22"/>
          <w:lang w:val="en-GB"/>
        </w:rPr>
      </w:pPr>
    </w:p>
    <w:tbl>
      <w:tblPr>
        <w:tblW w:w="0" w:type="auto"/>
        <w:jc w:val="center"/>
        <w:tblLayout w:type="fixed"/>
        <w:tblLook w:val="04A0" w:firstRow="1" w:lastRow="0" w:firstColumn="1" w:lastColumn="0" w:noHBand="0" w:noVBand="1"/>
      </w:tblPr>
      <w:tblGrid>
        <w:gridCol w:w="1980"/>
        <w:gridCol w:w="945"/>
        <w:gridCol w:w="945"/>
        <w:gridCol w:w="1305"/>
        <w:gridCol w:w="1305"/>
      </w:tblGrid>
      <w:tr w:rsidR="004D417B" w:rsidRPr="00043A44" w:rsidTr="00756AFF">
        <w:trPr>
          <w:trHeight w:val="255"/>
          <w:jc w:val="center"/>
        </w:trPr>
        <w:tc>
          <w:tcPr>
            <w:tcW w:w="6480" w:type="dxa"/>
            <w:gridSpan w:val="5"/>
            <w:shd w:val="clear" w:color="auto" w:fill="auto"/>
            <w:tcMar>
              <w:top w:w="20" w:type="dxa"/>
              <w:left w:w="20" w:type="dxa"/>
              <w:bottom w:w="20" w:type="dxa"/>
              <w:right w:w="20" w:type="dxa"/>
            </w:tcMar>
            <w:vAlign w:val="bottom"/>
          </w:tcPr>
          <w:p w:rsidR="00CA6653" w:rsidRPr="00043A44" w:rsidRDefault="00CA6653">
            <w:pPr>
              <w:pStyle w:val="T1TableStyle"/>
              <w:rPr>
                <w:rFonts w:ascii="Verdana" w:eastAsia="Verdana" w:hAnsi="Verdana" w:cs="Verdana"/>
                <w:b/>
                <w:color w:val="000000"/>
                <w:lang w:val="en-GB"/>
              </w:rPr>
            </w:pPr>
            <w:r w:rsidRPr="00043A44">
              <w:rPr>
                <w:rFonts w:ascii="Verdana" w:eastAsia="Verdana" w:hAnsi="Verdana" w:cs="Verdana"/>
                <w:b/>
                <w:color w:val="000000"/>
                <w:lang w:val="en-GB"/>
              </w:rPr>
              <w:t>Exit Packages</w:t>
            </w:r>
          </w:p>
        </w:tc>
      </w:tr>
      <w:tr w:rsidR="004D417B" w:rsidRPr="00043A44" w:rsidTr="00756AFF">
        <w:trPr>
          <w:trHeight w:hRule="exact" w:val="210"/>
          <w:jc w:val="center"/>
        </w:trPr>
        <w:tc>
          <w:tcPr>
            <w:tcW w:w="1980" w:type="dxa"/>
            <w:shd w:val="clear" w:color="auto" w:fill="auto"/>
            <w:tcMar>
              <w:top w:w="20" w:type="dxa"/>
              <w:left w:w="20" w:type="dxa"/>
              <w:bottom w:w="20" w:type="dxa"/>
              <w:right w:w="20" w:type="dxa"/>
            </w:tcMar>
            <w:vAlign w:val="bottom"/>
          </w:tcPr>
          <w:p w:rsidR="00CA6653" w:rsidRPr="00043A44" w:rsidRDefault="00CA6653">
            <w:pPr>
              <w:pStyle w:val="T1TableStyle"/>
              <w:jc w:val="center"/>
              <w:rPr>
                <w:rFonts w:ascii="Verdana" w:eastAsia="Verdana" w:hAnsi="Verdana" w:cs="Verdana"/>
                <w:color w:val="000000"/>
                <w:sz w:val="2"/>
                <w:lang w:val="en-GB"/>
              </w:rPr>
            </w:pPr>
            <w:r w:rsidRPr="00043A44">
              <w:rPr>
                <w:rFonts w:ascii="Verdana" w:eastAsia="Verdana" w:hAnsi="Verdana" w:cs="Verdana"/>
                <w:color w:val="000000"/>
                <w:sz w:val="2"/>
                <w:lang w:val="en-GB"/>
              </w:rPr>
              <w:t xml:space="preserve"> </w:t>
            </w:r>
          </w:p>
        </w:tc>
        <w:tc>
          <w:tcPr>
            <w:tcW w:w="945" w:type="dxa"/>
            <w:shd w:val="clear" w:color="auto" w:fill="auto"/>
            <w:tcMar>
              <w:top w:w="20" w:type="dxa"/>
              <w:left w:w="20" w:type="dxa"/>
              <w:bottom w:w="20" w:type="dxa"/>
              <w:right w:w="20" w:type="dxa"/>
            </w:tcMar>
            <w:vAlign w:val="bottom"/>
          </w:tcPr>
          <w:p w:rsidR="00CA6653" w:rsidRPr="00043A44" w:rsidRDefault="00CA6653">
            <w:pPr>
              <w:pStyle w:val="T1TableStyle"/>
              <w:jc w:val="center"/>
              <w:rPr>
                <w:rFonts w:ascii="Verdana" w:eastAsia="Verdana" w:hAnsi="Verdana" w:cs="Verdana"/>
                <w:color w:val="000000"/>
                <w:sz w:val="2"/>
                <w:lang w:val="en-GB"/>
              </w:rPr>
            </w:pPr>
            <w:r w:rsidRPr="00043A44">
              <w:rPr>
                <w:rFonts w:ascii="Verdana" w:eastAsia="Verdana" w:hAnsi="Verdana" w:cs="Verdana"/>
                <w:color w:val="000000"/>
                <w:sz w:val="2"/>
                <w:lang w:val="en-GB"/>
              </w:rPr>
              <w:t xml:space="preserve"> </w:t>
            </w:r>
          </w:p>
        </w:tc>
        <w:tc>
          <w:tcPr>
            <w:tcW w:w="945" w:type="dxa"/>
            <w:shd w:val="clear" w:color="auto" w:fill="auto"/>
            <w:tcMar>
              <w:top w:w="20" w:type="dxa"/>
              <w:left w:w="20" w:type="dxa"/>
              <w:bottom w:w="20" w:type="dxa"/>
              <w:right w:w="20" w:type="dxa"/>
            </w:tcMar>
            <w:vAlign w:val="bottom"/>
          </w:tcPr>
          <w:p w:rsidR="00CA6653" w:rsidRPr="00043A44" w:rsidRDefault="00CA6653">
            <w:pPr>
              <w:pStyle w:val="T1TableStyle"/>
              <w:jc w:val="center"/>
              <w:rPr>
                <w:rFonts w:ascii="Verdana" w:eastAsia="Verdana" w:hAnsi="Verdana" w:cs="Verdana"/>
                <w:color w:val="000000"/>
                <w:sz w:val="2"/>
                <w:lang w:val="en-GB"/>
              </w:rPr>
            </w:pPr>
            <w:r w:rsidRPr="00043A44">
              <w:rPr>
                <w:rFonts w:ascii="Verdana" w:eastAsia="Verdana" w:hAnsi="Verdana" w:cs="Verdana"/>
                <w:color w:val="000000"/>
                <w:sz w:val="2"/>
                <w:lang w:val="en-GB"/>
              </w:rPr>
              <w:t xml:space="preserve"> </w:t>
            </w:r>
          </w:p>
        </w:tc>
        <w:tc>
          <w:tcPr>
            <w:tcW w:w="1305" w:type="dxa"/>
            <w:shd w:val="clear" w:color="auto" w:fill="auto"/>
            <w:tcMar>
              <w:top w:w="20" w:type="dxa"/>
              <w:left w:w="20" w:type="dxa"/>
              <w:bottom w:w="20" w:type="dxa"/>
              <w:right w:w="20" w:type="dxa"/>
            </w:tcMar>
            <w:vAlign w:val="bottom"/>
          </w:tcPr>
          <w:p w:rsidR="00CA6653" w:rsidRPr="00043A44" w:rsidRDefault="00CA6653">
            <w:pPr>
              <w:pStyle w:val="T1TableStyle"/>
              <w:jc w:val="center"/>
              <w:rPr>
                <w:rFonts w:ascii="Verdana" w:eastAsia="Verdana" w:hAnsi="Verdana" w:cs="Verdana"/>
                <w:color w:val="000000"/>
                <w:sz w:val="2"/>
                <w:lang w:val="en-GB"/>
              </w:rPr>
            </w:pPr>
            <w:r w:rsidRPr="00043A44">
              <w:rPr>
                <w:rFonts w:ascii="Verdana" w:eastAsia="Verdana" w:hAnsi="Verdana" w:cs="Verdana"/>
                <w:color w:val="000000"/>
                <w:sz w:val="2"/>
                <w:lang w:val="en-GB"/>
              </w:rPr>
              <w:t xml:space="preserve"> </w:t>
            </w:r>
          </w:p>
        </w:tc>
        <w:tc>
          <w:tcPr>
            <w:tcW w:w="1305" w:type="dxa"/>
            <w:shd w:val="clear" w:color="auto" w:fill="auto"/>
            <w:tcMar>
              <w:top w:w="20" w:type="dxa"/>
              <w:left w:w="20" w:type="dxa"/>
              <w:bottom w:w="20" w:type="dxa"/>
              <w:right w:w="20" w:type="dxa"/>
            </w:tcMar>
            <w:vAlign w:val="bottom"/>
          </w:tcPr>
          <w:p w:rsidR="00CA6653" w:rsidRPr="00043A44" w:rsidRDefault="00CA6653">
            <w:pPr>
              <w:pStyle w:val="T1TableStyle"/>
              <w:jc w:val="center"/>
              <w:rPr>
                <w:rFonts w:ascii="Verdana" w:eastAsia="Verdana" w:hAnsi="Verdana" w:cs="Verdana"/>
                <w:color w:val="000000"/>
                <w:sz w:val="2"/>
                <w:lang w:val="en-GB"/>
              </w:rPr>
            </w:pPr>
            <w:r w:rsidRPr="00043A44">
              <w:rPr>
                <w:rFonts w:ascii="Verdana" w:eastAsia="Verdana" w:hAnsi="Verdana" w:cs="Verdana"/>
                <w:color w:val="000000"/>
                <w:sz w:val="2"/>
                <w:lang w:val="en-GB"/>
              </w:rPr>
              <w:t xml:space="preserve"> </w:t>
            </w:r>
          </w:p>
        </w:tc>
      </w:tr>
      <w:tr w:rsidR="004D417B" w:rsidRPr="00043A44" w:rsidTr="00756AFF">
        <w:trPr>
          <w:trHeight w:val="795"/>
          <w:jc w:val="center"/>
        </w:trPr>
        <w:tc>
          <w:tcPr>
            <w:tcW w:w="1980" w:type="dxa"/>
            <w:shd w:val="clear" w:color="auto" w:fill="auto"/>
            <w:tcMar>
              <w:top w:w="20" w:type="dxa"/>
              <w:left w:w="20" w:type="dxa"/>
              <w:bottom w:w="20" w:type="dxa"/>
              <w:right w:w="20" w:type="dxa"/>
            </w:tcMar>
            <w:vAlign w:val="center"/>
          </w:tcPr>
          <w:p w:rsidR="00CA6653" w:rsidRPr="00043A44" w:rsidRDefault="00CA6653">
            <w:pPr>
              <w:pStyle w:val="T1TableStyle"/>
              <w:rPr>
                <w:rFonts w:ascii="Verdana" w:eastAsia="Verdana" w:hAnsi="Verdana" w:cs="Verdana"/>
                <w:b/>
                <w:color w:val="000000"/>
                <w:sz w:val="16"/>
                <w:lang w:val="en-GB"/>
              </w:rPr>
            </w:pPr>
            <w:r w:rsidRPr="00043A44">
              <w:rPr>
                <w:rFonts w:ascii="Verdana" w:eastAsia="Verdana" w:hAnsi="Verdana" w:cs="Verdana"/>
                <w:b/>
                <w:color w:val="000000"/>
                <w:sz w:val="16"/>
                <w:lang w:val="en-GB"/>
              </w:rPr>
              <w:t>Exit package cost band (including special payments)</w:t>
            </w:r>
          </w:p>
        </w:tc>
        <w:tc>
          <w:tcPr>
            <w:tcW w:w="1890" w:type="dxa"/>
            <w:gridSpan w:val="2"/>
            <w:shd w:val="clear" w:color="auto" w:fill="auto"/>
            <w:tcMar>
              <w:top w:w="20" w:type="dxa"/>
              <w:left w:w="20" w:type="dxa"/>
              <w:bottom w:w="20" w:type="dxa"/>
              <w:right w:w="20" w:type="dxa"/>
            </w:tcMar>
            <w:vAlign w:val="center"/>
          </w:tcPr>
          <w:p w:rsidR="00CA6653" w:rsidRPr="00043A44" w:rsidRDefault="00CA6653">
            <w:pPr>
              <w:pStyle w:val="T1TableStyle"/>
              <w:jc w:val="center"/>
              <w:rPr>
                <w:rFonts w:ascii="Verdana" w:eastAsia="Verdana" w:hAnsi="Verdana" w:cs="Verdana"/>
                <w:b/>
                <w:color w:val="000000"/>
                <w:sz w:val="16"/>
                <w:lang w:val="en-GB"/>
              </w:rPr>
            </w:pPr>
            <w:r w:rsidRPr="00043A44">
              <w:rPr>
                <w:rFonts w:ascii="Verdana" w:eastAsia="Verdana" w:hAnsi="Verdana" w:cs="Verdana"/>
                <w:b/>
                <w:color w:val="000000"/>
                <w:sz w:val="16"/>
                <w:lang w:val="en-GB"/>
              </w:rPr>
              <w:t>Total number of exit packages by cost band</w:t>
            </w:r>
          </w:p>
        </w:tc>
        <w:tc>
          <w:tcPr>
            <w:tcW w:w="2610" w:type="dxa"/>
            <w:gridSpan w:val="2"/>
            <w:shd w:val="clear" w:color="auto" w:fill="auto"/>
            <w:tcMar>
              <w:top w:w="20" w:type="dxa"/>
              <w:left w:w="20" w:type="dxa"/>
              <w:bottom w:w="20" w:type="dxa"/>
              <w:right w:w="20" w:type="dxa"/>
            </w:tcMar>
            <w:vAlign w:val="center"/>
          </w:tcPr>
          <w:p w:rsidR="00CA6653" w:rsidRPr="00043A44" w:rsidRDefault="00CA6653">
            <w:pPr>
              <w:pStyle w:val="T1TableStyle"/>
              <w:jc w:val="center"/>
              <w:rPr>
                <w:rFonts w:ascii="Verdana" w:eastAsia="Verdana" w:hAnsi="Verdana" w:cs="Verdana"/>
                <w:b/>
                <w:color w:val="000000"/>
                <w:sz w:val="16"/>
                <w:lang w:val="en-GB"/>
              </w:rPr>
            </w:pPr>
            <w:r w:rsidRPr="00043A44">
              <w:rPr>
                <w:rFonts w:ascii="Verdana" w:eastAsia="Verdana" w:hAnsi="Verdana" w:cs="Verdana"/>
                <w:b/>
                <w:color w:val="000000"/>
                <w:sz w:val="16"/>
                <w:lang w:val="en-GB"/>
              </w:rPr>
              <w:t>Total cost of exit packages in each band (£)</w:t>
            </w:r>
          </w:p>
        </w:tc>
      </w:tr>
      <w:tr w:rsidR="004D417B" w:rsidRPr="00043A44" w:rsidTr="00756AFF">
        <w:trPr>
          <w:trHeight w:val="210"/>
          <w:jc w:val="center"/>
        </w:trPr>
        <w:tc>
          <w:tcPr>
            <w:tcW w:w="1980" w:type="dxa"/>
            <w:tcBorders>
              <w:bottom w:val="single" w:sz="2" w:space="0" w:color="000000"/>
            </w:tcBorders>
            <w:shd w:val="clear" w:color="auto" w:fill="auto"/>
            <w:tcMar>
              <w:top w:w="20" w:type="dxa"/>
              <w:left w:w="20" w:type="dxa"/>
              <w:bottom w:w="20" w:type="dxa"/>
              <w:right w:w="20" w:type="dxa"/>
            </w:tcMar>
          </w:tcPr>
          <w:p w:rsidR="00CA6653" w:rsidRPr="00043A44" w:rsidRDefault="00CA6653">
            <w:pPr>
              <w:pStyle w:val="T1TableStyle"/>
              <w:jc w:val="center"/>
              <w:rPr>
                <w:rFonts w:ascii="Verdana" w:eastAsia="Verdana" w:hAnsi="Verdana" w:cs="Verdana"/>
                <w:b/>
                <w:color w:val="000000"/>
                <w:sz w:val="2"/>
                <w:lang w:val="en-GB"/>
              </w:rPr>
            </w:pPr>
            <w:r w:rsidRPr="00043A44">
              <w:rPr>
                <w:rFonts w:ascii="Verdana" w:eastAsia="Verdana" w:hAnsi="Verdana" w:cs="Verdana"/>
                <w:b/>
                <w:color w:val="000000"/>
                <w:sz w:val="2"/>
                <w:lang w:val="en-GB"/>
              </w:rPr>
              <w:t xml:space="preserve"> </w:t>
            </w:r>
          </w:p>
        </w:tc>
        <w:tc>
          <w:tcPr>
            <w:tcW w:w="945" w:type="dxa"/>
            <w:tcBorders>
              <w:bottom w:val="single" w:sz="2" w:space="0" w:color="000000"/>
            </w:tcBorders>
            <w:shd w:val="clear" w:color="auto" w:fill="auto"/>
            <w:tcMar>
              <w:top w:w="20" w:type="dxa"/>
              <w:left w:w="20" w:type="dxa"/>
              <w:bottom w:w="20" w:type="dxa"/>
              <w:right w:w="20" w:type="dxa"/>
            </w:tcMar>
            <w:vAlign w:val="bottom"/>
          </w:tcPr>
          <w:p w:rsidR="00CA6653" w:rsidRPr="00043A44" w:rsidRDefault="00CA6653">
            <w:pPr>
              <w:pStyle w:val="T1TableStyle"/>
              <w:jc w:val="right"/>
              <w:rPr>
                <w:rFonts w:ascii="Verdana" w:eastAsia="Verdana" w:hAnsi="Verdana" w:cs="Verdana"/>
                <w:b/>
                <w:color w:val="000000"/>
                <w:sz w:val="16"/>
                <w:lang w:val="en-GB"/>
              </w:rPr>
            </w:pPr>
            <w:r w:rsidRPr="00043A44">
              <w:rPr>
                <w:rFonts w:ascii="Verdana" w:eastAsia="Verdana" w:hAnsi="Verdana" w:cs="Verdana"/>
                <w:b/>
                <w:color w:val="000000"/>
                <w:sz w:val="16"/>
                <w:lang w:val="en-GB"/>
              </w:rPr>
              <w:t>2018/19</w:t>
            </w:r>
          </w:p>
        </w:tc>
        <w:tc>
          <w:tcPr>
            <w:tcW w:w="945" w:type="dxa"/>
            <w:tcBorders>
              <w:bottom w:val="single" w:sz="2" w:space="0" w:color="000000"/>
            </w:tcBorders>
            <w:shd w:val="clear" w:color="auto" w:fill="auto"/>
            <w:tcMar>
              <w:top w:w="20" w:type="dxa"/>
              <w:left w:w="20" w:type="dxa"/>
              <w:bottom w:w="20" w:type="dxa"/>
              <w:right w:w="20" w:type="dxa"/>
            </w:tcMar>
            <w:vAlign w:val="bottom"/>
          </w:tcPr>
          <w:p w:rsidR="00CA6653" w:rsidRPr="00043A44" w:rsidRDefault="00CA6653">
            <w:pPr>
              <w:pStyle w:val="T1TableStyle"/>
              <w:jc w:val="right"/>
              <w:rPr>
                <w:rFonts w:ascii="Verdana" w:eastAsia="Verdana" w:hAnsi="Verdana" w:cs="Verdana"/>
                <w:b/>
                <w:color w:val="000000"/>
                <w:sz w:val="16"/>
                <w:lang w:val="en-GB"/>
              </w:rPr>
            </w:pPr>
            <w:r w:rsidRPr="00043A44">
              <w:rPr>
                <w:rFonts w:ascii="Verdana" w:eastAsia="Verdana" w:hAnsi="Verdana" w:cs="Verdana"/>
                <w:b/>
                <w:color w:val="000000"/>
                <w:sz w:val="16"/>
                <w:lang w:val="en-GB"/>
              </w:rPr>
              <w:t>2019/20</w:t>
            </w:r>
          </w:p>
        </w:tc>
        <w:tc>
          <w:tcPr>
            <w:tcW w:w="1305" w:type="dxa"/>
            <w:tcBorders>
              <w:bottom w:val="single" w:sz="2" w:space="0" w:color="000000"/>
            </w:tcBorders>
            <w:shd w:val="clear" w:color="auto" w:fill="auto"/>
            <w:tcMar>
              <w:top w:w="20" w:type="dxa"/>
              <w:left w:w="20" w:type="dxa"/>
              <w:bottom w:w="20" w:type="dxa"/>
              <w:right w:w="20" w:type="dxa"/>
            </w:tcMar>
            <w:vAlign w:val="bottom"/>
          </w:tcPr>
          <w:p w:rsidR="00CA6653" w:rsidRPr="00043A44" w:rsidRDefault="00CA6653">
            <w:pPr>
              <w:pStyle w:val="T1TableStyle"/>
              <w:jc w:val="right"/>
              <w:rPr>
                <w:rFonts w:ascii="Verdana" w:eastAsia="Verdana" w:hAnsi="Verdana" w:cs="Verdana"/>
                <w:b/>
                <w:color w:val="000000"/>
                <w:sz w:val="16"/>
                <w:lang w:val="en-GB"/>
              </w:rPr>
            </w:pPr>
            <w:r w:rsidRPr="00043A44">
              <w:rPr>
                <w:rFonts w:ascii="Verdana" w:eastAsia="Verdana" w:hAnsi="Verdana" w:cs="Verdana"/>
                <w:b/>
                <w:color w:val="000000"/>
                <w:sz w:val="16"/>
                <w:lang w:val="en-GB"/>
              </w:rPr>
              <w:t>2018/19</w:t>
            </w:r>
          </w:p>
        </w:tc>
        <w:tc>
          <w:tcPr>
            <w:tcW w:w="1305" w:type="dxa"/>
            <w:tcBorders>
              <w:bottom w:val="single" w:sz="2" w:space="0" w:color="000000"/>
            </w:tcBorders>
            <w:shd w:val="clear" w:color="auto" w:fill="auto"/>
            <w:tcMar>
              <w:top w:w="20" w:type="dxa"/>
              <w:left w:w="20" w:type="dxa"/>
              <w:bottom w:w="20" w:type="dxa"/>
              <w:right w:w="20" w:type="dxa"/>
            </w:tcMar>
            <w:vAlign w:val="bottom"/>
          </w:tcPr>
          <w:p w:rsidR="00CA6653" w:rsidRPr="00043A44" w:rsidRDefault="00CA6653">
            <w:pPr>
              <w:pStyle w:val="T1TableStyle"/>
              <w:jc w:val="right"/>
              <w:rPr>
                <w:rFonts w:ascii="Verdana" w:eastAsia="Verdana" w:hAnsi="Verdana" w:cs="Verdana"/>
                <w:b/>
                <w:color w:val="000000"/>
                <w:sz w:val="16"/>
                <w:lang w:val="en-GB"/>
              </w:rPr>
            </w:pPr>
            <w:r w:rsidRPr="00043A44">
              <w:rPr>
                <w:rFonts w:ascii="Verdana" w:eastAsia="Verdana" w:hAnsi="Verdana" w:cs="Verdana"/>
                <w:b/>
                <w:color w:val="000000"/>
                <w:sz w:val="16"/>
                <w:lang w:val="en-GB"/>
              </w:rPr>
              <w:t>2019/20</w:t>
            </w:r>
          </w:p>
        </w:tc>
      </w:tr>
      <w:tr w:rsidR="004D417B" w:rsidRPr="00043A44" w:rsidTr="00756AFF">
        <w:trPr>
          <w:trHeight w:val="210"/>
          <w:jc w:val="center"/>
        </w:trPr>
        <w:tc>
          <w:tcPr>
            <w:tcW w:w="1980" w:type="dxa"/>
            <w:shd w:val="clear" w:color="auto" w:fill="auto"/>
            <w:tcMar>
              <w:top w:w="20" w:type="dxa"/>
              <w:left w:w="20" w:type="dxa"/>
              <w:bottom w:w="20" w:type="dxa"/>
              <w:right w:w="20" w:type="dxa"/>
            </w:tcMar>
            <w:vAlign w:val="center"/>
          </w:tcPr>
          <w:p w:rsidR="00CA6653" w:rsidRPr="00043A44" w:rsidRDefault="00CA6653">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£0-£20,000</w:t>
            </w:r>
          </w:p>
        </w:tc>
        <w:tc>
          <w:tcPr>
            <w:tcW w:w="94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11</w:t>
            </w:r>
          </w:p>
        </w:tc>
        <w:tc>
          <w:tcPr>
            <w:tcW w:w="94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7</w:t>
            </w:r>
          </w:p>
        </w:tc>
        <w:tc>
          <w:tcPr>
            <w:tcW w:w="130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144,395</w:t>
            </w:r>
          </w:p>
        </w:tc>
        <w:tc>
          <w:tcPr>
            <w:tcW w:w="130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75,741</w:t>
            </w:r>
          </w:p>
        </w:tc>
      </w:tr>
      <w:tr w:rsidR="004D417B" w:rsidRPr="00043A44" w:rsidTr="00756AFF">
        <w:trPr>
          <w:trHeight w:val="210"/>
          <w:jc w:val="center"/>
        </w:trPr>
        <w:tc>
          <w:tcPr>
            <w:tcW w:w="1980" w:type="dxa"/>
            <w:shd w:val="clear" w:color="auto" w:fill="auto"/>
            <w:tcMar>
              <w:top w:w="20" w:type="dxa"/>
              <w:left w:w="20" w:type="dxa"/>
              <w:bottom w:w="20" w:type="dxa"/>
              <w:right w:w="20" w:type="dxa"/>
            </w:tcMar>
            <w:vAlign w:val="center"/>
          </w:tcPr>
          <w:p w:rsidR="00CA6653" w:rsidRPr="00043A44" w:rsidRDefault="00CA6653">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£20,001 - £40,000</w:t>
            </w:r>
          </w:p>
        </w:tc>
        <w:tc>
          <w:tcPr>
            <w:tcW w:w="94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13</w:t>
            </w:r>
          </w:p>
        </w:tc>
        <w:tc>
          <w:tcPr>
            <w:tcW w:w="94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1</w:t>
            </w:r>
          </w:p>
        </w:tc>
        <w:tc>
          <w:tcPr>
            <w:tcW w:w="130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364,184</w:t>
            </w:r>
          </w:p>
        </w:tc>
        <w:tc>
          <w:tcPr>
            <w:tcW w:w="130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30,770</w:t>
            </w:r>
          </w:p>
        </w:tc>
      </w:tr>
      <w:tr w:rsidR="004D417B" w:rsidRPr="00043A44" w:rsidTr="00756AFF">
        <w:trPr>
          <w:trHeight w:val="210"/>
          <w:jc w:val="center"/>
        </w:trPr>
        <w:tc>
          <w:tcPr>
            <w:tcW w:w="1980" w:type="dxa"/>
            <w:shd w:val="clear" w:color="auto" w:fill="auto"/>
            <w:tcMar>
              <w:top w:w="20" w:type="dxa"/>
              <w:left w:w="20" w:type="dxa"/>
              <w:bottom w:w="20" w:type="dxa"/>
              <w:right w:w="20" w:type="dxa"/>
            </w:tcMar>
            <w:vAlign w:val="center"/>
          </w:tcPr>
          <w:p w:rsidR="00CA6653" w:rsidRPr="00043A44" w:rsidRDefault="00CA6653">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£40,001 - £60,000</w:t>
            </w:r>
          </w:p>
        </w:tc>
        <w:tc>
          <w:tcPr>
            <w:tcW w:w="94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3</w:t>
            </w:r>
          </w:p>
        </w:tc>
        <w:tc>
          <w:tcPr>
            <w:tcW w:w="94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1</w:t>
            </w:r>
          </w:p>
        </w:tc>
        <w:tc>
          <w:tcPr>
            <w:tcW w:w="130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134,219</w:t>
            </w:r>
          </w:p>
        </w:tc>
        <w:tc>
          <w:tcPr>
            <w:tcW w:w="130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50,000</w:t>
            </w:r>
          </w:p>
        </w:tc>
      </w:tr>
      <w:tr w:rsidR="004D417B" w:rsidRPr="00043A44" w:rsidTr="00756AFF">
        <w:trPr>
          <w:trHeight w:val="210"/>
          <w:jc w:val="center"/>
        </w:trPr>
        <w:tc>
          <w:tcPr>
            <w:tcW w:w="1980" w:type="dxa"/>
            <w:shd w:val="clear" w:color="auto" w:fill="auto"/>
            <w:tcMar>
              <w:top w:w="20" w:type="dxa"/>
              <w:left w:w="20" w:type="dxa"/>
              <w:bottom w:w="20" w:type="dxa"/>
              <w:right w:w="20" w:type="dxa"/>
            </w:tcMar>
            <w:vAlign w:val="center"/>
          </w:tcPr>
          <w:p w:rsidR="00CA6653" w:rsidRPr="00043A44" w:rsidRDefault="00CA6653">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£60,001 - £80,000</w:t>
            </w:r>
          </w:p>
        </w:tc>
        <w:tc>
          <w:tcPr>
            <w:tcW w:w="94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3</w:t>
            </w:r>
          </w:p>
        </w:tc>
        <w:tc>
          <w:tcPr>
            <w:tcW w:w="94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0</w:t>
            </w:r>
          </w:p>
        </w:tc>
        <w:tc>
          <w:tcPr>
            <w:tcW w:w="130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196,129</w:t>
            </w:r>
          </w:p>
        </w:tc>
        <w:tc>
          <w:tcPr>
            <w:tcW w:w="1305" w:type="dxa"/>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0</w:t>
            </w:r>
          </w:p>
        </w:tc>
      </w:tr>
      <w:tr w:rsidR="00F42947" w:rsidRPr="00043A44" w:rsidTr="00756AFF">
        <w:trPr>
          <w:trHeight w:val="210"/>
          <w:jc w:val="center"/>
        </w:trPr>
        <w:tc>
          <w:tcPr>
            <w:tcW w:w="1980" w:type="dxa"/>
            <w:shd w:val="clear" w:color="auto" w:fill="auto"/>
            <w:tcMar>
              <w:top w:w="20" w:type="dxa"/>
              <w:left w:w="20" w:type="dxa"/>
              <w:bottom w:w="20" w:type="dxa"/>
              <w:right w:w="20" w:type="dxa"/>
            </w:tcMar>
            <w:vAlign w:val="center"/>
          </w:tcPr>
          <w:p w:rsidR="00F42947" w:rsidRPr="00043A44" w:rsidRDefault="00F42947">
            <w:pPr>
              <w:pStyle w:val="T1TableStyle"/>
              <w:rPr>
                <w:rFonts w:ascii="Verdana" w:eastAsia="Verdana" w:hAnsi="Verdana" w:cs="Verdana"/>
                <w:color w:val="000000"/>
                <w:sz w:val="16"/>
                <w:lang w:val="en-GB"/>
              </w:rPr>
            </w:pPr>
            <w:r w:rsidRPr="00043A44">
              <w:rPr>
                <w:rFonts w:ascii="Verdana" w:eastAsia="Verdana" w:hAnsi="Verdana" w:cs="Verdana"/>
                <w:color w:val="000000"/>
                <w:sz w:val="16"/>
                <w:lang w:val="en-GB"/>
              </w:rPr>
              <w:t>£150000- £200000</w:t>
            </w:r>
          </w:p>
        </w:tc>
        <w:tc>
          <w:tcPr>
            <w:tcW w:w="945" w:type="dxa"/>
            <w:shd w:val="clear" w:color="auto" w:fill="auto"/>
            <w:tcMar>
              <w:top w:w="20" w:type="dxa"/>
              <w:left w:w="20" w:type="dxa"/>
              <w:bottom w:w="20" w:type="dxa"/>
              <w:right w:w="20" w:type="dxa"/>
            </w:tcMar>
          </w:tcPr>
          <w:p w:rsidR="00F42947" w:rsidRPr="00043A44" w:rsidRDefault="003A034A">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945" w:type="dxa"/>
            <w:shd w:val="clear" w:color="auto" w:fill="auto"/>
            <w:tcMar>
              <w:top w:w="20" w:type="dxa"/>
              <w:left w:w="20" w:type="dxa"/>
              <w:bottom w:w="20" w:type="dxa"/>
              <w:right w:w="20" w:type="dxa"/>
            </w:tcMar>
          </w:tcPr>
          <w:p w:rsidR="00F42947" w:rsidRPr="00043A44" w:rsidRDefault="00F42947">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2</w:t>
            </w:r>
          </w:p>
        </w:tc>
        <w:tc>
          <w:tcPr>
            <w:tcW w:w="1305" w:type="dxa"/>
            <w:shd w:val="clear" w:color="auto" w:fill="auto"/>
            <w:tcMar>
              <w:top w:w="20" w:type="dxa"/>
              <w:left w:w="20" w:type="dxa"/>
              <w:bottom w:w="20" w:type="dxa"/>
              <w:right w:w="20" w:type="dxa"/>
            </w:tcMar>
          </w:tcPr>
          <w:p w:rsidR="00F42947" w:rsidRPr="00043A44" w:rsidRDefault="00BC476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05" w:type="dxa"/>
            <w:shd w:val="clear" w:color="auto" w:fill="auto"/>
            <w:tcMar>
              <w:top w:w="20" w:type="dxa"/>
              <w:left w:w="20" w:type="dxa"/>
              <w:bottom w:w="20" w:type="dxa"/>
              <w:right w:w="20" w:type="dxa"/>
            </w:tcMar>
          </w:tcPr>
          <w:p w:rsidR="00F42947" w:rsidRPr="00043A44" w:rsidRDefault="00F42947">
            <w:pPr>
              <w:pStyle w:val="T1TableStyle"/>
              <w:jc w:val="right"/>
              <w:rPr>
                <w:rFonts w:ascii="Verdana" w:eastAsia="Verdana" w:hAnsi="Verdana" w:cs="Verdana"/>
                <w:color w:val="000000"/>
                <w:sz w:val="16"/>
                <w:lang w:val="en-GB"/>
              </w:rPr>
            </w:pPr>
            <w:r w:rsidRPr="00043A44">
              <w:rPr>
                <w:rFonts w:ascii="Verdana" w:eastAsia="Verdana" w:hAnsi="Verdana" w:cs="Verdana"/>
                <w:color w:val="000000"/>
                <w:sz w:val="16"/>
                <w:lang w:val="en-GB"/>
              </w:rPr>
              <w:t>345</w:t>
            </w:r>
            <w:r w:rsidR="00043A44" w:rsidRPr="00043A44">
              <w:rPr>
                <w:rFonts w:ascii="Verdana" w:eastAsia="Verdana" w:hAnsi="Verdana" w:cs="Verdana"/>
                <w:color w:val="000000"/>
                <w:sz w:val="16"/>
                <w:lang w:val="en-GB"/>
              </w:rPr>
              <w:t>,</w:t>
            </w:r>
            <w:r w:rsidRPr="00043A44">
              <w:rPr>
                <w:rFonts w:ascii="Verdana" w:eastAsia="Verdana" w:hAnsi="Verdana" w:cs="Verdana"/>
                <w:color w:val="000000"/>
                <w:sz w:val="16"/>
                <w:lang w:val="en-GB"/>
              </w:rPr>
              <w:t>656</w:t>
            </w:r>
          </w:p>
        </w:tc>
      </w:tr>
      <w:tr w:rsidR="004D417B" w:rsidRPr="00043A44" w:rsidTr="00756AFF">
        <w:trPr>
          <w:trHeight w:val="225"/>
          <w:jc w:val="center"/>
        </w:trPr>
        <w:tc>
          <w:tcPr>
            <w:tcW w:w="198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Pr="00043A44" w:rsidRDefault="00CA6653">
            <w:pPr>
              <w:pStyle w:val="T1TableStyle"/>
              <w:rPr>
                <w:rFonts w:ascii="Verdana" w:eastAsia="Verdana" w:hAnsi="Verdana" w:cs="Verdana"/>
                <w:b/>
                <w:color w:val="000000"/>
                <w:sz w:val="16"/>
                <w:lang w:val="en-GB"/>
              </w:rPr>
            </w:pPr>
            <w:r w:rsidRPr="00043A44">
              <w:rPr>
                <w:rFonts w:ascii="Verdana" w:eastAsia="Verdana" w:hAnsi="Verdana" w:cs="Verdana"/>
                <w:b/>
                <w:color w:val="000000"/>
                <w:sz w:val="16"/>
                <w:lang w:val="en-GB"/>
              </w:rPr>
              <w:t>Total</w:t>
            </w:r>
          </w:p>
        </w:tc>
        <w:tc>
          <w:tcPr>
            <w:tcW w:w="94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b/>
                <w:color w:val="000000"/>
                <w:sz w:val="16"/>
                <w:lang w:val="en-GB"/>
              </w:rPr>
            </w:pPr>
            <w:r w:rsidRPr="00043A44">
              <w:rPr>
                <w:rFonts w:ascii="Verdana" w:eastAsia="Verdana" w:hAnsi="Verdana" w:cs="Verdana"/>
                <w:b/>
                <w:color w:val="000000"/>
                <w:sz w:val="16"/>
                <w:lang w:val="en-GB"/>
              </w:rPr>
              <w:t>30</w:t>
            </w:r>
          </w:p>
        </w:tc>
        <w:tc>
          <w:tcPr>
            <w:tcW w:w="94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b/>
                <w:color w:val="000000"/>
                <w:sz w:val="16"/>
                <w:lang w:val="en-GB"/>
              </w:rPr>
            </w:pPr>
            <w:r w:rsidRPr="00043A44">
              <w:rPr>
                <w:rFonts w:ascii="Verdana" w:eastAsia="Verdana" w:hAnsi="Verdana" w:cs="Verdana"/>
                <w:b/>
                <w:color w:val="000000"/>
                <w:sz w:val="16"/>
                <w:lang w:val="en-GB"/>
              </w:rPr>
              <w:t>11</w:t>
            </w:r>
          </w:p>
        </w:tc>
        <w:tc>
          <w:tcPr>
            <w:tcW w:w="130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b/>
                <w:color w:val="000000"/>
                <w:sz w:val="16"/>
                <w:lang w:val="en-GB"/>
              </w:rPr>
            </w:pPr>
            <w:r w:rsidRPr="00043A44">
              <w:rPr>
                <w:rFonts w:ascii="Verdana" w:eastAsia="Verdana" w:hAnsi="Verdana" w:cs="Verdana"/>
                <w:b/>
                <w:color w:val="000000"/>
                <w:sz w:val="16"/>
                <w:lang w:val="en-GB"/>
              </w:rPr>
              <w:t>838,927</w:t>
            </w:r>
          </w:p>
        </w:tc>
        <w:tc>
          <w:tcPr>
            <w:tcW w:w="130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043A44" w:rsidRDefault="00CA6653">
            <w:pPr>
              <w:pStyle w:val="T1TableStyle"/>
              <w:jc w:val="right"/>
              <w:rPr>
                <w:rFonts w:ascii="Verdana" w:eastAsia="Verdana" w:hAnsi="Verdana" w:cs="Verdana"/>
                <w:b/>
                <w:color w:val="000000"/>
                <w:sz w:val="16"/>
                <w:lang w:val="en-GB"/>
              </w:rPr>
            </w:pPr>
            <w:r w:rsidRPr="00043A44">
              <w:rPr>
                <w:rFonts w:ascii="Verdana" w:eastAsia="Verdana" w:hAnsi="Verdana" w:cs="Verdana"/>
                <w:b/>
                <w:color w:val="000000"/>
                <w:sz w:val="16"/>
                <w:lang w:val="en-GB"/>
              </w:rPr>
              <w:t>502,167</w:t>
            </w:r>
          </w:p>
        </w:tc>
      </w:tr>
    </w:tbl>
    <w:p w:rsidR="00CA6653" w:rsidRPr="00043A44" w:rsidRDefault="00CA6653">
      <w:pPr>
        <w:pStyle w:val="T1TableStyle"/>
        <w:rPr>
          <w:rFonts w:ascii="Verdana" w:eastAsia="Verdana" w:hAnsi="Verdana" w:cs="Verdana"/>
          <w:sz w:val="22"/>
          <w:lang w:val="en-GB"/>
        </w:rPr>
      </w:pPr>
    </w:p>
    <w:p w:rsidR="0069214E" w:rsidRDefault="0069214E">
      <w:pPr>
        <w:pStyle w:val="Normal0"/>
        <w:spacing w:after="160" w:line="259" w:lineRule="auto"/>
        <w:rPr>
          <w:rFonts w:ascii="Verdana" w:eastAsia="Verdana" w:hAnsi="Verdana" w:cs="Verdana"/>
          <w:sz w:val="22"/>
          <w:szCs w:val="22"/>
          <w:lang w:val="en-GB"/>
        </w:rPr>
      </w:pPr>
    </w:p>
    <w:p w:rsidR="00CA6653" w:rsidRPr="00043A44" w:rsidRDefault="00CA6653">
      <w:pPr>
        <w:pStyle w:val="Normal0"/>
        <w:spacing w:after="160" w:line="259" w:lineRule="auto"/>
        <w:rPr>
          <w:rFonts w:ascii="Verdana" w:eastAsia="Verdana" w:hAnsi="Verdana" w:cs="Verdana"/>
          <w:sz w:val="22"/>
          <w:szCs w:val="22"/>
          <w:lang w:val="en-GB"/>
        </w:rPr>
      </w:pPr>
      <w:r w:rsidRPr="00043A44">
        <w:rPr>
          <w:rFonts w:ascii="Verdana" w:eastAsia="Verdana" w:hAnsi="Verdana" w:cs="Verdana"/>
          <w:sz w:val="22"/>
          <w:szCs w:val="22"/>
          <w:lang w:val="en-GB"/>
        </w:rPr>
        <w:t>The numbers and total amounts of exit packages paid to employees of the Group were as shown in the table above. All payments were voluntary redundancies.</w:t>
      </w:r>
    </w:p>
    <w:p w:rsidR="00CA6653" w:rsidRDefault="00CA6653">
      <w:pPr>
        <w:pStyle w:val="Normal0"/>
        <w:spacing w:after="160" w:line="259" w:lineRule="auto"/>
        <w:rPr>
          <w:rFonts w:ascii="Verdana" w:eastAsia="Verdana" w:hAnsi="Verdana" w:cs="Verdana"/>
          <w:sz w:val="22"/>
          <w:szCs w:val="22"/>
          <w:lang w:val="en-GB"/>
        </w:rPr>
      </w:pPr>
      <w:r w:rsidRPr="00D75AD3">
        <w:rPr>
          <w:rFonts w:ascii="Verdana" w:eastAsia="Verdana" w:hAnsi="Verdana" w:cs="Verdana"/>
          <w:sz w:val="22"/>
          <w:szCs w:val="22"/>
          <w:lang w:val="en-GB"/>
        </w:rPr>
        <w:t>There were no exit packages paid to employees of the PCC.</w:t>
      </w:r>
    </w:p>
    <w:p w:rsidR="00B57D1B" w:rsidRDefault="00B57D1B">
      <w:pPr>
        <w:pStyle w:val="Normal0"/>
        <w:spacing w:after="160" w:line="259" w:lineRule="auto"/>
        <w:rPr>
          <w:rFonts w:ascii="Verdana" w:eastAsia="Verdana" w:hAnsi="Verdana" w:cs="Verdana"/>
          <w:sz w:val="22"/>
          <w:szCs w:val="22"/>
          <w:lang w:val="en-GB"/>
        </w:rPr>
      </w:pPr>
    </w:p>
    <w:p w:rsidR="0069214E" w:rsidRDefault="0069214E">
      <w:pPr>
        <w:rPr>
          <w:rFonts w:asciiTheme="majorHAnsi" w:eastAsiaTheme="majorEastAsia" w:hAnsiTheme="majorHAnsi" w:cstheme="majorBidi"/>
          <w:color w:val="2E74B5" w:themeColor="accent1" w:themeShade="BF"/>
          <w:sz w:val="32"/>
          <w:szCs w:val="32"/>
          <w:lang w:val="pt-BR"/>
        </w:rPr>
      </w:pPr>
      <w:r>
        <w:br w:type="page"/>
      </w:r>
    </w:p>
    <w:p w:rsidR="00CA6653" w:rsidRDefault="00CA6653" w:rsidP="00A31A9E">
      <w:pPr>
        <w:pStyle w:val="Heading1"/>
      </w:pPr>
      <w:bookmarkStart w:id="38" w:name="_Toc55900428"/>
      <w:r w:rsidRPr="006D134B">
        <w:t>Note 2</w:t>
      </w:r>
      <w:r w:rsidR="00502D6C">
        <w:t>6</w:t>
      </w:r>
      <w:r w:rsidRPr="006D134B">
        <w:t xml:space="preserve"> - Defined Benefit Pension Scheme</w:t>
      </w:r>
      <w:bookmarkEnd w:id="38"/>
      <w:r w:rsidRPr="006D134B">
        <w:t xml:space="preserve"> </w:t>
      </w:r>
    </w:p>
    <w:p w:rsidR="00CA6653" w:rsidRDefault="00CA6653" w:rsidP="001B120B">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As part of the terms and conditions of employment of its officers and other employees, the Group offers retirement benefits. Although these benefits will not actually be payable until employees retire, the Group has a commitment to make the payments that need to be disclosed at the time that employees earn their future entitlement. These commitments are included in the Chief Constable's Accounts and consolidated into the Group Accounts.</w:t>
      </w:r>
    </w:p>
    <w:p w:rsidR="00CA6653" w:rsidRDefault="00CA6653" w:rsidP="001B120B">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The Group participates in separate pension schemes for police staff and police officers:</w:t>
      </w:r>
    </w:p>
    <w:p w:rsidR="00CA6653" w:rsidRDefault="00CA6653" w:rsidP="001B120B">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w:t>
      </w:r>
      <w:r>
        <w:rPr>
          <w:rFonts w:ascii="Verdana" w:eastAsia="Calibri" w:hAnsi="Verdana" w:cs="Arial"/>
          <w:sz w:val="22"/>
          <w:szCs w:val="22"/>
          <w:lang w:val="en-GB"/>
        </w:rPr>
        <w:tab/>
      </w:r>
      <w:r w:rsidRPr="001B120B">
        <w:rPr>
          <w:rFonts w:ascii="Verdana" w:eastAsia="Calibri" w:hAnsi="Verdana" w:cs="Arial"/>
          <w:b/>
          <w:sz w:val="22"/>
          <w:szCs w:val="22"/>
          <w:lang w:val="en-GB"/>
        </w:rPr>
        <w:t>The Local Government Pension Scheme (LGPS) for police staff employees</w:t>
      </w:r>
      <w:r>
        <w:rPr>
          <w:rFonts w:ascii="Verdana" w:eastAsia="Calibri" w:hAnsi="Verdana" w:cs="Arial"/>
          <w:sz w:val="22"/>
          <w:szCs w:val="22"/>
          <w:lang w:val="en-GB"/>
        </w:rPr>
        <w:t>, administered locally by Surrey County Council – this is a funded defined benefit scheme, meaning that the Group and employees pay contributions into a fund, calculated at a level intended to balance the pension liabilities with investment assets. Up to 31 March 2014 the scheme was based on final salary but from 1 April 2014 the scheme has been based on career average.</w:t>
      </w:r>
    </w:p>
    <w:p w:rsidR="00CA6653" w:rsidRDefault="00CA6653" w:rsidP="001B120B">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w:t>
      </w:r>
      <w:r>
        <w:rPr>
          <w:rFonts w:ascii="Verdana" w:eastAsia="Calibri" w:hAnsi="Verdana" w:cs="Arial"/>
          <w:sz w:val="22"/>
          <w:szCs w:val="22"/>
          <w:lang w:val="en-GB"/>
        </w:rPr>
        <w:tab/>
      </w:r>
      <w:r w:rsidRPr="001B120B">
        <w:rPr>
          <w:rFonts w:ascii="Verdana" w:eastAsia="Calibri" w:hAnsi="Verdana" w:cs="Arial"/>
          <w:b/>
          <w:sz w:val="22"/>
          <w:szCs w:val="22"/>
          <w:lang w:val="en-GB"/>
        </w:rPr>
        <w:t>The Police Pension Scheme for police officers</w:t>
      </w:r>
      <w:r>
        <w:rPr>
          <w:rFonts w:ascii="Verdana" w:eastAsia="Calibri" w:hAnsi="Verdana" w:cs="Arial"/>
          <w:sz w:val="22"/>
          <w:szCs w:val="22"/>
          <w:lang w:val="en-GB"/>
        </w:rPr>
        <w:t xml:space="preserve"> – this is an unfunded defined benefit final salary scheme, the funding arrangements of which are contained in the Police Pension Fund Regulations 2007 (SI 2007/1932).  The Group and employees pay contributions into the fund during the year, but there is no investment assets built up to meet the pension liabilities and payments as they fall due. The regulations require that if the pension fund does not have enough funds to meet the cost of pensions in any year, the amount required to meet the deficit must be transferred from the Group to the pension fund. Subject to Parliamentary scrutiny and approval, up to 100% of this amount is then recouped by the Group in the form of a top-up grant paid by Central Government. Conversely, if the police pension fund is in surplus for the year, the surplus is required to be transferred from the pension fund to the Group, which in turn is required to pay the amount to central Government. </w:t>
      </w:r>
    </w:p>
    <w:p w:rsidR="00CA6653" w:rsidRDefault="00CA6653" w:rsidP="001B120B">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The costs of retirement benefits are recognised in the Net Cost of Services when they are earned by employees, rather than when the benefits are eventually paid as pensions. In accordance with IAS 19 requirements, the amount includes current and past service costs, curtailments and settlements, together with the gains/losses on the police injury pension.  The current service cost and valuation of the Schemes as at 31 March 2019 have been produced by actuaries.  The following transactions reflect the total charges in the Chief Constable's Comprehensive Income and Expenditure Statement. Although these benefits will not actually be payable until employees retire, the Group has a commitment to make the payments for those benefits and to disclose them at the time the employee earns them.</w:t>
      </w:r>
    </w:p>
    <w:p w:rsidR="00CA6653" w:rsidRPr="001B120B" w:rsidRDefault="00CA6653">
      <w:pPr>
        <w:pStyle w:val="Normal0"/>
        <w:spacing w:after="160" w:line="259" w:lineRule="auto"/>
        <w:rPr>
          <w:rFonts w:ascii="Verdana" w:hAnsi="Verdana"/>
          <w:b/>
          <w:sz w:val="22"/>
          <w:szCs w:val="22"/>
          <w:lang w:val="en-GB"/>
        </w:rPr>
      </w:pPr>
      <w:r w:rsidRPr="001B120B">
        <w:rPr>
          <w:rFonts w:ascii="Verdana" w:eastAsia="Calibri" w:hAnsi="Verdana" w:cs="Arial"/>
          <w:b/>
          <w:sz w:val="22"/>
          <w:szCs w:val="22"/>
          <w:lang w:val="en-GB"/>
        </w:rPr>
        <w:t>McCloud / Sargeant judgement</w:t>
      </w:r>
    </w:p>
    <w:p w:rsidR="00CA6653" w:rsidRDefault="00CA6653" w:rsidP="001B120B">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The Chief Constable of Surrey, along with the other Chief Constables and the Home Office, currently has a number of claims lodged against them with the Central London Employment Tribunal.  The claims are in respect of alleged unlawful discrimination arising from the Transitional Provisions in the Police Pension Regulations 2015.</w:t>
      </w:r>
    </w:p>
    <w:p w:rsidR="00CA6653" w:rsidRDefault="001B120B" w:rsidP="001B120B">
      <w:pPr>
        <w:pStyle w:val="Normal0"/>
        <w:spacing w:after="160" w:line="259" w:lineRule="auto"/>
        <w:jc w:val="both"/>
        <w:rPr>
          <w:rFonts w:ascii="Verdana" w:hAnsi="Verdana"/>
          <w:sz w:val="22"/>
          <w:szCs w:val="22"/>
        </w:rPr>
      </w:pPr>
      <w:r>
        <w:rPr>
          <w:rFonts w:ascii="Verdana" w:hAnsi="Verdana"/>
          <w:sz w:val="22"/>
          <w:szCs w:val="22"/>
        </w:rPr>
        <w:t>The McCloud and Sargeant judgements concerned the introduction of career average revalued earnings (CARE) pension schemes to replace the former final salary based pension schemes as part of the Hutton recommendation to reform public service pension schemes. Under the changes introduced to each scheme, members were required to transfer to the new schemes from the transition date of the new schemes, this was 1 April 2014 for the police staff scheme (LGPS) and 1 April 2015 for the Police pension scheme.</w:t>
      </w:r>
    </w:p>
    <w:p w:rsidR="001B120B" w:rsidRDefault="001B120B" w:rsidP="001B120B">
      <w:pPr>
        <w:jc w:val="both"/>
      </w:pPr>
      <w:r>
        <w:t>There was protection provided for older members under each scheme known as ‘transitional protection’. The McCloud and Sargeant judgements have upheld the claimants’ cases that the method of implementation of the new schemes discriminated against younger members. The government was refused leave to appeal the McCloud and Sargeant Judgements on 27 June 2019. This means various parties return to the respective employment tribunals to formulate a remedy which will resolve the age discrimination of the pension changes.</w:t>
      </w:r>
    </w:p>
    <w:p w:rsidR="001B120B" w:rsidRDefault="001B120B" w:rsidP="001B120B">
      <w:pPr>
        <w:jc w:val="both"/>
        <w:rPr>
          <w:iCs/>
        </w:rPr>
      </w:pPr>
    </w:p>
    <w:p w:rsidR="001B120B" w:rsidRDefault="001B120B" w:rsidP="001B120B">
      <w:pPr>
        <w:pStyle w:val="Normal0"/>
        <w:spacing w:after="160" w:line="259" w:lineRule="auto"/>
        <w:jc w:val="both"/>
        <w:rPr>
          <w:rFonts w:ascii="Verdana" w:hAnsi="Verdana"/>
          <w:iCs/>
          <w:sz w:val="22"/>
          <w:szCs w:val="22"/>
        </w:rPr>
      </w:pPr>
      <w:r>
        <w:rPr>
          <w:rFonts w:ascii="Verdana" w:hAnsi="Verdana"/>
          <w:iCs/>
          <w:sz w:val="22"/>
          <w:szCs w:val="22"/>
        </w:rPr>
        <w:t>A decision was therefore made to commission IAS 19 pension actuarial reports to include the impacts of this court case and fully provide for them within the 2019/20 accounts of the PCC Group for both police and staff pension schemes</w:t>
      </w:r>
      <w:r w:rsidR="00013A0C">
        <w:rPr>
          <w:rFonts w:ascii="Verdana" w:hAnsi="Verdana"/>
          <w:iCs/>
          <w:sz w:val="22"/>
          <w:szCs w:val="22"/>
        </w:rPr>
        <w:t>.</w:t>
      </w:r>
    </w:p>
    <w:p w:rsidR="00605700" w:rsidRPr="007C11F3" w:rsidRDefault="00605700" w:rsidP="00605700">
      <w:pPr>
        <w:jc w:val="both"/>
      </w:pPr>
      <w:r>
        <w:t>Since the draft financial statements were published in July 2020 adjustments have been made to these accounts following HM Treasury’s publication of the consultation into changes to the transitional arrangements to the 2015 Scheme. The following figures include updated calculations to only allow for potential McCloud remedy costs for those who were in service on 31 March 2012 and 1 April 2015. This change is based on the eligibility criteria set out by HM Treasury in their consultation and reduces the overall McCloud liability by approximately £29m. The estimated McCloud allowance reduction results in a Past Service Cost Gain in 2019/20.</w:t>
      </w:r>
    </w:p>
    <w:p w:rsidR="00605700" w:rsidRDefault="00605700" w:rsidP="001B120B">
      <w:pPr>
        <w:pStyle w:val="Normal0"/>
        <w:spacing w:after="160" w:line="259" w:lineRule="auto"/>
        <w:jc w:val="both"/>
        <w:rPr>
          <w:rFonts w:ascii="Verdana" w:hAnsi="Verdana"/>
          <w:iCs/>
          <w:sz w:val="22"/>
          <w:szCs w:val="22"/>
        </w:rPr>
      </w:pPr>
    </w:p>
    <w:p w:rsidR="00013A0C" w:rsidRDefault="00D674E8" w:rsidP="001B120B">
      <w:pPr>
        <w:pStyle w:val="Normal0"/>
        <w:spacing w:after="160" w:line="259" w:lineRule="auto"/>
        <w:jc w:val="both"/>
        <w:rPr>
          <w:rFonts w:ascii="Verdana" w:hAnsi="Verdana"/>
          <w:iCs/>
          <w:sz w:val="22"/>
          <w:szCs w:val="22"/>
        </w:rPr>
      </w:pPr>
      <w:r w:rsidRPr="00D674E8">
        <w:rPr>
          <w:noProof/>
          <w:lang w:val="en-GB" w:eastAsia="en-GB"/>
        </w:rPr>
        <w:drawing>
          <wp:inline distT="0" distB="0" distL="0" distR="0">
            <wp:extent cx="6642100" cy="2664940"/>
            <wp:effectExtent l="0" t="0" r="635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42100" cy="2664940"/>
                    </a:xfrm>
                    <a:prstGeom prst="rect">
                      <a:avLst/>
                    </a:prstGeom>
                    <a:noFill/>
                    <a:ln>
                      <a:noFill/>
                    </a:ln>
                  </pic:spPr>
                </pic:pic>
              </a:graphicData>
            </a:graphic>
          </wp:inline>
        </w:drawing>
      </w:r>
    </w:p>
    <w:p w:rsidR="00604A9A" w:rsidRDefault="00D674E8" w:rsidP="001B120B">
      <w:pPr>
        <w:pStyle w:val="Normal0"/>
        <w:spacing w:after="160" w:line="259" w:lineRule="auto"/>
        <w:jc w:val="both"/>
        <w:rPr>
          <w:rFonts w:ascii="Verdana" w:hAnsi="Verdana"/>
          <w:iCs/>
          <w:sz w:val="22"/>
          <w:szCs w:val="22"/>
        </w:rPr>
      </w:pPr>
      <w:r w:rsidRPr="00D674E8">
        <w:rPr>
          <w:noProof/>
          <w:lang w:val="en-GB" w:eastAsia="en-GB"/>
        </w:rPr>
        <w:drawing>
          <wp:inline distT="0" distB="0" distL="0" distR="0">
            <wp:extent cx="6642100" cy="3442552"/>
            <wp:effectExtent l="0" t="0" r="635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2100" cy="3442552"/>
                    </a:xfrm>
                    <a:prstGeom prst="rect">
                      <a:avLst/>
                    </a:prstGeom>
                    <a:noFill/>
                    <a:ln>
                      <a:noFill/>
                    </a:ln>
                  </pic:spPr>
                </pic:pic>
              </a:graphicData>
            </a:graphic>
          </wp:inline>
        </w:drawing>
      </w:r>
    </w:p>
    <w:p w:rsidR="00604A9A" w:rsidRDefault="00D674E8" w:rsidP="001B120B">
      <w:pPr>
        <w:pStyle w:val="Normal0"/>
        <w:spacing w:after="160" w:line="259" w:lineRule="auto"/>
        <w:jc w:val="both"/>
        <w:rPr>
          <w:rFonts w:ascii="Verdana" w:hAnsi="Verdana"/>
          <w:iCs/>
          <w:sz w:val="22"/>
          <w:szCs w:val="22"/>
        </w:rPr>
      </w:pPr>
      <w:r w:rsidRPr="00D674E8">
        <w:rPr>
          <w:noProof/>
          <w:lang w:val="en-GB" w:eastAsia="en-GB"/>
        </w:rPr>
        <w:drawing>
          <wp:inline distT="0" distB="0" distL="0" distR="0">
            <wp:extent cx="6642100" cy="2347955"/>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2100" cy="2347955"/>
                    </a:xfrm>
                    <a:prstGeom prst="rect">
                      <a:avLst/>
                    </a:prstGeom>
                    <a:noFill/>
                    <a:ln>
                      <a:noFill/>
                    </a:ln>
                  </pic:spPr>
                </pic:pic>
              </a:graphicData>
            </a:graphic>
          </wp:inline>
        </w:drawing>
      </w:r>
    </w:p>
    <w:p w:rsidR="00D674E8" w:rsidRDefault="00D674E8" w:rsidP="001B120B">
      <w:pPr>
        <w:pStyle w:val="Normal0"/>
        <w:spacing w:after="160" w:line="259" w:lineRule="auto"/>
        <w:jc w:val="both"/>
        <w:rPr>
          <w:rFonts w:ascii="Verdana" w:hAnsi="Verdana"/>
          <w:iCs/>
          <w:sz w:val="22"/>
          <w:szCs w:val="22"/>
        </w:rPr>
      </w:pPr>
    </w:p>
    <w:p w:rsidR="00E67C97" w:rsidRDefault="00D674E8" w:rsidP="001B120B">
      <w:pPr>
        <w:pStyle w:val="Normal0"/>
        <w:spacing w:after="160" w:line="259" w:lineRule="auto"/>
        <w:jc w:val="both"/>
        <w:rPr>
          <w:rFonts w:ascii="Verdana" w:hAnsi="Verdana"/>
          <w:iCs/>
          <w:sz w:val="22"/>
          <w:szCs w:val="22"/>
        </w:rPr>
      </w:pPr>
      <w:r w:rsidRPr="00D674E8">
        <w:rPr>
          <w:noProof/>
          <w:lang w:val="en-GB" w:eastAsia="en-GB"/>
        </w:rPr>
        <w:drawing>
          <wp:inline distT="0" distB="0" distL="0" distR="0">
            <wp:extent cx="6642100" cy="177338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2100" cy="1773387"/>
                    </a:xfrm>
                    <a:prstGeom prst="rect">
                      <a:avLst/>
                    </a:prstGeom>
                    <a:noFill/>
                    <a:ln>
                      <a:noFill/>
                    </a:ln>
                  </pic:spPr>
                </pic:pic>
              </a:graphicData>
            </a:graphic>
          </wp:inline>
        </w:drawing>
      </w:r>
    </w:p>
    <w:p w:rsidR="00E67C97" w:rsidRDefault="00E67C97" w:rsidP="001B120B">
      <w:pPr>
        <w:pStyle w:val="Normal0"/>
        <w:spacing w:after="160" w:line="259" w:lineRule="auto"/>
        <w:jc w:val="both"/>
        <w:rPr>
          <w:rFonts w:ascii="Verdana" w:hAnsi="Verdana"/>
          <w:iCs/>
          <w:sz w:val="22"/>
          <w:szCs w:val="22"/>
        </w:rPr>
      </w:pPr>
    </w:p>
    <w:p w:rsidR="00E67C97" w:rsidRDefault="00D674E8" w:rsidP="001B120B">
      <w:pPr>
        <w:pStyle w:val="Normal0"/>
        <w:spacing w:after="160" w:line="259" w:lineRule="auto"/>
        <w:jc w:val="both"/>
      </w:pPr>
      <w:r w:rsidRPr="00D674E8">
        <w:rPr>
          <w:noProof/>
          <w:lang w:val="en-GB" w:eastAsia="en-GB"/>
        </w:rPr>
        <w:drawing>
          <wp:inline distT="0" distB="0" distL="0" distR="0">
            <wp:extent cx="6642100" cy="3903179"/>
            <wp:effectExtent l="0" t="0" r="635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42100" cy="3903179"/>
                    </a:xfrm>
                    <a:prstGeom prst="rect">
                      <a:avLst/>
                    </a:prstGeom>
                    <a:noFill/>
                    <a:ln>
                      <a:noFill/>
                    </a:ln>
                  </pic:spPr>
                </pic:pic>
              </a:graphicData>
            </a:graphic>
          </wp:inline>
        </w:drawing>
      </w:r>
    </w:p>
    <w:p w:rsidR="00604A9A" w:rsidRDefault="00604A9A" w:rsidP="001B120B">
      <w:pPr>
        <w:pStyle w:val="Normal0"/>
        <w:spacing w:after="160" w:line="259" w:lineRule="auto"/>
        <w:jc w:val="both"/>
        <w:rPr>
          <w:rFonts w:ascii="Verdana" w:hAnsi="Verdana"/>
          <w:iCs/>
          <w:sz w:val="22"/>
          <w:szCs w:val="22"/>
        </w:rPr>
      </w:pPr>
    </w:p>
    <w:p w:rsidR="00604A9A" w:rsidRDefault="00EA1EDF" w:rsidP="001B120B">
      <w:pPr>
        <w:pStyle w:val="Normal0"/>
        <w:spacing w:after="160" w:line="259" w:lineRule="auto"/>
        <w:jc w:val="both"/>
        <w:rPr>
          <w:rFonts w:ascii="Verdana" w:hAnsi="Verdana"/>
          <w:iCs/>
          <w:sz w:val="22"/>
          <w:szCs w:val="22"/>
        </w:rPr>
      </w:pPr>
      <w:r w:rsidRPr="00EA1EDF">
        <w:rPr>
          <w:noProof/>
          <w:lang w:val="en-GB" w:eastAsia="en-GB"/>
        </w:rPr>
        <w:drawing>
          <wp:inline distT="0" distB="0" distL="0" distR="0">
            <wp:extent cx="6642100" cy="438324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42100" cy="4383246"/>
                    </a:xfrm>
                    <a:prstGeom prst="rect">
                      <a:avLst/>
                    </a:prstGeom>
                    <a:noFill/>
                    <a:ln>
                      <a:noFill/>
                    </a:ln>
                  </pic:spPr>
                </pic:pic>
              </a:graphicData>
            </a:graphic>
          </wp:inline>
        </w:drawing>
      </w:r>
    </w:p>
    <w:p w:rsidR="00604A9A" w:rsidRDefault="00604A9A" w:rsidP="001B120B">
      <w:pPr>
        <w:pStyle w:val="Normal0"/>
        <w:spacing w:after="160" w:line="259" w:lineRule="auto"/>
        <w:jc w:val="both"/>
        <w:rPr>
          <w:rFonts w:ascii="Verdana" w:hAnsi="Verdana"/>
          <w:iCs/>
          <w:sz w:val="22"/>
          <w:szCs w:val="22"/>
        </w:rPr>
      </w:pPr>
      <w:r w:rsidRPr="00604A9A">
        <w:rPr>
          <w:noProof/>
          <w:lang w:val="en-GB" w:eastAsia="en-GB"/>
        </w:rPr>
        <w:drawing>
          <wp:inline distT="0" distB="0" distL="0" distR="0">
            <wp:extent cx="5915660" cy="287845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15660" cy="2878455"/>
                    </a:xfrm>
                    <a:prstGeom prst="rect">
                      <a:avLst/>
                    </a:prstGeom>
                    <a:noFill/>
                    <a:ln>
                      <a:noFill/>
                    </a:ln>
                  </pic:spPr>
                </pic:pic>
              </a:graphicData>
            </a:graphic>
          </wp:inline>
        </w:drawing>
      </w:r>
    </w:p>
    <w:p w:rsidR="00013A0C" w:rsidRDefault="00604A9A" w:rsidP="001B120B">
      <w:pPr>
        <w:pStyle w:val="Normal0"/>
        <w:spacing w:after="160" w:line="259" w:lineRule="auto"/>
        <w:jc w:val="both"/>
        <w:rPr>
          <w:rFonts w:ascii="Verdana" w:hAnsi="Verdana"/>
          <w:iCs/>
          <w:sz w:val="22"/>
          <w:szCs w:val="22"/>
        </w:rPr>
      </w:pPr>
      <w:r w:rsidRPr="00604A9A">
        <w:rPr>
          <w:noProof/>
          <w:lang w:val="en-GB" w:eastAsia="en-GB"/>
        </w:rPr>
        <w:drawing>
          <wp:inline distT="0" distB="0" distL="0" distR="0">
            <wp:extent cx="5915660" cy="1343660"/>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15660" cy="1343660"/>
                    </a:xfrm>
                    <a:prstGeom prst="rect">
                      <a:avLst/>
                    </a:prstGeom>
                    <a:noFill/>
                    <a:ln>
                      <a:noFill/>
                    </a:ln>
                  </pic:spPr>
                </pic:pic>
              </a:graphicData>
            </a:graphic>
          </wp:inline>
        </w:drawing>
      </w:r>
    </w:p>
    <w:p w:rsidR="00013A0C" w:rsidRDefault="00543AB1" w:rsidP="001B120B">
      <w:pPr>
        <w:pStyle w:val="Normal0"/>
        <w:spacing w:after="160" w:line="259" w:lineRule="auto"/>
        <w:jc w:val="both"/>
        <w:rPr>
          <w:rFonts w:ascii="Verdana" w:hAnsi="Verdana"/>
          <w:iCs/>
          <w:sz w:val="22"/>
          <w:szCs w:val="22"/>
        </w:rPr>
      </w:pPr>
      <w:r w:rsidRPr="00543AB1">
        <w:rPr>
          <w:noProof/>
          <w:lang w:val="en-GB" w:eastAsia="en-GB"/>
        </w:rPr>
        <w:drawing>
          <wp:inline distT="0" distB="0" distL="0" distR="0">
            <wp:extent cx="5915660" cy="8818245"/>
            <wp:effectExtent l="0" t="0" r="889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15660" cy="8818245"/>
                    </a:xfrm>
                    <a:prstGeom prst="rect">
                      <a:avLst/>
                    </a:prstGeom>
                    <a:noFill/>
                    <a:ln>
                      <a:noFill/>
                    </a:ln>
                  </pic:spPr>
                </pic:pic>
              </a:graphicData>
            </a:graphic>
          </wp:inline>
        </w:drawing>
      </w:r>
    </w:p>
    <w:p w:rsidR="00704E22" w:rsidRDefault="00D674E8" w:rsidP="00944D0C">
      <w:pPr>
        <w:pStyle w:val="Normal0"/>
        <w:spacing w:after="160" w:line="259" w:lineRule="auto"/>
        <w:jc w:val="both"/>
        <w:rPr>
          <w:rFonts w:ascii="Verdana" w:eastAsia="Calibri" w:hAnsi="Verdana" w:cs="Arial"/>
          <w:sz w:val="22"/>
          <w:szCs w:val="22"/>
          <w:lang w:val="en-GB"/>
        </w:rPr>
      </w:pPr>
      <w:r w:rsidRPr="00D674E8">
        <w:rPr>
          <w:noProof/>
          <w:lang w:val="en-GB" w:eastAsia="en-GB"/>
        </w:rPr>
        <w:drawing>
          <wp:inline distT="0" distB="0" distL="0" distR="0">
            <wp:extent cx="6610350" cy="65233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10350" cy="6523355"/>
                    </a:xfrm>
                    <a:prstGeom prst="rect">
                      <a:avLst/>
                    </a:prstGeom>
                    <a:noFill/>
                    <a:ln>
                      <a:noFill/>
                    </a:ln>
                  </pic:spPr>
                </pic:pic>
              </a:graphicData>
            </a:graphic>
          </wp:inline>
        </w:drawing>
      </w:r>
    </w:p>
    <w:p w:rsidR="00CA6653" w:rsidRDefault="00CA6653" w:rsidP="00944D0C">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We recognise the cost of retirement benefits in the reported cost of services when they are earned by employees, rather than when the benefits are eventually paid as pensions. However, the charge we are required to make against council tax is based on the cash payable in the year, so the real cost of post-employment/retirement benefits is reversed out of the General Fund via the Movement in Reserves Statement. The transactions in the preceding table have been made in the Comprehensive Income and Expenditure Statement and the General Fund Balance via the Movement in Reserves Statement during the year.</w:t>
      </w:r>
    </w:p>
    <w:p w:rsidR="00CA6653" w:rsidRDefault="00CA6653" w:rsidP="00944D0C">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The liabilities show the underlying commitments that the Group has in the long run to pay retirement benefits.  The total liability of £</w:t>
      </w:r>
      <w:r w:rsidR="004D70DB">
        <w:rPr>
          <w:rFonts w:ascii="Verdana" w:eastAsia="Calibri" w:hAnsi="Verdana" w:cs="Arial"/>
          <w:sz w:val="22"/>
          <w:szCs w:val="22"/>
          <w:lang w:val="en-GB"/>
        </w:rPr>
        <w:t>2,0</w:t>
      </w:r>
      <w:r w:rsidR="00685469">
        <w:rPr>
          <w:rFonts w:ascii="Verdana" w:eastAsia="Calibri" w:hAnsi="Verdana" w:cs="Arial"/>
          <w:sz w:val="22"/>
          <w:szCs w:val="22"/>
          <w:lang w:val="en-GB"/>
        </w:rPr>
        <w:t>2</w:t>
      </w:r>
      <w:r w:rsidR="00451BDC">
        <w:rPr>
          <w:rFonts w:ascii="Verdana" w:eastAsia="Calibri" w:hAnsi="Verdana" w:cs="Arial"/>
          <w:sz w:val="22"/>
          <w:szCs w:val="22"/>
          <w:lang w:val="en-GB"/>
        </w:rPr>
        <w:t>8</w:t>
      </w:r>
      <w:r w:rsidR="004D70DB">
        <w:rPr>
          <w:rFonts w:ascii="Verdana" w:eastAsia="Calibri" w:hAnsi="Verdana" w:cs="Arial"/>
          <w:sz w:val="22"/>
          <w:szCs w:val="22"/>
          <w:lang w:val="en-GB"/>
        </w:rPr>
        <w:t>.</w:t>
      </w:r>
      <w:r w:rsidR="00685469">
        <w:rPr>
          <w:rFonts w:ascii="Verdana" w:eastAsia="Calibri" w:hAnsi="Verdana" w:cs="Arial"/>
          <w:sz w:val="22"/>
          <w:szCs w:val="22"/>
          <w:lang w:val="en-GB"/>
        </w:rPr>
        <w:t>0</w:t>
      </w:r>
      <w:r>
        <w:rPr>
          <w:rFonts w:ascii="Verdana" w:eastAsia="Calibri" w:hAnsi="Verdana" w:cs="Arial"/>
          <w:sz w:val="22"/>
          <w:szCs w:val="22"/>
          <w:lang w:val="en-GB"/>
        </w:rPr>
        <w:t xml:space="preserve">m has a substantial impact on the net worth of the Group as recorded in the Balance Sheet, resulting in a negative overall balance of </w:t>
      </w:r>
      <w:r w:rsidRPr="00FD0535">
        <w:rPr>
          <w:rFonts w:ascii="Verdana" w:eastAsia="Calibri" w:hAnsi="Verdana" w:cs="Arial"/>
          <w:sz w:val="22"/>
          <w:szCs w:val="22"/>
          <w:lang w:val="en-GB"/>
        </w:rPr>
        <w:t>£1,</w:t>
      </w:r>
      <w:r w:rsidR="00FD0535" w:rsidRPr="00A200D5">
        <w:rPr>
          <w:rFonts w:ascii="Verdana" w:eastAsia="Calibri" w:hAnsi="Verdana" w:cs="Arial"/>
          <w:sz w:val="22"/>
          <w:szCs w:val="22"/>
          <w:lang w:val="en-GB"/>
        </w:rPr>
        <w:t>896</w:t>
      </w:r>
      <w:r w:rsidR="004D70DB" w:rsidRPr="00FD0535">
        <w:rPr>
          <w:rFonts w:ascii="Verdana" w:eastAsia="Calibri" w:hAnsi="Verdana" w:cs="Arial"/>
          <w:sz w:val="22"/>
          <w:szCs w:val="22"/>
          <w:lang w:val="en-GB"/>
        </w:rPr>
        <w:t>.</w:t>
      </w:r>
      <w:r w:rsidR="00FD0535" w:rsidRPr="00A200D5">
        <w:rPr>
          <w:rFonts w:ascii="Verdana" w:eastAsia="Calibri" w:hAnsi="Verdana" w:cs="Arial"/>
          <w:sz w:val="22"/>
          <w:szCs w:val="22"/>
          <w:lang w:val="en-GB"/>
        </w:rPr>
        <w:t>8</w:t>
      </w:r>
      <w:r w:rsidR="004D70DB" w:rsidRPr="00FD0535">
        <w:rPr>
          <w:rFonts w:ascii="Verdana" w:eastAsia="Calibri" w:hAnsi="Verdana" w:cs="Arial"/>
          <w:sz w:val="22"/>
          <w:szCs w:val="22"/>
          <w:lang w:val="en-GB"/>
        </w:rPr>
        <w:t>m</w:t>
      </w:r>
      <w:r w:rsidRPr="00FD0535">
        <w:rPr>
          <w:rFonts w:ascii="Verdana" w:eastAsia="Calibri" w:hAnsi="Verdana" w:cs="Arial"/>
          <w:sz w:val="22"/>
          <w:szCs w:val="22"/>
          <w:lang w:val="en-GB"/>
        </w:rPr>
        <w:t>. However statutory arrangements for funding the deficit mean that the financial</w:t>
      </w:r>
      <w:r>
        <w:rPr>
          <w:rFonts w:ascii="Verdana" w:eastAsia="Calibri" w:hAnsi="Verdana" w:cs="Arial"/>
          <w:sz w:val="22"/>
          <w:szCs w:val="22"/>
          <w:lang w:val="en-GB"/>
        </w:rPr>
        <w:t xml:space="preserve"> position of the Group remains healthy.</w:t>
      </w:r>
    </w:p>
    <w:p w:rsidR="00CA6653" w:rsidRDefault="00CA6653" w:rsidP="00944D0C">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The deficit on the Local Government Pension Scheme will be made good by increased contributions over the remaining working life of employees, as assessed by the Scheme actuary.</w:t>
      </w:r>
    </w:p>
    <w:p w:rsidR="00502D6C" w:rsidRPr="00704E22" w:rsidRDefault="00CA6653" w:rsidP="00704E22">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 xml:space="preserve">The expected return on scheme assets is determined by considering the expected returns available on the assets underlying the current investment policy.  Expected yields on fixed interest investments are based on gross redemption yields as at the Balance Sheet date.  Expected returns on equity investments reflect long-term real rates of return experienced in </w:t>
      </w:r>
      <w:r w:rsidRPr="00944D0C">
        <w:rPr>
          <w:rFonts w:ascii="Verdana" w:eastAsia="Calibri" w:hAnsi="Verdana" w:cs="Arial"/>
          <w:sz w:val="22"/>
          <w:szCs w:val="22"/>
          <w:lang w:val="en-GB"/>
        </w:rPr>
        <w:t>the respective markets.</w:t>
      </w:r>
    </w:p>
    <w:p w:rsidR="0030507D" w:rsidRDefault="0030507D" w:rsidP="0030507D">
      <w:pPr>
        <w:pStyle w:val="Normal0"/>
        <w:spacing w:after="160" w:line="259" w:lineRule="auto"/>
        <w:jc w:val="both"/>
        <w:rPr>
          <w:rFonts w:ascii="Verdana" w:hAnsi="Verdana"/>
          <w:sz w:val="22"/>
          <w:szCs w:val="22"/>
          <w:lang w:val="en-GB"/>
        </w:rPr>
      </w:pPr>
      <w:r>
        <w:rPr>
          <w:rFonts w:ascii="Verdana" w:eastAsia="Calibri" w:hAnsi="Verdana" w:cs="Arial"/>
          <w:sz w:val="22"/>
          <w:szCs w:val="22"/>
          <w:lang w:val="en-GB"/>
        </w:rPr>
        <w:t>Finance is only required to be raised to cover police pensions when the pensions are actually paid and is restricted to the level of employers’ contribution payable by the Chief Constable and funded by the PCC.</w:t>
      </w:r>
    </w:p>
    <w:p w:rsidR="0030507D" w:rsidRPr="004E6D30" w:rsidRDefault="0030507D" w:rsidP="0030507D">
      <w:pPr>
        <w:pStyle w:val="Normal0"/>
        <w:spacing w:after="160"/>
        <w:jc w:val="both"/>
        <w:rPr>
          <w:rFonts w:ascii="Verdana" w:hAnsi="Verdana"/>
          <w:sz w:val="22"/>
          <w:szCs w:val="22"/>
        </w:rPr>
      </w:pPr>
      <w:r w:rsidRPr="004E6D30">
        <w:rPr>
          <w:rFonts w:ascii="Verdana" w:eastAsia="Verdana" w:hAnsi="Verdana" w:cs="Verdana"/>
          <w:sz w:val="22"/>
          <w:szCs w:val="22"/>
          <w:lang w:val="en-GB"/>
        </w:rPr>
        <w:t xml:space="preserve">During the 2019/20 and in line with best practice the </w:t>
      </w:r>
      <w:r w:rsidRPr="004E6D30">
        <w:rPr>
          <w:rFonts w:ascii="Verdana" w:hAnsi="Verdana"/>
          <w:sz w:val="22"/>
          <w:szCs w:val="22"/>
        </w:rPr>
        <w:t xml:space="preserve">civilian LGPS pension costs have been split to show the separate liability for the Chief Constable and the PCC for full transparency.  This amounts to a transfer of liability from the Chief Constable to the PCC of £1,414k which has been re-measured </w:t>
      </w:r>
      <w:r>
        <w:rPr>
          <w:rFonts w:ascii="Verdana" w:hAnsi="Verdana"/>
          <w:sz w:val="22"/>
          <w:szCs w:val="22"/>
        </w:rPr>
        <w:t xml:space="preserve">and included </w:t>
      </w:r>
      <w:r w:rsidRPr="004E6D30">
        <w:rPr>
          <w:rFonts w:ascii="Verdana" w:hAnsi="Verdana"/>
          <w:sz w:val="22"/>
          <w:szCs w:val="22"/>
        </w:rPr>
        <w:t>within other Comprehensive Income and Expenditure as the</w:t>
      </w:r>
      <w:r>
        <w:rPr>
          <w:rFonts w:ascii="Verdana" w:hAnsi="Verdana"/>
          <w:sz w:val="22"/>
          <w:szCs w:val="22"/>
        </w:rPr>
        <w:t xml:space="preserve"> following</w:t>
      </w:r>
      <w:r w:rsidRPr="004E6D30">
        <w:rPr>
          <w:rFonts w:ascii="Verdana" w:hAnsi="Verdana"/>
          <w:sz w:val="22"/>
          <w:szCs w:val="22"/>
        </w:rPr>
        <w:t xml:space="preserve"> table illustrates:</w:t>
      </w:r>
    </w:p>
    <w:tbl>
      <w:tblPr>
        <w:tblW w:w="8364" w:type="dxa"/>
        <w:jc w:val="center"/>
        <w:tblLook w:val="04A0" w:firstRow="1" w:lastRow="0" w:firstColumn="1" w:lastColumn="0" w:noHBand="0" w:noVBand="1"/>
      </w:tblPr>
      <w:tblGrid>
        <w:gridCol w:w="4713"/>
        <w:gridCol w:w="1150"/>
        <w:gridCol w:w="1327"/>
        <w:gridCol w:w="1174"/>
      </w:tblGrid>
      <w:tr w:rsidR="0030507D" w:rsidRPr="00B31164" w:rsidTr="002A3942">
        <w:trPr>
          <w:trHeight w:val="215"/>
          <w:jc w:val="center"/>
        </w:trPr>
        <w:tc>
          <w:tcPr>
            <w:tcW w:w="4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507D" w:rsidRPr="004E6D30" w:rsidRDefault="0030507D" w:rsidP="002A3942">
            <w:pPr>
              <w:rPr>
                <w:rFonts w:eastAsia="Times New Roman"/>
                <w:b/>
                <w:color w:val="000000"/>
                <w:sz w:val="16"/>
                <w:szCs w:val="16"/>
                <w:lang w:eastAsia="en-GB"/>
              </w:rPr>
            </w:pPr>
            <w:r w:rsidRPr="00B31164">
              <w:rPr>
                <w:rFonts w:eastAsia="Times New Roman"/>
                <w:color w:val="000000"/>
                <w:sz w:val="16"/>
                <w:szCs w:val="16"/>
                <w:lang w:eastAsia="en-GB"/>
              </w:rPr>
              <w:t> </w:t>
            </w:r>
            <w:r w:rsidRPr="004E6D30">
              <w:rPr>
                <w:rFonts w:eastAsia="Times New Roman"/>
                <w:b/>
                <w:color w:val="000000"/>
                <w:sz w:val="16"/>
                <w:szCs w:val="16"/>
                <w:lang w:eastAsia="en-GB"/>
              </w:rPr>
              <w:t>LGPS reallocation between Chief Constable and PCC</w:t>
            </w:r>
          </w:p>
        </w:tc>
        <w:tc>
          <w:tcPr>
            <w:tcW w:w="1150" w:type="dxa"/>
            <w:tcBorders>
              <w:top w:val="single" w:sz="4" w:space="0" w:color="auto"/>
              <w:left w:val="nil"/>
              <w:bottom w:val="nil"/>
              <w:right w:val="single" w:sz="4" w:space="0" w:color="auto"/>
            </w:tcBorders>
            <w:shd w:val="clear" w:color="000000" w:fill="FFFFFF"/>
            <w:noWrap/>
            <w:vAlign w:val="center"/>
            <w:hideMark/>
          </w:tcPr>
          <w:p w:rsidR="0030507D" w:rsidRDefault="0030507D" w:rsidP="002A3942">
            <w:pPr>
              <w:jc w:val="center"/>
              <w:rPr>
                <w:rFonts w:eastAsia="Times New Roman"/>
                <w:b/>
                <w:bCs/>
                <w:color w:val="000000"/>
                <w:sz w:val="16"/>
                <w:szCs w:val="16"/>
                <w:lang w:eastAsia="en-GB"/>
              </w:rPr>
            </w:pPr>
            <w:r w:rsidRPr="00B31164">
              <w:rPr>
                <w:rFonts w:eastAsia="Times New Roman"/>
                <w:b/>
                <w:bCs/>
                <w:color w:val="000000"/>
                <w:sz w:val="16"/>
                <w:szCs w:val="16"/>
                <w:lang w:eastAsia="en-GB"/>
              </w:rPr>
              <w:t>PCC</w:t>
            </w:r>
          </w:p>
          <w:p w:rsidR="0030507D" w:rsidRPr="00B31164" w:rsidRDefault="0030507D" w:rsidP="002A3942">
            <w:pPr>
              <w:jc w:val="center"/>
              <w:rPr>
                <w:rFonts w:eastAsia="Times New Roman"/>
                <w:b/>
                <w:bCs/>
                <w:color w:val="000000"/>
                <w:sz w:val="16"/>
                <w:szCs w:val="16"/>
                <w:lang w:eastAsia="en-GB"/>
              </w:rPr>
            </w:pPr>
            <w:r>
              <w:rPr>
                <w:rFonts w:eastAsia="Times New Roman"/>
                <w:b/>
                <w:bCs/>
                <w:color w:val="000000"/>
                <w:sz w:val="16"/>
                <w:szCs w:val="16"/>
                <w:lang w:eastAsia="en-GB"/>
              </w:rPr>
              <w:t>£000</w:t>
            </w:r>
          </w:p>
        </w:tc>
        <w:tc>
          <w:tcPr>
            <w:tcW w:w="1327" w:type="dxa"/>
            <w:tcBorders>
              <w:top w:val="single" w:sz="4" w:space="0" w:color="auto"/>
              <w:left w:val="nil"/>
              <w:bottom w:val="nil"/>
              <w:right w:val="single" w:sz="4" w:space="0" w:color="auto"/>
            </w:tcBorders>
            <w:shd w:val="clear" w:color="000000" w:fill="FFFFFF"/>
            <w:noWrap/>
            <w:vAlign w:val="center"/>
            <w:hideMark/>
          </w:tcPr>
          <w:p w:rsidR="0030507D" w:rsidRDefault="0030507D" w:rsidP="002A3942">
            <w:pPr>
              <w:jc w:val="center"/>
              <w:rPr>
                <w:rFonts w:eastAsia="Times New Roman"/>
                <w:b/>
                <w:bCs/>
                <w:color w:val="000000"/>
                <w:sz w:val="16"/>
                <w:szCs w:val="16"/>
                <w:lang w:eastAsia="en-GB"/>
              </w:rPr>
            </w:pPr>
            <w:r w:rsidRPr="00B31164">
              <w:rPr>
                <w:rFonts w:eastAsia="Times New Roman"/>
                <w:b/>
                <w:bCs/>
                <w:color w:val="000000"/>
                <w:sz w:val="16"/>
                <w:szCs w:val="16"/>
                <w:lang w:eastAsia="en-GB"/>
              </w:rPr>
              <w:t>CC</w:t>
            </w:r>
          </w:p>
          <w:p w:rsidR="0030507D" w:rsidRPr="00B31164" w:rsidRDefault="0030507D" w:rsidP="002A3942">
            <w:pPr>
              <w:jc w:val="center"/>
              <w:rPr>
                <w:rFonts w:eastAsia="Times New Roman"/>
                <w:b/>
                <w:bCs/>
                <w:color w:val="000000"/>
                <w:sz w:val="16"/>
                <w:szCs w:val="16"/>
                <w:lang w:eastAsia="en-GB"/>
              </w:rPr>
            </w:pPr>
            <w:r>
              <w:rPr>
                <w:rFonts w:eastAsia="Times New Roman"/>
                <w:b/>
                <w:bCs/>
                <w:color w:val="000000"/>
                <w:sz w:val="16"/>
                <w:szCs w:val="16"/>
                <w:lang w:eastAsia="en-GB"/>
              </w:rPr>
              <w:t>£000</w:t>
            </w:r>
          </w:p>
        </w:tc>
        <w:tc>
          <w:tcPr>
            <w:tcW w:w="1174" w:type="dxa"/>
            <w:tcBorders>
              <w:top w:val="single" w:sz="4" w:space="0" w:color="auto"/>
              <w:left w:val="nil"/>
              <w:bottom w:val="nil"/>
              <w:right w:val="single" w:sz="4" w:space="0" w:color="auto"/>
            </w:tcBorders>
            <w:shd w:val="clear" w:color="000000" w:fill="FFFFFF"/>
            <w:noWrap/>
            <w:vAlign w:val="center"/>
            <w:hideMark/>
          </w:tcPr>
          <w:p w:rsidR="0030507D" w:rsidRDefault="0030507D" w:rsidP="002A3942">
            <w:pPr>
              <w:jc w:val="center"/>
              <w:rPr>
                <w:rFonts w:eastAsia="Times New Roman"/>
                <w:b/>
                <w:bCs/>
                <w:color w:val="000000"/>
                <w:sz w:val="16"/>
                <w:szCs w:val="16"/>
                <w:lang w:eastAsia="en-GB"/>
              </w:rPr>
            </w:pPr>
            <w:r w:rsidRPr="00B31164">
              <w:rPr>
                <w:rFonts w:eastAsia="Times New Roman"/>
                <w:b/>
                <w:bCs/>
                <w:color w:val="000000"/>
                <w:sz w:val="16"/>
                <w:szCs w:val="16"/>
                <w:lang w:eastAsia="en-GB"/>
              </w:rPr>
              <w:t>GROUP</w:t>
            </w:r>
          </w:p>
          <w:p w:rsidR="0030507D" w:rsidRPr="00B31164" w:rsidRDefault="0030507D" w:rsidP="002A3942">
            <w:pPr>
              <w:jc w:val="center"/>
              <w:rPr>
                <w:rFonts w:eastAsia="Times New Roman"/>
                <w:b/>
                <w:bCs/>
                <w:color w:val="000000"/>
                <w:sz w:val="16"/>
                <w:szCs w:val="16"/>
                <w:lang w:eastAsia="en-GB"/>
              </w:rPr>
            </w:pPr>
            <w:r>
              <w:rPr>
                <w:rFonts w:eastAsia="Times New Roman"/>
                <w:b/>
                <w:bCs/>
                <w:color w:val="000000"/>
                <w:sz w:val="16"/>
                <w:szCs w:val="16"/>
                <w:lang w:eastAsia="en-GB"/>
              </w:rPr>
              <w:t>£000</w:t>
            </w:r>
          </w:p>
        </w:tc>
      </w:tr>
      <w:tr w:rsidR="0030507D" w:rsidRPr="00B31164" w:rsidTr="002A3942">
        <w:trPr>
          <w:trHeight w:val="284"/>
          <w:jc w:val="center"/>
        </w:trPr>
        <w:tc>
          <w:tcPr>
            <w:tcW w:w="4713" w:type="dxa"/>
            <w:tcBorders>
              <w:top w:val="nil"/>
              <w:left w:val="single" w:sz="4" w:space="0" w:color="auto"/>
              <w:bottom w:val="nil"/>
              <w:right w:val="nil"/>
            </w:tcBorders>
            <w:shd w:val="clear" w:color="000000" w:fill="FFFFFF"/>
            <w:noWrap/>
            <w:vAlign w:val="center"/>
            <w:hideMark/>
          </w:tcPr>
          <w:p w:rsidR="0030507D" w:rsidRPr="00B31164" w:rsidRDefault="0030507D" w:rsidP="002A3942">
            <w:pPr>
              <w:ind w:firstLineChars="100" w:firstLine="160"/>
              <w:rPr>
                <w:rFonts w:eastAsia="Times New Roman"/>
                <w:color w:val="000000"/>
                <w:sz w:val="16"/>
                <w:szCs w:val="16"/>
                <w:lang w:eastAsia="en-GB"/>
              </w:rPr>
            </w:pPr>
            <w:r w:rsidRPr="00B31164">
              <w:rPr>
                <w:rFonts w:eastAsia="Times New Roman"/>
                <w:color w:val="000000"/>
                <w:sz w:val="16"/>
                <w:szCs w:val="16"/>
                <w:lang w:eastAsia="en-GB"/>
              </w:rPr>
              <w:t>Transfer of liability to PCC re</w:t>
            </w:r>
            <w:r>
              <w:rPr>
                <w:rFonts w:eastAsia="Times New Roman"/>
                <w:color w:val="000000"/>
                <w:sz w:val="16"/>
                <w:szCs w:val="16"/>
                <w:lang w:eastAsia="en-GB"/>
              </w:rPr>
              <w:t>-</w:t>
            </w:r>
            <w:r w:rsidRPr="00B31164">
              <w:rPr>
                <w:rFonts w:eastAsia="Times New Roman"/>
                <w:color w:val="000000"/>
                <w:sz w:val="16"/>
                <w:szCs w:val="16"/>
                <w:lang w:eastAsia="en-GB"/>
              </w:rPr>
              <w:t>measurement</w:t>
            </w:r>
          </w:p>
        </w:tc>
        <w:tc>
          <w:tcPr>
            <w:tcW w:w="1150" w:type="dxa"/>
            <w:tcBorders>
              <w:top w:val="single" w:sz="4" w:space="0" w:color="auto"/>
              <w:left w:val="single" w:sz="4" w:space="0" w:color="auto"/>
              <w:bottom w:val="nil"/>
              <w:right w:val="single" w:sz="4" w:space="0" w:color="auto"/>
            </w:tcBorders>
            <w:shd w:val="clear" w:color="000000" w:fill="FFFFFF"/>
            <w:noWrap/>
            <w:vAlign w:val="center"/>
            <w:hideMark/>
          </w:tcPr>
          <w:p w:rsidR="0030507D" w:rsidRPr="00B31164" w:rsidRDefault="0030507D" w:rsidP="002A3942">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(1,414)</w:t>
            </w:r>
          </w:p>
        </w:tc>
        <w:tc>
          <w:tcPr>
            <w:tcW w:w="1327" w:type="dxa"/>
            <w:tcBorders>
              <w:top w:val="single" w:sz="4" w:space="0" w:color="auto"/>
              <w:left w:val="nil"/>
              <w:bottom w:val="nil"/>
              <w:right w:val="single" w:sz="4" w:space="0" w:color="auto"/>
            </w:tcBorders>
            <w:shd w:val="clear" w:color="000000" w:fill="FFFFFF"/>
            <w:noWrap/>
            <w:vAlign w:val="center"/>
            <w:hideMark/>
          </w:tcPr>
          <w:p w:rsidR="0030507D" w:rsidRPr="00B31164" w:rsidRDefault="0030507D" w:rsidP="002A3942">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1,414</w:t>
            </w:r>
          </w:p>
        </w:tc>
        <w:tc>
          <w:tcPr>
            <w:tcW w:w="1174" w:type="dxa"/>
            <w:tcBorders>
              <w:top w:val="single" w:sz="4" w:space="0" w:color="auto"/>
              <w:left w:val="nil"/>
              <w:bottom w:val="nil"/>
              <w:right w:val="single" w:sz="4" w:space="0" w:color="auto"/>
            </w:tcBorders>
            <w:shd w:val="clear" w:color="000000" w:fill="FFFFFF"/>
            <w:noWrap/>
            <w:vAlign w:val="center"/>
            <w:hideMark/>
          </w:tcPr>
          <w:p w:rsidR="0030507D" w:rsidRPr="00B31164" w:rsidRDefault="0030507D" w:rsidP="002A3942">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0</w:t>
            </w:r>
          </w:p>
        </w:tc>
      </w:tr>
      <w:tr w:rsidR="0030507D" w:rsidRPr="00B31164" w:rsidTr="002A3942">
        <w:trPr>
          <w:trHeight w:val="284"/>
          <w:jc w:val="center"/>
        </w:trPr>
        <w:tc>
          <w:tcPr>
            <w:tcW w:w="4713" w:type="dxa"/>
            <w:tcBorders>
              <w:top w:val="nil"/>
              <w:left w:val="single" w:sz="4" w:space="0" w:color="auto"/>
              <w:bottom w:val="nil"/>
              <w:right w:val="nil"/>
            </w:tcBorders>
            <w:shd w:val="clear" w:color="000000" w:fill="FFFFFF"/>
            <w:noWrap/>
            <w:vAlign w:val="center"/>
            <w:hideMark/>
          </w:tcPr>
          <w:p w:rsidR="0030507D" w:rsidRPr="00B31164" w:rsidRDefault="0030507D" w:rsidP="002A3942">
            <w:pPr>
              <w:ind w:firstLineChars="100" w:firstLine="160"/>
              <w:rPr>
                <w:rFonts w:eastAsia="Times New Roman"/>
                <w:color w:val="000000"/>
                <w:sz w:val="16"/>
                <w:szCs w:val="16"/>
                <w:lang w:eastAsia="en-GB"/>
              </w:rPr>
            </w:pPr>
            <w:r w:rsidRPr="00B31164">
              <w:rPr>
                <w:rFonts w:eastAsia="Times New Roman"/>
                <w:color w:val="000000"/>
                <w:sz w:val="16"/>
                <w:szCs w:val="16"/>
                <w:lang w:eastAsia="en-GB"/>
              </w:rPr>
              <w:t>LGPS actuarial re</w:t>
            </w:r>
            <w:r>
              <w:rPr>
                <w:rFonts w:eastAsia="Times New Roman"/>
                <w:color w:val="000000"/>
                <w:sz w:val="16"/>
                <w:szCs w:val="16"/>
                <w:lang w:eastAsia="en-GB"/>
              </w:rPr>
              <w:t>-</w:t>
            </w:r>
            <w:r w:rsidRPr="00B31164">
              <w:rPr>
                <w:rFonts w:eastAsia="Times New Roman"/>
                <w:color w:val="000000"/>
                <w:sz w:val="16"/>
                <w:szCs w:val="16"/>
                <w:lang w:eastAsia="en-GB"/>
              </w:rPr>
              <w:t>measurement</w:t>
            </w:r>
          </w:p>
        </w:tc>
        <w:tc>
          <w:tcPr>
            <w:tcW w:w="1150" w:type="dxa"/>
            <w:tcBorders>
              <w:top w:val="nil"/>
              <w:left w:val="single" w:sz="4" w:space="0" w:color="auto"/>
              <w:bottom w:val="nil"/>
              <w:right w:val="single" w:sz="4" w:space="0" w:color="auto"/>
            </w:tcBorders>
            <w:shd w:val="clear" w:color="000000" w:fill="FFFFFF"/>
            <w:noWrap/>
            <w:vAlign w:val="center"/>
            <w:hideMark/>
          </w:tcPr>
          <w:p w:rsidR="0030507D" w:rsidRPr="00B31164" w:rsidRDefault="0030507D" w:rsidP="002A3942">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152</w:t>
            </w:r>
          </w:p>
        </w:tc>
        <w:tc>
          <w:tcPr>
            <w:tcW w:w="1327" w:type="dxa"/>
            <w:tcBorders>
              <w:top w:val="nil"/>
              <w:left w:val="nil"/>
              <w:bottom w:val="nil"/>
              <w:right w:val="single" w:sz="4" w:space="0" w:color="auto"/>
            </w:tcBorders>
            <w:shd w:val="clear" w:color="000000" w:fill="FFFFFF"/>
            <w:noWrap/>
            <w:vAlign w:val="center"/>
            <w:hideMark/>
          </w:tcPr>
          <w:p w:rsidR="0030507D" w:rsidRPr="00B31164" w:rsidRDefault="0030507D" w:rsidP="002A3942">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50,687</w:t>
            </w:r>
          </w:p>
        </w:tc>
        <w:tc>
          <w:tcPr>
            <w:tcW w:w="1174" w:type="dxa"/>
            <w:tcBorders>
              <w:top w:val="nil"/>
              <w:left w:val="nil"/>
              <w:bottom w:val="nil"/>
              <w:right w:val="single" w:sz="4" w:space="0" w:color="auto"/>
            </w:tcBorders>
            <w:shd w:val="clear" w:color="000000" w:fill="FFFFFF"/>
            <w:noWrap/>
            <w:vAlign w:val="center"/>
            <w:hideMark/>
          </w:tcPr>
          <w:p w:rsidR="0030507D" w:rsidRPr="00B31164" w:rsidRDefault="0030507D" w:rsidP="002A3942">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50,839</w:t>
            </w:r>
          </w:p>
        </w:tc>
      </w:tr>
      <w:tr w:rsidR="0030507D" w:rsidRPr="00B31164" w:rsidTr="002A3942">
        <w:trPr>
          <w:trHeight w:val="284"/>
          <w:jc w:val="center"/>
        </w:trPr>
        <w:tc>
          <w:tcPr>
            <w:tcW w:w="4713" w:type="dxa"/>
            <w:tcBorders>
              <w:top w:val="nil"/>
              <w:left w:val="single" w:sz="4" w:space="0" w:color="auto"/>
              <w:bottom w:val="nil"/>
              <w:right w:val="nil"/>
            </w:tcBorders>
            <w:shd w:val="clear" w:color="000000" w:fill="FFFFFF"/>
            <w:noWrap/>
            <w:vAlign w:val="center"/>
            <w:hideMark/>
          </w:tcPr>
          <w:p w:rsidR="0030507D" w:rsidRPr="00B31164" w:rsidRDefault="0030507D" w:rsidP="002A3942">
            <w:pPr>
              <w:ind w:firstLineChars="100" w:firstLine="160"/>
              <w:rPr>
                <w:rFonts w:eastAsia="Times New Roman"/>
                <w:color w:val="000000"/>
                <w:sz w:val="16"/>
                <w:szCs w:val="16"/>
                <w:lang w:eastAsia="en-GB"/>
              </w:rPr>
            </w:pPr>
            <w:r w:rsidRPr="00B31164">
              <w:rPr>
                <w:rFonts w:eastAsia="Times New Roman"/>
                <w:color w:val="000000"/>
                <w:sz w:val="16"/>
                <w:szCs w:val="16"/>
                <w:lang w:eastAsia="en-GB"/>
              </w:rPr>
              <w:t>Police Pensions actuarial re</w:t>
            </w:r>
            <w:r>
              <w:rPr>
                <w:rFonts w:eastAsia="Times New Roman"/>
                <w:color w:val="000000"/>
                <w:sz w:val="16"/>
                <w:szCs w:val="16"/>
                <w:lang w:eastAsia="en-GB"/>
              </w:rPr>
              <w:t>-</w:t>
            </w:r>
            <w:r w:rsidRPr="00B31164">
              <w:rPr>
                <w:rFonts w:eastAsia="Times New Roman"/>
                <w:color w:val="000000"/>
                <w:sz w:val="16"/>
                <w:szCs w:val="16"/>
                <w:lang w:eastAsia="en-GB"/>
              </w:rPr>
              <w:t>mea</w:t>
            </w:r>
            <w:r>
              <w:rPr>
                <w:rFonts w:eastAsia="Times New Roman"/>
                <w:color w:val="000000"/>
                <w:sz w:val="16"/>
                <w:szCs w:val="16"/>
                <w:lang w:eastAsia="en-GB"/>
              </w:rPr>
              <w:t>s</w:t>
            </w:r>
            <w:r w:rsidRPr="00B31164">
              <w:rPr>
                <w:rFonts w:eastAsia="Times New Roman"/>
                <w:color w:val="000000"/>
                <w:sz w:val="16"/>
                <w:szCs w:val="16"/>
                <w:lang w:eastAsia="en-GB"/>
              </w:rPr>
              <w:t>urement</w:t>
            </w:r>
          </w:p>
        </w:tc>
        <w:tc>
          <w:tcPr>
            <w:tcW w:w="1150" w:type="dxa"/>
            <w:tcBorders>
              <w:top w:val="nil"/>
              <w:left w:val="single" w:sz="4" w:space="0" w:color="auto"/>
              <w:bottom w:val="nil"/>
              <w:right w:val="single" w:sz="4" w:space="0" w:color="auto"/>
            </w:tcBorders>
            <w:shd w:val="clear" w:color="000000" w:fill="FFFFFF"/>
            <w:noWrap/>
            <w:vAlign w:val="center"/>
            <w:hideMark/>
          </w:tcPr>
          <w:p w:rsidR="0030507D" w:rsidRPr="00B31164" w:rsidRDefault="0030507D" w:rsidP="002A3942">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0</w:t>
            </w:r>
          </w:p>
        </w:tc>
        <w:tc>
          <w:tcPr>
            <w:tcW w:w="1327" w:type="dxa"/>
            <w:tcBorders>
              <w:top w:val="nil"/>
              <w:left w:val="nil"/>
              <w:bottom w:val="nil"/>
              <w:right w:val="single" w:sz="4" w:space="0" w:color="auto"/>
            </w:tcBorders>
            <w:shd w:val="clear" w:color="000000" w:fill="FFFFFF"/>
            <w:noWrap/>
            <w:vAlign w:val="center"/>
            <w:hideMark/>
          </w:tcPr>
          <w:p w:rsidR="0030507D" w:rsidRPr="00B31164" w:rsidRDefault="0030507D" w:rsidP="002A3942">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14</w:t>
            </w:r>
            <w:r>
              <w:rPr>
                <w:rFonts w:eastAsia="Times New Roman"/>
                <w:color w:val="000000"/>
                <w:sz w:val="16"/>
                <w:szCs w:val="16"/>
                <w:lang w:eastAsia="en-GB"/>
              </w:rPr>
              <w:t>1</w:t>
            </w:r>
            <w:r w:rsidRPr="00B31164">
              <w:rPr>
                <w:rFonts w:eastAsia="Times New Roman"/>
                <w:color w:val="000000"/>
                <w:sz w:val="16"/>
                <w:szCs w:val="16"/>
                <w:lang w:eastAsia="en-GB"/>
              </w:rPr>
              <w:t>,</w:t>
            </w:r>
            <w:r>
              <w:rPr>
                <w:rFonts w:eastAsia="Times New Roman"/>
                <w:color w:val="000000"/>
                <w:sz w:val="16"/>
                <w:szCs w:val="16"/>
                <w:lang w:eastAsia="en-GB"/>
              </w:rPr>
              <w:t>160</w:t>
            </w:r>
          </w:p>
        </w:tc>
        <w:tc>
          <w:tcPr>
            <w:tcW w:w="1174" w:type="dxa"/>
            <w:tcBorders>
              <w:top w:val="nil"/>
              <w:left w:val="nil"/>
              <w:bottom w:val="nil"/>
              <w:right w:val="single" w:sz="4" w:space="0" w:color="auto"/>
            </w:tcBorders>
            <w:shd w:val="clear" w:color="000000" w:fill="FFFFFF"/>
            <w:noWrap/>
            <w:vAlign w:val="center"/>
            <w:hideMark/>
          </w:tcPr>
          <w:p w:rsidR="0030507D" w:rsidRPr="00B31164" w:rsidRDefault="0030507D" w:rsidP="002A3942">
            <w:pPr>
              <w:ind w:firstLineChars="100" w:firstLine="160"/>
              <w:jc w:val="right"/>
              <w:rPr>
                <w:rFonts w:eastAsia="Times New Roman"/>
                <w:color w:val="000000"/>
                <w:sz w:val="16"/>
                <w:szCs w:val="16"/>
                <w:lang w:eastAsia="en-GB"/>
              </w:rPr>
            </w:pPr>
            <w:r w:rsidRPr="00B31164">
              <w:rPr>
                <w:rFonts w:eastAsia="Times New Roman"/>
                <w:color w:val="000000"/>
                <w:sz w:val="16"/>
                <w:szCs w:val="16"/>
                <w:lang w:eastAsia="en-GB"/>
              </w:rPr>
              <w:t>14</w:t>
            </w:r>
            <w:r>
              <w:rPr>
                <w:rFonts w:eastAsia="Times New Roman"/>
                <w:color w:val="000000"/>
                <w:sz w:val="16"/>
                <w:szCs w:val="16"/>
                <w:lang w:eastAsia="en-GB"/>
              </w:rPr>
              <w:t>1</w:t>
            </w:r>
            <w:r w:rsidRPr="00B31164">
              <w:rPr>
                <w:rFonts w:eastAsia="Times New Roman"/>
                <w:color w:val="000000"/>
                <w:sz w:val="16"/>
                <w:szCs w:val="16"/>
                <w:lang w:eastAsia="en-GB"/>
              </w:rPr>
              <w:t>,</w:t>
            </w:r>
            <w:r>
              <w:rPr>
                <w:rFonts w:eastAsia="Times New Roman"/>
                <w:color w:val="000000"/>
                <w:sz w:val="16"/>
                <w:szCs w:val="16"/>
                <w:lang w:eastAsia="en-GB"/>
              </w:rPr>
              <w:t>160</w:t>
            </w:r>
          </w:p>
        </w:tc>
      </w:tr>
      <w:tr w:rsidR="0030507D" w:rsidRPr="00B31164" w:rsidTr="002A3942">
        <w:trPr>
          <w:trHeight w:val="284"/>
          <w:jc w:val="center"/>
        </w:trPr>
        <w:tc>
          <w:tcPr>
            <w:tcW w:w="4713" w:type="dxa"/>
            <w:tcBorders>
              <w:top w:val="single" w:sz="4" w:space="0" w:color="auto"/>
              <w:left w:val="single" w:sz="4" w:space="0" w:color="auto"/>
              <w:bottom w:val="single" w:sz="4" w:space="0" w:color="auto"/>
              <w:right w:val="nil"/>
            </w:tcBorders>
            <w:shd w:val="clear" w:color="000000" w:fill="FFFFFF"/>
            <w:noWrap/>
            <w:vAlign w:val="center"/>
            <w:hideMark/>
          </w:tcPr>
          <w:p w:rsidR="0030507D" w:rsidRPr="00B31164" w:rsidRDefault="0030507D" w:rsidP="002A3942">
            <w:pPr>
              <w:ind w:firstLineChars="100" w:firstLine="161"/>
              <w:rPr>
                <w:rFonts w:eastAsia="Times New Roman"/>
                <w:b/>
                <w:bCs/>
                <w:color w:val="000000"/>
                <w:sz w:val="16"/>
                <w:szCs w:val="16"/>
                <w:lang w:eastAsia="en-GB"/>
              </w:rPr>
            </w:pPr>
            <w:r w:rsidRPr="00B31164">
              <w:rPr>
                <w:rFonts w:eastAsia="Times New Roman"/>
                <w:b/>
                <w:bCs/>
                <w:color w:val="000000"/>
                <w:sz w:val="16"/>
                <w:szCs w:val="16"/>
                <w:lang w:eastAsia="en-GB"/>
              </w:rPr>
              <w:t>Total shown in Other CIES</w:t>
            </w:r>
          </w:p>
        </w:tc>
        <w:tc>
          <w:tcPr>
            <w:tcW w:w="11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507D" w:rsidRPr="00B31164" w:rsidRDefault="0030507D" w:rsidP="002A3942">
            <w:pPr>
              <w:ind w:firstLineChars="100" w:firstLine="161"/>
              <w:jc w:val="right"/>
              <w:rPr>
                <w:rFonts w:eastAsia="Times New Roman"/>
                <w:b/>
                <w:bCs/>
                <w:color w:val="000000"/>
                <w:sz w:val="16"/>
                <w:szCs w:val="16"/>
                <w:lang w:eastAsia="en-GB"/>
              </w:rPr>
            </w:pPr>
            <w:r w:rsidRPr="00B31164">
              <w:rPr>
                <w:rFonts w:eastAsia="Times New Roman"/>
                <w:b/>
                <w:bCs/>
                <w:color w:val="000000"/>
                <w:sz w:val="16"/>
                <w:szCs w:val="16"/>
                <w:lang w:eastAsia="en-GB"/>
              </w:rPr>
              <w:t>(1,262)</w:t>
            </w:r>
          </w:p>
        </w:tc>
        <w:tc>
          <w:tcPr>
            <w:tcW w:w="1327" w:type="dxa"/>
            <w:tcBorders>
              <w:top w:val="single" w:sz="4" w:space="0" w:color="auto"/>
              <w:left w:val="nil"/>
              <w:bottom w:val="single" w:sz="4" w:space="0" w:color="auto"/>
              <w:right w:val="single" w:sz="4" w:space="0" w:color="auto"/>
            </w:tcBorders>
            <w:shd w:val="clear" w:color="000000" w:fill="FFFFFF"/>
            <w:noWrap/>
            <w:vAlign w:val="center"/>
            <w:hideMark/>
          </w:tcPr>
          <w:p w:rsidR="0030507D" w:rsidRPr="00B31164" w:rsidRDefault="0030507D" w:rsidP="002A3942">
            <w:pPr>
              <w:ind w:firstLineChars="100" w:firstLine="161"/>
              <w:jc w:val="right"/>
              <w:rPr>
                <w:rFonts w:eastAsia="Times New Roman"/>
                <w:b/>
                <w:bCs/>
                <w:color w:val="000000"/>
                <w:sz w:val="16"/>
                <w:szCs w:val="16"/>
                <w:lang w:eastAsia="en-GB"/>
              </w:rPr>
            </w:pPr>
            <w:r w:rsidRPr="00B31164">
              <w:rPr>
                <w:rFonts w:eastAsia="Times New Roman"/>
                <w:b/>
                <w:bCs/>
                <w:color w:val="000000"/>
                <w:sz w:val="16"/>
                <w:szCs w:val="16"/>
                <w:lang w:eastAsia="en-GB"/>
              </w:rPr>
              <w:t>19</w:t>
            </w:r>
            <w:r>
              <w:rPr>
                <w:rFonts w:eastAsia="Times New Roman"/>
                <w:b/>
                <w:bCs/>
                <w:color w:val="000000"/>
                <w:sz w:val="16"/>
                <w:szCs w:val="16"/>
                <w:lang w:eastAsia="en-GB"/>
              </w:rPr>
              <w:t>3</w:t>
            </w:r>
            <w:r w:rsidRPr="00B31164">
              <w:rPr>
                <w:rFonts w:eastAsia="Times New Roman"/>
                <w:b/>
                <w:bCs/>
                <w:color w:val="000000"/>
                <w:sz w:val="16"/>
                <w:szCs w:val="16"/>
                <w:lang w:eastAsia="en-GB"/>
              </w:rPr>
              <w:t>,</w:t>
            </w:r>
            <w:r>
              <w:rPr>
                <w:rFonts w:eastAsia="Times New Roman"/>
                <w:b/>
                <w:bCs/>
                <w:color w:val="000000"/>
                <w:sz w:val="16"/>
                <w:szCs w:val="16"/>
                <w:lang w:eastAsia="en-GB"/>
              </w:rPr>
              <w:t>261</w:t>
            </w:r>
          </w:p>
        </w:tc>
        <w:tc>
          <w:tcPr>
            <w:tcW w:w="1174" w:type="dxa"/>
            <w:tcBorders>
              <w:top w:val="single" w:sz="4" w:space="0" w:color="auto"/>
              <w:left w:val="nil"/>
              <w:bottom w:val="single" w:sz="4" w:space="0" w:color="auto"/>
              <w:right w:val="single" w:sz="4" w:space="0" w:color="auto"/>
            </w:tcBorders>
            <w:shd w:val="clear" w:color="000000" w:fill="FFFFFF"/>
            <w:noWrap/>
            <w:vAlign w:val="center"/>
            <w:hideMark/>
          </w:tcPr>
          <w:p w:rsidR="0030507D" w:rsidRPr="00B31164" w:rsidRDefault="0030507D" w:rsidP="002A3942">
            <w:pPr>
              <w:ind w:firstLineChars="100" w:firstLine="161"/>
              <w:jc w:val="right"/>
              <w:rPr>
                <w:rFonts w:eastAsia="Times New Roman"/>
                <w:b/>
                <w:bCs/>
                <w:color w:val="000000"/>
                <w:sz w:val="16"/>
                <w:szCs w:val="16"/>
                <w:lang w:eastAsia="en-GB"/>
              </w:rPr>
            </w:pPr>
            <w:r w:rsidRPr="00B31164">
              <w:rPr>
                <w:rFonts w:eastAsia="Times New Roman"/>
                <w:b/>
                <w:bCs/>
                <w:color w:val="000000"/>
                <w:sz w:val="16"/>
                <w:szCs w:val="16"/>
                <w:lang w:eastAsia="en-GB"/>
              </w:rPr>
              <w:t>191,</w:t>
            </w:r>
            <w:r>
              <w:rPr>
                <w:rFonts w:eastAsia="Times New Roman"/>
                <w:b/>
                <w:bCs/>
                <w:color w:val="000000"/>
                <w:sz w:val="16"/>
                <w:szCs w:val="16"/>
                <w:lang w:eastAsia="en-GB"/>
              </w:rPr>
              <w:t>99</w:t>
            </w:r>
            <w:r w:rsidRPr="00B31164">
              <w:rPr>
                <w:rFonts w:eastAsia="Times New Roman"/>
                <w:b/>
                <w:bCs/>
                <w:color w:val="000000"/>
                <w:sz w:val="16"/>
                <w:szCs w:val="16"/>
                <w:lang w:eastAsia="en-GB"/>
              </w:rPr>
              <w:t>9</w:t>
            </w:r>
          </w:p>
        </w:tc>
      </w:tr>
    </w:tbl>
    <w:p w:rsidR="0030507D" w:rsidRDefault="0030507D" w:rsidP="0030507D"/>
    <w:p w:rsidR="00502D6C" w:rsidRDefault="00502D6C" w:rsidP="00CA6653">
      <w:pPr>
        <w:pStyle w:val="Normal0"/>
        <w:jc w:val="both"/>
        <w:rPr>
          <w:rFonts w:ascii="Verdana" w:hAnsi="Verdana" w:cs="Vijaya"/>
        </w:rPr>
      </w:pPr>
    </w:p>
    <w:p w:rsidR="0030507D" w:rsidRPr="00BF1298" w:rsidRDefault="0030507D" w:rsidP="00CA6653">
      <w:pPr>
        <w:pStyle w:val="Normal0"/>
        <w:jc w:val="both"/>
        <w:rPr>
          <w:rFonts w:ascii="Verdana" w:hAnsi="Verdana" w:cs="Vijaya"/>
        </w:rPr>
      </w:pPr>
    </w:p>
    <w:p w:rsidR="00CA6653" w:rsidRDefault="00CA6653" w:rsidP="00A31A9E">
      <w:pPr>
        <w:pStyle w:val="Heading1"/>
      </w:pPr>
      <w:bookmarkStart w:id="39" w:name="_Toc55900429"/>
      <w:r>
        <w:t>Note 2</w:t>
      </w:r>
      <w:r w:rsidR="00960EC4">
        <w:t>7</w:t>
      </w:r>
      <w:r>
        <w:t xml:space="preserve"> - External Audit Costs</w:t>
      </w:r>
      <w:bookmarkEnd w:id="39"/>
      <w:r>
        <w:t xml:space="preserve"> </w:t>
      </w:r>
    </w:p>
    <w:p w:rsidR="00CA6653" w:rsidRDefault="00CA6653">
      <w:pPr>
        <w:pStyle w:val="Normal0"/>
        <w:rPr>
          <w:rFonts w:cs="Arial"/>
          <w:b/>
        </w:rPr>
      </w:pPr>
    </w:p>
    <w:tbl>
      <w:tblPr>
        <w:tblW w:w="8209" w:type="dxa"/>
        <w:tblInd w:w="1129" w:type="dxa"/>
        <w:tblLook w:val="04A0" w:firstRow="1" w:lastRow="0" w:firstColumn="1" w:lastColumn="0" w:noHBand="0" w:noVBand="1"/>
      </w:tblPr>
      <w:tblGrid>
        <w:gridCol w:w="1009"/>
        <w:gridCol w:w="4320"/>
        <w:gridCol w:w="960"/>
        <w:gridCol w:w="960"/>
        <w:gridCol w:w="960"/>
      </w:tblGrid>
      <w:tr w:rsidR="00FA037C" w:rsidRPr="00FA037C" w:rsidTr="00A200D5">
        <w:trPr>
          <w:trHeight w:val="210"/>
        </w:trPr>
        <w:tc>
          <w:tcPr>
            <w:tcW w:w="1009" w:type="dxa"/>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2018/19</w:t>
            </w:r>
          </w:p>
        </w:tc>
        <w:tc>
          <w:tcPr>
            <w:tcW w:w="432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1"/>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 </w:t>
            </w:r>
          </w:p>
        </w:tc>
        <w:tc>
          <w:tcPr>
            <w:tcW w:w="2880" w:type="dxa"/>
            <w:gridSpan w:val="3"/>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2019/20</w:t>
            </w:r>
          </w:p>
        </w:tc>
      </w:tr>
      <w:tr w:rsidR="00FA037C" w:rsidRPr="00FA037C" w:rsidTr="00A200D5">
        <w:trPr>
          <w:trHeight w:val="499"/>
        </w:trPr>
        <w:tc>
          <w:tcPr>
            <w:tcW w:w="1009" w:type="dxa"/>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Group</w:t>
            </w:r>
          </w:p>
        </w:tc>
        <w:tc>
          <w:tcPr>
            <w:tcW w:w="432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1"/>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 </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CC</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PCC</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Group</w:t>
            </w:r>
          </w:p>
        </w:tc>
      </w:tr>
      <w:tr w:rsidR="00FA037C" w:rsidRPr="00FA037C" w:rsidTr="00A200D5">
        <w:trPr>
          <w:trHeight w:val="210"/>
        </w:trPr>
        <w:tc>
          <w:tcPr>
            <w:tcW w:w="1009" w:type="dxa"/>
            <w:tcBorders>
              <w:top w:val="nil"/>
              <w:left w:val="nil"/>
              <w:bottom w:val="single" w:sz="4" w:space="0" w:color="auto"/>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£000</w:t>
            </w:r>
          </w:p>
        </w:tc>
        <w:tc>
          <w:tcPr>
            <w:tcW w:w="4320" w:type="dxa"/>
            <w:tcBorders>
              <w:top w:val="nil"/>
              <w:left w:val="nil"/>
              <w:bottom w:val="single" w:sz="4" w:space="0" w:color="auto"/>
              <w:right w:val="nil"/>
            </w:tcBorders>
            <w:shd w:val="clear" w:color="000000" w:fill="FFFFFF"/>
            <w:noWrap/>
            <w:vAlign w:val="bottom"/>
            <w:hideMark/>
          </w:tcPr>
          <w:p w:rsidR="00FA037C" w:rsidRPr="00FA037C" w:rsidRDefault="00FA037C" w:rsidP="00FA037C">
            <w:pPr>
              <w:ind w:firstLineChars="100" w:firstLine="160"/>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single" w:sz="4" w:space="0" w:color="auto"/>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£000</w:t>
            </w:r>
          </w:p>
        </w:tc>
        <w:tc>
          <w:tcPr>
            <w:tcW w:w="960" w:type="dxa"/>
            <w:tcBorders>
              <w:top w:val="nil"/>
              <w:left w:val="nil"/>
              <w:bottom w:val="single" w:sz="4" w:space="0" w:color="auto"/>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£000</w:t>
            </w:r>
          </w:p>
        </w:tc>
        <w:tc>
          <w:tcPr>
            <w:tcW w:w="960" w:type="dxa"/>
            <w:tcBorders>
              <w:top w:val="nil"/>
              <w:left w:val="nil"/>
              <w:bottom w:val="single" w:sz="4" w:space="0" w:color="auto"/>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£000</w:t>
            </w:r>
          </w:p>
        </w:tc>
      </w:tr>
      <w:tr w:rsidR="00FA037C" w:rsidRPr="00FA037C" w:rsidTr="00A200D5">
        <w:trPr>
          <w:trHeight w:val="105"/>
        </w:trPr>
        <w:tc>
          <w:tcPr>
            <w:tcW w:w="1009" w:type="dxa"/>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 </w:t>
            </w:r>
          </w:p>
        </w:tc>
        <w:tc>
          <w:tcPr>
            <w:tcW w:w="4320" w:type="dxa"/>
            <w:tcBorders>
              <w:top w:val="nil"/>
              <w:left w:val="nil"/>
              <w:bottom w:val="nil"/>
              <w:right w:val="nil"/>
            </w:tcBorders>
            <w:shd w:val="clear" w:color="000000" w:fill="FFFFFF"/>
            <w:noWrap/>
            <w:vAlign w:val="bottom"/>
            <w:hideMark/>
          </w:tcPr>
          <w:p w:rsidR="00FA037C" w:rsidRPr="00FA037C" w:rsidRDefault="00FA037C" w:rsidP="00FA037C">
            <w:pPr>
              <w:ind w:firstLineChars="100" w:firstLine="160"/>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r>
      <w:tr w:rsidR="00FA037C" w:rsidRPr="00FA037C" w:rsidTr="00A200D5">
        <w:trPr>
          <w:trHeight w:val="210"/>
        </w:trPr>
        <w:tc>
          <w:tcPr>
            <w:tcW w:w="1009" w:type="dxa"/>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 </w:t>
            </w:r>
          </w:p>
        </w:tc>
        <w:tc>
          <w:tcPr>
            <w:tcW w:w="4320" w:type="dxa"/>
            <w:tcBorders>
              <w:top w:val="nil"/>
              <w:left w:val="nil"/>
              <w:bottom w:val="nil"/>
              <w:right w:val="nil"/>
            </w:tcBorders>
            <w:shd w:val="clear" w:color="000000" w:fill="FFFFFF"/>
            <w:noWrap/>
            <w:vAlign w:val="bottom"/>
            <w:hideMark/>
          </w:tcPr>
          <w:p w:rsidR="00FA037C" w:rsidRPr="00FA037C" w:rsidRDefault="00FA037C" w:rsidP="00FA037C">
            <w:pPr>
              <w:ind w:firstLineChars="100" w:firstLine="160"/>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jc w:val="center"/>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r>
      <w:tr w:rsidR="00FA037C" w:rsidRPr="00FA037C" w:rsidTr="00A200D5">
        <w:trPr>
          <w:trHeight w:val="630"/>
        </w:trPr>
        <w:tc>
          <w:tcPr>
            <w:tcW w:w="1009"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41.4</w:t>
            </w:r>
          </w:p>
        </w:tc>
        <w:tc>
          <w:tcPr>
            <w:tcW w:w="4320" w:type="dxa"/>
            <w:tcBorders>
              <w:top w:val="nil"/>
              <w:left w:val="nil"/>
              <w:bottom w:val="nil"/>
              <w:right w:val="nil"/>
            </w:tcBorders>
            <w:shd w:val="clear" w:color="000000" w:fill="FFFFFF"/>
            <w:vAlign w:val="center"/>
            <w:hideMark/>
          </w:tcPr>
          <w:p w:rsidR="00FA037C" w:rsidRPr="00FA037C" w:rsidRDefault="00FA037C" w:rsidP="00FA037C">
            <w:pPr>
              <w:ind w:firstLineChars="100" w:firstLine="160"/>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Fees payable to Ernst &amp; Young with regard to external audit services carried out by the appointed auditor for the year</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11.6</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29.8</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41.4</w:t>
            </w:r>
          </w:p>
        </w:tc>
      </w:tr>
      <w:tr w:rsidR="00FA037C" w:rsidRPr="00FA037C" w:rsidTr="00A200D5">
        <w:trPr>
          <w:trHeight w:val="210"/>
        </w:trPr>
        <w:tc>
          <w:tcPr>
            <w:tcW w:w="1009"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4320" w:type="dxa"/>
            <w:tcBorders>
              <w:top w:val="nil"/>
              <w:left w:val="nil"/>
              <w:bottom w:val="nil"/>
              <w:right w:val="nil"/>
            </w:tcBorders>
            <w:shd w:val="clear" w:color="000000" w:fill="FFFFFF"/>
            <w:noWrap/>
            <w:vAlign w:val="bottom"/>
            <w:hideMark/>
          </w:tcPr>
          <w:p w:rsidR="00FA037C" w:rsidRPr="00FA037C" w:rsidRDefault="00FA037C" w:rsidP="00FA037C">
            <w:pPr>
              <w:ind w:firstLineChars="100" w:firstLine="160"/>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r>
      <w:tr w:rsidR="00FA037C" w:rsidRPr="00FA037C" w:rsidTr="00A200D5">
        <w:trPr>
          <w:trHeight w:val="210"/>
        </w:trPr>
        <w:tc>
          <w:tcPr>
            <w:tcW w:w="1009"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0</w:t>
            </w:r>
          </w:p>
        </w:tc>
        <w:tc>
          <w:tcPr>
            <w:tcW w:w="4320" w:type="dxa"/>
            <w:tcBorders>
              <w:top w:val="nil"/>
              <w:left w:val="nil"/>
              <w:bottom w:val="nil"/>
              <w:right w:val="nil"/>
            </w:tcBorders>
            <w:shd w:val="clear" w:color="000000" w:fill="FFFFFF"/>
            <w:vAlign w:val="center"/>
            <w:hideMark/>
          </w:tcPr>
          <w:p w:rsidR="00FA037C" w:rsidRPr="00FA037C" w:rsidRDefault="00FA037C" w:rsidP="00FA037C">
            <w:pPr>
              <w:ind w:firstLineChars="100" w:firstLine="160"/>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VFM Significant risks</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Pr>
                <w:rFonts w:eastAsia="Times New Roman" w:cs="Times New Roman"/>
                <w:color w:val="000000"/>
                <w:sz w:val="16"/>
                <w:szCs w:val="16"/>
                <w:lang w:val="en-GB" w:eastAsia="en-GB"/>
              </w:rPr>
              <w:t>10.7</w:t>
            </w:r>
            <w:r w:rsidR="0032689D">
              <w:rPr>
                <w:rFonts w:eastAsia="Times New Roman" w:cs="Times New Roman"/>
                <w:color w:val="000000"/>
                <w:sz w:val="16"/>
                <w:szCs w:val="16"/>
                <w:lang w:val="en-GB" w:eastAsia="en-GB"/>
              </w:rPr>
              <w:t>*</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0</w:t>
            </w:r>
          </w:p>
        </w:tc>
        <w:tc>
          <w:tcPr>
            <w:tcW w:w="960" w:type="dxa"/>
            <w:tcBorders>
              <w:top w:val="nil"/>
              <w:left w:val="nil"/>
              <w:bottom w:val="nil"/>
              <w:right w:val="nil"/>
            </w:tcBorders>
            <w:shd w:val="clear" w:color="000000" w:fill="FFFFFF"/>
            <w:noWrap/>
            <w:vAlign w:val="center"/>
            <w:hideMark/>
          </w:tcPr>
          <w:p w:rsidR="00FA037C" w:rsidRPr="00FA037C" w:rsidRDefault="0032689D" w:rsidP="00FA037C">
            <w:pPr>
              <w:ind w:firstLineChars="100" w:firstLine="160"/>
              <w:jc w:val="right"/>
              <w:rPr>
                <w:rFonts w:eastAsia="Times New Roman" w:cs="Times New Roman"/>
                <w:color w:val="000000"/>
                <w:sz w:val="16"/>
                <w:szCs w:val="16"/>
                <w:lang w:val="en-GB" w:eastAsia="en-GB"/>
              </w:rPr>
            </w:pPr>
            <w:r>
              <w:rPr>
                <w:rFonts w:eastAsia="Times New Roman" w:cs="Times New Roman"/>
                <w:color w:val="000000"/>
                <w:sz w:val="16"/>
                <w:szCs w:val="16"/>
                <w:lang w:val="en-GB" w:eastAsia="en-GB"/>
              </w:rPr>
              <w:t>10.7</w:t>
            </w:r>
          </w:p>
        </w:tc>
      </w:tr>
      <w:tr w:rsidR="00FA037C" w:rsidRPr="00FA037C" w:rsidTr="00A200D5">
        <w:trPr>
          <w:trHeight w:val="210"/>
        </w:trPr>
        <w:tc>
          <w:tcPr>
            <w:tcW w:w="1009"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4320" w:type="dxa"/>
            <w:tcBorders>
              <w:top w:val="nil"/>
              <w:left w:val="nil"/>
              <w:bottom w:val="nil"/>
              <w:right w:val="nil"/>
            </w:tcBorders>
            <w:shd w:val="clear" w:color="000000" w:fill="FFFFFF"/>
            <w:vAlign w:val="center"/>
            <w:hideMark/>
          </w:tcPr>
          <w:p w:rsidR="00FA037C" w:rsidRPr="00FA037C" w:rsidRDefault="00FA037C" w:rsidP="00FA037C">
            <w:pPr>
              <w:ind w:firstLineChars="100" w:firstLine="160"/>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r>
      <w:tr w:rsidR="00FA037C" w:rsidRPr="00FA037C" w:rsidTr="00A200D5">
        <w:trPr>
          <w:trHeight w:val="630"/>
        </w:trPr>
        <w:tc>
          <w:tcPr>
            <w:tcW w:w="1009"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17.7</w:t>
            </w:r>
          </w:p>
        </w:tc>
        <w:tc>
          <w:tcPr>
            <w:tcW w:w="4320" w:type="dxa"/>
            <w:tcBorders>
              <w:top w:val="nil"/>
              <w:left w:val="nil"/>
              <w:bottom w:val="nil"/>
              <w:right w:val="nil"/>
            </w:tcBorders>
            <w:shd w:val="clear" w:color="000000" w:fill="FFFFFF"/>
            <w:vAlign w:val="center"/>
            <w:hideMark/>
          </w:tcPr>
          <w:p w:rsidR="00FA037C" w:rsidRPr="00FA037C" w:rsidRDefault="00FA037C" w:rsidP="00FA037C">
            <w:pPr>
              <w:ind w:firstLineChars="100" w:firstLine="160"/>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Fees payable in respect of other services provided by Grant Thornton (2017/18 external auditors) during the year</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0</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0</w:t>
            </w:r>
          </w:p>
        </w:tc>
        <w:tc>
          <w:tcPr>
            <w:tcW w:w="960"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0</w:t>
            </w:r>
          </w:p>
        </w:tc>
      </w:tr>
      <w:tr w:rsidR="00FA037C" w:rsidRPr="00FA037C" w:rsidTr="00A200D5">
        <w:trPr>
          <w:trHeight w:val="210"/>
        </w:trPr>
        <w:tc>
          <w:tcPr>
            <w:tcW w:w="1009" w:type="dxa"/>
            <w:tcBorders>
              <w:top w:val="nil"/>
              <w:left w:val="nil"/>
              <w:bottom w:val="nil"/>
              <w:right w:val="nil"/>
            </w:tcBorders>
            <w:shd w:val="clear" w:color="000000" w:fill="FFFFFF"/>
            <w:noWrap/>
            <w:vAlign w:val="center"/>
            <w:hideMark/>
          </w:tcPr>
          <w:p w:rsidR="00FA037C" w:rsidRPr="00FA037C" w:rsidRDefault="00FA037C" w:rsidP="00FA037C">
            <w:pPr>
              <w:ind w:firstLineChars="100" w:firstLine="160"/>
              <w:jc w:val="right"/>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4320" w:type="dxa"/>
            <w:tcBorders>
              <w:top w:val="nil"/>
              <w:left w:val="nil"/>
              <w:bottom w:val="nil"/>
              <w:right w:val="nil"/>
            </w:tcBorders>
            <w:shd w:val="clear" w:color="000000" w:fill="FFFFFF"/>
            <w:noWrap/>
            <w:vAlign w:val="bottom"/>
            <w:hideMark/>
          </w:tcPr>
          <w:p w:rsidR="00FA037C" w:rsidRPr="00FA037C" w:rsidRDefault="00FA037C" w:rsidP="00FA037C">
            <w:pPr>
              <w:ind w:firstLineChars="100" w:firstLine="160"/>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c>
          <w:tcPr>
            <w:tcW w:w="960" w:type="dxa"/>
            <w:tcBorders>
              <w:top w:val="nil"/>
              <w:left w:val="nil"/>
              <w:bottom w:val="nil"/>
              <w:right w:val="nil"/>
            </w:tcBorders>
            <w:shd w:val="clear" w:color="000000" w:fill="FFFFFF"/>
            <w:noWrap/>
            <w:vAlign w:val="bottom"/>
            <w:hideMark/>
          </w:tcPr>
          <w:p w:rsidR="00FA037C" w:rsidRPr="00FA037C" w:rsidRDefault="00FA037C" w:rsidP="00FA037C">
            <w:pPr>
              <w:rPr>
                <w:rFonts w:eastAsia="Times New Roman" w:cs="Times New Roman"/>
                <w:color w:val="000000"/>
                <w:sz w:val="16"/>
                <w:szCs w:val="16"/>
                <w:lang w:val="en-GB" w:eastAsia="en-GB"/>
              </w:rPr>
            </w:pPr>
            <w:r w:rsidRPr="00FA037C">
              <w:rPr>
                <w:rFonts w:eastAsia="Times New Roman" w:cs="Times New Roman"/>
                <w:color w:val="000000"/>
                <w:sz w:val="16"/>
                <w:szCs w:val="16"/>
                <w:lang w:val="en-GB" w:eastAsia="en-GB"/>
              </w:rPr>
              <w:t> </w:t>
            </w:r>
          </w:p>
        </w:tc>
      </w:tr>
      <w:tr w:rsidR="00FA037C" w:rsidRPr="00FA037C" w:rsidTr="00A200D5">
        <w:trPr>
          <w:trHeight w:val="405"/>
        </w:trPr>
        <w:tc>
          <w:tcPr>
            <w:tcW w:w="1009" w:type="dxa"/>
            <w:tcBorders>
              <w:top w:val="single" w:sz="4" w:space="0" w:color="auto"/>
              <w:left w:val="nil"/>
              <w:bottom w:val="single" w:sz="8" w:space="0" w:color="auto"/>
              <w:right w:val="nil"/>
            </w:tcBorders>
            <w:shd w:val="clear" w:color="000000" w:fill="FFFFFF"/>
            <w:noWrap/>
            <w:vAlign w:val="center"/>
            <w:hideMark/>
          </w:tcPr>
          <w:p w:rsidR="00FA037C" w:rsidRPr="00FA037C" w:rsidRDefault="00FA037C" w:rsidP="00FA037C">
            <w:pPr>
              <w:ind w:firstLineChars="100" w:firstLine="161"/>
              <w:jc w:val="right"/>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59.1</w:t>
            </w:r>
          </w:p>
        </w:tc>
        <w:tc>
          <w:tcPr>
            <w:tcW w:w="4320" w:type="dxa"/>
            <w:tcBorders>
              <w:top w:val="single" w:sz="4" w:space="0" w:color="auto"/>
              <w:left w:val="nil"/>
              <w:bottom w:val="single" w:sz="8" w:space="0" w:color="auto"/>
              <w:right w:val="nil"/>
            </w:tcBorders>
            <w:shd w:val="clear" w:color="000000" w:fill="FFFFFF"/>
            <w:noWrap/>
            <w:vAlign w:val="center"/>
            <w:hideMark/>
          </w:tcPr>
          <w:p w:rsidR="00FA037C" w:rsidRPr="00FA037C" w:rsidRDefault="00FA037C" w:rsidP="00FA037C">
            <w:pPr>
              <w:ind w:firstLineChars="100" w:firstLine="161"/>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Total</w:t>
            </w:r>
          </w:p>
        </w:tc>
        <w:tc>
          <w:tcPr>
            <w:tcW w:w="960" w:type="dxa"/>
            <w:tcBorders>
              <w:top w:val="single" w:sz="4" w:space="0" w:color="auto"/>
              <w:left w:val="nil"/>
              <w:bottom w:val="single" w:sz="8" w:space="0" w:color="auto"/>
              <w:right w:val="nil"/>
            </w:tcBorders>
            <w:shd w:val="clear" w:color="000000" w:fill="FFFFFF"/>
            <w:noWrap/>
            <w:vAlign w:val="center"/>
            <w:hideMark/>
          </w:tcPr>
          <w:p w:rsidR="00FA037C" w:rsidRPr="00FA037C" w:rsidRDefault="0032689D" w:rsidP="00FA037C">
            <w:pPr>
              <w:ind w:firstLineChars="100" w:firstLine="161"/>
              <w:jc w:val="right"/>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22.3</w:t>
            </w:r>
          </w:p>
        </w:tc>
        <w:tc>
          <w:tcPr>
            <w:tcW w:w="960" w:type="dxa"/>
            <w:tcBorders>
              <w:top w:val="single" w:sz="4" w:space="0" w:color="auto"/>
              <w:left w:val="nil"/>
              <w:bottom w:val="single" w:sz="8" w:space="0" w:color="auto"/>
              <w:right w:val="nil"/>
            </w:tcBorders>
            <w:shd w:val="clear" w:color="000000" w:fill="FFFFFF"/>
            <w:noWrap/>
            <w:vAlign w:val="center"/>
            <w:hideMark/>
          </w:tcPr>
          <w:p w:rsidR="00FA037C" w:rsidRPr="00FA037C" w:rsidRDefault="00FA037C" w:rsidP="00FA037C">
            <w:pPr>
              <w:ind w:firstLineChars="100" w:firstLine="161"/>
              <w:jc w:val="right"/>
              <w:rPr>
                <w:rFonts w:eastAsia="Times New Roman" w:cs="Times New Roman"/>
                <w:b/>
                <w:bCs/>
                <w:color w:val="000000"/>
                <w:sz w:val="16"/>
                <w:szCs w:val="16"/>
                <w:lang w:val="en-GB" w:eastAsia="en-GB"/>
              </w:rPr>
            </w:pPr>
            <w:r w:rsidRPr="00FA037C">
              <w:rPr>
                <w:rFonts w:eastAsia="Times New Roman" w:cs="Times New Roman"/>
                <w:b/>
                <w:bCs/>
                <w:color w:val="000000"/>
                <w:sz w:val="16"/>
                <w:szCs w:val="16"/>
                <w:lang w:val="en-GB" w:eastAsia="en-GB"/>
              </w:rPr>
              <w:t>29.8</w:t>
            </w:r>
          </w:p>
        </w:tc>
        <w:tc>
          <w:tcPr>
            <w:tcW w:w="960" w:type="dxa"/>
            <w:tcBorders>
              <w:top w:val="single" w:sz="4" w:space="0" w:color="auto"/>
              <w:left w:val="nil"/>
              <w:bottom w:val="single" w:sz="8" w:space="0" w:color="auto"/>
              <w:right w:val="nil"/>
            </w:tcBorders>
            <w:shd w:val="clear" w:color="000000" w:fill="FFFFFF"/>
            <w:noWrap/>
            <w:vAlign w:val="center"/>
            <w:hideMark/>
          </w:tcPr>
          <w:p w:rsidR="00FA037C" w:rsidRPr="00FA037C" w:rsidRDefault="0032689D" w:rsidP="00FA037C">
            <w:pPr>
              <w:ind w:firstLineChars="100" w:firstLine="161"/>
              <w:jc w:val="right"/>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52.1</w:t>
            </w:r>
          </w:p>
        </w:tc>
      </w:tr>
    </w:tbl>
    <w:p w:rsidR="00FA037C" w:rsidRDefault="00FA037C" w:rsidP="00A200D5">
      <w:pPr>
        <w:pStyle w:val="Normal0"/>
        <w:jc w:val="center"/>
        <w:rPr>
          <w:rFonts w:cs="Arial"/>
          <w:b/>
        </w:rPr>
      </w:pPr>
    </w:p>
    <w:p w:rsidR="00FA037C" w:rsidRPr="00A200D5" w:rsidRDefault="0032689D">
      <w:pPr>
        <w:pStyle w:val="Normal0"/>
        <w:rPr>
          <w:rFonts w:ascii="Verdana" w:hAnsi="Verdana"/>
          <w:sz w:val="18"/>
          <w:szCs w:val="18"/>
        </w:rPr>
      </w:pPr>
      <w:r w:rsidRPr="00A200D5">
        <w:rPr>
          <w:rFonts w:ascii="Verdana" w:hAnsi="Verdana"/>
          <w:sz w:val="18"/>
          <w:szCs w:val="18"/>
        </w:rPr>
        <w:t>*</w:t>
      </w:r>
      <w:r w:rsidR="00FA037C" w:rsidRPr="00A200D5">
        <w:rPr>
          <w:rFonts w:ascii="Verdana" w:hAnsi="Verdana"/>
          <w:sz w:val="18"/>
          <w:szCs w:val="18"/>
        </w:rPr>
        <w:t>The additional fee of £10,</w:t>
      </w:r>
      <w:r w:rsidRPr="00A200D5">
        <w:rPr>
          <w:rFonts w:ascii="Verdana" w:hAnsi="Verdana"/>
          <w:sz w:val="18"/>
          <w:szCs w:val="18"/>
        </w:rPr>
        <w:t xml:space="preserve">735 was incurred in 2018/19 in relation to Value </w:t>
      </w:r>
      <w:r w:rsidR="00A26E34">
        <w:rPr>
          <w:rFonts w:ascii="Verdana" w:hAnsi="Verdana"/>
          <w:sz w:val="18"/>
          <w:szCs w:val="18"/>
        </w:rPr>
        <w:t>for</w:t>
      </w:r>
      <w:r w:rsidRPr="00A200D5">
        <w:rPr>
          <w:rFonts w:ascii="Verdana" w:hAnsi="Verdana"/>
          <w:sz w:val="18"/>
          <w:szCs w:val="18"/>
        </w:rPr>
        <w:t xml:space="preserve"> Money </w:t>
      </w:r>
      <w:r w:rsidR="00B65816">
        <w:rPr>
          <w:rFonts w:ascii="Verdana" w:hAnsi="Verdana"/>
          <w:sz w:val="18"/>
          <w:szCs w:val="18"/>
        </w:rPr>
        <w:t xml:space="preserve">significant </w:t>
      </w:r>
      <w:r w:rsidRPr="00A200D5">
        <w:rPr>
          <w:rFonts w:ascii="Verdana" w:hAnsi="Verdana"/>
          <w:sz w:val="18"/>
          <w:szCs w:val="18"/>
        </w:rPr>
        <w:t>risks.  This variation was agreed with Chief Officers but required approval from PSA</w:t>
      </w:r>
      <w:r w:rsidR="005D7202">
        <w:rPr>
          <w:rFonts w:ascii="Verdana" w:hAnsi="Verdana"/>
          <w:sz w:val="18"/>
          <w:szCs w:val="18"/>
        </w:rPr>
        <w:t>A</w:t>
      </w:r>
      <w:r w:rsidRPr="00A200D5">
        <w:rPr>
          <w:rFonts w:ascii="Verdana" w:hAnsi="Verdana"/>
          <w:sz w:val="18"/>
          <w:szCs w:val="18"/>
        </w:rPr>
        <w:t xml:space="preserve"> and was therefore not included within 2018/19 statutory accounts.</w:t>
      </w:r>
    </w:p>
    <w:p w:rsidR="00CA6653" w:rsidRPr="004D70DB" w:rsidRDefault="00CA6653" w:rsidP="00A31A9E">
      <w:pPr>
        <w:pStyle w:val="Heading1"/>
      </w:pPr>
      <w:bookmarkStart w:id="40" w:name="_Toc55900430"/>
      <w:r w:rsidRPr="004D70DB">
        <w:t>Note 2</w:t>
      </w:r>
      <w:r w:rsidR="00960EC4">
        <w:t>8</w:t>
      </w:r>
      <w:r w:rsidRPr="004D70DB">
        <w:t xml:space="preserve"> - Related Parties</w:t>
      </w:r>
      <w:bookmarkEnd w:id="40"/>
      <w:r w:rsidRPr="004D70DB">
        <w:t xml:space="preserve"> </w:t>
      </w:r>
    </w:p>
    <w:p w:rsidR="002B193A" w:rsidRDefault="002B193A" w:rsidP="002B193A">
      <w:pPr>
        <w:pStyle w:val="Normal0"/>
        <w:spacing w:after="160"/>
        <w:jc w:val="both"/>
        <w:rPr>
          <w:rFonts w:ascii="Verdana" w:eastAsia="Verdana" w:hAnsi="Verdana" w:cs="Verdana"/>
          <w:sz w:val="22"/>
          <w:szCs w:val="22"/>
          <w:lang w:val="en-GB"/>
        </w:rPr>
      </w:pPr>
      <w:r>
        <w:rPr>
          <w:rFonts w:ascii="Verdana" w:hAnsi="Verdana"/>
          <w:sz w:val="22"/>
          <w:szCs w:val="22"/>
        </w:rPr>
        <w:t>The Police and Crime Commissioner is required to disclose material transactions with related parties - bodies or individuals that have the potential to control or influence the Police and Crime Commissioner or to be controlled or influenced by the Police and Crime Commissioner. Disclosure of these transactions allows readers to assess the extent to which the Police and Crime Commissioner might have been constrained in her ability to operate independently or might have secured the ability to limit another party's ability to bargain freely with the Police and Crime Commissioner.</w:t>
      </w:r>
    </w:p>
    <w:p w:rsidR="00427F9B" w:rsidRPr="00427F9B" w:rsidRDefault="00427F9B" w:rsidP="002B193A">
      <w:pPr>
        <w:pStyle w:val="Normal0"/>
        <w:spacing w:after="160"/>
        <w:jc w:val="both"/>
        <w:rPr>
          <w:rFonts w:ascii="Verdana" w:eastAsia="Verdana" w:hAnsi="Verdana" w:cs="Verdana"/>
          <w:b/>
          <w:sz w:val="22"/>
          <w:szCs w:val="22"/>
          <w:lang w:val="en-GB"/>
        </w:rPr>
      </w:pPr>
      <w:r w:rsidRPr="00427F9B">
        <w:rPr>
          <w:rFonts w:ascii="Verdana" w:eastAsia="Verdana" w:hAnsi="Verdana" w:cs="Verdana"/>
          <w:b/>
          <w:sz w:val="22"/>
          <w:szCs w:val="22"/>
          <w:lang w:val="en-GB"/>
        </w:rPr>
        <w:t>Officers of the Police and Crime Commissioner for Surrey and Chief Constable of Surrey</w:t>
      </w:r>
    </w:p>
    <w:p w:rsidR="00CA6653" w:rsidRPr="004D70DB" w:rsidRDefault="00CA6653" w:rsidP="002B193A">
      <w:pPr>
        <w:pStyle w:val="Normal0"/>
        <w:spacing w:after="160"/>
        <w:jc w:val="both"/>
        <w:rPr>
          <w:rFonts w:ascii="Verdana" w:eastAsia="Verdana" w:hAnsi="Verdana" w:cs="Verdana"/>
          <w:sz w:val="22"/>
          <w:szCs w:val="22"/>
          <w:lang w:val="en-GB"/>
        </w:rPr>
      </w:pPr>
      <w:r w:rsidRPr="004D70DB">
        <w:rPr>
          <w:rFonts w:ascii="Verdana" w:eastAsia="Verdana" w:hAnsi="Verdana" w:cs="Verdana"/>
          <w:sz w:val="22"/>
          <w:szCs w:val="22"/>
          <w:lang w:val="en-GB"/>
        </w:rPr>
        <w:t>Officers of the Police and Crime Commissioner have direct control over financial and operating policies.</w:t>
      </w:r>
    </w:p>
    <w:p w:rsidR="00CA6653" w:rsidRPr="004D70DB" w:rsidRDefault="00CA6653" w:rsidP="002B193A">
      <w:pPr>
        <w:pStyle w:val="Normal0"/>
        <w:spacing w:after="160"/>
        <w:jc w:val="both"/>
        <w:rPr>
          <w:rFonts w:ascii="Verdana" w:eastAsia="Verdana" w:hAnsi="Verdana" w:cs="Verdana"/>
          <w:sz w:val="22"/>
          <w:szCs w:val="22"/>
          <w:lang w:val="en-GB"/>
        </w:rPr>
      </w:pPr>
      <w:r w:rsidRPr="004D70DB">
        <w:rPr>
          <w:rFonts w:ascii="Verdana" w:eastAsia="Verdana" w:hAnsi="Verdana" w:cs="Verdana"/>
          <w:sz w:val="22"/>
          <w:szCs w:val="22"/>
          <w:lang w:val="en-GB"/>
        </w:rPr>
        <w:t>Details of all related party transactions are recorded in the Register of Members' Interest.  Officers and Chief Officers of the Force and the Police and Crime Commissioner are required to declare whether they or any member of their immediate family, have had any related party transactions (i.e. significant financial dealings) with the Police and Crime Commissioner for Surrey and or the Chief Constable's Force during the financial year.</w:t>
      </w:r>
    </w:p>
    <w:p w:rsidR="00CA6653" w:rsidRPr="004D70DB" w:rsidRDefault="00CA6653" w:rsidP="002B193A">
      <w:pPr>
        <w:pStyle w:val="Normal0"/>
        <w:spacing w:after="160"/>
        <w:jc w:val="both"/>
        <w:rPr>
          <w:rFonts w:ascii="Verdana" w:eastAsia="Verdana" w:hAnsi="Verdana" w:cs="Verdana"/>
          <w:sz w:val="22"/>
          <w:szCs w:val="22"/>
          <w:lang w:val="en-GB"/>
        </w:rPr>
      </w:pPr>
      <w:r w:rsidRPr="004D70DB">
        <w:rPr>
          <w:rFonts w:ascii="Verdana" w:eastAsia="Verdana" w:hAnsi="Verdana" w:cs="Verdana"/>
          <w:sz w:val="22"/>
          <w:szCs w:val="22"/>
          <w:lang w:val="en-GB"/>
        </w:rPr>
        <w:t>The Chief Executive has written to all Officers and Chief Officers of the Force and the Police and Crime Commissioner to collect this information.  Responses were received from all recipients of the letter and</w:t>
      </w:r>
      <w:r w:rsidR="0030507D">
        <w:rPr>
          <w:rFonts w:ascii="Verdana" w:eastAsia="Verdana" w:hAnsi="Verdana" w:cs="Verdana"/>
          <w:sz w:val="22"/>
          <w:szCs w:val="22"/>
          <w:lang w:val="en-GB"/>
        </w:rPr>
        <w:t xml:space="preserve"> the following</w:t>
      </w:r>
      <w:r w:rsidRPr="004D70DB">
        <w:rPr>
          <w:rFonts w:ascii="Verdana" w:eastAsia="Verdana" w:hAnsi="Verdana" w:cs="Verdana"/>
          <w:sz w:val="22"/>
          <w:szCs w:val="22"/>
          <w:lang w:val="en-GB"/>
        </w:rPr>
        <w:t xml:space="preserve"> related party transactions are disclosed</w:t>
      </w:r>
      <w:r w:rsidR="0030507D">
        <w:rPr>
          <w:rFonts w:ascii="Verdana" w:eastAsia="Verdana" w:hAnsi="Verdana" w:cs="Verdana"/>
          <w:sz w:val="22"/>
          <w:szCs w:val="22"/>
          <w:lang w:val="en-GB"/>
        </w:rPr>
        <w:t xml:space="preserve"> </w:t>
      </w:r>
      <w:r w:rsidRPr="004D70DB">
        <w:rPr>
          <w:rFonts w:ascii="Verdana" w:eastAsia="Verdana" w:hAnsi="Verdana" w:cs="Verdana"/>
          <w:sz w:val="22"/>
          <w:szCs w:val="22"/>
          <w:lang w:val="en-GB"/>
        </w:rPr>
        <w:t>for the 201</w:t>
      </w:r>
      <w:r w:rsidR="00BC2BA6">
        <w:rPr>
          <w:rFonts w:ascii="Verdana" w:eastAsia="Verdana" w:hAnsi="Verdana" w:cs="Verdana"/>
          <w:sz w:val="22"/>
          <w:szCs w:val="22"/>
          <w:lang w:val="en-GB"/>
        </w:rPr>
        <w:t>9</w:t>
      </w:r>
      <w:r w:rsidRPr="004D70DB">
        <w:rPr>
          <w:rFonts w:ascii="Verdana" w:eastAsia="Verdana" w:hAnsi="Verdana" w:cs="Verdana"/>
          <w:sz w:val="22"/>
          <w:szCs w:val="22"/>
          <w:lang w:val="en-GB"/>
        </w:rPr>
        <w:t>/</w:t>
      </w:r>
      <w:r w:rsidR="00BC2BA6">
        <w:rPr>
          <w:rFonts w:ascii="Verdana" w:eastAsia="Verdana" w:hAnsi="Verdana" w:cs="Verdana"/>
          <w:sz w:val="22"/>
          <w:szCs w:val="22"/>
          <w:lang w:val="en-GB"/>
        </w:rPr>
        <w:t>20</w:t>
      </w:r>
      <w:r w:rsidRPr="004D70DB">
        <w:rPr>
          <w:rFonts w:ascii="Verdana" w:eastAsia="Verdana" w:hAnsi="Verdana" w:cs="Verdana"/>
          <w:sz w:val="22"/>
          <w:szCs w:val="22"/>
          <w:lang w:val="en-GB"/>
        </w:rPr>
        <w:t xml:space="preserve"> year in respect of the Police and Crime Commissioner</w:t>
      </w:r>
      <w:r w:rsidR="0030507D">
        <w:rPr>
          <w:rFonts w:ascii="Verdana" w:eastAsia="Verdana" w:hAnsi="Verdana" w:cs="Verdana"/>
          <w:sz w:val="22"/>
          <w:szCs w:val="22"/>
          <w:lang w:val="en-GB"/>
        </w:rPr>
        <w:t xml:space="preserve"> and Group</w:t>
      </w:r>
      <w:r w:rsidRPr="004D70DB">
        <w:rPr>
          <w:rFonts w:ascii="Verdana" w:eastAsia="Verdana" w:hAnsi="Verdana" w:cs="Verdana"/>
          <w:sz w:val="22"/>
          <w:szCs w:val="22"/>
          <w:lang w:val="en-GB"/>
        </w:rPr>
        <w:t>.</w:t>
      </w:r>
    </w:p>
    <w:p w:rsidR="00CA6653" w:rsidRDefault="00CA6653" w:rsidP="002B193A">
      <w:pPr>
        <w:pStyle w:val="Normal0"/>
        <w:spacing w:after="160"/>
        <w:jc w:val="both"/>
        <w:rPr>
          <w:rFonts w:ascii="Verdana" w:eastAsia="Verdana" w:hAnsi="Verdana" w:cs="Verdana"/>
          <w:sz w:val="22"/>
          <w:szCs w:val="22"/>
          <w:lang w:val="en-GB"/>
        </w:rPr>
      </w:pPr>
      <w:r w:rsidRPr="004D70DB">
        <w:rPr>
          <w:rFonts w:ascii="Verdana" w:eastAsia="Verdana" w:hAnsi="Verdana" w:cs="Verdana"/>
          <w:sz w:val="22"/>
          <w:szCs w:val="22"/>
          <w:lang w:val="en-GB"/>
        </w:rPr>
        <w:t>Legal services are provided to the Surrey Police Group of circa £</w:t>
      </w:r>
      <w:r w:rsidR="00620D38">
        <w:rPr>
          <w:rFonts w:ascii="Verdana" w:eastAsia="Verdana" w:hAnsi="Verdana" w:cs="Verdana"/>
          <w:sz w:val="22"/>
          <w:szCs w:val="22"/>
          <w:lang w:val="en-GB"/>
        </w:rPr>
        <w:t>1</w:t>
      </w:r>
      <w:r w:rsidRPr="004D70DB">
        <w:rPr>
          <w:rFonts w:ascii="Verdana" w:eastAsia="Verdana" w:hAnsi="Verdana" w:cs="Verdana"/>
          <w:sz w:val="22"/>
          <w:szCs w:val="22"/>
          <w:lang w:val="en-GB"/>
        </w:rPr>
        <w:t>.</w:t>
      </w:r>
      <w:r w:rsidR="00620D38">
        <w:rPr>
          <w:rFonts w:ascii="Verdana" w:eastAsia="Verdana" w:hAnsi="Verdana" w:cs="Verdana"/>
          <w:sz w:val="22"/>
          <w:szCs w:val="22"/>
          <w:lang w:val="en-GB"/>
        </w:rPr>
        <w:t>3</w:t>
      </w:r>
      <w:r w:rsidRPr="004D70DB">
        <w:rPr>
          <w:rFonts w:ascii="Verdana" w:eastAsia="Verdana" w:hAnsi="Verdana" w:cs="Verdana"/>
          <w:sz w:val="22"/>
          <w:szCs w:val="22"/>
          <w:lang w:val="en-GB"/>
        </w:rPr>
        <w:t>m (201</w:t>
      </w:r>
      <w:r w:rsidR="00BC2BA6">
        <w:rPr>
          <w:rFonts w:ascii="Verdana" w:eastAsia="Verdana" w:hAnsi="Verdana" w:cs="Verdana"/>
          <w:sz w:val="22"/>
          <w:szCs w:val="22"/>
          <w:lang w:val="en-GB"/>
        </w:rPr>
        <w:t>8</w:t>
      </w:r>
      <w:r w:rsidRPr="004D70DB">
        <w:rPr>
          <w:rFonts w:ascii="Verdana" w:eastAsia="Verdana" w:hAnsi="Verdana" w:cs="Verdana"/>
          <w:sz w:val="22"/>
          <w:szCs w:val="22"/>
          <w:lang w:val="en-GB"/>
        </w:rPr>
        <w:t>/1</w:t>
      </w:r>
      <w:r w:rsidR="00BC2BA6">
        <w:rPr>
          <w:rFonts w:ascii="Verdana" w:eastAsia="Verdana" w:hAnsi="Verdana" w:cs="Verdana"/>
          <w:sz w:val="22"/>
          <w:szCs w:val="22"/>
          <w:lang w:val="en-GB"/>
        </w:rPr>
        <w:t>9</w:t>
      </w:r>
      <w:r w:rsidRPr="004D70DB">
        <w:rPr>
          <w:rFonts w:ascii="Verdana" w:eastAsia="Verdana" w:hAnsi="Verdana" w:cs="Verdana"/>
          <w:sz w:val="22"/>
          <w:szCs w:val="22"/>
          <w:lang w:val="en-GB"/>
        </w:rPr>
        <w:t>: £1.</w:t>
      </w:r>
      <w:r w:rsidR="00BC2BA6">
        <w:rPr>
          <w:rFonts w:ascii="Verdana" w:eastAsia="Verdana" w:hAnsi="Verdana" w:cs="Verdana"/>
          <w:sz w:val="22"/>
          <w:szCs w:val="22"/>
          <w:lang w:val="en-GB"/>
        </w:rPr>
        <w:t>0</w:t>
      </w:r>
      <w:r w:rsidRPr="004D70DB">
        <w:rPr>
          <w:rFonts w:ascii="Verdana" w:eastAsia="Verdana" w:hAnsi="Verdana" w:cs="Verdana"/>
          <w:sz w:val="22"/>
          <w:szCs w:val="22"/>
          <w:lang w:val="en-GB"/>
        </w:rPr>
        <w:t>m) by Weightmans LLP Solicitor in the normal course of business during the year, Ms Hannah Walsh (Solicitor to the Surrey Police from 1 April 2017) is employed by Weightmans LLP.</w:t>
      </w:r>
    </w:p>
    <w:p w:rsidR="000D25CC" w:rsidRPr="004D70DB" w:rsidRDefault="000D25CC" w:rsidP="002B193A">
      <w:pPr>
        <w:pStyle w:val="Normal0"/>
        <w:spacing w:after="160"/>
        <w:jc w:val="both"/>
        <w:rPr>
          <w:rFonts w:ascii="Verdana" w:eastAsia="Verdana" w:hAnsi="Verdana" w:cs="Verdana"/>
          <w:sz w:val="22"/>
          <w:szCs w:val="22"/>
          <w:lang w:val="en-GB"/>
        </w:rPr>
      </w:pPr>
      <w:r>
        <w:rPr>
          <w:rFonts w:ascii="Verdana" w:eastAsia="Verdana" w:hAnsi="Verdana" w:cs="Verdana"/>
          <w:sz w:val="22"/>
          <w:szCs w:val="22"/>
          <w:lang w:val="en-GB"/>
        </w:rPr>
        <w:t xml:space="preserve">The Joint Audit Committee member, Chris Jackson, </w:t>
      </w:r>
      <w:r w:rsidR="007F5EEB">
        <w:rPr>
          <w:rFonts w:ascii="Verdana" w:eastAsia="Verdana" w:hAnsi="Verdana" w:cs="Verdana"/>
          <w:sz w:val="22"/>
          <w:szCs w:val="22"/>
          <w:lang w:val="en-GB"/>
        </w:rPr>
        <w:t>has a related party interest to the value of £116k for the Surrey Domestic Abuse Service as a</w:t>
      </w:r>
      <w:r>
        <w:rPr>
          <w:rFonts w:ascii="Verdana" w:eastAsia="Verdana" w:hAnsi="Verdana" w:cs="Verdana"/>
          <w:sz w:val="22"/>
          <w:szCs w:val="22"/>
          <w:lang w:val="en-GB"/>
        </w:rPr>
        <w:t xml:space="preserve"> Trustee of Citizens Advice Bureau Elmbridge</w:t>
      </w:r>
      <w:r w:rsidR="00C65203">
        <w:rPr>
          <w:rFonts w:ascii="Verdana" w:eastAsia="Verdana" w:hAnsi="Verdana" w:cs="Verdana"/>
          <w:sz w:val="22"/>
          <w:szCs w:val="22"/>
          <w:lang w:val="en-GB"/>
        </w:rPr>
        <w:t xml:space="preserve"> (West)</w:t>
      </w:r>
      <w:r w:rsidR="007F5EEB">
        <w:rPr>
          <w:rFonts w:ascii="Verdana" w:eastAsia="Verdana" w:hAnsi="Verdana" w:cs="Verdana"/>
          <w:sz w:val="22"/>
          <w:szCs w:val="22"/>
          <w:lang w:val="en-GB"/>
        </w:rPr>
        <w:t>.  Surrey Police have provided grant funding to the Citizens Advice Elmbridge (West) for Domestic Abuse (£41k) and Coronavirus grant funding re mobile devices (£5k) both of which did not have any input or involvement in the decision making in relation to these grants from Chris Jackson.</w:t>
      </w:r>
    </w:p>
    <w:p w:rsidR="00CA6653" w:rsidRPr="00427F9B" w:rsidRDefault="00CA6653" w:rsidP="002B193A">
      <w:pPr>
        <w:pStyle w:val="Normal0"/>
        <w:spacing w:after="160"/>
        <w:jc w:val="both"/>
        <w:rPr>
          <w:rFonts w:ascii="Verdana" w:eastAsia="Verdana" w:hAnsi="Verdana" w:cs="Verdana"/>
          <w:b/>
          <w:sz w:val="22"/>
          <w:szCs w:val="22"/>
          <w:lang w:val="en-GB"/>
        </w:rPr>
      </w:pPr>
      <w:r w:rsidRPr="00427F9B">
        <w:rPr>
          <w:rFonts w:ascii="Verdana" w:eastAsia="Verdana" w:hAnsi="Verdana" w:cs="Verdana"/>
          <w:b/>
          <w:sz w:val="22"/>
          <w:szCs w:val="22"/>
          <w:lang w:val="en-GB"/>
        </w:rPr>
        <w:t>Central Government and Other Public Organisations</w:t>
      </w:r>
    </w:p>
    <w:p w:rsidR="00CA6653" w:rsidRPr="004D70DB" w:rsidRDefault="00CA6653" w:rsidP="00427F9B">
      <w:pPr>
        <w:pStyle w:val="Normal0"/>
        <w:spacing w:after="160"/>
        <w:jc w:val="both"/>
        <w:rPr>
          <w:rFonts w:ascii="Verdana" w:eastAsia="Verdana" w:hAnsi="Verdana" w:cs="Verdana"/>
          <w:sz w:val="22"/>
          <w:szCs w:val="22"/>
          <w:lang w:val="en-GB"/>
        </w:rPr>
      </w:pPr>
      <w:r w:rsidRPr="004D70DB">
        <w:rPr>
          <w:rFonts w:ascii="Verdana" w:eastAsia="Verdana" w:hAnsi="Verdana" w:cs="Verdana"/>
          <w:sz w:val="22"/>
          <w:szCs w:val="22"/>
          <w:lang w:val="en-GB"/>
        </w:rPr>
        <w:t>The Police and Crime Commissioner also has business relationships with the Government and a number of other public organisations such as some local authorities in Surrey.</w:t>
      </w:r>
    </w:p>
    <w:p w:rsidR="00CA6653" w:rsidRPr="004D70DB" w:rsidRDefault="00CA6653" w:rsidP="00427F9B">
      <w:pPr>
        <w:pStyle w:val="Normal0"/>
        <w:spacing w:after="160"/>
        <w:jc w:val="both"/>
        <w:rPr>
          <w:rFonts w:ascii="Verdana" w:eastAsia="Verdana" w:hAnsi="Verdana" w:cs="Verdana"/>
          <w:sz w:val="22"/>
          <w:szCs w:val="22"/>
          <w:lang w:val="en-GB"/>
        </w:rPr>
      </w:pPr>
      <w:r w:rsidRPr="004D70DB">
        <w:rPr>
          <w:rFonts w:ascii="Verdana" w:eastAsia="Verdana" w:hAnsi="Verdana" w:cs="Verdana"/>
          <w:sz w:val="22"/>
          <w:szCs w:val="22"/>
          <w:lang w:val="en-GB"/>
        </w:rPr>
        <w:t>These include the Home Office, the Department for Communities and Local Government, and Surrey County Council.</w:t>
      </w:r>
    </w:p>
    <w:p w:rsidR="00CA6653" w:rsidRPr="004D70DB" w:rsidRDefault="00CA6653" w:rsidP="00427F9B">
      <w:pPr>
        <w:pStyle w:val="Normal0"/>
        <w:spacing w:after="160"/>
        <w:jc w:val="both"/>
        <w:rPr>
          <w:rFonts w:ascii="Verdana" w:eastAsia="Verdana" w:hAnsi="Verdana" w:cs="Verdana"/>
          <w:sz w:val="22"/>
          <w:szCs w:val="22"/>
          <w:lang w:val="en-GB"/>
        </w:rPr>
      </w:pPr>
      <w:r w:rsidRPr="004D70DB">
        <w:rPr>
          <w:rFonts w:ascii="Verdana" w:eastAsia="Verdana" w:hAnsi="Verdana" w:cs="Verdana"/>
          <w:sz w:val="22"/>
          <w:szCs w:val="22"/>
          <w:lang w:val="en-GB"/>
        </w:rPr>
        <w:t>Central Government has effective control over the general operations of the Police and Crime Commissioner for Surrey as it is responsible for providing the statutory framework within which the Police and Crime Commissioner operates, provides the majority of its funding in the form of grants and prescribes the terms of many of the transactions that the Police and Crime Commissioner has with other parties (e.g. Precept regimes).</w:t>
      </w:r>
    </w:p>
    <w:p w:rsidR="00CA6653" w:rsidRDefault="00CA6653" w:rsidP="00427F9B">
      <w:pPr>
        <w:pStyle w:val="Normal0"/>
        <w:spacing w:after="160"/>
        <w:jc w:val="both"/>
        <w:rPr>
          <w:rFonts w:ascii="Verdana" w:eastAsia="Verdana" w:hAnsi="Verdana" w:cs="Verdana"/>
          <w:sz w:val="22"/>
          <w:szCs w:val="22"/>
          <w:lang w:val="en-GB"/>
        </w:rPr>
      </w:pPr>
      <w:r w:rsidRPr="004D70DB">
        <w:rPr>
          <w:rFonts w:ascii="Verdana" w:eastAsia="Verdana" w:hAnsi="Verdana" w:cs="Verdana"/>
          <w:sz w:val="22"/>
          <w:szCs w:val="22"/>
          <w:lang w:val="en-GB"/>
        </w:rPr>
        <w:t>Details of grants received from government departments are set out in the subjective analysis Grant Income Note 9.  Details of Joint working arrangements are included in the Collaboration Arrangements Note 2</w:t>
      </w:r>
      <w:r w:rsidR="008B097F">
        <w:rPr>
          <w:rFonts w:ascii="Verdana" w:eastAsia="Verdana" w:hAnsi="Verdana" w:cs="Verdana"/>
          <w:sz w:val="22"/>
          <w:szCs w:val="22"/>
          <w:lang w:val="en-GB"/>
        </w:rPr>
        <w:t>1</w:t>
      </w:r>
      <w:r w:rsidRPr="004D70DB">
        <w:rPr>
          <w:rFonts w:ascii="Verdana" w:eastAsia="Verdana" w:hAnsi="Verdana" w:cs="Verdana"/>
          <w:sz w:val="22"/>
          <w:szCs w:val="22"/>
          <w:lang w:val="en-GB"/>
        </w:rPr>
        <w:t>.</w:t>
      </w:r>
    </w:p>
    <w:p w:rsidR="00CA6653" w:rsidRPr="00FC06D6" w:rsidRDefault="00CA6653" w:rsidP="00427F9B">
      <w:pPr>
        <w:pStyle w:val="Normal0"/>
        <w:spacing w:after="160"/>
        <w:jc w:val="both"/>
        <w:rPr>
          <w:rFonts w:ascii="Verdana" w:hAnsi="Verdana"/>
          <w:sz w:val="4"/>
          <w:szCs w:val="4"/>
          <w:lang w:val="pt-BR"/>
        </w:rPr>
      </w:pPr>
    </w:p>
    <w:p w:rsidR="00CA6653" w:rsidRPr="00427F9B" w:rsidRDefault="00CA6653" w:rsidP="00427F9B">
      <w:pPr>
        <w:pStyle w:val="Heading1"/>
        <w:jc w:val="both"/>
      </w:pPr>
      <w:bookmarkStart w:id="41" w:name="_Toc55900431"/>
      <w:r w:rsidRPr="00427F9B">
        <w:t xml:space="preserve">Note </w:t>
      </w:r>
      <w:r w:rsidR="00960EC4" w:rsidRPr="00427F9B">
        <w:t>29</w:t>
      </w:r>
      <w:r w:rsidRPr="00427F9B">
        <w:t xml:space="preserve"> - Contingent Liabilities</w:t>
      </w:r>
      <w:bookmarkEnd w:id="41"/>
      <w:r w:rsidRPr="00427F9B">
        <w:t xml:space="preserve"> </w:t>
      </w:r>
    </w:p>
    <w:p w:rsidR="00CA6653" w:rsidRPr="00427F9B" w:rsidRDefault="00CA6653" w:rsidP="00427F9B">
      <w:pPr>
        <w:pStyle w:val="Normal0"/>
        <w:spacing w:after="160"/>
        <w:jc w:val="both"/>
        <w:rPr>
          <w:rFonts w:ascii="Verdana" w:eastAsia="Verdana" w:hAnsi="Verdana" w:cs="Verdana"/>
          <w:sz w:val="22"/>
          <w:szCs w:val="22"/>
          <w:lang w:val="en-GB"/>
        </w:rPr>
      </w:pPr>
      <w:r w:rsidRPr="00427F9B">
        <w:rPr>
          <w:rFonts w:ascii="Verdana" w:eastAsia="Verdana" w:hAnsi="Verdana" w:cs="Verdana"/>
          <w:sz w:val="22"/>
          <w:szCs w:val="22"/>
          <w:lang w:val="en-GB"/>
        </w:rPr>
        <w:t>Although the accounts include (through the establishment of provisions and creditors) known liabilities faced by the Group at 31 March 20</w:t>
      </w:r>
      <w:r w:rsidR="00427F9B" w:rsidRPr="00427F9B">
        <w:rPr>
          <w:rFonts w:ascii="Verdana" w:eastAsia="Verdana" w:hAnsi="Verdana" w:cs="Verdana"/>
          <w:sz w:val="22"/>
          <w:szCs w:val="22"/>
          <w:lang w:val="en-GB"/>
        </w:rPr>
        <w:t>20</w:t>
      </w:r>
      <w:r w:rsidRPr="00427F9B">
        <w:rPr>
          <w:rFonts w:ascii="Verdana" w:eastAsia="Verdana" w:hAnsi="Verdana" w:cs="Verdana"/>
          <w:sz w:val="22"/>
          <w:szCs w:val="22"/>
          <w:lang w:val="en-GB"/>
        </w:rPr>
        <w:t>, they exclude potential costs where the liability is not yet established and/or the amounts are uncertain.</w:t>
      </w:r>
    </w:p>
    <w:p w:rsidR="00CA6653" w:rsidRPr="00427F9B" w:rsidRDefault="00CA6653" w:rsidP="00427F9B">
      <w:pPr>
        <w:pStyle w:val="Normal0"/>
        <w:spacing w:after="160"/>
        <w:jc w:val="both"/>
        <w:rPr>
          <w:rFonts w:ascii="Verdana" w:eastAsia="Verdana" w:hAnsi="Verdana" w:cs="Verdana"/>
          <w:sz w:val="22"/>
          <w:szCs w:val="22"/>
          <w:lang w:val="en-GB"/>
        </w:rPr>
      </w:pPr>
      <w:r w:rsidRPr="00427F9B">
        <w:rPr>
          <w:rFonts w:ascii="Verdana" w:eastAsia="Verdana" w:hAnsi="Verdana" w:cs="Verdana"/>
          <w:sz w:val="22"/>
          <w:szCs w:val="22"/>
          <w:lang w:val="en-GB"/>
        </w:rPr>
        <w:t>At 31 March 20</w:t>
      </w:r>
      <w:r w:rsidR="00427F9B" w:rsidRPr="00427F9B">
        <w:rPr>
          <w:rFonts w:ascii="Verdana" w:eastAsia="Verdana" w:hAnsi="Verdana" w:cs="Verdana"/>
          <w:sz w:val="22"/>
          <w:szCs w:val="22"/>
          <w:lang w:val="en-GB"/>
        </w:rPr>
        <w:t>20</w:t>
      </w:r>
      <w:r w:rsidRPr="00427F9B">
        <w:rPr>
          <w:rFonts w:ascii="Verdana" w:eastAsia="Verdana" w:hAnsi="Verdana" w:cs="Verdana"/>
          <w:sz w:val="22"/>
          <w:szCs w:val="22"/>
          <w:lang w:val="en-GB"/>
        </w:rPr>
        <w:t>, the Police and Crime Commissioner and Chief Constable of Surrey Group had the following contingent liability issues:</w:t>
      </w:r>
    </w:p>
    <w:p w:rsidR="00CA6653" w:rsidRPr="00427F9B" w:rsidRDefault="00CA6653" w:rsidP="00427F9B">
      <w:pPr>
        <w:pStyle w:val="Normal0"/>
        <w:spacing w:after="160"/>
        <w:jc w:val="both"/>
        <w:rPr>
          <w:rFonts w:ascii="Verdana" w:eastAsia="Verdana" w:hAnsi="Verdana" w:cs="Verdana"/>
          <w:sz w:val="22"/>
          <w:szCs w:val="22"/>
          <w:lang w:val="en-GB"/>
        </w:rPr>
      </w:pPr>
      <w:r w:rsidRPr="00427F9B">
        <w:rPr>
          <w:rFonts w:ascii="Verdana" w:eastAsia="Verdana" w:hAnsi="Verdana" w:cs="Verdana"/>
          <w:sz w:val="22"/>
          <w:szCs w:val="22"/>
          <w:lang w:val="en-GB"/>
        </w:rPr>
        <w:t>•</w:t>
      </w:r>
      <w:r w:rsidRPr="00427F9B">
        <w:rPr>
          <w:rFonts w:ascii="Verdana" w:eastAsia="Verdana" w:hAnsi="Verdana" w:cs="Verdana"/>
          <w:sz w:val="22"/>
          <w:szCs w:val="22"/>
          <w:lang w:val="en-GB"/>
        </w:rPr>
        <w:tab/>
      </w:r>
      <w:r w:rsidRPr="00427F9B">
        <w:rPr>
          <w:rFonts w:ascii="Verdana" w:eastAsia="Verdana" w:hAnsi="Verdana" w:cs="Verdana"/>
          <w:b/>
          <w:sz w:val="22"/>
          <w:szCs w:val="22"/>
          <w:lang w:val="en-GB"/>
        </w:rPr>
        <w:t>Police Regulations On-call Payments</w:t>
      </w:r>
    </w:p>
    <w:p w:rsidR="00CA6653" w:rsidRPr="00427F9B" w:rsidRDefault="00CA6653" w:rsidP="00427F9B">
      <w:pPr>
        <w:pStyle w:val="Normal0"/>
        <w:spacing w:after="160"/>
        <w:jc w:val="both"/>
        <w:rPr>
          <w:rFonts w:ascii="Verdana" w:eastAsia="Verdana" w:hAnsi="Verdana" w:cs="Verdana"/>
          <w:sz w:val="22"/>
          <w:szCs w:val="22"/>
          <w:lang w:val="en-GB"/>
        </w:rPr>
      </w:pPr>
      <w:r w:rsidRPr="00427F9B">
        <w:rPr>
          <w:rFonts w:ascii="Verdana" w:eastAsia="Verdana" w:hAnsi="Verdana" w:cs="Verdana"/>
          <w:sz w:val="22"/>
          <w:szCs w:val="22"/>
          <w:lang w:val="en-GB"/>
        </w:rPr>
        <w:t>The Chief Constable for Surrey Police, along with other Chief Constables has a contingent liability following successful claims in the court case Allard v Devon and Cornwall Police for unpaid overtime following recalls to duty.</w:t>
      </w:r>
    </w:p>
    <w:p w:rsidR="00CA6653" w:rsidRPr="00427F9B" w:rsidRDefault="00CA6653" w:rsidP="00427F9B">
      <w:pPr>
        <w:pStyle w:val="Normal0"/>
        <w:spacing w:after="160"/>
        <w:jc w:val="both"/>
        <w:rPr>
          <w:rFonts w:ascii="Verdana" w:eastAsia="Verdana" w:hAnsi="Verdana" w:cs="Verdana"/>
          <w:sz w:val="22"/>
          <w:szCs w:val="22"/>
          <w:lang w:val="en-GB"/>
        </w:rPr>
      </w:pPr>
      <w:r w:rsidRPr="00427F9B">
        <w:rPr>
          <w:rFonts w:ascii="Verdana" w:eastAsia="Verdana" w:hAnsi="Verdana" w:cs="Verdana"/>
          <w:sz w:val="22"/>
          <w:szCs w:val="22"/>
          <w:lang w:val="en-GB"/>
        </w:rPr>
        <w:t>This case arises from under-cover officers in Devon and Cornwall Police claiming under Police Regulations that they were entitled to on-call payments arising from having to take telephone calls throughout the course of their duties and outside of their normal working hours. This case was upheld against Devon and Cornwall at the High Court and the judge has selected a number of test cases to consider all of the issues arising in these claims against forces across the country.</w:t>
      </w:r>
    </w:p>
    <w:p w:rsidR="00CA6653" w:rsidRPr="00427F9B" w:rsidRDefault="00CA6653" w:rsidP="00427F9B">
      <w:pPr>
        <w:pStyle w:val="Normal0"/>
        <w:spacing w:after="160"/>
        <w:jc w:val="both"/>
        <w:rPr>
          <w:rFonts w:ascii="Verdana" w:eastAsia="Verdana" w:hAnsi="Verdana" w:cs="Verdana"/>
          <w:sz w:val="22"/>
          <w:szCs w:val="22"/>
          <w:lang w:val="en-GB"/>
        </w:rPr>
      </w:pPr>
      <w:r w:rsidRPr="00427F9B">
        <w:rPr>
          <w:rFonts w:ascii="Verdana" w:eastAsia="Verdana" w:hAnsi="Verdana" w:cs="Verdana"/>
          <w:sz w:val="22"/>
          <w:szCs w:val="22"/>
          <w:lang w:val="en-GB"/>
        </w:rPr>
        <w:t>Whilst the outcome of the legal case is not in doubt, the timings and amount of any payments due to the claimants are yet to be ascertained. Work remains ongoing by all forces to identify all claims and the quantum of each payment that is due. For these reasons no provision has been made in the 201</w:t>
      </w:r>
      <w:r w:rsidR="00427F9B" w:rsidRPr="00427F9B">
        <w:rPr>
          <w:rFonts w:ascii="Verdana" w:eastAsia="Verdana" w:hAnsi="Verdana" w:cs="Verdana"/>
          <w:sz w:val="22"/>
          <w:szCs w:val="22"/>
          <w:lang w:val="en-GB"/>
        </w:rPr>
        <w:t>9</w:t>
      </w:r>
      <w:r w:rsidRPr="00427F9B">
        <w:rPr>
          <w:rFonts w:ascii="Verdana" w:eastAsia="Verdana" w:hAnsi="Verdana" w:cs="Verdana"/>
          <w:sz w:val="22"/>
          <w:szCs w:val="22"/>
          <w:lang w:val="en-GB"/>
        </w:rPr>
        <w:t>/</w:t>
      </w:r>
      <w:r w:rsidR="00427F9B" w:rsidRPr="00427F9B">
        <w:rPr>
          <w:rFonts w:ascii="Verdana" w:eastAsia="Verdana" w:hAnsi="Verdana" w:cs="Verdana"/>
          <w:sz w:val="22"/>
          <w:szCs w:val="22"/>
          <w:lang w:val="en-GB"/>
        </w:rPr>
        <w:t>20</w:t>
      </w:r>
      <w:r w:rsidRPr="00427F9B">
        <w:rPr>
          <w:rFonts w:ascii="Verdana" w:eastAsia="Verdana" w:hAnsi="Verdana" w:cs="Verdana"/>
          <w:sz w:val="22"/>
          <w:szCs w:val="22"/>
          <w:lang w:val="en-GB"/>
        </w:rPr>
        <w:t xml:space="preserve"> Statement of Accounts. </w:t>
      </w:r>
    </w:p>
    <w:p w:rsidR="00CA6653" w:rsidRPr="00427F9B" w:rsidRDefault="00CA6653">
      <w:pPr>
        <w:pStyle w:val="Normal0"/>
        <w:spacing w:after="160"/>
        <w:rPr>
          <w:rFonts w:ascii="Verdana" w:eastAsia="Verdana" w:hAnsi="Verdana" w:cs="Verdana"/>
          <w:sz w:val="22"/>
          <w:szCs w:val="22"/>
          <w:lang w:val="en-GB"/>
        </w:rPr>
      </w:pPr>
      <w:r w:rsidRPr="00427F9B">
        <w:rPr>
          <w:rFonts w:ascii="Verdana" w:eastAsia="Verdana" w:hAnsi="Verdana" w:cs="Verdana"/>
          <w:sz w:val="22"/>
          <w:szCs w:val="22"/>
          <w:lang w:val="en-GB"/>
        </w:rPr>
        <w:t>•</w:t>
      </w:r>
      <w:r w:rsidRPr="00427F9B">
        <w:rPr>
          <w:rFonts w:ascii="Verdana" w:eastAsia="Verdana" w:hAnsi="Verdana" w:cs="Verdana"/>
          <w:sz w:val="22"/>
          <w:szCs w:val="22"/>
          <w:lang w:val="en-GB"/>
        </w:rPr>
        <w:tab/>
      </w:r>
      <w:r w:rsidRPr="00427F9B">
        <w:rPr>
          <w:rFonts w:ascii="Verdana" w:eastAsia="Verdana" w:hAnsi="Verdana" w:cs="Verdana"/>
          <w:b/>
          <w:sz w:val="22"/>
          <w:szCs w:val="22"/>
          <w:lang w:val="en-GB"/>
        </w:rPr>
        <w:t>Forensic Service Uncertainty</w:t>
      </w:r>
    </w:p>
    <w:p w:rsidR="00CA6653" w:rsidRDefault="00CA6653" w:rsidP="00427F9B">
      <w:pPr>
        <w:pStyle w:val="Normal0"/>
        <w:spacing w:after="160"/>
        <w:jc w:val="both"/>
        <w:rPr>
          <w:rFonts w:ascii="Verdana" w:eastAsia="Verdana" w:hAnsi="Verdana" w:cs="Verdana"/>
          <w:sz w:val="22"/>
          <w:szCs w:val="22"/>
          <w:lang w:val="en-GB"/>
        </w:rPr>
      </w:pPr>
      <w:r w:rsidRPr="00427F9B">
        <w:rPr>
          <w:rFonts w:ascii="Verdana" w:eastAsia="Verdana" w:hAnsi="Verdana" w:cs="Verdana"/>
          <w:sz w:val="22"/>
          <w:szCs w:val="22"/>
          <w:lang w:val="en-GB"/>
        </w:rPr>
        <w:t>The validity of evidence provided by a forensic testing company to the police service is currently under investigation and is an issue impacting on policing across England &amp; Wales.  Re-testing is still underway and it is reasonable to anticipate that some people may have been convicted of offences based on flawed data, and that conviction will have had a significant impact on their personal circumstances.  As a result some kind of litigation may be forthcoming.  At this point in time it is not possible to assess the number of likely claims or the financial exposure arising from them.</w:t>
      </w:r>
    </w:p>
    <w:p w:rsidR="00CA6653" w:rsidRPr="00FC06D6" w:rsidRDefault="00CA6653" w:rsidP="00CA6653">
      <w:pPr>
        <w:pStyle w:val="Normal0"/>
        <w:spacing w:after="160"/>
        <w:rPr>
          <w:rFonts w:ascii="Verdana" w:hAnsi="Verdana"/>
          <w:sz w:val="4"/>
          <w:szCs w:val="4"/>
          <w:lang w:val="pt-BR"/>
        </w:rPr>
      </w:pPr>
    </w:p>
    <w:p w:rsidR="00CA6653" w:rsidRDefault="00CA6653" w:rsidP="00A31A9E">
      <w:pPr>
        <w:pStyle w:val="Heading1"/>
      </w:pPr>
      <w:bookmarkStart w:id="42" w:name="_Toc55900432"/>
      <w:r>
        <w:t xml:space="preserve">Note </w:t>
      </w:r>
      <w:r w:rsidR="004D70DB">
        <w:t>3</w:t>
      </w:r>
      <w:r w:rsidR="00960EC4">
        <w:t>0</w:t>
      </w:r>
      <w:r>
        <w:t xml:space="preserve"> - Contingent Assets</w:t>
      </w:r>
      <w:bookmarkEnd w:id="42"/>
      <w:r>
        <w:t xml:space="preserve"> </w:t>
      </w:r>
    </w:p>
    <w:p w:rsidR="00CA6653" w:rsidRDefault="00CA6653">
      <w:pPr>
        <w:pStyle w:val="Normal0"/>
        <w:spacing w:after="160"/>
        <w:rPr>
          <w:rFonts w:ascii="Verdana" w:eastAsia="Verdana" w:hAnsi="Verdana" w:cs="Verdana"/>
          <w:sz w:val="22"/>
          <w:szCs w:val="22"/>
          <w:lang w:val="en-GB"/>
        </w:rPr>
      </w:pPr>
      <w:r>
        <w:rPr>
          <w:rFonts w:ascii="Verdana" w:eastAsia="Verdana" w:hAnsi="Verdana" w:cs="Verdana"/>
          <w:sz w:val="22"/>
          <w:szCs w:val="22"/>
          <w:lang w:val="en-GB"/>
        </w:rPr>
        <w:t>The Group has no contingent assets to disclose at 31 March 20</w:t>
      </w:r>
      <w:r w:rsidR="000258B1">
        <w:rPr>
          <w:rFonts w:ascii="Verdana" w:eastAsia="Verdana" w:hAnsi="Verdana" w:cs="Verdana"/>
          <w:sz w:val="22"/>
          <w:szCs w:val="22"/>
          <w:lang w:val="en-GB"/>
        </w:rPr>
        <w:t>20</w:t>
      </w:r>
      <w:r>
        <w:rPr>
          <w:rFonts w:ascii="Verdana" w:eastAsia="Verdana" w:hAnsi="Verdana" w:cs="Verdana"/>
          <w:sz w:val="22"/>
          <w:szCs w:val="22"/>
          <w:lang w:val="en-GB"/>
        </w:rPr>
        <w:t>.</w:t>
      </w:r>
    </w:p>
    <w:p w:rsidR="004D70DB" w:rsidRDefault="004D70DB">
      <w:pPr>
        <w:pStyle w:val="Normal0"/>
        <w:spacing w:after="160"/>
        <w:rPr>
          <w:rFonts w:ascii="Verdana" w:eastAsia="Verdana" w:hAnsi="Verdana" w:cs="Verdana"/>
          <w:sz w:val="22"/>
          <w:szCs w:val="22"/>
          <w:lang w:val="en-GB"/>
        </w:rPr>
      </w:pPr>
    </w:p>
    <w:p w:rsidR="00CA6653" w:rsidRDefault="00CA6653" w:rsidP="00A31A9E">
      <w:pPr>
        <w:pStyle w:val="Heading1"/>
      </w:pPr>
      <w:bookmarkStart w:id="43" w:name="_Toc55900433"/>
      <w:r w:rsidRPr="00917559">
        <w:t xml:space="preserve">Note </w:t>
      </w:r>
      <w:r w:rsidR="00502D6C" w:rsidRPr="00917559">
        <w:t>3</w:t>
      </w:r>
      <w:r w:rsidR="00960EC4">
        <w:t>1</w:t>
      </w:r>
      <w:r w:rsidRPr="00917559">
        <w:t xml:space="preserve"> - Financial Instruments</w:t>
      </w:r>
      <w:bookmarkEnd w:id="43"/>
      <w:r w:rsidRPr="00917559">
        <w:t xml:space="preserve"> </w:t>
      </w:r>
    </w:p>
    <w:p w:rsidR="00DC5E2A" w:rsidRDefault="00DC5E2A" w:rsidP="00DC5E2A">
      <w:pPr>
        <w:rPr>
          <w:lang w:val="pt-BR"/>
        </w:rPr>
      </w:pPr>
    </w:p>
    <w:tbl>
      <w:tblPr>
        <w:tblW w:w="9094" w:type="dxa"/>
        <w:jc w:val="center"/>
        <w:tblLook w:val="04A0" w:firstRow="1" w:lastRow="0" w:firstColumn="1" w:lastColumn="0" w:noHBand="0" w:noVBand="1"/>
      </w:tblPr>
      <w:tblGrid>
        <w:gridCol w:w="3513"/>
        <w:gridCol w:w="1195"/>
        <w:gridCol w:w="1491"/>
        <w:gridCol w:w="1489"/>
        <w:gridCol w:w="1412"/>
      </w:tblGrid>
      <w:tr w:rsidR="00DC5E2A" w:rsidRPr="004A4E51" w:rsidTr="00A200D5">
        <w:trPr>
          <w:trHeight w:val="154"/>
          <w:jc w:val="center"/>
        </w:trPr>
        <w:tc>
          <w:tcPr>
            <w:tcW w:w="3513" w:type="dxa"/>
            <w:tcBorders>
              <w:top w:val="nil"/>
              <w:left w:val="nil"/>
              <w:bottom w:val="single" w:sz="4" w:space="0" w:color="auto"/>
              <w:right w:val="nil"/>
            </w:tcBorders>
            <w:shd w:val="clear" w:color="auto" w:fill="auto"/>
            <w:noWrap/>
            <w:vAlign w:val="bottom"/>
            <w:hideMark/>
          </w:tcPr>
          <w:p w:rsidR="00DC5E2A" w:rsidRPr="004A4E51" w:rsidRDefault="00DC5E2A" w:rsidP="00EE6015">
            <w:pPr>
              <w:rPr>
                <w:rFonts w:ascii="Times New Roman" w:eastAsia="Times New Roman" w:hAnsi="Times New Roman" w:cs="Times New Roman"/>
                <w:lang w:val="en-GB" w:eastAsia="en-GB"/>
              </w:rPr>
            </w:pPr>
          </w:p>
        </w:tc>
        <w:tc>
          <w:tcPr>
            <w:tcW w:w="5581" w:type="dxa"/>
            <w:gridSpan w:val="4"/>
            <w:tcBorders>
              <w:top w:val="nil"/>
              <w:left w:val="nil"/>
              <w:bottom w:val="single" w:sz="8" w:space="0" w:color="auto"/>
              <w:right w:val="nil"/>
            </w:tcBorders>
            <w:shd w:val="clear" w:color="auto" w:fill="auto"/>
            <w:noWrap/>
            <w:vAlign w:val="bottom"/>
            <w:hideMark/>
          </w:tcPr>
          <w:p w:rsidR="00DC5E2A" w:rsidRPr="004A4E51" w:rsidRDefault="00C86C86" w:rsidP="00EE6015">
            <w:pPr>
              <w:jc w:val="center"/>
              <w:rPr>
                <w:rFonts w:eastAsia="Times New Roman" w:cs="Calibri"/>
                <w:b/>
                <w:bCs/>
                <w:color w:val="000000"/>
                <w:sz w:val="16"/>
                <w:szCs w:val="16"/>
                <w:lang w:val="en-GB" w:eastAsia="en-GB"/>
              </w:rPr>
            </w:pPr>
            <w:r>
              <w:rPr>
                <w:rFonts w:eastAsia="Times New Roman" w:cs="Calibri"/>
                <w:b/>
                <w:bCs/>
                <w:color w:val="000000"/>
                <w:sz w:val="16"/>
                <w:szCs w:val="16"/>
                <w:lang w:val="en-GB" w:eastAsia="en-GB"/>
              </w:rPr>
              <w:t>Non-</w:t>
            </w:r>
            <w:r w:rsidR="00DC5E2A" w:rsidRPr="004A4E51">
              <w:rPr>
                <w:rFonts w:eastAsia="Times New Roman" w:cs="Calibri"/>
                <w:b/>
                <w:bCs/>
                <w:color w:val="000000"/>
                <w:sz w:val="16"/>
                <w:szCs w:val="16"/>
                <w:lang w:val="en-GB" w:eastAsia="en-GB"/>
              </w:rPr>
              <w:t>Current Financial Assets</w:t>
            </w:r>
          </w:p>
        </w:tc>
      </w:tr>
      <w:tr w:rsidR="00DC5E2A" w:rsidRPr="004A4E51" w:rsidTr="00A200D5">
        <w:trPr>
          <w:trHeight w:val="146"/>
          <w:jc w:val="center"/>
        </w:trPr>
        <w:tc>
          <w:tcPr>
            <w:tcW w:w="3513" w:type="dxa"/>
            <w:tcBorders>
              <w:top w:val="single" w:sz="4" w:space="0" w:color="auto"/>
              <w:left w:val="single" w:sz="4" w:space="0" w:color="auto"/>
              <w:bottom w:val="nil"/>
              <w:right w:val="single" w:sz="4" w:space="0" w:color="auto"/>
            </w:tcBorders>
            <w:shd w:val="clear" w:color="auto" w:fill="auto"/>
            <w:noWrap/>
            <w:vAlign w:val="bottom"/>
            <w:hideMark/>
          </w:tcPr>
          <w:p w:rsidR="00DC5E2A" w:rsidRPr="004A4E51" w:rsidRDefault="00DC5E2A" w:rsidP="00EE6015">
            <w:pPr>
              <w:jc w:val="center"/>
              <w:rPr>
                <w:rFonts w:eastAsia="Times New Roman" w:cs="Calibri"/>
                <w:b/>
                <w:bCs/>
                <w:color w:val="000000"/>
                <w:sz w:val="16"/>
                <w:szCs w:val="16"/>
                <w:lang w:val="en-GB" w:eastAsia="en-GB"/>
              </w:rPr>
            </w:pPr>
          </w:p>
        </w:tc>
        <w:tc>
          <w:tcPr>
            <w:tcW w:w="2686" w:type="dxa"/>
            <w:gridSpan w:val="2"/>
            <w:tcBorders>
              <w:top w:val="single" w:sz="8" w:space="0" w:color="auto"/>
              <w:left w:val="single" w:sz="4" w:space="0" w:color="auto"/>
              <w:bottom w:val="nil"/>
              <w:right w:val="single" w:sz="8" w:space="0" w:color="000000"/>
            </w:tcBorders>
            <w:shd w:val="clear" w:color="auto" w:fill="auto"/>
            <w:noWrap/>
            <w:vAlign w:val="bottom"/>
            <w:hideMark/>
          </w:tcPr>
          <w:p w:rsidR="00DC5E2A" w:rsidRPr="004A4E51" w:rsidRDefault="00DC5E2A" w:rsidP="00EE6015">
            <w:pPr>
              <w:jc w:val="center"/>
              <w:rPr>
                <w:rFonts w:eastAsia="Times New Roman" w:cs="Calibri"/>
                <w:b/>
                <w:bCs/>
                <w:color w:val="000000"/>
                <w:sz w:val="16"/>
                <w:szCs w:val="16"/>
                <w:lang w:val="en-GB" w:eastAsia="en-GB"/>
              </w:rPr>
            </w:pPr>
            <w:r w:rsidRPr="004A4E51">
              <w:rPr>
                <w:rFonts w:eastAsia="Times New Roman" w:cs="Calibri"/>
                <w:b/>
                <w:bCs/>
                <w:color w:val="000000"/>
                <w:sz w:val="16"/>
                <w:szCs w:val="16"/>
                <w:lang w:val="en-GB" w:eastAsia="en-GB"/>
              </w:rPr>
              <w:t>Debtor</w:t>
            </w:r>
          </w:p>
        </w:tc>
        <w:tc>
          <w:tcPr>
            <w:tcW w:w="2895" w:type="dxa"/>
            <w:gridSpan w:val="2"/>
            <w:tcBorders>
              <w:top w:val="single" w:sz="8" w:space="0" w:color="auto"/>
              <w:left w:val="nil"/>
              <w:bottom w:val="nil"/>
              <w:right w:val="single" w:sz="8" w:space="0" w:color="000000"/>
            </w:tcBorders>
            <w:shd w:val="clear" w:color="auto" w:fill="auto"/>
            <w:noWrap/>
            <w:vAlign w:val="bottom"/>
            <w:hideMark/>
          </w:tcPr>
          <w:p w:rsidR="00DC5E2A" w:rsidRPr="004A4E51" w:rsidRDefault="00DC5E2A" w:rsidP="00EE6015">
            <w:pPr>
              <w:jc w:val="center"/>
              <w:rPr>
                <w:rFonts w:eastAsia="Times New Roman" w:cs="Calibri"/>
                <w:b/>
                <w:bCs/>
                <w:color w:val="000000"/>
                <w:sz w:val="16"/>
                <w:szCs w:val="16"/>
                <w:lang w:val="en-GB" w:eastAsia="en-GB"/>
              </w:rPr>
            </w:pPr>
            <w:r w:rsidRPr="004A4E51">
              <w:rPr>
                <w:rFonts w:eastAsia="Times New Roman" w:cs="Calibri"/>
                <w:b/>
                <w:bCs/>
                <w:color w:val="000000"/>
                <w:sz w:val="16"/>
                <w:szCs w:val="16"/>
                <w:lang w:val="en-GB" w:eastAsia="en-GB"/>
              </w:rPr>
              <w:t>Total</w:t>
            </w:r>
          </w:p>
        </w:tc>
      </w:tr>
      <w:tr w:rsidR="00DC5E2A" w:rsidRPr="004A4E51" w:rsidTr="00A200D5">
        <w:trPr>
          <w:trHeight w:val="146"/>
          <w:jc w:val="center"/>
        </w:trPr>
        <w:tc>
          <w:tcPr>
            <w:tcW w:w="3513" w:type="dxa"/>
            <w:tcBorders>
              <w:top w:val="nil"/>
              <w:left w:val="single" w:sz="4" w:space="0" w:color="auto"/>
              <w:bottom w:val="nil"/>
              <w:right w:val="single" w:sz="4" w:space="0" w:color="auto"/>
            </w:tcBorders>
            <w:shd w:val="clear" w:color="auto" w:fill="auto"/>
            <w:noWrap/>
            <w:vAlign w:val="bottom"/>
            <w:hideMark/>
          </w:tcPr>
          <w:p w:rsidR="00DC5E2A" w:rsidRPr="004A4E51" w:rsidRDefault="00DC5E2A" w:rsidP="00EE6015">
            <w:pPr>
              <w:jc w:val="center"/>
              <w:rPr>
                <w:rFonts w:eastAsia="Times New Roman" w:cs="Calibri"/>
                <w:b/>
                <w:bCs/>
                <w:color w:val="000000"/>
                <w:sz w:val="16"/>
                <w:szCs w:val="16"/>
                <w:lang w:val="en-GB" w:eastAsia="en-GB"/>
              </w:rPr>
            </w:pPr>
          </w:p>
        </w:tc>
        <w:tc>
          <w:tcPr>
            <w:tcW w:w="1195" w:type="dxa"/>
            <w:tcBorders>
              <w:top w:val="nil"/>
              <w:left w:val="single" w:sz="4" w:space="0" w:color="auto"/>
              <w:bottom w:val="nil"/>
              <w:right w:val="nil"/>
            </w:tcBorders>
            <w:shd w:val="clear" w:color="auto" w:fill="auto"/>
            <w:noWrap/>
            <w:vAlign w:val="bottom"/>
            <w:hideMark/>
          </w:tcPr>
          <w:p w:rsidR="00DC5E2A" w:rsidRPr="004A4E51" w:rsidRDefault="00DC5E2A" w:rsidP="00EE6015">
            <w:pPr>
              <w:jc w:val="right"/>
              <w:rPr>
                <w:rFonts w:eastAsia="Times New Roman" w:cs="Calibri"/>
                <w:b/>
                <w:bCs/>
                <w:color w:val="000000"/>
                <w:sz w:val="16"/>
                <w:szCs w:val="16"/>
                <w:lang w:val="en-GB" w:eastAsia="en-GB"/>
              </w:rPr>
            </w:pPr>
            <w:r w:rsidRPr="004A4E51">
              <w:rPr>
                <w:rFonts w:eastAsia="Times New Roman" w:cs="Calibri"/>
                <w:b/>
                <w:bCs/>
                <w:color w:val="000000"/>
                <w:sz w:val="16"/>
                <w:szCs w:val="16"/>
                <w:lang w:val="en-GB" w:eastAsia="en-GB"/>
              </w:rPr>
              <w:t>31-Mar-19</w:t>
            </w:r>
          </w:p>
        </w:tc>
        <w:tc>
          <w:tcPr>
            <w:tcW w:w="1491" w:type="dxa"/>
            <w:tcBorders>
              <w:top w:val="nil"/>
              <w:left w:val="nil"/>
              <w:bottom w:val="nil"/>
              <w:right w:val="single" w:sz="8" w:space="0" w:color="auto"/>
            </w:tcBorders>
            <w:shd w:val="clear" w:color="auto" w:fill="auto"/>
            <w:noWrap/>
            <w:vAlign w:val="bottom"/>
            <w:hideMark/>
          </w:tcPr>
          <w:p w:rsidR="00DC5E2A" w:rsidRPr="004A4E51" w:rsidRDefault="00DC5E2A" w:rsidP="00EE6015">
            <w:pPr>
              <w:jc w:val="right"/>
              <w:rPr>
                <w:rFonts w:eastAsia="Times New Roman" w:cs="Calibri"/>
                <w:b/>
                <w:bCs/>
                <w:color w:val="000000"/>
                <w:sz w:val="16"/>
                <w:szCs w:val="16"/>
                <w:lang w:val="en-GB" w:eastAsia="en-GB"/>
              </w:rPr>
            </w:pPr>
            <w:r w:rsidRPr="004A4E51">
              <w:rPr>
                <w:rFonts w:eastAsia="Times New Roman" w:cs="Calibri"/>
                <w:b/>
                <w:bCs/>
                <w:color w:val="000000"/>
                <w:sz w:val="16"/>
                <w:szCs w:val="16"/>
                <w:lang w:val="en-GB" w:eastAsia="en-GB"/>
              </w:rPr>
              <w:t>31-Mar-20</w:t>
            </w:r>
          </w:p>
        </w:tc>
        <w:tc>
          <w:tcPr>
            <w:tcW w:w="1489" w:type="dxa"/>
            <w:tcBorders>
              <w:top w:val="nil"/>
              <w:left w:val="nil"/>
              <w:bottom w:val="nil"/>
              <w:right w:val="nil"/>
            </w:tcBorders>
            <w:shd w:val="clear" w:color="auto" w:fill="auto"/>
            <w:noWrap/>
            <w:vAlign w:val="bottom"/>
            <w:hideMark/>
          </w:tcPr>
          <w:p w:rsidR="00DC5E2A" w:rsidRPr="004A4E51" w:rsidRDefault="00DC5E2A" w:rsidP="00EE6015">
            <w:pPr>
              <w:jc w:val="right"/>
              <w:rPr>
                <w:rFonts w:eastAsia="Times New Roman" w:cs="Calibri"/>
                <w:b/>
                <w:bCs/>
                <w:color w:val="000000"/>
                <w:sz w:val="16"/>
                <w:szCs w:val="16"/>
                <w:lang w:val="en-GB" w:eastAsia="en-GB"/>
              </w:rPr>
            </w:pPr>
            <w:r w:rsidRPr="004A4E51">
              <w:rPr>
                <w:rFonts w:eastAsia="Times New Roman" w:cs="Calibri"/>
                <w:b/>
                <w:bCs/>
                <w:color w:val="000000"/>
                <w:sz w:val="16"/>
                <w:szCs w:val="16"/>
                <w:lang w:val="en-GB" w:eastAsia="en-GB"/>
              </w:rPr>
              <w:t>31-Mar-19</w:t>
            </w:r>
          </w:p>
        </w:tc>
        <w:tc>
          <w:tcPr>
            <w:tcW w:w="1406" w:type="dxa"/>
            <w:tcBorders>
              <w:top w:val="nil"/>
              <w:left w:val="nil"/>
              <w:bottom w:val="nil"/>
              <w:right w:val="single" w:sz="8" w:space="0" w:color="auto"/>
            </w:tcBorders>
            <w:shd w:val="clear" w:color="auto" w:fill="auto"/>
            <w:noWrap/>
            <w:vAlign w:val="bottom"/>
            <w:hideMark/>
          </w:tcPr>
          <w:p w:rsidR="00DC5E2A" w:rsidRPr="004A4E51" w:rsidRDefault="00DC5E2A" w:rsidP="00EE6015">
            <w:pPr>
              <w:jc w:val="right"/>
              <w:rPr>
                <w:rFonts w:eastAsia="Times New Roman" w:cs="Calibri"/>
                <w:b/>
                <w:bCs/>
                <w:color w:val="000000"/>
                <w:sz w:val="16"/>
                <w:szCs w:val="16"/>
                <w:lang w:val="en-GB" w:eastAsia="en-GB"/>
              </w:rPr>
            </w:pPr>
            <w:r w:rsidRPr="004A4E51">
              <w:rPr>
                <w:rFonts w:eastAsia="Times New Roman" w:cs="Calibri"/>
                <w:b/>
                <w:bCs/>
                <w:color w:val="000000"/>
                <w:sz w:val="16"/>
                <w:szCs w:val="16"/>
                <w:lang w:val="en-GB" w:eastAsia="en-GB"/>
              </w:rPr>
              <w:t>31-Mar-20</w:t>
            </w:r>
          </w:p>
        </w:tc>
      </w:tr>
      <w:tr w:rsidR="00DC5E2A" w:rsidRPr="004A4E51" w:rsidTr="00A200D5">
        <w:trPr>
          <w:trHeight w:val="146"/>
          <w:jc w:val="center"/>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DC5E2A" w:rsidRPr="004A4E51" w:rsidRDefault="00DC5E2A" w:rsidP="00EE6015">
            <w:pPr>
              <w:rPr>
                <w:rFonts w:eastAsia="Times New Roman" w:cs="Calibri"/>
                <w:color w:val="000000"/>
                <w:sz w:val="16"/>
                <w:szCs w:val="16"/>
                <w:lang w:val="en-GB" w:eastAsia="en-GB"/>
              </w:rPr>
            </w:pPr>
            <w:r w:rsidRPr="004A4E51">
              <w:rPr>
                <w:rFonts w:eastAsia="Times New Roman" w:cs="Calibri"/>
                <w:color w:val="000000"/>
                <w:sz w:val="16"/>
                <w:szCs w:val="16"/>
                <w:lang w:val="en-GB" w:eastAsia="en-GB"/>
              </w:rPr>
              <w:t> </w:t>
            </w:r>
          </w:p>
        </w:tc>
        <w:tc>
          <w:tcPr>
            <w:tcW w:w="1195" w:type="dxa"/>
            <w:tcBorders>
              <w:top w:val="nil"/>
              <w:left w:val="single" w:sz="4" w:space="0" w:color="auto"/>
              <w:bottom w:val="single" w:sz="4" w:space="0" w:color="auto"/>
              <w:right w:val="nil"/>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£000</w:t>
            </w:r>
          </w:p>
        </w:tc>
        <w:tc>
          <w:tcPr>
            <w:tcW w:w="1491" w:type="dxa"/>
            <w:tcBorders>
              <w:top w:val="nil"/>
              <w:left w:val="nil"/>
              <w:bottom w:val="single" w:sz="4" w:space="0" w:color="auto"/>
              <w:right w:val="single" w:sz="8" w:space="0" w:color="auto"/>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£000</w:t>
            </w:r>
          </w:p>
        </w:tc>
        <w:tc>
          <w:tcPr>
            <w:tcW w:w="1489" w:type="dxa"/>
            <w:tcBorders>
              <w:top w:val="nil"/>
              <w:left w:val="nil"/>
              <w:bottom w:val="single" w:sz="4" w:space="0" w:color="auto"/>
              <w:right w:val="nil"/>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£000</w:t>
            </w:r>
          </w:p>
        </w:tc>
        <w:tc>
          <w:tcPr>
            <w:tcW w:w="1406" w:type="dxa"/>
            <w:tcBorders>
              <w:top w:val="nil"/>
              <w:left w:val="nil"/>
              <w:bottom w:val="single" w:sz="4" w:space="0" w:color="auto"/>
              <w:right w:val="single" w:sz="8" w:space="0" w:color="auto"/>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£000</w:t>
            </w:r>
          </w:p>
        </w:tc>
      </w:tr>
      <w:tr w:rsidR="00DC5E2A" w:rsidRPr="004A4E51" w:rsidTr="00A200D5">
        <w:trPr>
          <w:trHeight w:val="146"/>
          <w:jc w:val="center"/>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DC5E2A" w:rsidRPr="004A4E51" w:rsidRDefault="00DC5E2A" w:rsidP="00EE6015">
            <w:pPr>
              <w:rPr>
                <w:rFonts w:eastAsia="Times New Roman" w:cs="Calibri"/>
                <w:color w:val="000000"/>
                <w:sz w:val="16"/>
                <w:szCs w:val="16"/>
                <w:lang w:val="en-GB" w:eastAsia="en-GB"/>
              </w:rPr>
            </w:pPr>
            <w:r w:rsidRPr="004A4E51">
              <w:rPr>
                <w:rFonts w:eastAsia="Times New Roman" w:cs="Calibri"/>
                <w:color w:val="000000"/>
                <w:sz w:val="16"/>
                <w:szCs w:val="16"/>
                <w:lang w:val="en-GB" w:eastAsia="en-GB"/>
              </w:rPr>
              <w:t>Amortised Cost</w:t>
            </w:r>
          </w:p>
        </w:tc>
        <w:tc>
          <w:tcPr>
            <w:tcW w:w="1195" w:type="dxa"/>
            <w:tcBorders>
              <w:top w:val="nil"/>
              <w:left w:val="single" w:sz="4" w:space="0" w:color="auto"/>
              <w:bottom w:val="single" w:sz="4" w:space="0" w:color="auto"/>
              <w:right w:val="nil"/>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864</w:t>
            </w:r>
          </w:p>
        </w:tc>
        <w:tc>
          <w:tcPr>
            <w:tcW w:w="1491" w:type="dxa"/>
            <w:tcBorders>
              <w:top w:val="nil"/>
              <w:left w:val="nil"/>
              <w:bottom w:val="single" w:sz="4" w:space="0" w:color="auto"/>
              <w:right w:val="single" w:sz="8" w:space="0" w:color="auto"/>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586</w:t>
            </w:r>
          </w:p>
        </w:tc>
        <w:tc>
          <w:tcPr>
            <w:tcW w:w="1489" w:type="dxa"/>
            <w:tcBorders>
              <w:top w:val="nil"/>
              <w:left w:val="nil"/>
              <w:bottom w:val="single" w:sz="4" w:space="0" w:color="auto"/>
              <w:right w:val="nil"/>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 xml:space="preserve">                      864 </w:t>
            </w:r>
          </w:p>
        </w:tc>
        <w:tc>
          <w:tcPr>
            <w:tcW w:w="1406" w:type="dxa"/>
            <w:tcBorders>
              <w:top w:val="nil"/>
              <w:left w:val="nil"/>
              <w:bottom w:val="single" w:sz="4" w:space="0" w:color="auto"/>
              <w:right w:val="single" w:sz="8" w:space="0" w:color="auto"/>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 xml:space="preserve">                  586 </w:t>
            </w:r>
          </w:p>
        </w:tc>
      </w:tr>
      <w:tr w:rsidR="00DC5E2A" w:rsidRPr="004A4E51" w:rsidTr="00A200D5">
        <w:trPr>
          <w:trHeight w:val="154"/>
          <w:jc w:val="center"/>
        </w:trPr>
        <w:tc>
          <w:tcPr>
            <w:tcW w:w="3513" w:type="dxa"/>
            <w:tcBorders>
              <w:top w:val="nil"/>
              <w:left w:val="single" w:sz="4" w:space="0" w:color="auto"/>
              <w:bottom w:val="single" w:sz="8" w:space="0" w:color="auto"/>
              <w:right w:val="single" w:sz="4" w:space="0" w:color="auto"/>
            </w:tcBorders>
            <w:shd w:val="clear" w:color="auto" w:fill="auto"/>
            <w:noWrap/>
            <w:vAlign w:val="bottom"/>
            <w:hideMark/>
          </w:tcPr>
          <w:p w:rsidR="00DC5E2A" w:rsidRPr="00A200D5" w:rsidRDefault="00DC5E2A" w:rsidP="00EE6015">
            <w:pPr>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Total financial assets</w:t>
            </w:r>
          </w:p>
        </w:tc>
        <w:tc>
          <w:tcPr>
            <w:tcW w:w="1195" w:type="dxa"/>
            <w:tcBorders>
              <w:top w:val="nil"/>
              <w:left w:val="single" w:sz="4" w:space="0" w:color="auto"/>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864 </w:t>
            </w:r>
          </w:p>
        </w:tc>
        <w:tc>
          <w:tcPr>
            <w:tcW w:w="1491"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586 </w:t>
            </w:r>
          </w:p>
        </w:tc>
        <w:tc>
          <w:tcPr>
            <w:tcW w:w="1489"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864 </w:t>
            </w:r>
          </w:p>
        </w:tc>
        <w:tc>
          <w:tcPr>
            <w:tcW w:w="1406"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586 </w:t>
            </w:r>
          </w:p>
        </w:tc>
      </w:tr>
      <w:tr w:rsidR="00DC5E2A" w:rsidRPr="004A4E51" w:rsidTr="00A200D5">
        <w:trPr>
          <w:trHeight w:val="146"/>
          <w:jc w:val="center"/>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DC5E2A" w:rsidRPr="004A4E51" w:rsidRDefault="00DC5E2A" w:rsidP="00EE6015">
            <w:pPr>
              <w:rPr>
                <w:rFonts w:eastAsia="Times New Roman" w:cs="Calibri"/>
                <w:color w:val="000000"/>
                <w:sz w:val="16"/>
                <w:szCs w:val="16"/>
                <w:lang w:val="en-GB" w:eastAsia="en-GB"/>
              </w:rPr>
            </w:pPr>
            <w:r w:rsidRPr="004A4E51">
              <w:rPr>
                <w:rFonts w:eastAsia="Times New Roman" w:cs="Calibri"/>
                <w:color w:val="000000"/>
                <w:sz w:val="16"/>
                <w:szCs w:val="16"/>
                <w:lang w:val="en-GB" w:eastAsia="en-GB"/>
              </w:rPr>
              <w:t>Non - financial Assets</w:t>
            </w:r>
          </w:p>
        </w:tc>
        <w:tc>
          <w:tcPr>
            <w:tcW w:w="1195" w:type="dxa"/>
            <w:tcBorders>
              <w:top w:val="nil"/>
              <w:left w:val="single" w:sz="4" w:space="0" w:color="auto"/>
              <w:bottom w:val="single" w:sz="4" w:space="0" w:color="auto"/>
              <w:right w:val="nil"/>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 xml:space="preserve">              127,962 </w:t>
            </w:r>
          </w:p>
        </w:tc>
        <w:tc>
          <w:tcPr>
            <w:tcW w:w="1491" w:type="dxa"/>
            <w:tcBorders>
              <w:top w:val="nil"/>
              <w:left w:val="nil"/>
              <w:bottom w:val="single" w:sz="4" w:space="0" w:color="auto"/>
              <w:right w:val="single" w:sz="8" w:space="0" w:color="auto"/>
            </w:tcBorders>
            <w:shd w:val="clear" w:color="auto" w:fill="auto"/>
            <w:noWrap/>
            <w:vAlign w:val="bottom"/>
            <w:hideMark/>
          </w:tcPr>
          <w:p w:rsidR="00DC5E2A" w:rsidRPr="004A4E51" w:rsidRDefault="00DC5E2A">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 xml:space="preserve">                 13</w:t>
            </w:r>
            <w:r w:rsidR="00734D30">
              <w:rPr>
                <w:rFonts w:eastAsia="Times New Roman" w:cs="Calibri"/>
                <w:color w:val="000000"/>
                <w:sz w:val="16"/>
                <w:szCs w:val="16"/>
                <w:lang w:val="en-GB" w:eastAsia="en-GB"/>
              </w:rPr>
              <w:t>4</w:t>
            </w:r>
            <w:r w:rsidRPr="004A4E51">
              <w:rPr>
                <w:rFonts w:eastAsia="Times New Roman" w:cs="Calibri"/>
                <w:color w:val="000000"/>
                <w:sz w:val="16"/>
                <w:szCs w:val="16"/>
                <w:lang w:val="en-GB" w:eastAsia="en-GB"/>
              </w:rPr>
              <w:t>,</w:t>
            </w:r>
            <w:r w:rsidR="00734D30">
              <w:rPr>
                <w:rFonts w:eastAsia="Times New Roman" w:cs="Calibri"/>
                <w:color w:val="000000"/>
                <w:sz w:val="16"/>
                <w:szCs w:val="16"/>
                <w:lang w:val="en-GB" w:eastAsia="en-GB"/>
              </w:rPr>
              <w:t>498</w:t>
            </w:r>
            <w:r w:rsidRPr="004A4E51">
              <w:rPr>
                <w:rFonts w:eastAsia="Times New Roman" w:cs="Calibri"/>
                <w:color w:val="000000"/>
                <w:sz w:val="16"/>
                <w:szCs w:val="16"/>
                <w:lang w:val="en-GB" w:eastAsia="en-GB"/>
              </w:rPr>
              <w:t xml:space="preserve"> </w:t>
            </w:r>
          </w:p>
        </w:tc>
        <w:tc>
          <w:tcPr>
            <w:tcW w:w="1489" w:type="dxa"/>
            <w:tcBorders>
              <w:top w:val="nil"/>
              <w:left w:val="nil"/>
              <w:bottom w:val="single" w:sz="4" w:space="0" w:color="auto"/>
              <w:right w:val="nil"/>
            </w:tcBorders>
            <w:shd w:val="clear" w:color="auto" w:fill="auto"/>
            <w:noWrap/>
            <w:vAlign w:val="bottom"/>
            <w:hideMark/>
          </w:tcPr>
          <w:p w:rsidR="00DC5E2A" w:rsidRPr="004A4E51" w:rsidRDefault="00DC5E2A" w:rsidP="00EE6015">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 xml:space="preserve">                 127,962 </w:t>
            </w:r>
          </w:p>
        </w:tc>
        <w:tc>
          <w:tcPr>
            <w:tcW w:w="1406" w:type="dxa"/>
            <w:tcBorders>
              <w:top w:val="nil"/>
              <w:left w:val="nil"/>
              <w:bottom w:val="single" w:sz="4" w:space="0" w:color="auto"/>
              <w:right w:val="single" w:sz="8" w:space="0" w:color="auto"/>
            </w:tcBorders>
            <w:shd w:val="clear" w:color="auto" w:fill="auto"/>
            <w:noWrap/>
            <w:vAlign w:val="bottom"/>
            <w:hideMark/>
          </w:tcPr>
          <w:p w:rsidR="00DC5E2A" w:rsidRPr="004A4E51" w:rsidRDefault="00DC5E2A">
            <w:pPr>
              <w:jc w:val="right"/>
              <w:rPr>
                <w:rFonts w:eastAsia="Times New Roman" w:cs="Calibri"/>
                <w:color w:val="000000"/>
                <w:sz w:val="16"/>
                <w:szCs w:val="16"/>
                <w:lang w:val="en-GB" w:eastAsia="en-GB"/>
              </w:rPr>
            </w:pPr>
            <w:r w:rsidRPr="004A4E51">
              <w:rPr>
                <w:rFonts w:eastAsia="Times New Roman" w:cs="Calibri"/>
                <w:color w:val="000000"/>
                <w:sz w:val="16"/>
                <w:szCs w:val="16"/>
                <w:lang w:val="en-GB" w:eastAsia="en-GB"/>
              </w:rPr>
              <w:t xml:space="preserve">            13</w:t>
            </w:r>
            <w:r w:rsidR="00734D30">
              <w:rPr>
                <w:rFonts w:eastAsia="Times New Roman" w:cs="Calibri"/>
                <w:color w:val="000000"/>
                <w:sz w:val="16"/>
                <w:szCs w:val="16"/>
                <w:lang w:val="en-GB" w:eastAsia="en-GB"/>
              </w:rPr>
              <w:t>4</w:t>
            </w:r>
            <w:r w:rsidRPr="004A4E51">
              <w:rPr>
                <w:rFonts w:eastAsia="Times New Roman" w:cs="Calibri"/>
                <w:color w:val="000000"/>
                <w:sz w:val="16"/>
                <w:szCs w:val="16"/>
                <w:lang w:val="en-GB" w:eastAsia="en-GB"/>
              </w:rPr>
              <w:t>,</w:t>
            </w:r>
            <w:r w:rsidR="00734D30">
              <w:rPr>
                <w:rFonts w:eastAsia="Times New Roman" w:cs="Calibri"/>
                <w:color w:val="000000"/>
                <w:sz w:val="16"/>
                <w:szCs w:val="16"/>
                <w:lang w:val="en-GB" w:eastAsia="en-GB"/>
              </w:rPr>
              <w:t>498</w:t>
            </w:r>
            <w:r w:rsidRPr="004A4E51">
              <w:rPr>
                <w:rFonts w:eastAsia="Times New Roman" w:cs="Calibri"/>
                <w:color w:val="000000"/>
                <w:sz w:val="16"/>
                <w:szCs w:val="16"/>
                <w:lang w:val="en-GB" w:eastAsia="en-GB"/>
              </w:rPr>
              <w:t xml:space="preserve"> </w:t>
            </w:r>
          </w:p>
        </w:tc>
      </w:tr>
      <w:tr w:rsidR="00DC5E2A" w:rsidRPr="004A4E51" w:rsidTr="00A200D5">
        <w:trPr>
          <w:trHeight w:val="154"/>
          <w:jc w:val="center"/>
        </w:trPr>
        <w:tc>
          <w:tcPr>
            <w:tcW w:w="3513" w:type="dxa"/>
            <w:tcBorders>
              <w:top w:val="nil"/>
              <w:left w:val="single" w:sz="4" w:space="0" w:color="auto"/>
              <w:bottom w:val="single" w:sz="4" w:space="0" w:color="auto"/>
              <w:right w:val="single" w:sz="4" w:space="0" w:color="auto"/>
            </w:tcBorders>
            <w:shd w:val="clear" w:color="auto" w:fill="auto"/>
            <w:noWrap/>
            <w:vAlign w:val="bottom"/>
            <w:hideMark/>
          </w:tcPr>
          <w:p w:rsidR="00DC5E2A" w:rsidRPr="00A200D5" w:rsidRDefault="00C86C86" w:rsidP="00EE6015">
            <w:pPr>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Total non-</w:t>
            </w:r>
            <w:r w:rsidR="00DC5E2A" w:rsidRPr="00A200D5">
              <w:rPr>
                <w:rFonts w:eastAsia="Times New Roman" w:cs="Calibri"/>
                <w:b/>
                <w:color w:val="000000"/>
                <w:sz w:val="16"/>
                <w:szCs w:val="16"/>
                <w:lang w:val="en-GB" w:eastAsia="en-GB"/>
              </w:rPr>
              <w:t>current financial assets</w:t>
            </w:r>
          </w:p>
        </w:tc>
        <w:tc>
          <w:tcPr>
            <w:tcW w:w="1195" w:type="dxa"/>
            <w:tcBorders>
              <w:top w:val="nil"/>
              <w:left w:val="single" w:sz="4" w:space="0" w:color="auto"/>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128,826 </w:t>
            </w:r>
          </w:p>
        </w:tc>
        <w:tc>
          <w:tcPr>
            <w:tcW w:w="1491"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13</w:t>
            </w:r>
            <w:r w:rsidR="00734D30">
              <w:rPr>
                <w:rFonts w:eastAsia="Times New Roman" w:cs="Calibri"/>
                <w:b/>
                <w:color w:val="000000"/>
                <w:sz w:val="16"/>
                <w:szCs w:val="16"/>
                <w:lang w:val="en-GB" w:eastAsia="en-GB"/>
              </w:rPr>
              <w:t>5</w:t>
            </w:r>
            <w:r w:rsidRPr="00A200D5">
              <w:rPr>
                <w:rFonts w:eastAsia="Times New Roman" w:cs="Calibri"/>
                <w:b/>
                <w:color w:val="000000"/>
                <w:sz w:val="16"/>
                <w:szCs w:val="16"/>
                <w:lang w:val="en-GB" w:eastAsia="en-GB"/>
              </w:rPr>
              <w:t>,</w:t>
            </w:r>
            <w:r w:rsidR="00734D30">
              <w:rPr>
                <w:rFonts w:eastAsia="Times New Roman" w:cs="Calibri"/>
                <w:b/>
                <w:color w:val="000000"/>
                <w:sz w:val="16"/>
                <w:szCs w:val="16"/>
                <w:lang w:val="en-GB" w:eastAsia="en-GB"/>
              </w:rPr>
              <w:t>084</w:t>
            </w:r>
            <w:r w:rsidRPr="00A200D5">
              <w:rPr>
                <w:rFonts w:eastAsia="Times New Roman" w:cs="Calibri"/>
                <w:b/>
                <w:color w:val="000000"/>
                <w:sz w:val="16"/>
                <w:szCs w:val="16"/>
                <w:lang w:val="en-GB" w:eastAsia="en-GB"/>
              </w:rPr>
              <w:t xml:space="preserve"> </w:t>
            </w:r>
          </w:p>
        </w:tc>
        <w:tc>
          <w:tcPr>
            <w:tcW w:w="1489"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128,826 </w:t>
            </w:r>
          </w:p>
        </w:tc>
        <w:tc>
          <w:tcPr>
            <w:tcW w:w="1406"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13</w:t>
            </w:r>
            <w:r w:rsidR="00734D30">
              <w:rPr>
                <w:rFonts w:eastAsia="Times New Roman" w:cs="Calibri"/>
                <w:b/>
                <w:color w:val="000000"/>
                <w:sz w:val="16"/>
                <w:szCs w:val="16"/>
                <w:lang w:val="en-GB" w:eastAsia="en-GB"/>
              </w:rPr>
              <w:t>5</w:t>
            </w:r>
            <w:r w:rsidRPr="00A200D5">
              <w:rPr>
                <w:rFonts w:eastAsia="Times New Roman" w:cs="Calibri"/>
                <w:b/>
                <w:color w:val="000000"/>
                <w:sz w:val="16"/>
                <w:szCs w:val="16"/>
                <w:lang w:val="en-GB" w:eastAsia="en-GB"/>
              </w:rPr>
              <w:t>,</w:t>
            </w:r>
            <w:r w:rsidR="00734D30">
              <w:rPr>
                <w:rFonts w:eastAsia="Times New Roman" w:cs="Calibri"/>
                <w:b/>
                <w:color w:val="000000"/>
                <w:sz w:val="16"/>
                <w:szCs w:val="16"/>
                <w:lang w:val="en-GB" w:eastAsia="en-GB"/>
              </w:rPr>
              <w:t>084</w:t>
            </w:r>
            <w:r w:rsidRPr="00A200D5">
              <w:rPr>
                <w:rFonts w:eastAsia="Times New Roman" w:cs="Calibri"/>
                <w:b/>
                <w:color w:val="000000"/>
                <w:sz w:val="16"/>
                <w:szCs w:val="16"/>
                <w:lang w:val="en-GB" w:eastAsia="en-GB"/>
              </w:rPr>
              <w:t xml:space="preserve"> </w:t>
            </w:r>
          </w:p>
        </w:tc>
      </w:tr>
      <w:tr w:rsidR="00DC5E2A" w:rsidRPr="004A4E51" w:rsidTr="00A200D5">
        <w:trPr>
          <w:trHeight w:val="146"/>
          <w:jc w:val="center"/>
        </w:trPr>
        <w:tc>
          <w:tcPr>
            <w:tcW w:w="3513" w:type="dxa"/>
            <w:tcBorders>
              <w:top w:val="single" w:sz="4" w:space="0" w:color="auto"/>
              <w:left w:val="nil"/>
              <w:bottom w:val="nil"/>
              <w:right w:val="nil"/>
            </w:tcBorders>
            <w:shd w:val="clear" w:color="auto" w:fill="auto"/>
            <w:noWrap/>
            <w:vAlign w:val="bottom"/>
            <w:hideMark/>
          </w:tcPr>
          <w:p w:rsidR="00DC5E2A" w:rsidRPr="004A4E51" w:rsidRDefault="00DC5E2A" w:rsidP="00EE6015">
            <w:pPr>
              <w:rPr>
                <w:rFonts w:eastAsia="Times New Roman" w:cs="Calibri"/>
                <w:color w:val="000000"/>
                <w:sz w:val="16"/>
                <w:szCs w:val="16"/>
                <w:lang w:val="en-GB" w:eastAsia="en-GB"/>
              </w:rPr>
            </w:pPr>
          </w:p>
        </w:tc>
        <w:tc>
          <w:tcPr>
            <w:tcW w:w="1195" w:type="dxa"/>
            <w:tcBorders>
              <w:top w:val="nil"/>
              <w:left w:val="nil"/>
              <w:bottom w:val="nil"/>
              <w:right w:val="nil"/>
            </w:tcBorders>
            <w:shd w:val="clear" w:color="auto" w:fill="auto"/>
            <w:noWrap/>
            <w:vAlign w:val="bottom"/>
            <w:hideMark/>
          </w:tcPr>
          <w:p w:rsidR="00DC5E2A" w:rsidRPr="004A4E51" w:rsidRDefault="00DC5E2A" w:rsidP="00EE6015">
            <w:pPr>
              <w:rPr>
                <w:rFonts w:ascii="Times New Roman" w:eastAsia="Times New Roman" w:hAnsi="Times New Roman" w:cs="Times New Roman"/>
                <w:sz w:val="20"/>
                <w:szCs w:val="20"/>
                <w:lang w:val="en-GB" w:eastAsia="en-GB"/>
              </w:rPr>
            </w:pPr>
          </w:p>
        </w:tc>
        <w:tc>
          <w:tcPr>
            <w:tcW w:w="1491" w:type="dxa"/>
            <w:tcBorders>
              <w:top w:val="nil"/>
              <w:left w:val="nil"/>
              <w:bottom w:val="nil"/>
              <w:right w:val="nil"/>
            </w:tcBorders>
            <w:shd w:val="clear" w:color="auto" w:fill="auto"/>
            <w:noWrap/>
            <w:vAlign w:val="bottom"/>
            <w:hideMark/>
          </w:tcPr>
          <w:p w:rsidR="00DC5E2A" w:rsidRPr="004A4E51" w:rsidRDefault="00DC5E2A" w:rsidP="00EE6015">
            <w:pPr>
              <w:rPr>
                <w:rFonts w:ascii="Times New Roman" w:eastAsia="Times New Roman" w:hAnsi="Times New Roman" w:cs="Times New Roman"/>
                <w:sz w:val="20"/>
                <w:szCs w:val="20"/>
                <w:lang w:val="en-GB" w:eastAsia="en-GB"/>
              </w:rPr>
            </w:pPr>
          </w:p>
        </w:tc>
        <w:tc>
          <w:tcPr>
            <w:tcW w:w="1489" w:type="dxa"/>
            <w:tcBorders>
              <w:top w:val="nil"/>
              <w:left w:val="nil"/>
              <w:bottom w:val="nil"/>
              <w:right w:val="nil"/>
            </w:tcBorders>
            <w:shd w:val="clear" w:color="auto" w:fill="auto"/>
            <w:noWrap/>
            <w:vAlign w:val="bottom"/>
            <w:hideMark/>
          </w:tcPr>
          <w:p w:rsidR="00DC5E2A" w:rsidRPr="004A4E51" w:rsidRDefault="00DC5E2A" w:rsidP="00EE6015">
            <w:pPr>
              <w:rPr>
                <w:rFonts w:ascii="Times New Roman" w:eastAsia="Times New Roman" w:hAnsi="Times New Roman" w:cs="Times New Roman"/>
                <w:sz w:val="20"/>
                <w:szCs w:val="20"/>
                <w:lang w:val="en-GB" w:eastAsia="en-GB"/>
              </w:rPr>
            </w:pPr>
          </w:p>
        </w:tc>
        <w:tc>
          <w:tcPr>
            <w:tcW w:w="1406" w:type="dxa"/>
            <w:tcBorders>
              <w:top w:val="nil"/>
              <w:left w:val="nil"/>
              <w:bottom w:val="nil"/>
              <w:right w:val="nil"/>
            </w:tcBorders>
            <w:shd w:val="clear" w:color="auto" w:fill="auto"/>
            <w:noWrap/>
            <w:vAlign w:val="bottom"/>
            <w:hideMark/>
          </w:tcPr>
          <w:p w:rsidR="00DC5E2A" w:rsidRPr="004A4E51" w:rsidRDefault="00DC5E2A" w:rsidP="00EE6015">
            <w:pPr>
              <w:rPr>
                <w:rFonts w:ascii="Times New Roman" w:eastAsia="Times New Roman" w:hAnsi="Times New Roman" w:cs="Times New Roman"/>
                <w:sz w:val="20"/>
                <w:szCs w:val="20"/>
                <w:lang w:val="en-GB" w:eastAsia="en-GB"/>
              </w:rPr>
            </w:pPr>
          </w:p>
        </w:tc>
      </w:tr>
    </w:tbl>
    <w:p w:rsidR="00DC5E2A" w:rsidRDefault="00DC5E2A" w:rsidP="00DC5E2A">
      <w:pPr>
        <w:rPr>
          <w:lang w:val="pt-BR"/>
        </w:rPr>
      </w:pPr>
    </w:p>
    <w:tbl>
      <w:tblPr>
        <w:tblW w:w="9653" w:type="dxa"/>
        <w:jc w:val="center"/>
        <w:tblLook w:val="04A0" w:firstRow="1" w:lastRow="0" w:firstColumn="1" w:lastColumn="0" w:noHBand="0" w:noVBand="1"/>
      </w:tblPr>
      <w:tblGrid>
        <w:gridCol w:w="2127"/>
        <w:gridCol w:w="1275"/>
        <w:gridCol w:w="1276"/>
        <w:gridCol w:w="1276"/>
        <w:gridCol w:w="1276"/>
        <w:gridCol w:w="1244"/>
        <w:gridCol w:w="1298"/>
      </w:tblGrid>
      <w:tr w:rsidR="00DC5E2A" w:rsidRPr="006A7694" w:rsidTr="00EE6015">
        <w:trPr>
          <w:trHeight w:val="224"/>
          <w:jc w:val="center"/>
        </w:trPr>
        <w:tc>
          <w:tcPr>
            <w:tcW w:w="2127" w:type="dxa"/>
            <w:tcBorders>
              <w:top w:val="nil"/>
              <w:left w:val="nil"/>
              <w:bottom w:val="single" w:sz="4" w:space="0" w:color="auto"/>
              <w:right w:val="nil"/>
            </w:tcBorders>
            <w:shd w:val="clear" w:color="auto" w:fill="auto"/>
            <w:noWrap/>
            <w:vAlign w:val="bottom"/>
            <w:hideMark/>
          </w:tcPr>
          <w:p w:rsidR="00DC5E2A" w:rsidRPr="00531EBE" w:rsidRDefault="00DC5E2A" w:rsidP="00EE6015">
            <w:pPr>
              <w:rPr>
                <w:rFonts w:ascii="Times New Roman" w:eastAsia="Times New Roman" w:hAnsi="Times New Roman" w:cs="Times New Roman"/>
                <w:lang w:val="en-GB" w:eastAsia="en-GB"/>
              </w:rPr>
            </w:pPr>
          </w:p>
        </w:tc>
        <w:tc>
          <w:tcPr>
            <w:tcW w:w="7526" w:type="dxa"/>
            <w:gridSpan w:val="6"/>
            <w:tcBorders>
              <w:top w:val="nil"/>
              <w:left w:val="nil"/>
              <w:bottom w:val="single" w:sz="8" w:space="0" w:color="auto"/>
              <w:right w:val="nil"/>
            </w:tcBorders>
            <w:shd w:val="clear" w:color="auto" w:fill="auto"/>
            <w:noWrap/>
            <w:vAlign w:val="bottom"/>
            <w:hideMark/>
          </w:tcPr>
          <w:p w:rsidR="00DC5E2A" w:rsidRPr="006A7694" w:rsidRDefault="00DC5E2A" w:rsidP="00EE6015">
            <w:pPr>
              <w:jc w:val="center"/>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Current Financial Assets</w:t>
            </w:r>
          </w:p>
        </w:tc>
      </w:tr>
      <w:tr w:rsidR="00DC5E2A" w:rsidRPr="006A7694" w:rsidTr="00EE6015">
        <w:trPr>
          <w:trHeight w:val="212"/>
          <w:jc w:val="center"/>
        </w:trPr>
        <w:tc>
          <w:tcPr>
            <w:tcW w:w="2127" w:type="dxa"/>
            <w:tcBorders>
              <w:top w:val="single" w:sz="4" w:space="0" w:color="auto"/>
              <w:left w:val="single" w:sz="4" w:space="0" w:color="auto"/>
              <w:bottom w:val="nil"/>
              <w:right w:val="single" w:sz="4" w:space="0" w:color="auto"/>
            </w:tcBorders>
            <w:shd w:val="clear" w:color="auto" w:fill="auto"/>
            <w:noWrap/>
            <w:vAlign w:val="bottom"/>
            <w:hideMark/>
          </w:tcPr>
          <w:p w:rsidR="00DC5E2A" w:rsidRPr="006A7694" w:rsidRDefault="00DC5E2A" w:rsidP="00EE6015">
            <w:pPr>
              <w:jc w:val="center"/>
              <w:rPr>
                <w:rFonts w:eastAsia="Times New Roman" w:cs="Calibri"/>
                <w:b/>
                <w:bCs/>
                <w:color w:val="000000"/>
                <w:sz w:val="16"/>
                <w:szCs w:val="16"/>
                <w:lang w:val="en-GB" w:eastAsia="en-GB"/>
              </w:rPr>
            </w:pPr>
          </w:p>
        </w:tc>
        <w:tc>
          <w:tcPr>
            <w:tcW w:w="1275" w:type="dxa"/>
            <w:tcBorders>
              <w:top w:val="nil"/>
              <w:left w:val="single" w:sz="4" w:space="0" w:color="auto"/>
              <w:bottom w:val="nil"/>
              <w:right w:val="nil"/>
            </w:tcBorders>
            <w:shd w:val="clear" w:color="auto" w:fill="auto"/>
            <w:noWrap/>
            <w:vAlign w:val="bottom"/>
            <w:hideMark/>
          </w:tcPr>
          <w:p w:rsidR="00DC5E2A" w:rsidRPr="006A7694" w:rsidRDefault="00DC5E2A" w:rsidP="00EE6015">
            <w:pPr>
              <w:jc w:val="center"/>
              <w:rPr>
                <w:rFonts w:eastAsia="Times New Roman" w:cs="Calibri"/>
                <w:color w:val="000000"/>
                <w:sz w:val="16"/>
                <w:szCs w:val="16"/>
                <w:lang w:val="en-GB" w:eastAsia="en-GB"/>
              </w:rPr>
            </w:pPr>
            <w:r w:rsidRPr="006A7694">
              <w:rPr>
                <w:rFonts w:eastAsia="Times New Roman" w:cs="Calibri"/>
                <w:color w:val="000000"/>
                <w:sz w:val="16"/>
                <w:szCs w:val="16"/>
                <w:lang w:val="en-GB" w:eastAsia="en-GB"/>
              </w:rPr>
              <w:t> </w:t>
            </w:r>
          </w:p>
        </w:tc>
        <w:tc>
          <w:tcPr>
            <w:tcW w:w="1276" w:type="dxa"/>
            <w:tcBorders>
              <w:top w:val="nil"/>
              <w:left w:val="nil"/>
              <w:bottom w:val="nil"/>
              <w:right w:val="single" w:sz="8" w:space="0" w:color="auto"/>
            </w:tcBorders>
            <w:shd w:val="clear" w:color="auto" w:fill="auto"/>
            <w:noWrap/>
            <w:vAlign w:val="bottom"/>
            <w:hideMark/>
          </w:tcPr>
          <w:p w:rsidR="00DC5E2A" w:rsidRPr="006A7694" w:rsidRDefault="00DC5E2A" w:rsidP="00EE6015">
            <w:pPr>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Debtor</w:t>
            </w:r>
          </w:p>
        </w:tc>
        <w:tc>
          <w:tcPr>
            <w:tcW w:w="1276" w:type="dxa"/>
            <w:tcBorders>
              <w:top w:val="nil"/>
              <w:left w:val="nil"/>
              <w:bottom w:val="nil"/>
              <w:right w:val="nil"/>
            </w:tcBorders>
            <w:shd w:val="clear" w:color="auto" w:fill="auto"/>
            <w:noWrap/>
            <w:vAlign w:val="bottom"/>
            <w:hideMark/>
          </w:tcPr>
          <w:p w:rsidR="00DC5E2A" w:rsidRPr="006A7694" w:rsidRDefault="00DC5E2A" w:rsidP="00EE6015">
            <w:pPr>
              <w:jc w:val="center"/>
              <w:rPr>
                <w:rFonts w:eastAsia="Times New Roman" w:cs="Calibri"/>
                <w:color w:val="000000"/>
                <w:sz w:val="16"/>
                <w:szCs w:val="16"/>
                <w:lang w:val="en-GB" w:eastAsia="en-GB"/>
              </w:rPr>
            </w:pPr>
            <w:r w:rsidRPr="006A7694">
              <w:rPr>
                <w:rFonts w:eastAsia="Times New Roman" w:cs="Calibri"/>
                <w:color w:val="000000"/>
                <w:sz w:val="16"/>
                <w:szCs w:val="16"/>
                <w:lang w:val="en-GB" w:eastAsia="en-GB"/>
              </w:rPr>
              <w:t> </w:t>
            </w:r>
          </w:p>
        </w:tc>
        <w:tc>
          <w:tcPr>
            <w:tcW w:w="1276" w:type="dxa"/>
            <w:tcBorders>
              <w:top w:val="nil"/>
              <w:left w:val="nil"/>
              <w:bottom w:val="nil"/>
              <w:right w:val="single" w:sz="8" w:space="0" w:color="auto"/>
            </w:tcBorders>
            <w:shd w:val="clear" w:color="auto" w:fill="auto"/>
            <w:noWrap/>
            <w:vAlign w:val="bottom"/>
            <w:hideMark/>
          </w:tcPr>
          <w:p w:rsidR="00DC5E2A" w:rsidRPr="006A7694" w:rsidRDefault="00DC5E2A" w:rsidP="00EE6015">
            <w:pPr>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Cash</w:t>
            </w:r>
          </w:p>
        </w:tc>
        <w:tc>
          <w:tcPr>
            <w:tcW w:w="1244" w:type="dxa"/>
            <w:tcBorders>
              <w:top w:val="nil"/>
              <w:left w:val="nil"/>
              <w:bottom w:val="nil"/>
              <w:right w:val="nil"/>
            </w:tcBorders>
            <w:shd w:val="clear" w:color="auto" w:fill="auto"/>
            <w:noWrap/>
            <w:vAlign w:val="bottom"/>
            <w:hideMark/>
          </w:tcPr>
          <w:p w:rsidR="00DC5E2A" w:rsidRPr="006A7694" w:rsidRDefault="00DC5E2A" w:rsidP="00EE6015">
            <w:pPr>
              <w:rPr>
                <w:rFonts w:eastAsia="Times New Roman" w:cs="Calibri"/>
                <w:color w:val="000000"/>
                <w:sz w:val="16"/>
                <w:szCs w:val="16"/>
                <w:lang w:val="en-GB" w:eastAsia="en-GB"/>
              </w:rPr>
            </w:pPr>
          </w:p>
        </w:tc>
        <w:tc>
          <w:tcPr>
            <w:tcW w:w="1179" w:type="dxa"/>
            <w:tcBorders>
              <w:top w:val="nil"/>
              <w:left w:val="nil"/>
              <w:bottom w:val="nil"/>
              <w:right w:val="single" w:sz="8" w:space="0" w:color="auto"/>
            </w:tcBorders>
            <w:shd w:val="clear" w:color="auto" w:fill="auto"/>
            <w:noWrap/>
            <w:vAlign w:val="bottom"/>
            <w:hideMark/>
          </w:tcPr>
          <w:p w:rsidR="00DC5E2A" w:rsidRPr="006A7694" w:rsidRDefault="00DC5E2A" w:rsidP="00EE6015">
            <w:pPr>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Total</w:t>
            </w:r>
          </w:p>
        </w:tc>
      </w:tr>
      <w:tr w:rsidR="00DC5E2A" w:rsidRPr="006A7694" w:rsidTr="00EE6015">
        <w:trPr>
          <w:trHeight w:val="212"/>
          <w:jc w:val="center"/>
        </w:trPr>
        <w:tc>
          <w:tcPr>
            <w:tcW w:w="2127" w:type="dxa"/>
            <w:tcBorders>
              <w:top w:val="nil"/>
              <w:left w:val="single" w:sz="4" w:space="0" w:color="auto"/>
              <w:bottom w:val="nil"/>
              <w:right w:val="single" w:sz="4" w:space="0" w:color="auto"/>
            </w:tcBorders>
            <w:shd w:val="clear" w:color="auto" w:fill="auto"/>
            <w:noWrap/>
            <w:vAlign w:val="bottom"/>
            <w:hideMark/>
          </w:tcPr>
          <w:p w:rsidR="00DC5E2A" w:rsidRPr="006A7694" w:rsidRDefault="00DC5E2A" w:rsidP="00EE6015">
            <w:pPr>
              <w:rPr>
                <w:rFonts w:eastAsia="Times New Roman" w:cs="Calibri"/>
                <w:b/>
                <w:bCs/>
                <w:color w:val="000000"/>
                <w:sz w:val="16"/>
                <w:szCs w:val="16"/>
                <w:lang w:val="en-GB" w:eastAsia="en-GB"/>
              </w:rPr>
            </w:pPr>
          </w:p>
        </w:tc>
        <w:tc>
          <w:tcPr>
            <w:tcW w:w="1275" w:type="dxa"/>
            <w:tcBorders>
              <w:top w:val="nil"/>
              <w:left w:val="single" w:sz="4" w:space="0" w:color="auto"/>
              <w:bottom w:val="nil"/>
              <w:right w:val="nil"/>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31-Mar-19</w:t>
            </w:r>
          </w:p>
        </w:tc>
        <w:tc>
          <w:tcPr>
            <w:tcW w:w="1276" w:type="dxa"/>
            <w:tcBorders>
              <w:top w:val="nil"/>
              <w:left w:val="nil"/>
              <w:bottom w:val="nil"/>
              <w:right w:val="single" w:sz="8" w:space="0" w:color="auto"/>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31-Mar-20</w:t>
            </w:r>
          </w:p>
        </w:tc>
        <w:tc>
          <w:tcPr>
            <w:tcW w:w="1276" w:type="dxa"/>
            <w:tcBorders>
              <w:top w:val="nil"/>
              <w:left w:val="nil"/>
              <w:bottom w:val="nil"/>
              <w:right w:val="nil"/>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31-Mar-19</w:t>
            </w:r>
          </w:p>
        </w:tc>
        <w:tc>
          <w:tcPr>
            <w:tcW w:w="1276" w:type="dxa"/>
            <w:tcBorders>
              <w:top w:val="nil"/>
              <w:left w:val="nil"/>
              <w:bottom w:val="nil"/>
              <w:right w:val="single" w:sz="8" w:space="0" w:color="auto"/>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31-Mar-20</w:t>
            </w:r>
          </w:p>
        </w:tc>
        <w:tc>
          <w:tcPr>
            <w:tcW w:w="1244" w:type="dxa"/>
            <w:tcBorders>
              <w:top w:val="nil"/>
              <w:left w:val="nil"/>
              <w:bottom w:val="nil"/>
              <w:right w:val="nil"/>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31-Mar-19</w:t>
            </w:r>
          </w:p>
        </w:tc>
        <w:tc>
          <w:tcPr>
            <w:tcW w:w="1179" w:type="dxa"/>
            <w:tcBorders>
              <w:top w:val="nil"/>
              <w:left w:val="nil"/>
              <w:bottom w:val="nil"/>
              <w:right w:val="single" w:sz="8" w:space="0" w:color="auto"/>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31-Mar-20</w:t>
            </w:r>
          </w:p>
        </w:tc>
      </w:tr>
      <w:tr w:rsidR="00DC5E2A" w:rsidRPr="006A7694" w:rsidTr="00EE6015">
        <w:trPr>
          <w:trHeight w:val="212"/>
          <w:jc w:val="center"/>
        </w:trPr>
        <w:tc>
          <w:tcPr>
            <w:tcW w:w="2127" w:type="dxa"/>
            <w:tcBorders>
              <w:top w:val="nil"/>
              <w:left w:val="single" w:sz="4" w:space="0" w:color="auto"/>
              <w:bottom w:val="nil"/>
              <w:right w:val="single" w:sz="4" w:space="0" w:color="auto"/>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p>
        </w:tc>
        <w:tc>
          <w:tcPr>
            <w:tcW w:w="1275" w:type="dxa"/>
            <w:tcBorders>
              <w:top w:val="nil"/>
              <w:left w:val="single" w:sz="4" w:space="0" w:color="auto"/>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c>
          <w:tcPr>
            <w:tcW w:w="1276"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c>
          <w:tcPr>
            <w:tcW w:w="1276" w:type="dxa"/>
            <w:tcBorders>
              <w:top w:val="nil"/>
              <w:left w:val="nil"/>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c>
          <w:tcPr>
            <w:tcW w:w="1276"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c>
          <w:tcPr>
            <w:tcW w:w="1244" w:type="dxa"/>
            <w:tcBorders>
              <w:top w:val="nil"/>
              <w:left w:val="nil"/>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c>
          <w:tcPr>
            <w:tcW w:w="1179"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r>
      <w:tr w:rsidR="00DC5E2A" w:rsidRPr="006A7694" w:rsidTr="00EE6015">
        <w:trPr>
          <w:trHeight w:val="212"/>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C5E2A" w:rsidRPr="006A7694" w:rsidRDefault="00DC5E2A" w:rsidP="00EE6015">
            <w:pPr>
              <w:rPr>
                <w:rFonts w:eastAsia="Times New Roman" w:cs="Calibri"/>
                <w:color w:val="000000"/>
                <w:sz w:val="16"/>
                <w:szCs w:val="16"/>
                <w:lang w:val="en-GB" w:eastAsia="en-GB"/>
              </w:rPr>
            </w:pPr>
            <w:r w:rsidRPr="006A7694">
              <w:rPr>
                <w:rFonts w:eastAsia="Times New Roman" w:cs="Calibri"/>
                <w:color w:val="000000"/>
                <w:sz w:val="16"/>
                <w:szCs w:val="16"/>
                <w:lang w:val="en-GB" w:eastAsia="en-GB"/>
              </w:rPr>
              <w:t>Amortised Cost</w:t>
            </w:r>
          </w:p>
        </w:tc>
        <w:tc>
          <w:tcPr>
            <w:tcW w:w="1275" w:type="dxa"/>
            <w:tcBorders>
              <w:top w:val="nil"/>
              <w:left w:val="single" w:sz="4" w:space="0" w:color="auto"/>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809</w:t>
            </w:r>
          </w:p>
        </w:tc>
        <w:tc>
          <w:tcPr>
            <w:tcW w:w="1276"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830</w:t>
            </w:r>
          </w:p>
        </w:tc>
        <w:tc>
          <w:tcPr>
            <w:tcW w:w="1276" w:type="dxa"/>
            <w:tcBorders>
              <w:top w:val="nil"/>
              <w:left w:val="nil"/>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14,477</w:t>
            </w:r>
          </w:p>
        </w:tc>
        <w:tc>
          <w:tcPr>
            <w:tcW w:w="1276"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12,408</w:t>
            </w:r>
          </w:p>
        </w:tc>
        <w:tc>
          <w:tcPr>
            <w:tcW w:w="1244" w:type="dxa"/>
            <w:tcBorders>
              <w:top w:val="nil"/>
              <w:left w:val="nil"/>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15,286</w:t>
            </w:r>
          </w:p>
        </w:tc>
        <w:tc>
          <w:tcPr>
            <w:tcW w:w="1179"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13,238</w:t>
            </w:r>
          </w:p>
        </w:tc>
      </w:tr>
      <w:tr w:rsidR="00DC5E2A" w:rsidRPr="006A7694" w:rsidTr="00EE6015">
        <w:trPr>
          <w:trHeight w:val="224"/>
          <w:jc w:val="center"/>
        </w:trPr>
        <w:tc>
          <w:tcPr>
            <w:tcW w:w="2127" w:type="dxa"/>
            <w:tcBorders>
              <w:top w:val="nil"/>
              <w:left w:val="single" w:sz="4" w:space="0" w:color="auto"/>
              <w:bottom w:val="single" w:sz="8" w:space="0" w:color="auto"/>
              <w:right w:val="single" w:sz="4" w:space="0" w:color="auto"/>
            </w:tcBorders>
            <w:shd w:val="clear" w:color="auto" w:fill="auto"/>
            <w:noWrap/>
            <w:vAlign w:val="bottom"/>
            <w:hideMark/>
          </w:tcPr>
          <w:p w:rsidR="00DC5E2A" w:rsidRPr="00A200D5" w:rsidRDefault="00DC5E2A" w:rsidP="00EE6015">
            <w:pPr>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Total financial assets</w:t>
            </w:r>
          </w:p>
        </w:tc>
        <w:tc>
          <w:tcPr>
            <w:tcW w:w="1275" w:type="dxa"/>
            <w:tcBorders>
              <w:top w:val="nil"/>
              <w:left w:val="single" w:sz="4" w:space="0" w:color="auto"/>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809</w:t>
            </w:r>
          </w:p>
        </w:tc>
        <w:tc>
          <w:tcPr>
            <w:tcW w:w="1276"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830</w:t>
            </w:r>
          </w:p>
        </w:tc>
        <w:tc>
          <w:tcPr>
            <w:tcW w:w="1276"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14,477</w:t>
            </w:r>
          </w:p>
        </w:tc>
        <w:tc>
          <w:tcPr>
            <w:tcW w:w="1276"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12,408</w:t>
            </w:r>
          </w:p>
        </w:tc>
        <w:tc>
          <w:tcPr>
            <w:tcW w:w="1244"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15,286</w:t>
            </w:r>
          </w:p>
        </w:tc>
        <w:tc>
          <w:tcPr>
            <w:tcW w:w="1179"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13,238</w:t>
            </w:r>
          </w:p>
        </w:tc>
      </w:tr>
      <w:tr w:rsidR="00DC5E2A" w:rsidRPr="006A7694" w:rsidTr="00EE6015">
        <w:trPr>
          <w:trHeight w:val="212"/>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C5E2A" w:rsidRPr="006A7694" w:rsidRDefault="00DC5E2A" w:rsidP="00EE6015">
            <w:pPr>
              <w:rPr>
                <w:rFonts w:eastAsia="Times New Roman" w:cs="Calibri"/>
                <w:color w:val="000000"/>
                <w:sz w:val="16"/>
                <w:szCs w:val="16"/>
                <w:lang w:val="en-GB" w:eastAsia="en-GB"/>
              </w:rPr>
            </w:pPr>
            <w:r w:rsidRPr="006A7694">
              <w:rPr>
                <w:rFonts w:eastAsia="Times New Roman" w:cs="Calibri"/>
                <w:color w:val="000000"/>
                <w:sz w:val="16"/>
                <w:szCs w:val="16"/>
                <w:lang w:val="en-GB" w:eastAsia="en-GB"/>
              </w:rPr>
              <w:t>Non - financial Assets</w:t>
            </w:r>
          </w:p>
        </w:tc>
        <w:tc>
          <w:tcPr>
            <w:tcW w:w="1275" w:type="dxa"/>
            <w:tcBorders>
              <w:top w:val="nil"/>
              <w:left w:val="single" w:sz="4" w:space="0" w:color="auto"/>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 xml:space="preserve">  </w:t>
            </w:r>
            <w:r>
              <w:rPr>
                <w:rFonts w:eastAsia="Times New Roman" w:cs="Calibri"/>
                <w:color w:val="000000"/>
                <w:sz w:val="16"/>
                <w:szCs w:val="16"/>
                <w:lang w:val="en-GB" w:eastAsia="en-GB"/>
              </w:rPr>
              <w:t>20</w:t>
            </w:r>
            <w:r w:rsidRPr="006A7694">
              <w:rPr>
                <w:rFonts w:eastAsia="Times New Roman" w:cs="Calibri"/>
                <w:color w:val="000000"/>
                <w:sz w:val="16"/>
                <w:szCs w:val="16"/>
                <w:lang w:val="en-GB" w:eastAsia="en-GB"/>
              </w:rPr>
              <w:t>,</w:t>
            </w:r>
            <w:r>
              <w:rPr>
                <w:rFonts w:eastAsia="Times New Roman" w:cs="Calibri"/>
                <w:color w:val="000000"/>
                <w:sz w:val="16"/>
                <w:szCs w:val="16"/>
                <w:lang w:val="en-GB" w:eastAsia="en-GB"/>
              </w:rPr>
              <w:t>935</w:t>
            </w:r>
            <w:r w:rsidRPr="006A7694">
              <w:rPr>
                <w:rFonts w:eastAsia="Times New Roman" w:cs="Calibri"/>
                <w:color w:val="000000"/>
                <w:sz w:val="16"/>
                <w:szCs w:val="16"/>
                <w:lang w:val="en-GB" w:eastAsia="en-GB"/>
              </w:rPr>
              <w:t xml:space="preserve"> </w:t>
            </w:r>
          </w:p>
        </w:tc>
        <w:tc>
          <w:tcPr>
            <w:tcW w:w="1276"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 xml:space="preserve">      2</w:t>
            </w:r>
            <w:r w:rsidR="00734D30">
              <w:rPr>
                <w:rFonts w:eastAsia="Times New Roman" w:cs="Calibri"/>
                <w:color w:val="000000"/>
                <w:sz w:val="16"/>
                <w:szCs w:val="16"/>
                <w:lang w:val="en-GB" w:eastAsia="en-GB"/>
              </w:rPr>
              <w:t>5</w:t>
            </w:r>
            <w:r w:rsidRPr="006A7694">
              <w:rPr>
                <w:rFonts w:eastAsia="Times New Roman" w:cs="Calibri"/>
                <w:color w:val="000000"/>
                <w:sz w:val="16"/>
                <w:szCs w:val="16"/>
                <w:lang w:val="en-GB" w:eastAsia="en-GB"/>
              </w:rPr>
              <w:t>,</w:t>
            </w:r>
            <w:r w:rsidR="00734D30">
              <w:rPr>
                <w:rFonts w:eastAsia="Times New Roman" w:cs="Calibri"/>
                <w:color w:val="000000"/>
                <w:sz w:val="16"/>
                <w:szCs w:val="16"/>
                <w:lang w:val="en-GB" w:eastAsia="en-GB"/>
              </w:rPr>
              <w:t>536</w:t>
            </w:r>
            <w:r w:rsidRPr="006A7694">
              <w:rPr>
                <w:rFonts w:eastAsia="Times New Roman" w:cs="Calibri"/>
                <w:color w:val="000000"/>
                <w:sz w:val="16"/>
                <w:szCs w:val="16"/>
                <w:lang w:val="en-GB" w:eastAsia="en-GB"/>
              </w:rPr>
              <w:t xml:space="preserve"> </w:t>
            </w:r>
          </w:p>
        </w:tc>
        <w:tc>
          <w:tcPr>
            <w:tcW w:w="1276" w:type="dxa"/>
            <w:tcBorders>
              <w:top w:val="nil"/>
              <w:left w:val="nil"/>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 xml:space="preserve">            -   </w:t>
            </w:r>
          </w:p>
        </w:tc>
        <w:tc>
          <w:tcPr>
            <w:tcW w:w="1276"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 xml:space="preserve">            -   </w:t>
            </w:r>
          </w:p>
        </w:tc>
        <w:tc>
          <w:tcPr>
            <w:tcW w:w="1244" w:type="dxa"/>
            <w:tcBorders>
              <w:top w:val="nil"/>
              <w:left w:val="nil"/>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 xml:space="preserve">  </w:t>
            </w:r>
            <w:r>
              <w:rPr>
                <w:rFonts w:eastAsia="Times New Roman" w:cs="Calibri"/>
                <w:color w:val="000000"/>
                <w:sz w:val="16"/>
                <w:szCs w:val="16"/>
                <w:lang w:val="en-GB" w:eastAsia="en-GB"/>
              </w:rPr>
              <w:t>20</w:t>
            </w:r>
            <w:r w:rsidRPr="006A7694">
              <w:rPr>
                <w:rFonts w:eastAsia="Times New Roman" w:cs="Calibri"/>
                <w:color w:val="000000"/>
                <w:sz w:val="16"/>
                <w:szCs w:val="16"/>
                <w:lang w:val="en-GB" w:eastAsia="en-GB"/>
              </w:rPr>
              <w:t>,</w:t>
            </w:r>
            <w:r>
              <w:rPr>
                <w:rFonts w:eastAsia="Times New Roman" w:cs="Calibri"/>
                <w:color w:val="000000"/>
                <w:sz w:val="16"/>
                <w:szCs w:val="16"/>
                <w:lang w:val="en-GB" w:eastAsia="en-GB"/>
              </w:rPr>
              <w:t>935</w:t>
            </w:r>
            <w:r w:rsidRPr="006A7694">
              <w:rPr>
                <w:rFonts w:eastAsia="Times New Roman" w:cs="Calibri"/>
                <w:color w:val="000000"/>
                <w:sz w:val="16"/>
                <w:szCs w:val="16"/>
                <w:lang w:val="en-GB" w:eastAsia="en-GB"/>
              </w:rPr>
              <w:t xml:space="preserve"> </w:t>
            </w:r>
          </w:p>
        </w:tc>
        <w:tc>
          <w:tcPr>
            <w:tcW w:w="1179"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 xml:space="preserve">       2</w:t>
            </w:r>
            <w:r w:rsidR="00734D30">
              <w:rPr>
                <w:rFonts w:eastAsia="Times New Roman" w:cs="Calibri"/>
                <w:color w:val="000000"/>
                <w:sz w:val="16"/>
                <w:szCs w:val="16"/>
                <w:lang w:val="en-GB" w:eastAsia="en-GB"/>
              </w:rPr>
              <w:t>5</w:t>
            </w:r>
            <w:r w:rsidRPr="006A7694">
              <w:rPr>
                <w:rFonts w:eastAsia="Times New Roman" w:cs="Calibri"/>
                <w:color w:val="000000"/>
                <w:sz w:val="16"/>
                <w:szCs w:val="16"/>
                <w:lang w:val="en-GB" w:eastAsia="en-GB"/>
              </w:rPr>
              <w:t>,</w:t>
            </w:r>
            <w:r w:rsidR="001E1A1C">
              <w:rPr>
                <w:rFonts w:eastAsia="Times New Roman" w:cs="Calibri"/>
                <w:color w:val="000000"/>
                <w:sz w:val="16"/>
                <w:szCs w:val="16"/>
                <w:lang w:val="en-GB" w:eastAsia="en-GB"/>
              </w:rPr>
              <w:t>53</w:t>
            </w:r>
            <w:r w:rsidR="00734D30">
              <w:rPr>
                <w:rFonts w:eastAsia="Times New Roman" w:cs="Calibri"/>
                <w:color w:val="000000"/>
                <w:sz w:val="16"/>
                <w:szCs w:val="16"/>
                <w:lang w:val="en-GB" w:eastAsia="en-GB"/>
              </w:rPr>
              <w:t>6</w:t>
            </w:r>
            <w:r w:rsidRPr="006A7694">
              <w:rPr>
                <w:rFonts w:eastAsia="Times New Roman" w:cs="Calibri"/>
                <w:color w:val="000000"/>
                <w:sz w:val="16"/>
                <w:szCs w:val="16"/>
                <w:lang w:val="en-GB" w:eastAsia="en-GB"/>
              </w:rPr>
              <w:t xml:space="preserve"> </w:t>
            </w:r>
          </w:p>
        </w:tc>
      </w:tr>
      <w:tr w:rsidR="00DC5E2A" w:rsidRPr="00531EBE" w:rsidTr="00EE6015">
        <w:trPr>
          <w:trHeight w:val="224"/>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C5E2A" w:rsidRPr="00A200D5" w:rsidRDefault="00DC5E2A" w:rsidP="00EE6015">
            <w:pPr>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Total current assets</w:t>
            </w:r>
          </w:p>
        </w:tc>
        <w:tc>
          <w:tcPr>
            <w:tcW w:w="1275" w:type="dxa"/>
            <w:tcBorders>
              <w:top w:val="nil"/>
              <w:left w:val="single" w:sz="4" w:space="0" w:color="auto"/>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21,744 </w:t>
            </w:r>
          </w:p>
        </w:tc>
        <w:tc>
          <w:tcPr>
            <w:tcW w:w="1276"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26,</w:t>
            </w:r>
            <w:r w:rsidR="00734D30">
              <w:rPr>
                <w:rFonts w:eastAsia="Times New Roman" w:cs="Calibri"/>
                <w:b/>
                <w:color w:val="000000"/>
                <w:sz w:val="16"/>
                <w:szCs w:val="16"/>
                <w:lang w:val="en-GB" w:eastAsia="en-GB"/>
              </w:rPr>
              <w:t>366</w:t>
            </w:r>
            <w:r w:rsidRPr="00A200D5">
              <w:rPr>
                <w:rFonts w:eastAsia="Times New Roman" w:cs="Calibri"/>
                <w:b/>
                <w:color w:val="000000"/>
                <w:sz w:val="16"/>
                <w:szCs w:val="16"/>
                <w:lang w:val="en-GB" w:eastAsia="en-GB"/>
              </w:rPr>
              <w:t xml:space="preserve"> </w:t>
            </w:r>
          </w:p>
        </w:tc>
        <w:tc>
          <w:tcPr>
            <w:tcW w:w="1276"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14,477 </w:t>
            </w:r>
          </w:p>
        </w:tc>
        <w:tc>
          <w:tcPr>
            <w:tcW w:w="1276"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12,408 </w:t>
            </w:r>
          </w:p>
        </w:tc>
        <w:tc>
          <w:tcPr>
            <w:tcW w:w="1244"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36,220   </w:t>
            </w:r>
          </w:p>
        </w:tc>
        <w:tc>
          <w:tcPr>
            <w:tcW w:w="1179"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       3</w:t>
            </w:r>
            <w:r w:rsidR="00734D30">
              <w:rPr>
                <w:rFonts w:eastAsia="Times New Roman" w:cs="Calibri"/>
                <w:b/>
                <w:color w:val="000000"/>
                <w:sz w:val="16"/>
                <w:szCs w:val="16"/>
                <w:lang w:val="en-GB" w:eastAsia="en-GB"/>
              </w:rPr>
              <w:t>8</w:t>
            </w:r>
            <w:r w:rsidRPr="00A200D5">
              <w:rPr>
                <w:rFonts w:eastAsia="Times New Roman" w:cs="Calibri"/>
                <w:b/>
                <w:color w:val="000000"/>
                <w:sz w:val="16"/>
                <w:szCs w:val="16"/>
                <w:lang w:val="en-GB" w:eastAsia="en-GB"/>
              </w:rPr>
              <w:t>,</w:t>
            </w:r>
            <w:r w:rsidR="00734D30">
              <w:rPr>
                <w:rFonts w:eastAsia="Times New Roman" w:cs="Calibri"/>
                <w:b/>
                <w:color w:val="000000"/>
                <w:sz w:val="16"/>
                <w:szCs w:val="16"/>
                <w:lang w:val="en-GB" w:eastAsia="en-GB"/>
              </w:rPr>
              <w:t>774</w:t>
            </w:r>
            <w:r w:rsidRPr="00A200D5">
              <w:rPr>
                <w:rFonts w:eastAsia="Times New Roman" w:cs="Calibri"/>
                <w:b/>
                <w:color w:val="000000"/>
                <w:sz w:val="16"/>
                <w:szCs w:val="16"/>
                <w:lang w:val="en-GB" w:eastAsia="en-GB"/>
              </w:rPr>
              <w:t xml:space="preserve"> </w:t>
            </w:r>
          </w:p>
        </w:tc>
      </w:tr>
    </w:tbl>
    <w:p w:rsidR="00DC5E2A" w:rsidRDefault="00DC5E2A" w:rsidP="00DC5E2A">
      <w:pPr>
        <w:rPr>
          <w:lang w:val="pt-BR"/>
        </w:rPr>
      </w:pPr>
    </w:p>
    <w:p w:rsidR="00DC5E2A" w:rsidRDefault="00DC5E2A" w:rsidP="00DC5E2A">
      <w:pPr>
        <w:pStyle w:val="T1TableStyle"/>
        <w:rPr>
          <w:rFonts w:ascii="Verdana" w:eastAsia="Verdana" w:hAnsi="Verdana" w:cs="Verdana"/>
          <w:sz w:val="22"/>
          <w:highlight w:val="yellow"/>
          <w:lang w:val="en-GB"/>
        </w:rPr>
      </w:pPr>
    </w:p>
    <w:tbl>
      <w:tblPr>
        <w:tblW w:w="9542" w:type="dxa"/>
        <w:jc w:val="center"/>
        <w:tblLook w:val="04A0" w:firstRow="1" w:lastRow="0" w:firstColumn="1" w:lastColumn="0" w:noHBand="0" w:noVBand="1"/>
      </w:tblPr>
      <w:tblGrid>
        <w:gridCol w:w="426"/>
        <w:gridCol w:w="2522"/>
        <w:gridCol w:w="1648"/>
        <w:gridCol w:w="1985"/>
        <w:gridCol w:w="1648"/>
        <w:gridCol w:w="1985"/>
      </w:tblGrid>
      <w:tr w:rsidR="00DC5E2A" w:rsidRPr="00A24354" w:rsidTr="00A200D5">
        <w:trPr>
          <w:gridBefore w:val="1"/>
          <w:wBefore w:w="426" w:type="dxa"/>
          <w:trHeight w:val="217"/>
          <w:jc w:val="center"/>
        </w:trPr>
        <w:tc>
          <w:tcPr>
            <w:tcW w:w="2522" w:type="dxa"/>
            <w:tcBorders>
              <w:top w:val="nil"/>
              <w:left w:val="nil"/>
              <w:bottom w:val="single" w:sz="4" w:space="0" w:color="auto"/>
              <w:right w:val="nil"/>
            </w:tcBorders>
            <w:shd w:val="clear" w:color="auto" w:fill="auto"/>
            <w:noWrap/>
            <w:vAlign w:val="bottom"/>
            <w:hideMark/>
          </w:tcPr>
          <w:p w:rsidR="00DC5E2A" w:rsidRPr="00A24354" w:rsidRDefault="00DC5E2A" w:rsidP="00EE6015">
            <w:pPr>
              <w:jc w:val="center"/>
              <w:rPr>
                <w:rFonts w:eastAsia="Times New Roman" w:cs="Calibri"/>
                <w:color w:val="000000"/>
                <w:sz w:val="16"/>
                <w:szCs w:val="16"/>
                <w:lang w:val="en-GB" w:eastAsia="en-GB"/>
              </w:rPr>
            </w:pPr>
          </w:p>
        </w:tc>
        <w:tc>
          <w:tcPr>
            <w:tcW w:w="6594" w:type="dxa"/>
            <w:gridSpan w:val="4"/>
            <w:tcBorders>
              <w:top w:val="nil"/>
              <w:left w:val="nil"/>
              <w:bottom w:val="single" w:sz="8" w:space="0" w:color="auto"/>
              <w:right w:val="nil"/>
            </w:tcBorders>
            <w:shd w:val="clear" w:color="auto" w:fill="auto"/>
            <w:noWrap/>
            <w:vAlign w:val="bottom"/>
            <w:hideMark/>
          </w:tcPr>
          <w:p w:rsidR="00DC5E2A" w:rsidRPr="00A24354" w:rsidRDefault="00C86C86" w:rsidP="00EE6015">
            <w:pPr>
              <w:jc w:val="center"/>
              <w:rPr>
                <w:rFonts w:eastAsia="Times New Roman" w:cs="Calibri"/>
                <w:b/>
                <w:bCs/>
                <w:color w:val="000000"/>
                <w:sz w:val="16"/>
                <w:szCs w:val="16"/>
                <w:lang w:val="en-GB" w:eastAsia="en-GB"/>
              </w:rPr>
            </w:pPr>
            <w:r>
              <w:rPr>
                <w:rFonts w:eastAsia="Times New Roman" w:cs="Calibri"/>
                <w:b/>
                <w:bCs/>
                <w:color w:val="000000"/>
                <w:sz w:val="16"/>
                <w:szCs w:val="16"/>
                <w:lang w:val="en-GB" w:eastAsia="en-GB"/>
              </w:rPr>
              <w:t>Non-</w:t>
            </w:r>
            <w:r w:rsidR="00DC5E2A" w:rsidRPr="00A24354">
              <w:rPr>
                <w:rFonts w:eastAsia="Times New Roman" w:cs="Calibri"/>
                <w:b/>
                <w:bCs/>
                <w:color w:val="000000"/>
                <w:sz w:val="16"/>
                <w:szCs w:val="16"/>
                <w:lang w:val="en-GB" w:eastAsia="en-GB"/>
              </w:rPr>
              <w:t>Current Financial Liabilities</w:t>
            </w:r>
          </w:p>
        </w:tc>
      </w:tr>
      <w:tr w:rsidR="00DC5E2A" w:rsidRPr="00A24354" w:rsidTr="00A200D5">
        <w:trPr>
          <w:trHeight w:val="205"/>
          <w:jc w:val="center"/>
        </w:trPr>
        <w:tc>
          <w:tcPr>
            <w:tcW w:w="2948" w:type="dxa"/>
            <w:gridSpan w:val="2"/>
            <w:tcBorders>
              <w:top w:val="single" w:sz="4" w:space="0" w:color="auto"/>
              <w:left w:val="single" w:sz="4" w:space="0" w:color="auto"/>
              <w:bottom w:val="nil"/>
              <w:right w:val="single" w:sz="4" w:space="0" w:color="auto"/>
            </w:tcBorders>
            <w:shd w:val="clear" w:color="auto" w:fill="auto"/>
            <w:noWrap/>
            <w:vAlign w:val="bottom"/>
            <w:hideMark/>
          </w:tcPr>
          <w:p w:rsidR="00DC5E2A" w:rsidRPr="00A24354" w:rsidRDefault="00DC5E2A" w:rsidP="00EE6015">
            <w:pPr>
              <w:jc w:val="center"/>
              <w:rPr>
                <w:rFonts w:eastAsia="Times New Roman" w:cs="Calibri"/>
                <w:b/>
                <w:bCs/>
                <w:color w:val="000000"/>
                <w:sz w:val="16"/>
                <w:szCs w:val="16"/>
                <w:lang w:val="en-GB" w:eastAsia="en-GB"/>
              </w:rPr>
            </w:pPr>
          </w:p>
        </w:tc>
        <w:tc>
          <w:tcPr>
            <w:tcW w:w="3297" w:type="dxa"/>
            <w:gridSpan w:val="2"/>
            <w:tcBorders>
              <w:top w:val="single" w:sz="8" w:space="0" w:color="auto"/>
              <w:left w:val="single" w:sz="4" w:space="0" w:color="auto"/>
              <w:bottom w:val="nil"/>
              <w:right w:val="single" w:sz="8" w:space="0" w:color="000000"/>
            </w:tcBorders>
            <w:shd w:val="clear" w:color="auto" w:fill="auto"/>
            <w:noWrap/>
            <w:vAlign w:val="bottom"/>
            <w:hideMark/>
          </w:tcPr>
          <w:p w:rsidR="00DC5E2A" w:rsidRPr="00A24354" w:rsidRDefault="00DC5E2A" w:rsidP="00EE6015">
            <w:pPr>
              <w:jc w:val="center"/>
              <w:rPr>
                <w:rFonts w:eastAsia="Times New Roman" w:cs="Calibri"/>
                <w:b/>
                <w:bCs/>
                <w:color w:val="000000"/>
                <w:sz w:val="16"/>
                <w:szCs w:val="16"/>
                <w:lang w:val="en-GB" w:eastAsia="en-GB"/>
              </w:rPr>
            </w:pPr>
            <w:r w:rsidRPr="00A24354">
              <w:rPr>
                <w:rFonts w:eastAsia="Times New Roman" w:cs="Calibri"/>
                <w:b/>
                <w:bCs/>
                <w:color w:val="000000"/>
                <w:sz w:val="16"/>
                <w:szCs w:val="16"/>
                <w:lang w:val="en-GB" w:eastAsia="en-GB"/>
              </w:rPr>
              <w:t>Borrowing</w:t>
            </w:r>
          </w:p>
        </w:tc>
        <w:tc>
          <w:tcPr>
            <w:tcW w:w="3297" w:type="dxa"/>
            <w:gridSpan w:val="2"/>
            <w:tcBorders>
              <w:top w:val="single" w:sz="8" w:space="0" w:color="auto"/>
              <w:left w:val="nil"/>
              <w:bottom w:val="nil"/>
              <w:right w:val="single" w:sz="8" w:space="0" w:color="000000"/>
            </w:tcBorders>
            <w:shd w:val="clear" w:color="auto" w:fill="auto"/>
            <w:noWrap/>
            <w:vAlign w:val="bottom"/>
            <w:hideMark/>
          </w:tcPr>
          <w:p w:rsidR="00DC5E2A" w:rsidRPr="00A24354" w:rsidRDefault="00DC5E2A" w:rsidP="00EE6015">
            <w:pPr>
              <w:jc w:val="center"/>
              <w:rPr>
                <w:rFonts w:eastAsia="Times New Roman" w:cs="Calibri"/>
                <w:b/>
                <w:bCs/>
                <w:color w:val="000000"/>
                <w:sz w:val="16"/>
                <w:szCs w:val="16"/>
                <w:lang w:val="en-GB" w:eastAsia="en-GB"/>
              </w:rPr>
            </w:pPr>
            <w:r w:rsidRPr="00A24354">
              <w:rPr>
                <w:rFonts w:eastAsia="Times New Roman" w:cs="Calibri"/>
                <w:b/>
                <w:bCs/>
                <w:color w:val="000000"/>
                <w:sz w:val="16"/>
                <w:szCs w:val="16"/>
                <w:lang w:val="en-GB" w:eastAsia="en-GB"/>
              </w:rPr>
              <w:t>Total</w:t>
            </w:r>
          </w:p>
        </w:tc>
      </w:tr>
      <w:tr w:rsidR="00DC5E2A" w:rsidRPr="00A24354" w:rsidTr="00A200D5">
        <w:trPr>
          <w:trHeight w:val="205"/>
          <w:jc w:val="center"/>
        </w:trPr>
        <w:tc>
          <w:tcPr>
            <w:tcW w:w="2948" w:type="dxa"/>
            <w:gridSpan w:val="2"/>
            <w:tcBorders>
              <w:top w:val="nil"/>
              <w:left w:val="single" w:sz="4" w:space="0" w:color="auto"/>
              <w:bottom w:val="nil"/>
              <w:right w:val="single" w:sz="4" w:space="0" w:color="auto"/>
            </w:tcBorders>
            <w:shd w:val="clear" w:color="auto" w:fill="auto"/>
            <w:noWrap/>
            <w:vAlign w:val="bottom"/>
            <w:hideMark/>
          </w:tcPr>
          <w:p w:rsidR="00DC5E2A" w:rsidRPr="00A24354" w:rsidRDefault="00DC5E2A" w:rsidP="00EE6015">
            <w:pPr>
              <w:jc w:val="center"/>
              <w:rPr>
                <w:rFonts w:eastAsia="Times New Roman" w:cs="Calibri"/>
                <w:b/>
                <w:bCs/>
                <w:color w:val="000000"/>
                <w:sz w:val="16"/>
                <w:szCs w:val="16"/>
                <w:lang w:val="en-GB" w:eastAsia="en-GB"/>
              </w:rPr>
            </w:pPr>
          </w:p>
        </w:tc>
        <w:tc>
          <w:tcPr>
            <w:tcW w:w="1648" w:type="dxa"/>
            <w:tcBorders>
              <w:top w:val="nil"/>
              <w:left w:val="single" w:sz="4" w:space="0" w:color="auto"/>
              <w:bottom w:val="nil"/>
              <w:right w:val="nil"/>
            </w:tcBorders>
            <w:shd w:val="clear" w:color="auto" w:fill="auto"/>
            <w:noWrap/>
            <w:vAlign w:val="bottom"/>
            <w:hideMark/>
          </w:tcPr>
          <w:p w:rsidR="00DC5E2A" w:rsidRPr="00A24354" w:rsidRDefault="00DC5E2A" w:rsidP="00EE6015">
            <w:pPr>
              <w:jc w:val="right"/>
              <w:rPr>
                <w:rFonts w:eastAsia="Times New Roman" w:cs="Calibri"/>
                <w:b/>
                <w:bCs/>
                <w:color w:val="000000"/>
                <w:sz w:val="16"/>
                <w:szCs w:val="16"/>
                <w:lang w:val="en-GB" w:eastAsia="en-GB"/>
              </w:rPr>
            </w:pPr>
            <w:r w:rsidRPr="00A24354">
              <w:rPr>
                <w:rFonts w:eastAsia="Times New Roman" w:cs="Calibri"/>
                <w:b/>
                <w:bCs/>
                <w:color w:val="000000"/>
                <w:sz w:val="16"/>
                <w:szCs w:val="16"/>
                <w:lang w:val="en-GB" w:eastAsia="en-GB"/>
              </w:rPr>
              <w:t>31-Mar-19</w:t>
            </w:r>
          </w:p>
        </w:tc>
        <w:tc>
          <w:tcPr>
            <w:tcW w:w="1649" w:type="dxa"/>
            <w:tcBorders>
              <w:top w:val="nil"/>
              <w:left w:val="nil"/>
              <w:bottom w:val="nil"/>
              <w:right w:val="single" w:sz="8" w:space="0" w:color="auto"/>
            </w:tcBorders>
            <w:shd w:val="clear" w:color="auto" w:fill="auto"/>
            <w:noWrap/>
            <w:vAlign w:val="bottom"/>
            <w:hideMark/>
          </w:tcPr>
          <w:p w:rsidR="00DC5E2A" w:rsidRPr="00A24354" w:rsidRDefault="00DC5E2A" w:rsidP="00EE6015">
            <w:pPr>
              <w:jc w:val="right"/>
              <w:rPr>
                <w:rFonts w:eastAsia="Times New Roman" w:cs="Calibri"/>
                <w:b/>
                <w:bCs/>
                <w:color w:val="000000"/>
                <w:sz w:val="16"/>
                <w:szCs w:val="16"/>
                <w:lang w:val="en-GB" w:eastAsia="en-GB"/>
              </w:rPr>
            </w:pPr>
            <w:r w:rsidRPr="00A24354">
              <w:rPr>
                <w:rFonts w:eastAsia="Times New Roman" w:cs="Calibri"/>
                <w:b/>
                <w:bCs/>
                <w:color w:val="000000"/>
                <w:sz w:val="16"/>
                <w:szCs w:val="16"/>
                <w:lang w:val="en-GB" w:eastAsia="en-GB"/>
              </w:rPr>
              <w:t>31-Mar-20</w:t>
            </w:r>
          </w:p>
        </w:tc>
        <w:tc>
          <w:tcPr>
            <w:tcW w:w="1648" w:type="dxa"/>
            <w:tcBorders>
              <w:top w:val="nil"/>
              <w:left w:val="nil"/>
              <w:bottom w:val="nil"/>
              <w:right w:val="nil"/>
            </w:tcBorders>
            <w:shd w:val="clear" w:color="auto" w:fill="auto"/>
            <w:noWrap/>
            <w:vAlign w:val="bottom"/>
            <w:hideMark/>
          </w:tcPr>
          <w:p w:rsidR="00DC5E2A" w:rsidRPr="00A24354" w:rsidRDefault="00DC5E2A" w:rsidP="00EE6015">
            <w:pPr>
              <w:jc w:val="right"/>
              <w:rPr>
                <w:rFonts w:eastAsia="Times New Roman" w:cs="Calibri"/>
                <w:b/>
                <w:bCs/>
                <w:color w:val="000000"/>
                <w:sz w:val="16"/>
                <w:szCs w:val="16"/>
                <w:lang w:val="en-GB" w:eastAsia="en-GB"/>
              </w:rPr>
            </w:pPr>
            <w:r w:rsidRPr="00A24354">
              <w:rPr>
                <w:rFonts w:eastAsia="Times New Roman" w:cs="Calibri"/>
                <w:b/>
                <w:bCs/>
                <w:color w:val="000000"/>
                <w:sz w:val="16"/>
                <w:szCs w:val="16"/>
                <w:lang w:val="en-GB" w:eastAsia="en-GB"/>
              </w:rPr>
              <w:t>31-Mar-19</w:t>
            </w:r>
          </w:p>
        </w:tc>
        <w:tc>
          <w:tcPr>
            <w:tcW w:w="1649" w:type="dxa"/>
            <w:tcBorders>
              <w:top w:val="nil"/>
              <w:left w:val="nil"/>
              <w:bottom w:val="nil"/>
              <w:right w:val="single" w:sz="8" w:space="0" w:color="auto"/>
            </w:tcBorders>
            <w:shd w:val="clear" w:color="auto" w:fill="auto"/>
            <w:noWrap/>
            <w:vAlign w:val="bottom"/>
            <w:hideMark/>
          </w:tcPr>
          <w:p w:rsidR="00DC5E2A" w:rsidRPr="00A24354" w:rsidRDefault="00DC5E2A" w:rsidP="00EE6015">
            <w:pPr>
              <w:jc w:val="right"/>
              <w:rPr>
                <w:rFonts w:eastAsia="Times New Roman" w:cs="Calibri"/>
                <w:b/>
                <w:bCs/>
                <w:color w:val="000000"/>
                <w:sz w:val="16"/>
                <w:szCs w:val="16"/>
                <w:lang w:val="en-GB" w:eastAsia="en-GB"/>
              </w:rPr>
            </w:pPr>
            <w:r w:rsidRPr="00A24354">
              <w:rPr>
                <w:rFonts w:eastAsia="Times New Roman" w:cs="Calibri"/>
                <w:b/>
                <w:bCs/>
                <w:color w:val="000000"/>
                <w:sz w:val="16"/>
                <w:szCs w:val="16"/>
                <w:lang w:val="en-GB" w:eastAsia="en-GB"/>
              </w:rPr>
              <w:t>31-Mar-20</w:t>
            </w:r>
          </w:p>
        </w:tc>
      </w:tr>
      <w:tr w:rsidR="00DC5E2A" w:rsidRPr="00A24354" w:rsidTr="00A200D5">
        <w:trPr>
          <w:trHeight w:val="205"/>
          <w:jc w:val="center"/>
        </w:trPr>
        <w:tc>
          <w:tcPr>
            <w:tcW w:w="2948" w:type="dxa"/>
            <w:gridSpan w:val="2"/>
            <w:tcBorders>
              <w:top w:val="nil"/>
              <w:left w:val="single" w:sz="4" w:space="0" w:color="auto"/>
              <w:bottom w:val="single" w:sz="4" w:space="0" w:color="auto"/>
              <w:right w:val="single" w:sz="4" w:space="0" w:color="auto"/>
            </w:tcBorders>
            <w:shd w:val="clear" w:color="auto" w:fill="auto"/>
            <w:noWrap/>
            <w:vAlign w:val="bottom"/>
            <w:hideMark/>
          </w:tcPr>
          <w:p w:rsidR="00DC5E2A" w:rsidRPr="00A24354" w:rsidRDefault="00DC5E2A" w:rsidP="00EE6015">
            <w:pPr>
              <w:rPr>
                <w:rFonts w:eastAsia="Times New Roman" w:cs="Calibri"/>
                <w:color w:val="000000"/>
                <w:sz w:val="16"/>
                <w:szCs w:val="16"/>
                <w:lang w:val="en-GB" w:eastAsia="en-GB"/>
              </w:rPr>
            </w:pPr>
            <w:r w:rsidRPr="00A24354">
              <w:rPr>
                <w:rFonts w:eastAsia="Times New Roman" w:cs="Calibri"/>
                <w:color w:val="000000"/>
                <w:sz w:val="16"/>
                <w:szCs w:val="16"/>
                <w:lang w:val="en-GB" w:eastAsia="en-GB"/>
              </w:rPr>
              <w:t> </w:t>
            </w:r>
          </w:p>
        </w:tc>
        <w:tc>
          <w:tcPr>
            <w:tcW w:w="1648" w:type="dxa"/>
            <w:tcBorders>
              <w:top w:val="nil"/>
              <w:left w:val="single" w:sz="4" w:space="0" w:color="auto"/>
              <w:bottom w:val="single" w:sz="4" w:space="0" w:color="auto"/>
              <w:right w:val="nil"/>
            </w:tcBorders>
            <w:shd w:val="clear" w:color="auto" w:fill="auto"/>
            <w:noWrap/>
            <w:vAlign w:val="bottom"/>
            <w:hideMark/>
          </w:tcPr>
          <w:p w:rsidR="00DC5E2A" w:rsidRPr="00A24354" w:rsidRDefault="00DC5E2A" w:rsidP="00EE6015">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£000</w:t>
            </w:r>
          </w:p>
        </w:tc>
        <w:tc>
          <w:tcPr>
            <w:tcW w:w="1649" w:type="dxa"/>
            <w:tcBorders>
              <w:top w:val="nil"/>
              <w:left w:val="nil"/>
              <w:bottom w:val="single" w:sz="4" w:space="0" w:color="auto"/>
              <w:right w:val="single" w:sz="8" w:space="0" w:color="auto"/>
            </w:tcBorders>
            <w:shd w:val="clear" w:color="auto" w:fill="auto"/>
            <w:noWrap/>
            <w:vAlign w:val="bottom"/>
            <w:hideMark/>
          </w:tcPr>
          <w:p w:rsidR="00DC5E2A" w:rsidRPr="00A24354" w:rsidRDefault="00DC5E2A" w:rsidP="00EE6015">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£000</w:t>
            </w:r>
          </w:p>
        </w:tc>
        <w:tc>
          <w:tcPr>
            <w:tcW w:w="1648" w:type="dxa"/>
            <w:tcBorders>
              <w:top w:val="nil"/>
              <w:left w:val="nil"/>
              <w:bottom w:val="single" w:sz="4" w:space="0" w:color="auto"/>
              <w:right w:val="nil"/>
            </w:tcBorders>
            <w:shd w:val="clear" w:color="auto" w:fill="auto"/>
            <w:noWrap/>
            <w:vAlign w:val="bottom"/>
            <w:hideMark/>
          </w:tcPr>
          <w:p w:rsidR="00DC5E2A" w:rsidRPr="00A24354" w:rsidRDefault="00DC5E2A" w:rsidP="00EE6015">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£000</w:t>
            </w:r>
          </w:p>
        </w:tc>
        <w:tc>
          <w:tcPr>
            <w:tcW w:w="1649" w:type="dxa"/>
            <w:tcBorders>
              <w:top w:val="nil"/>
              <w:left w:val="nil"/>
              <w:bottom w:val="single" w:sz="4" w:space="0" w:color="auto"/>
              <w:right w:val="single" w:sz="8" w:space="0" w:color="auto"/>
            </w:tcBorders>
            <w:shd w:val="clear" w:color="auto" w:fill="auto"/>
            <w:noWrap/>
            <w:vAlign w:val="bottom"/>
            <w:hideMark/>
          </w:tcPr>
          <w:p w:rsidR="00DC5E2A" w:rsidRPr="00A24354" w:rsidRDefault="00DC5E2A" w:rsidP="00EE6015">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£000</w:t>
            </w:r>
          </w:p>
        </w:tc>
      </w:tr>
      <w:tr w:rsidR="00DC5E2A" w:rsidRPr="00A24354" w:rsidTr="00A200D5">
        <w:trPr>
          <w:trHeight w:val="205"/>
          <w:jc w:val="center"/>
        </w:trPr>
        <w:tc>
          <w:tcPr>
            <w:tcW w:w="2948" w:type="dxa"/>
            <w:gridSpan w:val="2"/>
            <w:tcBorders>
              <w:top w:val="nil"/>
              <w:left w:val="single" w:sz="4" w:space="0" w:color="auto"/>
              <w:bottom w:val="single" w:sz="4" w:space="0" w:color="auto"/>
              <w:right w:val="single" w:sz="4" w:space="0" w:color="auto"/>
            </w:tcBorders>
            <w:shd w:val="clear" w:color="auto" w:fill="auto"/>
            <w:noWrap/>
            <w:vAlign w:val="bottom"/>
            <w:hideMark/>
          </w:tcPr>
          <w:p w:rsidR="00DC5E2A" w:rsidRPr="00A24354" w:rsidRDefault="00DC5E2A" w:rsidP="00EE6015">
            <w:pPr>
              <w:rPr>
                <w:rFonts w:eastAsia="Times New Roman" w:cs="Calibri"/>
                <w:color w:val="000000"/>
                <w:sz w:val="16"/>
                <w:szCs w:val="16"/>
                <w:lang w:val="en-GB" w:eastAsia="en-GB"/>
              </w:rPr>
            </w:pPr>
            <w:r w:rsidRPr="00A24354">
              <w:rPr>
                <w:rFonts w:eastAsia="Times New Roman" w:cs="Calibri"/>
                <w:color w:val="000000"/>
                <w:sz w:val="16"/>
                <w:szCs w:val="16"/>
                <w:lang w:val="en-GB" w:eastAsia="en-GB"/>
              </w:rPr>
              <w:t>Amortised Cost</w:t>
            </w:r>
          </w:p>
        </w:tc>
        <w:tc>
          <w:tcPr>
            <w:tcW w:w="1648" w:type="dxa"/>
            <w:tcBorders>
              <w:top w:val="nil"/>
              <w:left w:val="single" w:sz="4" w:space="0" w:color="auto"/>
              <w:bottom w:val="single" w:sz="4" w:space="0" w:color="auto"/>
              <w:right w:val="nil"/>
            </w:tcBorders>
            <w:shd w:val="clear" w:color="auto" w:fill="auto"/>
            <w:noWrap/>
            <w:vAlign w:val="bottom"/>
            <w:hideMark/>
          </w:tcPr>
          <w:p w:rsidR="00DC5E2A" w:rsidRPr="00A24354" w:rsidRDefault="00DC5E2A" w:rsidP="00EE6015">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(15,635)</w:t>
            </w:r>
          </w:p>
        </w:tc>
        <w:tc>
          <w:tcPr>
            <w:tcW w:w="1649" w:type="dxa"/>
            <w:tcBorders>
              <w:top w:val="nil"/>
              <w:left w:val="nil"/>
              <w:bottom w:val="single" w:sz="4" w:space="0" w:color="auto"/>
              <w:right w:val="single" w:sz="8" w:space="0" w:color="auto"/>
            </w:tcBorders>
            <w:shd w:val="clear" w:color="auto" w:fill="auto"/>
            <w:noWrap/>
            <w:vAlign w:val="bottom"/>
            <w:hideMark/>
          </w:tcPr>
          <w:p w:rsidR="00DC5E2A" w:rsidRPr="00A24354" w:rsidRDefault="00DC5E2A">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(15,</w:t>
            </w:r>
            <w:r w:rsidR="00801FD8">
              <w:rPr>
                <w:rFonts w:eastAsia="Times New Roman" w:cs="Calibri"/>
                <w:color w:val="000000"/>
                <w:sz w:val="16"/>
                <w:szCs w:val="16"/>
                <w:lang w:val="en-GB" w:eastAsia="en-GB"/>
              </w:rPr>
              <w:t>084</w:t>
            </w:r>
            <w:r w:rsidRPr="00A24354">
              <w:rPr>
                <w:rFonts w:eastAsia="Times New Roman" w:cs="Calibri"/>
                <w:color w:val="000000"/>
                <w:sz w:val="16"/>
                <w:szCs w:val="16"/>
                <w:lang w:val="en-GB" w:eastAsia="en-GB"/>
              </w:rPr>
              <w:t>)</w:t>
            </w:r>
          </w:p>
        </w:tc>
        <w:tc>
          <w:tcPr>
            <w:tcW w:w="1648" w:type="dxa"/>
            <w:tcBorders>
              <w:top w:val="nil"/>
              <w:left w:val="nil"/>
              <w:bottom w:val="single" w:sz="4" w:space="0" w:color="auto"/>
              <w:right w:val="nil"/>
            </w:tcBorders>
            <w:shd w:val="clear" w:color="auto" w:fill="auto"/>
            <w:noWrap/>
            <w:vAlign w:val="bottom"/>
            <w:hideMark/>
          </w:tcPr>
          <w:p w:rsidR="00DC5E2A" w:rsidRPr="00A24354" w:rsidRDefault="00DC5E2A" w:rsidP="00EE6015">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(15,635)</w:t>
            </w:r>
          </w:p>
        </w:tc>
        <w:tc>
          <w:tcPr>
            <w:tcW w:w="1649" w:type="dxa"/>
            <w:tcBorders>
              <w:top w:val="nil"/>
              <w:left w:val="nil"/>
              <w:bottom w:val="single" w:sz="4" w:space="0" w:color="auto"/>
              <w:right w:val="single" w:sz="8" w:space="0" w:color="auto"/>
            </w:tcBorders>
            <w:shd w:val="clear" w:color="auto" w:fill="auto"/>
            <w:noWrap/>
            <w:vAlign w:val="bottom"/>
            <w:hideMark/>
          </w:tcPr>
          <w:p w:rsidR="00DC5E2A" w:rsidRPr="00A24354" w:rsidRDefault="00DC5E2A">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(15,</w:t>
            </w:r>
            <w:r w:rsidR="00801FD8">
              <w:rPr>
                <w:rFonts w:eastAsia="Times New Roman" w:cs="Calibri"/>
                <w:color w:val="000000"/>
                <w:sz w:val="16"/>
                <w:szCs w:val="16"/>
                <w:lang w:val="en-GB" w:eastAsia="en-GB"/>
              </w:rPr>
              <w:t>08</w:t>
            </w:r>
            <w:r w:rsidRPr="00A24354">
              <w:rPr>
                <w:rFonts w:eastAsia="Times New Roman" w:cs="Calibri"/>
                <w:color w:val="000000"/>
                <w:sz w:val="16"/>
                <w:szCs w:val="16"/>
                <w:lang w:val="en-GB" w:eastAsia="en-GB"/>
              </w:rPr>
              <w:t>4)</w:t>
            </w:r>
          </w:p>
        </w:tc>
      </w:tr>
      <w:tr w:rsidR="00DC5E2A" w:rsidRPr="00A24354" w:rsidTr="00A200D5">
        <w:trPr>
          <w:trHeight w:val="217"/>
          <w:jc w:val="center"/>
        </w:trPr>
        <w:tc>
          <w:tcPr>
            <w:tcW w:w="2948" w:type="dxa"/>
            <w:gridSpan w:val="2"/>
            <w:tcBorders>
              <w:top w:val="nil"/>
              <w:left w:val="single" w:sz="4" w:space="0" w:color="auto"/>
              <w:bottom w:val="single" w:sz="8" w:space="0" w:color="auto"/>
              <w:right w:val="single" w:sz="4" w:space="0" w:color="auto"/>
            </w:tcBorders>
            <w:shd w:val="clear" w:color="auto" w:fill="auto"/>
            <w:noWrap/>
            <w:vAlign w:val="bottom"/>
            <w:hideMark/>
          </w:tcPr>
          <w:p w:rsidR="00DC5E2A" w:rsidRPr="00A200D5" w:rsidRDefault="00DC5E2A">
            <w:pPr>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 xml:space="preserve">Total financial </w:t>
            </w:r>
            <w:r w:rsidR="0030507D">
              <w:rPr>
                <w:rFonts w:eastAsia="Times New Roman" w:cs="Calibri"/>
                <w:b/>
                <w:color w:val="000000"/>
                <w:sz w:val="16"/>
                <w:szCs w:val="16"/>
                <w:lang w:val="en-GB" w:eastAsia="en-GB"/>
              </w:rPr>
              <w:t>liabilities</w:t>
            </w:r>
          </w:p>
        </w:tc>
        <w:tc>
          <w:tcPr>
            <w:tcW w:w="1648" w:type="dxa"/>
            <w:tcBorders>
              <w:top w:val="nil"/>
              <w:left w:val="single" w:sz="4" w:space="0" w:color="auto"/>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(15,635)</w:t>
            </w:r>
          </w:p>
        </w:tc>
        <w:tc>
          <w:tcPr>
            <w:tcW w:w="1649"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(15,</w:t>
            </w:r>
            <w:r w:rsidR="00801FD8" w:rsidRPr="00A200D5">
              <w:rPr>
                <w:rFonts w:eastAsia="Times New Roman" w:cs="Calibri"/>
                <w:b/>
                <w:color w:val="000000"/>
                <w:sz w:val="16"/>
                <w:szCs w:val="16"/>
                <w:lang w:val="en-GB" w:eastAsia="en-GB"/>
              </w:rPr>
              <w:t>08</w:t>
            </w:r>
            <w:r w:rsidRPr="00A200D5">
              <w:rPr>
                <w:rFonts w:eastAsia="Times New Roman" w:cs="Calibri"/>
                <w:b/>
                <w:color w:val="000000"/>
                <w:sz w:val="16"/>
                <w:szCs w:val="16"/>
                <w:lang w:val="en-GB" w:eastAsia="en-GB"/>
              </w:rPr>
              <w:t>4)</w:t>
            </w:r>
          </w:p>
        </w:tc>
        <w:tc>
          <w:tcPr>
            <w:tcW w:w="1648"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(15,635)</w:t>
            </w:r>
          </w:p>
        </w:tc>
        <w:tc>
          <w:tcPr>
            <w:tcW w:w="1649"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(15,</w:t>
            </w:r>
            <w:r w:rsidR="00801FD8" w:rsidRPr="00A200D5">
              <w:rPr>
                <w:rFonts w:eastAsia="Times New Roman" w:cs="Calibri"/>
                <w:b/>
                <w:color w:val="000000"/>
                <w:sz w:val="16"/>
                <w:szCs w:val="16"/>
                <w:lang w:val="en-GB" w:eastAsia="en-GB"/>
              </w:rPr>
              <w:t>08</w:t>
            </w:r>
            <w:r w:rsidRPr="00A200D5">
              <w:rPr>
                <w:rFonts w:eastAsia="Times New Roman" w:cs="Calibri"/>
                <w:b/>
                <w:color w:val="000000"/>
                <w:sz w:val="16"/>
                <w:szCs w:val="16"/>
                <w:lang w:val="en-GB" w:eastAsia="en-GB"/>
              </w:rPr>
              <w:t>4)</w:t>
            </w:r>
          </w:p>
        </w:tc>
      </w:tr>
      <w:tr w:rsidR="00DC5E2A" w:rsidRPr="00A24354" w:rsidTr="00A200D5">
        <w:trPr>
          <w:trHeight w:val="205"/>
          <w:jc w:val="center"/>
        </w:trPr>
        <w:tc>
          <w:tcPr>
            <w:tcW w:w="2948" w:type="dxa"/>
            <w:gridSpan w:val="2"/>
            <w:tcBorders>
              <w:top w:val="nil"/>
              <w:left w:val="single" w:sz="4" w:space="0" w:color="auto"/>
              <w:bottom w:val="single" w:sz="4" w:space="0" w:color="auto"/>
              <w:right w:val="single" w:sz="4" w:space="0" w:color="auto"/>
            </w:tcBorders>
            <w:shd w:val="clear" w:color="auto" w:fill="auto"/>
            <w:noWrap/>
            <w:vAlign w:val="bottom"/>
            <w:hideMark/>
          </w:tcPr>
          <w:p w:rsidR="00DC5E2A" w:rsidRPr="00A24354" w:rsidRDefault="00DC5E2A" w:rsidP="00EE6015">
            <w:pPr>
              <w:rPr>
                <w:rFonts w:eastAsia="Times New Roman" w:cs="Calibri"/>
                <w:color w:val="000000"/>
                <w:sz w:val="16"/>
                <w:szCs w:val="16"/>
                <w:lang w:val="en-GB" w:eastAsia="en-GB"/>
              </w:rPr>
            </w:pPr>
            <w:r w:rsidRPr="00A24354">
              <w:rPr>
                <w:rFonts w:eastAsia="Times New Roman" w:cs="Calibri"/>
                <w:color w:val="000000"/>
                <w:sz w:val="16"/>
                <w:szCs w:val="16"/>
                <w:lang w:val="en-GB" w:eastAsia="en-GB"/>
              </w:rPr>
              <w:t>Non - Financial Liabilities</w:t>
            </w:r>
          </w:p>
        </w:tc>
        <w:tc>
          <w:tcPr>
            <w:tcW w:w="1648" w:type="dxa"/>
            <w:tcBorders>
              <w:top w:val="nil"/>
              <w:left w:val="single" w:sz="4" w:space="0" w:color="auto"/>
              <w:bottom w:val="single" w:sz="4" w:space="0" w:color="auto"/>
              <w:right w:val="nil"/>
            </w:tcBorders>
            <w:shd w:val="clear" w:color="auto" w:fill="auto"/>
            <w:noWrap/>
            <w:vAlign w:val="bottom"/>
            <w:hideMark/>
          </w:tcPr>
          <w:p w:rsidR="00DC5E2A" w:rsidRPr="00A24354" w:rsidRDefault="00DC5E2A" w:rsidP="00EE6015">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(2,156,930)</w:t>
            </w:r>
          </w:p>
        </w:tc>
        <w:tc>
          <w:tcPr>
            <w:tcW w:w="1649" w:type="dxa"/>
            <w:tcBorders>
              <w:top w:val="nil"/>
              <w:left w:val="nil"/>
              <w:bottom w:val="single" w:sz="4" w:space="0" w:color="auto"/>
              <w:right w:val="single" w:sz="8" w:space="0" w:color="auto"/>
            </w:tcBorders>
            <w:shd w:val="clear" w:color="auto" w:fill="auto"/>
            <w:noWrap/>
            <w:vAlign w:val="bottom"/>
            <w:hideMark/>
          </w:tcPr>
          <w:p w:rsidR="00DC5E2A" w:rsidRPr="00A24354" w:rsidRDefault="00DC5E2A">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(2,0</w:t>
            </w:r>
            <w:r w:rsidR="00734D30">
              <w:rPr>
                <w:rFonts w:eastAsia="Times New Roman" w:cs="Calibri"/>
                <w:color w:val="000000"/>
                <w:sz w:val="16"/>
                <w:szCs w:val="16"/>
                <w:lang w:val="en-GB" w:eastAsia="en-GB"/>
              </w:rPr>
              <w:t>2</w:t>
            </w:r>
            <w:r w:rsidRPr="00A24354">
              <w:rPr>
                <w:rFonts w:eastAsia="Times New Roman" w:cs="Calibri"/>
                <w:color w:val="000000"/>
                <w:sz w:val="16"/>
                <w:szCs w:val="16"/>
                <w:lang w:val="en-GB" w:eastAsia="en-GB"/>
              </w:rPr>
              <w:t>7,</w:t>
            </w:r>
            <w:r w:rsidR="00734D30">
              <w:rPr>
                <w:rFonts w:eastAsia="Times New Roman" w:cs="Calibri"/>
                <w:color w:val="000000"/>
                <w:sz w:val="16"/>
                <w:szCs w:val="16"/>
                <w:lang w:val="en-GB" w:eastAsia="en-GB"/>
              </w:rPr>
              <w:t>9</w:t>
            </w:r>
            <w:r w:rsidRPr="00A24354">
              <w:rPr>
                <w:rFonts w:eastAsia="Times New Roman" w:cs="Calibri"/>
                <w:color w:val="000000"/>
                <w:sz w:val="16"/>
                <w:szCs w:val="16"/>
                <w:lang w:val="en-GB" w:eastAsia="en-GB"/>
              </w:rPr>
              <w:t>5</w:t>
            </w:r>
            <w:r w:rsidR="00734D30">
              <w:rPr>
                <w:rFonts w:eastAsia="Times New Roman" w:cs="Calibri"/>
                <w:color w:val="000000"/>
                <w:sz w:val="16"/>
                <w:szCs w:val="16"/>
                <w:lang w:val="en-GB" w:eastAsia="en-GB"/>
              </w:rPr>
              <w:t>8</w:t>
            </w:r>
            <w:r w:rsidRPr="00A24354">
              <w:rPr>
                <w:rFonts w:eastAsia="Times New Roman" w:cs="Calibri"/>
                <w:color w:val="000000"/>
                <w:sz w:val="16"/>
                <w:szCs w:val="16"/>
                <w:lang w:val="en-GB" w:eastAsia="en-GB"/>
              </w:rPr>
              <w:t>)</w:t>
            </w:r>
          </w:p>
        </w:tc>
        <w:tc>
          <w:tcPr>
            <w:tcW w:w="1648" w:type="dxa"/>
            <w:tcBorders>
              <w:top w:val="nil"/>
              <w:left w:val="nil"/>
              <w:bottom w:val="single" w:sz="4" w:space="0" w:color="auto"/>
              <w:right w:val="nil"/>
            </w:tcBorders>
            <w:shd w:val="clear" w:color="auto" w:fill="auto"/>
            <w:noWrap/>
            <w:vAlign w:val="bottom"/>
            <w:hideMark/>
          </w:tcPr>
          <w:p w:rsidR="00DC5E2A" w:rsidRPr="00A24354" w:rsidRDefault="00DC5E2A" w:rsidP="00EE6015">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(2,156,930)</w:t>
            </w:r>
          </w:p>
        </w:tc>
        <w:tc>
          <w:tcPr>
            <w:tcW w:w="1649" w:type="dxa"/>
            <w:tcBorders>
              <w:top w:val="nil"/>
              <w:left w:val="nil"/>
              <w:bottom w:val="single" w:sz="4" w:space="0" w:color="auto"/>
              <w:right w:val="single" w:sz="8" w:space="0" w:color="auto"/>
            </w:tcBorders>
            <w:shd w:val="clear" w:color="auto" w:fill="auto"/>
            <w:noWrap/>
            <w:vAlign w:val="bottom"/>
            <w:hideMark/>
          </w:tcPr>
          <w:p w:rsidR="00DC5E2A" w:rsidRPr="00A24354" w:rsidRDefault="00DC5E2A">
            <w:pPr>
              <w:jc w:val="right"/>
              <w:rPr>
                <w:rFonts w:eastAsia="Times New Roman" w:cs="Calibri"/>
                <w:color w:val="000000"/>
                <w:sz w:val="16"/>
                <w:szCs w:val="16"/>
                <w:lang w:val="en-GB" w:eastAsia="en-GB"/>
              </w:rPr>
            </w:pPr>
            <w:r w:rsidRPr="00A24354">
              <w:rPr>
                <w:rFonts w:eastAsia="Times New Roman" w:cs="Calibri"/>
                <w:color w:val="000000"/>
                <w:sz w:val="16"/>
                <w:szCs w:val="16"/>
                <w:lang w:val="en-GB" w:eastAsia="en-GB"/>
              </w:rPr>
              <w:t>(2,0</w:t>
            </w:r>
            <w:r w:rsidR="00734D30">
              <w:rPr>
                <w:rFonts w:eastAsia="Times New Roman" w:cs="Calibri"/>
                <w:color w:val="000000"/>
                <w:sz w:val="16"/>
                <w:szCs w:val="16"/>
                <w:lang w:val="en-GB" w:eastAsia="en-GB"/>
              </w:rPr>
              <w:t>2</w:t>
            </w:r>
            <w:r w:rsidRPr="00A24354">
              <w:rPr>
                <w:rFonts w:eastAsia="Times New Roman" w:cs="Calibri"/>
                <w:color w:val="000000"/>
                <w:sz w:val="16"/>
                <w:szCs w:val="16"/>
                <w:lang w:val="en-GB" w:eastAsia="en-GB"/>
              </w:rPr>
              <w:t>7,</w:t>
            </w:r>
            <w:r w:rsidR="00734D30">
              <w:rPr>
                <w:rFonts w:eastAsia="Times New Roman" w:cs="Calibri"/>
                <w:color w:val="000000"/>
                <w:sz w:val="16"/>
                <w:szCs w:val="16"/>
                <w:lang w:val="en-GB" w:eastAsia="en-GB"/>
              </w:rPr>
              <w:t>958</w:t>
            </w:r>
            <w:r w:rsidRPr="00A24354">
              <w:rPr>
                <w:rFonts w:eastAsia="Times New Roman" w:cs="Calibri"/>
                <w:color w:val="000000"/>
                <w:sz w:val="16"/>
                <w:szCs w:val="16"/>
                <w:lang w:val="en-GB" w:eastAsia="en-GB"/>
              </w:rPr>
              <w:t>)</w:t>
            </w:r>
          </w:p>
        </w:tc>
      </w:tr>
      <w:tr w:rsidR="00DC5E2A" w:rsidRPr="00A24354" w:rsidTr="00A200D5">
        <w:trPr>
          <w:trHeight w:val="217"/>
          <w:jc w:val="center"/>
        </w:trPr>
        <w:tc>
          <w:tcPr>
            <w:tcW w:w="2948" w:type="dxa"/>
            <w:gridSpan w:val="2"/>
            <w:tcBorders>
              <w:top w:val="nil"/>
              <w:left w:val="single" w:sz="4" w:space="0" w:color="auto"/>
              <w:bottom w:val="single" w:sz="4" w:space="0" w:color="auto"/>
              <w:right w:val="single" w:sz="4" w:space="0" w:color="auto"/>
            </w:tcBorders>
            <w:shd w:val="clear" w:color="auto" w:fill="auto"/>
            <w:noWrap/>
            <w:vAlign w:val="bottom"/>
            <w:hideMark/>
          </w:tcPr>
          <w:p w:rsidR="00DC5E2A" w:rsidRPr="00A200D5" w:rsidRDefault="00C86C86">
            <w:pPr>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Total non-</w:t>
            </w:r>
            <w:r w:rsidR="0030507D">
              <w:rPr>
                <w:rFonts w:eastAsia="Times New Roman" w:cs="Calibri"/>
                <w:b/>
                <w:color w:val="000000"/>
                <w:sz w:val="16"/>
                <w:szCs w:val="16"/>
                <w:lang w:val="en-GB" w:eastAsia="en-GB"/>
              </w:rPr>
              <w:t>current</w:t>
            </w:r>
            <w:r w:rsidR="0030507D" w:rsidRPr="00A200D5">
              <w:rPr>
                <w:rFonts w:eastAsia="Times New Roman" w:cs="Calibri"/>
                <w:b/>
                <w:color w:val="000000"/>
                <w:sz w:val="16"/>
                <w:szCs w:val="16"/>
                <w:lang w:val="en-GB" w:eastAsia="en-GB"/>
              </w:rPr>
              <w:t xml:space="preserve"> </w:t>
            </w:r>
            <w:r w:rsidR="00DC5E2A" w:rsidRPr="00A200D5">
              <w:rPr>
                <w:rFonts w:eastAsia="Times New Roman" w:cs="Calibri"/>
                <w:b/>
                <w:color w:val="000000"/>
                <w:sz w:val="16"/>
                <w:szCs w:val="16"/>
                <w:lang w:val="en-GB" w:eastAsia="en-GB"/>
              </w:rPr>
              <w:t>liabilities</w:t>
            </w:r>
          </w:p>
        </w:tc>
        <w:tc>
          <w:tcPr>
            <w:tcW w:w="1648" w:type="dxa"/>
            <w:tcBorders>
              <w:top w:val="nil"/>
              <w:left w:val="single" w:sz="4" w:space="0" w:color="auto"/>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(2,172,565)</w:t>
            </w:r>
          </w:p>
        </w:tc>
        <w:tc>
          <w:tcPr>
            <w:tcW w:w="1649"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(2,0</w:t>
            </w:r>
            <w:r w:rsidR="00734D30">
              <w:rPr>
                <w:rFonts w:eastAsia="Times New Roman" w:cs="Calibri"/>
                <w:b/>
                <w:color w:val="000000"/>
                <w:sz w:val="16"/>
                <w:szCs w:val="16"/>
                <w:lang w:val="en-GB" w:eastAsia="en-GB"/>
              </w:rPr>
              <w:t>43</w:t>
            </w:r>
            <w:r w:rsidRPr="00A200D5">
              <w:rPr>
                <w:rFonts w:eastAsia="Times New Roman" w:cs="Calibri"/>
                <w:b/>
                <w:color w:val="000000"/>
                <w:sz w:val="16"/>
                <w:szCs w:val="16"/>
                <w:lang w:val="en-GB" w:eastAsia="en-GB"/>
              </w:rPr>
              <w:t>,</w:t>
            </w:r>
            <w:r w:rsidR="00734D30">
              <w:rPr>
                <w:rFonts w:eastAsia="Times New Roman" w:cs="Calibri"/>
                <w:b/>
                <w:color w:val="000000"/>
                <w:sz w:val="16"/>
                <w:szCs w:val="16"/>
                <w:lang w:val="en-GB" w:eastAsia="en-GB"/>
              </w:rPr>
              <w:t>042</w:t>
            </w:r>
            <w:r w:rsidRPr="00A200D5">
              <w:rPr>
                <w:rFonts w:eastAsia="Times New Roman" w:cs="Calibri"/>
                <w:b/>
                <w:color w:val="000000"/>
                <w:sz w:val="16"/>
                <w:szCs w:val="16"/>
                <w:lang w:val="en-GB" w:eastAsia="en-GB"/>
              </w:rPr>
              <w:t>)</w:t>
            </w:r>
          </w:p>
        </w:tc>
        <w:tc>
          <w:tcPr>
            <w:tcW w:w="1648"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(2,172,565)</w:t>
            </w:r>
          </w:p>
        </w:tc>
        <w:tc>
          <w:tcPr>
            <w:tcW w:w="1649"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(2,0</w:t>
            </w:r>
            <w:r w:rsidR="00734D30">
              <w:rPr>
                <w:rFonts w:eastAsia="Times New Roman" w:cs="Calibri"/>
                <w:b/>
                <w:color w:val="000000"/>
                <w:sz w:val="16"/>
                <w:szCs w:val="16"/>
                <w:lang w:val="en-GB" w:eastAsia="en-GB"/>
              </w:rPr>
              <w:t>43</w:t>
            </w:r>
            <w:r w:rsidRPr="00A200D5">
              <w:rPr>
                <w:rFonts w:eastAsia="Times New Roman" w:cs="Calibri"/>
                <w:b/>
                <w:color w:val="000000"/>
                <w:sz w:val="16"/>
                <w:szCs w:val="16"/>
                <w:lang w:val="en-GB" w:eastAsia="en-GB"/>
              </w:rPr>
              <w:t>,</w:t>
            </w:r>
            <w:r w:rsidR="00734D30">
              <w:rPr>
                <w:rFonts w:eastAsia="Times New Roman" w:cs="Calibri"/>
                <w:b/>
                <w:color w:val="000000"/>
                <w:sz w:val="16"/>
                <w:szCs w:val="16"/>
                <w:lang w:val="en-GB" w:eastAsia="en-GB"/>
              </w:rPr>
              <w:t>042</w:t>
            </w:r>
            <w:r w:rsidRPr="00A200D5">
              <w:rPr>
                <w:rFonts w:eastAsia="Times New Roman" w:cs="Calibri"/>
                <w:b/>
                <w:color w:val="000000"/>
                <w:sz w:val="16"/>
                <w:szCs w:val="16"/>
                <w:lang w:val="en-GB" w:eastAsia="en-GB"/>
              </w:rPr>
              <w:t>)</w:t>
            </w:r>
          </w:p>
        </w:tc>
      </w:tr>
    </w:tbl>
    <w:p w:rsidR="00DC5E2A" w:rsidRDefault="00DC5E2A" w:rsidP="00DC5E2A">
      <w:pPr>
        <w:pStyle w:val="T1TableStyle"/>
        <w:rPr>
          <w:rFonts w:ascii="Verdana" w:eastAsia="Verdana" w:hAnsi="Verdana" w:cs="Verdana"/>
          <w:sz w:val="22"/>
          <w:highlight w:val="yellow"/>
          <w:lang w:val="en-GB"/>
        </w:rPr>
      </w:pPr>
    </w:p>
    <w:p w:rsidR="004A4E51" w:rsidRDefault="004A4E51" w:rsidP="000D6EF8">
      <w:pPr>
        <w:rPr>
          <w:lang w:val="pt-BR"/>
        </w:rPr>
      </w:pPr>
    </w:p>
    <w:p w:rsidR="00A24354" w:rsidRPr="00A24354" w:rsidRDefault="00A24354" w:rsidP="00DC5E2A">
      <w:pPr>
        <w:pStyle w:val="T1TableStyle"/>
        <w:jc w:val="both"/>
        <w:rPr>
          <w:rFonts w:ascii="Verdana" w:eastAsia="Verdana" w:hAnsi="Verdana" w:cs="Verdana"/>
          <w:sz w:val="22"/>
          <w:lang w:val="en-GB"/>
        </w:rPr>
      </w:pPr>
      <w:r w:rsidRPr="00A24354">
        <w:rPr>
          <w:rFonts w:ascii="Verdana" w:eastAsia="Verdana" w:hAnsi="Verdana" w:cs="Verdana"/>
          <w:sz w:val="22"/>
          <w:lang w:val="en-GB"/>
        </w:rPr>
        <w:t>The loan from the PWLB Board was borrowed for capital purposes in line with the CIPFA Prudential Code for Capital Finance. The year-end balance represents totals for long term finance borrowing and loans.</w:t>
      </w:r>
    </w:p>
    <w:p w:rsidR="00A24354" w:rsidRPr="00A24354" w:rsidRDefault="00A24354" w:rsidP="00DC5E2A">
      <w:pPr>
        <w:pStyle w:val="T1TableStyle"/>
        <w:jc w:val="both"/>
        <w:rPr>
          <w:rFonts w:ascii="Verdana" w:eastAsia="Verdana" w:hAnsi="Verdana" w:cs="Verdana"/>
          <w:sz w:val="22"/>
          <w:lang w:val="en-GB"/>
        </w:rPr>
      </w:pPr>
    </w:p>
    <w:p w:rsidR="00A24354" w:rsidRPr="00A24354" w:rsidRDefault="00A24354" w:rsidP="00DC5E2A">
      <w:pPr>
        <w:pStyle w:val="T1TableStyle"/>
        <w:jc w:val="both"/>
        <w:rPr>
          <w:rFonts w:ascii="Verdana" w:eastAsia="Verdana" w:hAnsi="Verdana" w:cs="Verdana"/>
          <w:sz w:val="22"/>
          <w:lang w:val="en-GB"/>
        </w:rPr>
      </w:pPr>
      <w:r w:rsidRPr="00A24354">
        <w:rPr>
          <w:rFonts w:ascii="Verdana" w:eastAsia="Verdana" w:hAnsi="Verdana" w:cs="Verdana"/>
          <w:sz w:val="22"/>
          <w:lang w:val="en-GB"/>
        </w:rPr>
        <w:t xml:space="preserve">• For the loan from the Public Works Loan Board (PWLB), premature repayment rates from the PWLB have been applied to provide the fair value under PWLB debt redemption procedures. </w:t>
      </w:r>
    </w:p>
    <w:p w:rsidR="00A24354" w:rsidRPr="00A24354" w:rsidRDefault="00A24354" w:rsidP="00DC5E2A">
      <w:pPr>
        <w:pStyle w:val="T1TableStyle"/>
        <w:jc w:val="both"/>
        <w:rPr>
          <w:rFonts w:ascii="Verdana" w:eastAsia="Verdana" w:hAnsi="Verdana" w:cs="Verdana"/>
          <w:sz w:val="22"/>
          <w:lang w:val="en-GB"/>
        </w:rPr>
      </w:pPr>
      <w:r w:rsidRPr="00A24354">
        <w:rPr>
          <w:rFonts w:ascii="Verdana" w:eastAsia="Verdana" w:hAnsi="Verdana" w:cs="Verdana"/>
          <w:sz w:val="22"/>
          <w:lang w:val="en-GB"/>
        </w:rPr>
        <w:t xml:space="preserve">• Estimated interest rates at 31 March 2020 for loans from the PWLB are based on a loan rate of 2.34% discounted at a rate of 0.49%. </w:t>
      </w:r>
    </w:p>
    <w:p w:rsidR="00A24354" w:rsidRPr="00A24354" w:rsidRDefault="00A24354" w:rsidP="00DC5E2A">
      <w:pPr>
        <w:pStyle w:val="T1TableStyle"/>
        <w:jc w:val="both"/>
        <w:rPr>
          <w:rFonts w:ascii="Verdana" w:eastAsia="Verdana" w:hAnsi="Verdana" w:cs="Verdana"/>
          <w:sz w:val="22"/>
          <w:lang w:val="en-GB"/>
        </w:rPr>
      </w:pPr>
      <w:r w:rsidRPr="00A24354">
        <w:rPr>
          <w:rFonts w:ascii="Verdana" w:eastAsia="Verdana" w:hAnsi="Verdana" w:cs="Verdana"/>
          <w:sz w:val="22"/>
          <w:lang w:val="en-GB"/>
        </w:rPr>
        <w:t xml:space="preserve">• No early repayment or impairment is recognised. </w:t>
      </w:r>
    </w:p>
    <w:p w:rsidR="00A24354" w:rsidRPr="00A24354" w:rsidRDefault="00A24354" w:rsidP="00DC5E2A">
      <w:pPr>
        <w:pStyle w:val="T1TableStyle"/>
        <w:jc w:val="both"/>
        <w:rPr>
          <w:rFonts w:ascii="Verdana" w:eastAsia="Verdana" w:hAnsi="Verdana" w:cs="Verdana"/>
          <w:sz w:val="22"/>
          <w:lang w:val="en-GB"/>
        </w:rPr>
      </w:pPr>
      <w:r w:rsidRPr="00A24354">
        <w:rPr>
          <w:rFonts w:ascii="Verdana" w:eastAsia="Verdana" w:hAnsi="Verdana" w:cs="Verdana"/>
          <w:sz w:val="22"/>
          <w:lang w:val="en-GB"/>
        </w:rPr>
        <w:t xml:space="preserve">The fair value of the PWLB loan is calculated at £19.0m as at 31 March 2020. </w:t>
      </w:r>
    </w:p>
    <w:p w:rsidR="00A24354" w:rsidRPr="00A24354" w:rsidRDefault="00A24354" w:rsidP="00DC5E2A">
      <w:pPr>
        <w:pStyle w:val="T1TableStyle"/>
        <w:jc w:val="both"/>
        <w:rPr>
          <w:rFonts w:ascii="Verdana" w:eastAsia="Verdana" w:hAnsi="Verdana" w:cs="Verdana"/>
          <w:sz w:val="22"/>
          <w:lang w:val="en-GB"/>
        </w:rPr>
      </w:pPr>
    </w:p>
    <w:p w:rsidR="00A24354" w:rsidRPr="00A24354" w:rsidRDefault="00A24354" w:rsidP="00DC5E2A">
      <w:pPr>
        <w:pStyle w:val="T1TableStyle"/>
        <w:jc w:val="both"/>
        <w:rPr>
          <w:rFonts w:ascii="Verdana" w:eastAsia="Verdana" w:hAnsi="Verdana" w:cs="Verdana"/>
          <w:sz w:val="22"/>
          <w:lang w:val="en-GB"/>
        </w:rPr>
      </w:pPr>
      <w:r w:rsidRPr="00A24354">
        <w:rPr>
          <w:rFonts w:ascii="Verdana" w:eastAsia="Verdana" w:hAnsi="Verdana" w:cs="Verdana"/>
          <w:sz w:val="22"/>
          <w:lang w:val="en-GB"/>
        </w:rPr>
        <w:t>The fair values of short term trade payables and receivables, cash and cash equivalents are assumed to equal the book values. These are exempt from IFRS13.</w:t>
      </w:r>
    </w:p>
    <w:p w:rsidR="00A24354" w:rsidRPr="00A24354" w:rsidRDefault="00A24354" w:rsidP="00DC5E2A">
      <w:pPr>
        <w:pStyle w:val="T1TableStyle"/>
        <w:jc w:val="both"/>
        <w:rPr>
          <w:rFonts w:ascii="Verdana" w:eastAsia="Verdana" w:hAnsi="Verdana" w:cs="Verdana"/>
          <w:sz w:val="22"/>
          <w:lang w:val="en-GB"/>
        </w:rPr>
      </w:pPr>
      <w:r w:rsidRPr="00A24354">
        <w:rPr>
          <w:rFonts w:ascii="Verdana" w:eastAsia="Verdana" w:hAnsi="Verdana" w:cs="Verdana"/>
          <w:sz w:val="22"/>
          <w:lang w:val="en-GB"/>
        </w:rPr>
        <w:t xml:space="preserve">The fair value of the PWLB loan is higher than the carrying amount because the fixed rate loan's interest rate payable is higher than the prevailing rates at the Balance Sheet date. This shows a notional future loss (based on economic conditions at 31 March 2020) arising from a commitment to pay interest to lenders above current market rates. </w:t>
      </w:r>
    </w:p>
    <w:p w:rsidR="00A24354" w:rsidRPr="00A24354" w:rsidRDefault="00A24354" w:rsidP="00DC5E2A">
      <w:pPr>
        <w:pStyle w:val="T1TableStyle"/>
        <w:jc w:val="both"/>
        <w:rPr>
          <w:rFonts w:ascii="Verdana" w:eastAsia="Verdana" w:hAnsi="Verdana" w:cs="Verdana"/>
          <w:sz w:val="22"/>
          <w:lang w:val="en-GB"/>
        </w:rPr>
      </w:pPr>
    </w:p>
    <w:p w:rsidR="00A24354" w:rsidRPr="00A24354" w:rsidRDefault="00A24354" w:rsidP="00DC5E2A">
      <w:pPr>
        <w:pStyle w:val="T1TableStyle"/>
        <w:jc w:val="both"/>
        <w:rPr>
          <w:rFonts w:ascii="Verdana" w:eastAsia="Verdana" w:hAnsi="Verdana" w:cs="Verdana"/>
          <w:sz w:val="22"/>
          <w:lang w:val="en-GB"/>
        </w:rPr>
      </w:pPr>
      <w:r w:rsidRPr="00A24354">
        <w:rPr>
          <w:rFonts w:ascii="Verdana" w:eastAsia="Verdana" w:hAnsi="Verdana" w:cs="Verdana"/>
          <w:sz w:val="22"/>
          <w:lang w:val="en-GB"/>
        </w:rPr>
        <w:t xml:space="preserve">Short term debtors and creditors are carried at cost as this is a fair approximation of their value. </w:t>
      </w:r>
    </w:p>
    <w:p w:rsidR="00A24354" w:rsidRPr="00A24354" w:rsidRDefault="00A24354" w:rsidP="00DC5E2A">
      <w:pPr>
        <w:pStyle w:val="T1TableStyle"/>
        <w:jc w:val="both"/>
        <w:rPr>
          <w:rFonts w:ascii="Verdana" w:eastAsia="Verdana" w:hAnsi="Verdana" w:cs="Verdana"/>
          <w:sz w:val="22"/>
          <w:lang w:val="en-GB"/>
        </w:rPr>
      </w:pPr>
    </w:p>
    <w:p w:rsidR="00A24354" w:rsidRPr="00A24354" w:rsidRDefault="00A24354" w:rsidP="00DC5E2A">
      <w:pPr>
        <w:pStyle w:val="T1TableStyle"/>
        <w:jc w:val="both"/>
        <w:rPr>
          <w:rFonts w:ascii="Verdana" w:eastAsia="Verdana" w:hAnsi="Verdana" w:cs="Verdana"/>
          <w:sz w:val="22"/>
          <w:lang w:val="en-GB"/>
        </w:rPr>
      </w:pPr>
      <w:r w:rsidRPr="00A24354">
        <w:rPr>
          <w:rFonts w:ascii="Verdana" w:eastAsia="Verdana" w:hAnsi="Verdana" w:cs="Verdana"/>
          <w:sz w:val="22"/>
          <w:lang w:val="en-GB"/>
        </w:rPr>
        <w:t xml:space="preserve">Assets and Liabilities are measured at fair value using the IFRS13 Fair Value market approach which uses prices and other relevant information (inputs) generated by market transactions involving similar assets or liabilities. The IFRS on Fair Value includes a fair value hierarchy that categorises the inputs to valuation techniques used to measure fair value into three input levels as follows: </w:t>
      </w:r>
    </w:p>
    <w:p w:rsidR="00A24354" w:rsidRPr="00A24354" w:rsidRDefault="00A24354" w:rsidP="00DC5E2A">
      <w:pPr>
        <w:pStyle w:val="T1TableStyle"/>
        <w:jc w:val="both"/>
        <w:rPr>
          <w:rFonts w:ascii="Verdana" w:eastAsia="Verdana" w:hAnsi="Verdana" w:cs="Verdana"/>
          <w:sz w:val="22"/>
          <w:lang w:val="en-GB"/>
        </w:rPr>
      </w:pPr>
    </w:p>
    <w:p w:rsidR="00A24354" w:rsidRPr="00A24354" w:rsidRDefault="00A24354" w:rsidP="00A24354">
      <w:pPr>
        <w:pStyle w:val="T1TableStyle"/>
        <w:rPr>
          <w:rFonts w:ascii="Verdana" w:eastAsia="Verdana" w:hAnsi="Verdana" w:cs="Verdana"/>
          <w:sz w:val="22"/>
          <w:lang w:val="en-GB"/>
        </w:rPr>
      </w:pPr>
      <w:r w:rsidRPr="00A24354">
        <w:rPr>
          <w:rFonts w:ascii="Verdana" w:eastAsia="Verdana" w:hAnsi="Verdana" w:cs="Verdana"/>
          <w:sz w:val="22"/>
          <w:lang w:val="en-GB"/>
        </w:rPr>
        <w:t xml:space="preserve">• Level 1 Inputs – quoted prices (unadjusted) in active markets for identical assets or liabilities that the authority can access at the measurement date. </w:t>
      </w:r>
    </w:p>
    <w:p w:rsidR="00A24354" w:rsidRPr="00A24354" w:rsidRDefault="00A24354" w:rsidP="00A24354">
      <w:pPr>
        <w:pStyle w:val="T1TableStyle"/>
        <w:rPr>
          <w:rFonts w:ascii="Verdana" w:eastAsia="Verdana" w:hAnsi="Verdana" w:cs="Verdana"/>
          <w:sz w:val="22"/>
          <w:lang w:val="en-GB"/>
        </w:rPr>
      </w:pPr>
      <w:r w:rsidRPr="00A24354">
        <w:rPr>
          <w:rFonts w:ascii="Verdana" w:eastAsia="Verdana" w:hAnsi="Verdana" w:cs="Verdana"/>
          <w:sz w:val="22"/>
          <w:lang w:val="en-GB"/>
        </w:rPr>
        <w:t xml:space="preserve">• Level 2 Inputs – inputs other than quoted prices included within Level 1 that are observable for the asset or liability, either directly or indirectly. </w:t>
      </w:r>
    </w:p>
    <w:p w:rsidR="00A24354" w:rsidRPr="00A24354" w:rsidRDefault="00A24354" w:rsidP="00A24354">
      <w:pPr>
        <w:pStyle w:val="T1TableStyle"/>
        <w:rPr>
          <w:rFonts w:ascii="Verdana" w:eastAsia="Verdana" w:hAnsi="Verdana" w:cs="Verdana"/>
          <w:sz w:val="22"/>
          <w:lang w:val="en-GB"/>
        </w:rPr>
      </w:pPr>
      <w:r w:rsidRPr="00A24354">
        <w:rPr>
          <w:rFonts w:ascii="Verdana" w:eastAsia="Verdana" w:hAnsi="Verdana" w:cs="Verdana"/>
          <w:sz w:val="22"/>
          <w:lang w:val="en-GB"/>
        </w:rPr>
        <w:t xml:space="preserve">• Level 3 Inputs – unobservable inputs for the asset or liability. </w:t>
      </w:r>
    </w:p>
    <w:p w:rsidR="00A24354" w:rsidRPr="00A24354" w:rsidRDefault="00A24354" w:rsidP="00A24354">
      <w:pPr>
        <w:pStyle w:val="T1TableStyle"/>
        <w:rPr>
          <w:rFonts w:ascii="Verdana" w:eastAsia="Verdana" w:hAnsi="Verdana" w:cs="Verdana"/>
          <w:sz w:val="22"/>
          <w:lang w:val="en-GB"/>
        </w:rPr>
      </w:pPr>
    </w:p>
    <w:p w:rsidR="00A24354" w:rsidRPr="000258B1" w:rsidRDefault="00A24354" w:rsidP="00A24354">
      <w:pPr>
        <w:pStyle w:val="T1TableStyle"/>
        <w:rPr>
          <w:rFonts w:ascii="Verdana" w:eastAsia="Verdana" w:hAnsi="Verdana" w:cs="Verdana"/>
          <w:sz w:val="22"/>
          <w:highlight w:val="yellow"/>
          <w:lang w:val="en-GB"/>
        </w:rPr>
      </w:pPr>
      <w:r w:rsidRPr="00A24354">
        <w:rPr>
          <w:rFonts w:ascii="Verdana" w:eastAsia="Verdana" w:hAnsi="Verdana" w:cs="Verdana"/>
          <w:sz w:val="22"/>
          <w:lang w:val="en-GB"/>
        </w:rPr>
        <w:t>We have therefore categorised the valuations of the long term PWLB borrowing as a Level 1 input in the IFRS 13 fair value hierarchy.</w:t>
      </w:r>
    </w:p>
    <w:p w:rsidR="00CA6653" w:rsidRDefault="00CA6653">
      <w:pPr>
        <w:pStyle w:val="T1TableStyle"/>
        <w:rPr>
          <w:rFonts w:ascii="Verdana" w:eastAsia="Verdana" w:hAnsi="Verdana" w:cs="Verdana"/>
          <w:sz w:val="22"/>
          <w:highlight w:val="yellow"/>
          <w:lang w:val="en-GB"/>
        </w:rPr>
      </w:pPr>
    </w:p>
    <w:tbl>
      <w:tblPr>
        <w:tblW w:w="8666" w:type="dxa"/>
        <w:jc w:val="center"/>
        <w:tblLook w:val="04A0" w:firstRow="1" w:lastRow="0" w:firstColumn="1" w:lastColumn="0" w:noHBand="0" w:noVBand="1"/>
      </w:tblPr>
      <w:tblGrid>
        <w:gridCol w:w="993"/>
        <w:gridCol w:w="2952"/>
        <w:gridCol w:w="1180"/>
        <w:gridCol w:w="1358"/>
        <w:gridCol w:w="1180"/>
        <w:gridCol w:w="1358"/>
      </w:tblGrid>
      <w:tr w:rsidR="00DC5E2A" w:rsidRPr="006A7694" w:rsidTr="00A200D5">
        <w:trPr>
          <w:gridBefore w:val="1"/>
          <w:wBefore w:w="993" w:type="dxa"/>
          <w:trHeight w:val="221"/>
          <w:jc w:val="center"/>
        </w:trPr>
        <w:tc>
          <w:tcPr>
            <w:tcW w:w="2952" w:type="dxa"/>
            <w:tcBorders>
              <w:top w:val="nil"/>
              <w:left w:val="nil"/>
              <w:bottom w:val="single" w:sz="4" w:space="0" w:color="auto"/>
              <w:right w:val="nil"/>
            </w:tcBorders>
            <w:shd w:val="clear" w:color="auto" w:fill="auto"/>
            <w:noWrap/>
            <w:vAlign w:val="bottom"/>
            <w:hideMark/>
          </w:tcPr>
          <w:p w:rsidR="00DC5E2A" w:rsidRPr="006A7694" w:rsidRDefault="00DC5E2A" w:rsidP="00EE6015">
            <w:pPr>
              <w:rPr>
                <w:rFonts w:eastAsia="Times New Roman" w:cs="Calibri"/>
                <w:color w:val="000000"/>
                <w:sz w:val="16"/>
                <w:szCs w:val="16"/>
                <w:lang w:val="en-GB" w:eastAsia="en-GB"/>
              </w:rPr>
            </w:pPr>
            <w:r w:rsidRPr="006A7694">
              <w:rPr>
                <w:rFonts w:eastAsia="Times New Roman" w:cs="Calibri"/>
                <w:color w:val="000000"/>
                <w:sz w:val="16"/>
                <w:szCs w:val="16"/>
                <w:lang w:val="en-GB" w:eastAsia="en-GB"/>
              </w:rPr>
              <w:t> </w:t>
            </w:r>
          </w:p>
        </w:tc>
        <w:tc>
          <w:tcPr>
            <w:tcW w:w="4721" w:type="dxa"/>
            <w:gridSpan w:val="4"/>
            <w:tcBorders>
              <w:top w:val="nil"/>
              <w:left w:val="nil"/>
              <w:bottom w:val="single" w:sz="8" w:space="0" w:color="auto"/>
              <w:right w:val="nil"/>
            </w:tcBorders>
            <w:shd w:val="clear" w:color="auto" w:fill="auto"/>
            <w:noWrap/>
            <w:vAlign w:val="bottom"/>
            <w:hideMark/>
          </w:tcPr>
          <w:p w:rsidR="00DC5E2A" w:rsidRPr="006A7694" w:rsidRDefault="00DC5E2A" w:rsidP="00EE6015">
            <w:pPr>
              <w:jc w:val="center"/>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Current Financial Liabilities</w:t>
            </w:r>
          </w:p>
        </w:tc>
      </w:tr>
      <w:tr w:rsidR="00DC5E2A" w:rsidRPr="006A7694" w:rsidTr="00A200D5">
        <w:trPr>
          <w:trHeight w:val="209"/>
          <w:jc w:val="center"/>
        </w:trPr>
        <w:tc>
          <w:tcPr>
            <w:tcW w:w="3945" w:type="dxa"/>
            <w:gridSpan w:val="2"/>
            <w:tcBorders>
              <w:top w:val="single" w:sz="4" w:space="0" w:color="auto"/>
              <w:left w:val="single" w:sz="4" w:space="0" w:color="auto"/>
              <w:bottom w:val="nil"/>
              <w:right w:val="single" w:sz="4" w:space="0" w:color="auto"/>
            </w:tcBorders>
            <w:shd w:val="clear" w:color="auto" w:fill="auto"/>
            <w:noWrap/>
            <w:vAlign w:val="bottom"/>
            <w:hideMark/>
          </w:tcPr>
          <w:p w:rsidR="00DC5E2A" w:rsidRPr="006A7694" w:rsidRDefault="00DC5E2A" w:rsidP="00EE6015">
            <w:pPr>
              <w:jc w:val="center"/>
              <w:rPr>
                <w:rFonts w:eastAsia="Times New Roman" w:cs="Calibri"/>
                <w:b/>
                <w:bCs/>
                <w:color w:val="000000"/>
                <w:sz w:val="16"/>
                <w:szCs w:val="16"/>
                <w:lang w:val="en-GB" w:eastAsia="en-GB"/>
              </w:rPr>
            </w:pPr>
          </w:p>
        </w:tc>
        <w:tc>
          <w:tcPr>
            <w:tcW w:w="2360" w:type="dxa"/>
            <w:gridSpan w:val="2"/>
            <w:tcBorders>
              <w:top w:val="single" w:sz="8" w:space="0" w:color="auto"/>
              <w:left w:val="single" w:sz="4" w:space="0" w:color="auto"/>
              <w:bottom w:val="nil"/>
              <w:right w:val="single" w:sz="8" w:space="0" w:color="000000"/>
            </w:tcBorders>
            <w:shd w:val="clear" w:color="auto" w:fill="auto"/>
            <w:noWrap/>
            <w:vAlign w:val="bottom"/>
            <w:hideMark/>
          </w:tcPr>
          <w:p w:rsidR="00DC5E2A" w:rsidRPr="006A7694" w:rsidRDefault="00DC5E2A" w:rsidP="00EE6015">
            <w:pPr>
              <w:jc w:val="center"/>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Creditors</w:t>
            </w:r>
          </w:p>
        </w:tc>
        <w:tc>
          <w:tcPr>
            <w:tcW w:w="2361" w:type="dxa"/>
            <w:gridSpan w:val="2"/>
            <w:tcBorders>
              <w:top w:val="single" w:sz="8" w:space="0" w:color="auto"/>
              <w:left w:val="nil"/>
              <w:bottom w:val="nil"/>
              <w:right w:val="single" w:sz="8" w:space="0" w:color="000000"/>
            </w:tcBorders>
            <w:shd w:val="clear" w:color="auto" w:fill="auto"/>
            <w:noWrap/>
            <w:vAlign w:val="bottom"/>
            <w:hideMark/>
          </w:tcPr>
          <w:p w:rsidR="00DC5E2A" w:rsidRPr="006A7694" w:rsidRDefault="00DC5E2A" w:rsidP="00EE6015">
            <w:pPr>
              <w:jc w:val="center"/>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Total</w:t>
            </w:r>
          </w:p>
        </w:tc>
      </w:tr>
      <w:tr w:rsidR="00DC5E2A" w:rsidRPr="006A7694" w:rsidTr="00A200D5">
        <w:trPr>
          <w:trHeight w:val="209"/>
          <w:jc w:val="center"/>
        </w:trPr>
        <w:tc>
          <w:tcPr>
            <w:tcW w:w="3945" w:type="dxa"/>
            <w:gridSpan w:val="2"/>
            <w:tcBorders>
              <w:top w:val="nil"/>
              <w:left w:val="single" w:sz="4" w:space="0" w:color="auto"/>
              <w:bottom w:val="nil"/>
              <w:right w:val="single" w:sz="4" w:space="0" w:color="auto"/>
            </w:tcBorders>
            <w:shd w:val="clear" w:color="auto" w:fill="auto"/>
            <w:noWrap/>
            <w:vAlign w:val="bottom"/>
            <w:hideMark/>
          </w:tcPr>
          <w:p w:rsidR="00DC5E2A" w:rsidRPr="006A7694" w:rsidRDefault="00DC5E2A" w:rsidP="00EE6015">
            <w:pPr>
              <w:jc w:val="center"/>
              <w:rPr>
                <w:rFonts w:eastAsia="Times New Roman" w:cs="Calibri"/>
                <w:b/>
                <w:bCs/>
                <w:color w:val="000000"/>
                <w:sz w:val="16"/>
                <w:szCs w:val="16"/>
                <w:lang w:val="en-GB" w:eastAsia="en-GB"/>
              </w:rPr>
            </w:pPr>
          </w:p>
        </w:tc>
        <w:tc>
          <w:tcPr>
            <w:tcW w:w="1180" w:type="dxa"/>
            <w:tcBorders>
              <w:top w:val="nil"/>
              <w:left w:val="single" w:sz="4" w:space="0" w:color="auto"/>
              <w:bottom w:val="nil"/>
              <w:right w:val="nil"/>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31-Mar-19</w:t>
            </w:r>
          </w:p>
        </w:tc>
        <w:tc>
          <w:tcPr>
            <w:tcW w:w="1180" w:type="dxa"/>
            <w:tcBorders>
              <w:top w:val="nil"/>
              <w:left w:val="nil"/>
              <w:bottom w:val="nil"/>
              <w:right w:val="single" w:sz="8" w:space="0" w:color="auto"/>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31-Mar-20</w:t>
            </w:r>
          </w:p>
        </w:tc>
        <w:tc>
          <w:tcPr>
            <w:tcW w:w="1180" w:type="dxa"/>
            <w:tcBorders>
              <w:top w:val="nil"/>
              <w:left w:val="nil"/>
              <w:bottom w:val="nil"/>
              <w:right w:val="nil"/>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31-Mar-19</w:t>
            </w:r>
          </w:p>
        </w:tc>
        <w:tc>
          <w:tcPr>
            <w:tcW w:w="1181" w:type="dxa"/>
            <w:tcBorders>
              <w:top w:val="nil"/>
              <w:left w:val="nil"/>
              <w:bottom w:val="nil"/>
              <w:right w:val="single" w:sz="8" w:space="0" w:color="auto"/>
            </w:tcBorders>
            <w:shd w:val="clear" w:color="auto" w:fill="auto"/>
            <w:noWrap/>
            <w:vAlign w:val="bottom"/>
            <w:hideMark/>
          </w:tcPr>
          <w:p w:rsidR="00DC5E2A" w:rsidRPr="006A7694" w:rsidRDefault="00DC5E2A" w:rsidP="00EE6015">
            <w:pPr>
              <w:jc w:val="right"/>
              <w:rPr>
                <w:rFonts w:eastAsia="Times New Roman" w:cs="Calibri"/>
                <w:b/>
                <w:bCs/>
                <w:color w:val="000000"/>
                <w:sz w:val="16"/>
                <w:szCs w:val="16"/>
                <w:lang w:val="en-GB" w:eastAsia="en-GB"/>
              </w:rPr>
            </w:pPr>
            <w:r w:rsidRPr="006A7694">
              <w:rPr>
                <w:rFonts w:eastAsia="Times New Roman" w:cs="Calibri"/>
                <w:b/>
                <w:bCs/>
                <w:color w:val="000000"/>
                <w:sz w:val="16"/>
                <w:szCs w:val="16"/>
                <w:lang w:val="en-GB" w:eastAsia="en-GB"/>
              </w:rPr>
              <w:t>31-Mar-20</w:t>
            </w:r>
          </w:p>
        </w:tc>
      </w:tr>
      <w:tr w:rsidR="00DC5E2A" w:rsidRPr="006A7694" w:rsidTr="00A200D5">
        <w:trPr>
          <w:trHeight w:val="209"/>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hideMark/>
          </w:tcPr>
          <w:p w:rsidR="00DC5E2A" w:rsidRPr="006A7694" w:rsidRDefault="00DC5E2A" w:rsidP="00EE6015">
            <w:pPr>
              <w:rPr>
                <w:rFonts w:eastAsia="Times New Roman" w:cs="Calibri"/>
                <w:color w:val="000000"/>
                <w:sz w:val="16"/>
                <w:szCs w:val="16"/>
                <w:lang w:val="en-GB" w:eastAsia="en-GB"/>
              </w:rPr>
            </w:pPr>
            <w:r w:rsidRPr="006A7694">
              <w:rPr>
                <w:rFonts w:eastAsia="Times New Roman" w:cs="Calibri"/>
                <w:color w:val="000000"/>
                <w:sz w:val="16"/>
                <w:szCs w:val="16"/>
                <w:lang w:val="en-GB" w:eastAsia="en-GB"/>
              </w:rPr>
              <w:t> </w:t>
            </w:r>
          </w:p>
        </w:tc>
        <w:tc>
          <w:tcPr>
            <w:tcW w:w="1180" w:type="dxa"/>
            <w:tcBorders>
              <w:top w:val="nil"/>
              <w:left w:val="single" w:sz="4" w:space="0" w:color="auto"/>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c>
          <w:tcPr>
            <w:tcW w:w="1180"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c>
          <w:tcPr>
            <w:tcW w:w="1180" w:type="dxa"/>
            <w:tcBorders>
              <w:top w:val="nil"/>
              <w:left w:val="nil"/>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c>
          <w:tcPr>
            <w:tcW w:w="1181"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£000</w:t>
            </w:r>
          </w:p>
        </w:tc>
      </w:tr>
      <w:tr w:rsidR="00DC5E2A" w:rsidRPr="006A7694" w:rsidTr="00A200D5">
        <w:trPr>
          <w:trHeight w:val="209"/>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tcPr>
          <w:p w:rsidR="00DC5E2A" w:rsidRPr="006A7694" w:rsidRDefault="00DC5E2A" w:rsidP="00EE6015">
            <w:pPr>
              <w:rPr>
                <w:rFonts w:eastAsia="Times New Roman" w:cs="Calibri"/>
                <w:color w:val="000000"/>
                <w:sz w:val="16"/>
                <w:szCs w:val="16"/>
                <w:lang w:val="en-GB" w:eastAsia="en-GB"/>
              </w:rPr>
            </w:pPr>
            <w:r w:rsidRPr="006A7694">
              <w:rPr>
                <w:rFonts w:eastAsia="Times New Roman" w:cs="Calibri"/>
                <w:color w:val="000000"/>
                <w:sz w:val="16"/>
                <w:szCs w:val="16"/>
                <w:lang w:val="en-GB" w:eastAsia="en-GB"/>
              </w:rPr>
              <w:t>Fair Value through profit &amp; loss</w:t>
            </w:r>
          </w:p>
        </w:tc>
        <w:tc>
          <w:tcPr>
            <w:tcW w:w="1180" w:type="dxa"/>
            <w:tcBorders>
              <w:top w:val="nil"/>
              <w:left w:val="single" w:sz="4" w:space="0" w:color="auto"/>
              <w:bottom w:val="single" w:sz="4" w:space="0" w:color="auto"/>
              <w:right w:val="nil"/>
            </w:tcBorders>
            <w:shd w:val="clear" w:color="auto" w:fill="auto"/>
            <w:noWrap/>
            <w:vAlign w:val="bottom"/>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(21)</w:t>
            </w:r>
          </w:p>
        </w:tc>
        <w:tc>
          <w:tcPr>
            <w:tcW w:w="1180" w:type="dxa"/>
            <w:tcBorders>
              <w:top w:val="nil"/>
              <w:left w:val="nil"/>
              <w:bottom w:val="single" w:sz="4" w:space="0" w:color="auto"/>
              <w:right w:val="single" w:sz="8" w:space="0" w:color="auto"/>
            </w:tcBorders>
            <w:shd w:val="clear" w:color="auto" w:fill="auto"/>
            <w:noWrap/>
            <w:vAlign w:val="bottom"/>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w:t>
            </w:r>
          </w:p>
        </w:tc>
        <w:tc>
          <w:tcPr>
            <w:tcW w:w="1180" w:type="dxa"/>
            <w:tcBorders>
              <w:top w:val="nil"/>
              <w:left w:val="nil"/>
              <w:bottom w:val="single" w:sz="4" w:space="0" w:color="auto"/>
              <w:right w:val="nil"/>
            </w:tcBorders>
            <w:shd w:val="clear" w:color="auto" w:fill="auto"/>
            <w:noWrap/>
            <w:vAlign w:val="bottom"/>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(21)</w:t>
            </w:r>
          </w:p>
        </w:tc>
        <w:tc>
          <w:tcPr>
            <w:tcW w:w="1181" w:type="dxa"/>
            <w:tcBorders>
              <w:top w:val="nil"/>
              <w:left w:val="nil"/>
              <w:bottom w:val="single" w:sz="4" w:space="0" w:color="auto"/>
              <w:right w:val="single" w:sz="8" w:space="0" w:color="auto"/>
            </w:tcBorders>
            <w:shd w:val="clear" w:color="auto" w:fill="auto"/>
            <w:noWrap/>
            <w:vAlign w:val="bottom"/>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0</w:t>
            </w:r>
          </w:p>
        </w:tc>
      </w:tr>
      <w:tr w:rsidR="00DC5E2A" w:rsidRPr="006A7694" w:rsidTr="00A200D5">
        <w:trPr>
          <w:trHeight w:val="209"/>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hideMark/>
          </w:tcPr>
          <w:p w:rsidR="00DC5E2A" w:rsidRPr="006A7694" w:rsidRDefault="00DC5E2A" w:rsidP="00EE6015">
            <w:pPr>
              <w:rPr>
                <w:rFonts w:eastAsia="Times New Roman" w:cs="Calibri"/>
                <w:color w:val="000000"/>
                <w:sz w:val="16"/>
                <w:szCs w:val="16"/>
                <w:lang w:val="en-GB" w:eastAsia="en-GB"/>
              </w:rPr>
            </w:pPr>
            <w:r w:rsidRPr="006A7694">
              <w:rPr>
                <w:rFonts w:eastAsia="Times New Roman" w:cs="Calibri"/>
                <w:color w:val="000000"/>
                <w:sz w:val="16"/>
                <w:szCs w:val="16"/>
                <w:lang w:val="en-GB" w:eastAsia="en-GB"/>
              </w:rPr>
              <w:t>Amortised Cost</w:t>
            </w:r>
          </w:p>
        </w:tc>
        <w:tc>
          <w:tcPr>
            <w:tcW w:w="1180" w:type="dxa"/>
            <w:tcBorders>
              <w:top w:val="nil"/>
              <w:left w:val="single" w:sz="4" w:space="0" w:color="auto"/>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(2,101)</w:t>
            </w:r>
          </w:p>
        </w:tc>
        <w:tc>
          <w:tcPr>
            <w:tcW w:w="1180"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(136)</w:t>
            </w:r>
          </w:p>
        </w:tc>
        <w:tc>
          <w:tcPr>
            <w:tcW w:w="1180" w:type="dxa"/>
            <w:tcBorders>
              <w:top w:val="nil"/>
              <w:left w:val="nil"/>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(2,101)</w:t>
            </w:r>
          </w:p>
        </w:tc>
        <w:tc>
          <w:tcPr>
            <w:tcW w:w="1181"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(136)</w:t>
            </w:r>
          </w:p>
        </w:tc>
      </w:tr>
      <w:tr w:rsidR="00DC5E2A" w:rsidRPr="006A7694" w:rsidTr="00A200D5">
        <w:trPr>
          <w:trHeight w:val="221"/>
          <w:jc w:val="center"/>
        </w:trPr>
        <w:tc>
          <w:tcPr>
            <w:tcW w:w="3945" w:type="dxa"/>
            <w:gridSpan w:val="2"/>
            <w:tcBorders>
              <w:top w:val="nil"/>
              <w:left w:val="single" w:sz="4" w:space="0" w:color="auto"/>
              <w:bottom w:val="single" w:sz="8" w:space="0" w:color="auto"/>
              <w:right w:val="single" w:sz="4" w:space="0" w:color="auto"/>
            </w:tcBorders>
            <w:shd w:val="clear" w:color="auto" w:fill="auto"/>
            <w:noWrap/>
            <w:vAlign w:val="bottom"/>
            <w:hideMark/>
          </w:tcPr>
          <w:p w:rsidR="00DC5E2A" w:rsidRPr="00A200D5" w:rsidRDefault="00DC5E2A" w:rsidP="00EE6015">
            <w:pPr>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Total financial assets</w:t>
            </w:r>
          </w:p>
        </w:tc>
        <w:tc>
          <w:tcPr>
            <w:tcW w:w="1180" w:type="dxa"/>
            <w:tcBorders>
              <w:top w:val="nil"/>
              <w:left w:val="single" w:sz="4" w:space="0" w:color="auto"/>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(2,122)</w:t>
            </w:r>
          </w:p>
        </w:tc>
        <w:tc>
          <w:tcPr>
            <w:tcW w:w="1180"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(136)</w:t>
            </w:r>
          </w:p>
        </w:tc>
        <w:tc>
          <w:tcPr>
            <w:tcW w:w="1180"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(2,122)</w:t>
            </w:r>
          </w:p>
        </w:tc>
        <w:tc>
          <w:tcPr>
            <w:tcW w:w="1181"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(136)</w:t>
            </w:r>
          </w:p>
        </w:tc>
      </w:tr>
      <w:tr w:rsidR="00DC5E2A" w:rsidRPr="006A7694" w:rsidTr="00A200D5">
        <w:trPr>
          <w:trHeight w:val="209"/>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hideMark/>
          </w:tcPr>
          <w:p w:rsidR="00DC5E2A" w:rsidRPr="006A7694" w:rsidRDefault="00DC5E2A" w:rsidP="00EE6015">
            <w:pPr>
              <w:rPr>
                <w:rFonts w:eastAsia="Times New Roman" w:cs="Calibri"/>
                <w:color w:val="000000"/>
                <w:sz w:val="16"/>
                <w:szCs w:val="16"/>
                <w:lang w:val="en-GB" w:eastAsia="en-GB"/>
              </w:rPr>
            </w:pPr>
            <w:r w:rsidRPr="006A7694">
              <w:rPr>
                <w:rFonts w:eastAsia="Times New Roman" w:cs="Calibri"/>
                <w:color w:val="000000"/>
                <w:sz w:val="16"/>
                <w:szCs w:val="16"/>
                <w:lang w:val="en-GB" w:eastAsia="en-GB"/>
              </w:rPr>
              <w:t>Non - Financial Liabilities</w:t>
            </w:r>
          </w:p>
        </w:tc>
        <w:tc>
          <w:tcPr>
            <w:tcW w:w="1180" w:type="dxa"/>
            <w:tcBorders>
              <w:top w:val="nil"/>
              <w:left w:val="single" w:sz="4" w:space="0" w:color="auto"/>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(24,7</w:t>
            </w:r>
            <w:r>
              <w:rPr>
                <w:rFonts w:eastAsia="Times New Roman" w:cs="Calibri"/>
                <w:color w:val="000000"/>
                <w:sz w:val="16"/>
                <w:szCs w:val="16"/>
                <w:lang w:val="en-GB" w:eastAsia="en-GB"/>
              </w:rPr>
              <w:t>29</w:t>
            </w:r>
            <w:r w:rsidRPr="006A7694">
              <w:rPr>
                <w:rFonts w:eastAsia="Times New Roman" w:cs="Calibri"/>
                <w:color w:val="000000"/>
                <w:sz w:val="16"/>
                <w:szCs w:val="16"/>
                <w:lang w:val="en-GB" w:eastAsia="en-GB"/>
              </w:rPr>
              <w:t>)</w:t>
            </w:r>
          </w:p>
        </w:tc>
        <w:tc>
          <w:tcPr>
            <w:tcW w:w="1180"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(2</w:t>
            </w:r>
            <w:r w:rsidR="00734D30">
              <w:rPr>
                <w:rFonts w:eastAsia="Times New Roman" w:cs="Calibri"/>
                <w:color w:val="000000"/>
                <w:sz w:val="16"/>
                <w:szCs w:val="16"/>
                <w:lang w:val="en-GB" w:eastAsia="en-GB"/>
              </w:rPr>
              <w:t>7</w:t>
            </w:r>
            <w:r w:rsidRPr="006A7694">
              <w:rPr>
                <w:rFonts w:eastAsia="Times New Roman" w:cs="Calibri"/>
                <w:color w:val="000000"/>
                <w:sz w:val="16"/>
                <w:szCs w:val="16"/>
                <w:lang w:val="en-GB" w:eastAsia="en-GB"/>
              </w:rPr>
              <w:t>,</w:t>
            </w:r>
            <w:r w:rsidR="00727F1B">
              <w:rPr>
                <w:rFonts w:eastAsia="Times New Roman" w:cs="Calibri"/>
                <w:color w:val="000000"/>
                <w:sz w:val="16"/>
                <w:szCs w:val="16"/>
                <w:lang w:val="en-GB" w:eastAsia="en-GB"/>
              </w:rPr>
              <w:t>4</w:t>
            </w:r>
            <w:r w:rsidR="00734D30">
              <w:rPr>
                <w:rFonts w:eastAsia="Times New Roman" w:cs="Calibri"/>
                <w:color w:val="000000"/>
                <w:sz w:val="16"/>
                <w:szCs w:val="16"/>
                <w:lang w:val="en-GB" w:eastAsia="en-GB"/>
              </w:rPr>
              <w:t>68</w:t>
            </w:r>
            <w:r w:rsidRPr="006A7694">
              <w:rPr>
                <w:rFonts w:eastAsia="Times New Roman" w:cs="Calibri"/>
                <w:color w:val="000000"/>
                <w:sz w:val="16"/>
                <w:szCs w:val="16"/>
                <w:lang w:val="en-GB" w:eastAsia="en-GB"/>
              </w:rPr>
              <w:t>)</w:t>
            </w:r>
          </w:p>
        </w:tc>
        <w:tc>
          <w:tcPr>
            <w:tcW w:w="1180" w:type="dxa"/>
            <w:tcBorders>
              <w:top w:val="nil"/>
              <w:left w:val="nil"/>
              <w:bottom w:val="single" w:sz="4" w:space="0" w:color="auto"/>
              <w:right w:val="nil"/>
            </w:tcBorders>
            <w:shd w:val="clear" w:color="auto" w:fill="auto"/>
            <w:noWrap/>
            <w:vAlign w:val="bottom"/>
            <w:hideMark/>
          </w:tcPr>
          <w:p w:rsidR="00DC5E2A" w:rsidRPr="006A7694" w:rsidRDefault="00DC5E2A" w:rsidP="00EE6015">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(24,7</w:t>
            </w:r>
            <w:r>
              <w:rPr>
                <w:rFonts w:eastAsia="Times New Roman" w:cs="Calibri"/>
                <w:color w:val="000000"/>
                <w:sz w:val="16"/>
                <w:szCs w:val="16"/>
                <w:lang w:val="en-GB" w:eastAsia="en-GB"/>
              </w:rPr>
              <w:t>29</w:t>
            </w:r>
            <w:r w:rsidRPr="006A7694">
              <w:rPr>
                <w:rFonts w:eastAsia="Times New Roman" w:cs="Calibri"/>
                <w:color w:val="000000"/>
                <w:sz w:val="16"/>
                <w:szCs w:val="16"/>
                <w:lang w:val="en-GB" w:eastAsia="en-GB"/>
              </w:rPr>
              <w:t>)</w:t>
            </w:r>
          </w:p>
        </w:tc>
        <w:tc>
          <w:tcPr>
            <w:tcW w:w="1181" w:type="dxa"/>
            <w:tcBorders>
              <w:top w:val="nil"/>
              <w:left w:val="nil"/>
              <w:bottom w:val="single" w:sz="4" w:space="0" w:color="auto"/>
              <w:right w:val="single" w:sz="8" w:space="0" w:color="auto"/>
            </w:tcBorders>
            <w:shd w:val="clear" w:color="auto" w:fill="auto"/>
            <w:noWrap/>
            <w:vAlign w:val="bottom"/>
            <w:hideMark/>
          </w:tcPr>
          <w:p w:rsidR="00DC5E2A" w:rsidRPr="006A7694" w:rsidRDefault="00DC5E2A">
            <w:pPr>
              <w:jc w:val="right"/>
              <w:rPr>
                <w:rFonts w:eastAsia="Times New Roman" w:cs="Calibri"/>
                <w:color w:val="000000"/>
                <w:sz w:val="16"/>
                <w:szCs w:val="16"/>
                <w:lang w:val="en-GB" w:eastAsia="en-GB"/>
              </w:rPr>
            </w:pPr>
            <w:r w:rsidRPr="006A7694">
              <w:rPr>
                <w:rFonts w:eastAsia="Times New Roman" w:cs="Calibri"/>
                <w:color w:val="000000"/>
                <w:sz w:val="16"/>
                <w:szCs w:val="16"/>
                <w:lang w:val="en-GB" w:eastAsia="en-GB"/>
              </w:rPr>
              <w:t>(2</w:t>
            </w:r>
            <w:r w:rsidR="00734D30">
              <w:rPr>
                <w:rFonts w:eastAsia="Times New Roman" w:cs="Calibri"/>
                <w:color w:val="000000"/>
                <w:sz w:val="16"/>
                <w:szCs w:val="16"/>
                <w:lang w:val="en-GB" w:eastAsia="en-GB"/>
              </w:rPr>
              <w:t>7</w:t>
            </w:r>
            <w:r w:rsidRPr="006A7694">
              <w:rPr>
                <w:rFonts w:eastAsia="Times New Roman" w:cs="Calibri"/>
                <w:color w:val="000000"/>
                <w:sz w:val="16"/>
                <w:szCs w:val="16"/>
                <w:lang w:val="en-GB" w:eastAsia="en-GB"/>
              </w:rPr>
              <w:t>,</w:t>
            </w:r>
            <w:r w:rsidR="00727F1B">
              <w:rPr>
                <w:rFonts w:eastAsia="Times New Roman" w:cs="Calibri"/>
                <w:color w:val="000000"/>
                <w:sz w:val="16"/>
                <w:szCs w:val="16"/>
                <w:lang w:val="en-GB" w:eastAsia="en-GB"/>
              </w:rPr>
              <w:t>46</w:t>
            </w:r>
            <w:r w:rsidR="00734D30">
              <w:rPr>
                <w:rFonts w:eastAsia="Times New Roman" w:cs="Calibri"/>
                <w:color w:val="000000"/>
                <w:sz w:val="16"/>
                <w:szCs w:val="16"/>
                <w:lang w:val="en-GB" w:eastAsia="en-GB"/>
              </w:rPr>
              <w:t>8</w:t>
            </w:r>
            <w:r w:rsidRPr="006A7694">
              <w:rPr>
                <w:rFonts w:eastAsia="Times New Roman" w:cs="Calibri"/>
                <w:color w:val="000000"/>
                <w:sz w:val="16"/>
                <w:szCs w:val="16"/>
                <w:lang w:val="en-GB" w:eastAsia="en-GB"/>
              </w:rPr>
              <w:t>)</w:t>
            </w:r>
          </w:p>
        </w:tc>
      </w:tr>
      <w:tr w:rsidR="00DC5E2A" w:rsidRPr="006A7694" w:rsidTr="00A200D5">
        <w:trPr>
          <w:trHeight w:val="221"/>
          <w:jc w:val="center"/>
        </w:trPr>
        <w:tc>
          <w:tcPr>
            <w:tcW w:w="3945" w:type="dxa"/>
            <w:gridSpan w:val="2"/>
            <w:tcBorders>
              <w:top w:val="nil"/>
              <w:left w:val="single" w:sz="4" w:space="0" w:color="auto"/>
              <w:bottom w:val="single" w:sz="4" w:space="0" w:color="auto"/>
              <w:right w:val="single" w:sz="4" w:space="0" w:color="auto"/>
            </w:tcBorders>
            <w:shd w:val="clear" w:color="auto" w:fill="auto"/>
            <w:noWrap/>
            <w:vAlign w:val="bottom"/>
            <w:hideMark/>
          </w:tcPr>
          <w:p w:rsidR="00DC5E2A" w:rsidRPr="00A200D5" w:rsidRDefault="00DC5E2A" w:rsidP="00EE6015">
            <w:pPr>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Total non-current financial liabilities</w:t>
            </w:r>
          </w:p>
        </w:tc>
        <w:tc>
          <w:tcPr>
            <w:tcW w:w="1180" w:type="dxa"/>
            <w:tcBorders>
              <w:top w:val="nil"/>
              <w:left w:val="single" w:sz="4" w:space="0" w:color="auto"/>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(26,851)</w:t>
            </w:r>
          </w:p>
        </w:tc>
        <w:tc>
          <w:tcPr>
            <w:tcW w:w="1180"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(27,</w:t>
            </w:r>
            <w:r w:rsidR="00734D30">
              <w:rPr>
                <w:rFonts w:eastAsia="Times New Roman" w:cs="Calibri"/>
                <w:b/>
                <w:color w:val="000000"/>
                <w:sz w:val="16"/>
                <w:szCs w:val="16"/>
                <w:lang w:val="en-GB" w:eastAsia="en-GB"/>
              </w:rPr>
              <w:t>604</w:t>
            </w:r>
            <w:r w:rsidRPr="00A200D5">
              <w:rPr>
                <w:rFonts w:eastAsia="Times New Roman" w:cs="Calibri"/>
                <w:b/>
                <w:color w:val="000000"/>
                <w:sz w:val="16"/>
                <w:szCs w:val="16"/>
                <w:lang w:val="en-GB" w:eastAsia="en-GB"/>
              </w:rPr>
              <w:t>)</w:t>
            </w:r>
          </w:p>
        </w:tc>
        <w:tc>
          <w:tcPr>
            <w:tcW w:w="1180" w:type="dxa"/>
            <w:tcBorders>
              <w:top w:val="nil"/>
              <w:left w:val="nil"/>
              <w:bottom w:val="single" w:sz="8" w:space="0" w:color="auto"/>
              <w:right w:val="nil"/>
            </w:tcBorders>
            <w:shd w:val="clear" w:color="auto" w:fill="auto"/>
            <w:noWrap/>
            <w:vAlign w:val="bottom"/>
            <w:hideMark/>
          </w:tcPr>
          <w:p w:rsidR="00DC5E2A" w:rsidRPr="00A200D5" w:rsidRDefault="00DC5E2A" w:rsidP="00EE6015">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(26,851)</w:t>
            </w:r>
          </w:p>
        </w:tc>
        <w:tc>
          <w:tcPr>
            <w:tcW w:w="1181" w:type="dxa"/>
            <w:tcBorders>
              <w:top w:val="nil"/>
              <w:left w:val="nil"/>
              <w:bottom w:val="single" w:sz="8" w:space="0" w:color="auto"/>
              <w:right w:val="single" w:sz="8" w:space="0" w:color="auto"/>
            </w:tcBorders>
            <w:shd w:val="clear" w:color="auto" w:fill="auto"/>
            <w:noWrap/>
            <w:vAlign w:val="bottom"/>
            <w:hideMark/>
          </w:tcPr>
          <w:p w:rsidR="00DC5E2A" w:rsidRPr="00A200D5" w:rsidRDefault="00DC5E2A">
            <w:pPr>
              <w:jc w:val="right"/>
              <w:rPr>
                <w:rFonts w:eastAsia="Times New Roman" w:cs="Calibri"/>
                <w:b/>
                <w:color w:val="000000"/>
                <w:sz w:val="16"/>
                <w:szCs w:val="16"/>
                <w:lang w:val="en-GB" w:eastAsia="en-GB"/>
              </w:rPr>
            </w:pPr>
            <w:r w:rsidRPr="00A200D5">
              <w:rPr>
                <w:rFonts w:eastAsia="Times New Roman" w:cs="Calibri"/>
                <w:b/>
                <w:color w:val="000000"/>
                <w:sz w:val="16"/>
                <w:szCs w:val="16"/>
                <w:lang w:val="en-GB" w:eastAsia="en-GB"/>
              </w:rPr>
              <w:t>(27,</w:t>
            </w:r>
            <w:r w:rsidR="00734D30">
              <w:rPr>
                <w:rFonts w:eastAsia="Times New Roman" w:cs="Calibri"/>
                <w:b/>
                <w:color w:val="000000"/>
                <w:sz w:val="16"/>
                <w:szCs w:val="16"/>
                <w:lang w:val="en-GB" w:eastAsia="en-GB"/>
              </w:rPr>
              <w:t>604</w:t>
            </w:r>
            <w:r w:rsidRPr="00A200D5">
              <w:rPr>
                <w:rFonts w:eastAsia="Times New Roman" w:cs="Calibri"/>
                <w:b/>
                <w:color w:val="000000"/>
                <w:sz w:val="16"/>
                <w:szCs w:val="16"/>
                <w:lang w:val="en-GB" w:eastAsia="en-GB"/>
              </w:rPr>
              <w:t>)</w:t>
            </w:r>
          </w:p>
        </w:tc>
      </w:tr>
    </w:tbl>
    <w:p w:rsidR="00DC5E2A" w:rsidRPr="000258B1" w:rsidRDefault="00DC5E2A">
      <w:pPr>
        <w:pStyle w:val="T1TableStyle"/>
        <w:rPr>
          <w:rFonts w:ascii="Verdana" w:eastAsia="Verdana" w:hAnsi="Verdana" w:cs="Verdana"/>
          <w:sz w:val="22"/>
          <w:highlight w:val="yellow"/>
          <w:lang w:val="en-GB"/>
        </w:rPr>
      </w:pPr>
    </w:p>
    <w:p w:rsidR="00CA6653" w:rsidRPr="001A4055" w:rsidRDefault="004D70DB" w:rsidP="00A31A9E">
      <w:pPr>
        <w:pStyle w:val="Heading1"/>
      </w:pPr>
      <w:bookmarkStart w:id="44" w:name="_Toc55900434"/>
      <w:r>
        <w:t>Note 3</w:t>
      </w:r>
      <w:r w:rsidR="00960EC4">
        <w:t>2</w:t>
      </w:r>
      <w:r w:rsidR="00CA6653" w:rsidRPr="001A4055">
        <w:t xml:space="preserve"> - Nature and Extent of Risks Arising from Financial Instruments</w:t>
      </w:r>
      <w:bookmarkEnd w:id="44"/>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The Group’s activities expose it to a variety of financial risks:</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w:t>
      </w:r>
      <w:r w:rsidRPr="001A4055">
        <w:rPr>
          <w:rFonts w:ascii="Verdana" w:eastAsia="Calibri" w:hAnsi="Verdana" w:cs="Arial"/>
          <w:sz w:val="22"/>
          <w:szCs w:val="22"/>
          <w:lang w:val="pt-BR"/>
        </w:rPr>
        <w:tab/>
        <w:t>Credit Risk – the possibility that other parties might fail to pay amounts due to the Group</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w:t>
      </w:r>
      <w:r w:rsidRPr="001A4055">
        <w:rPr>
          <w:rFonts w:ascii="Verdana" w:eastAsia="Calibri" w:hAnsi="Verdana" w:cs="Arial"/>
          <w:sz w:val="22"/>
          <w:szCs w:val="22"/>
          <w:lang w:val="pt-BR"/>
        </w:rPr>
        <w:tab/>
        <w:t>Liquidity Risk – the risk that the Group might not have funds available to meet its commitment to make payments</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w:t>
      </w:r>
      <w:r w:rsidRPr="001A4055">
        <w:rPr>
          <w:rFonts w:ascii="Verdana" w:eastAsia="Calibri" w:hAnsi="Verdana" w:cs="Arial"/>
          <w:sz w:val="22"/>
          <w:szCs w:val="22"/>
          <w:lang w:val="pt-BR"/>
        </w:rPr>
        <w:tab/>
        <w:t>Market Risk/Interest Rate Risk – the possibility that financial loss might arise for the Group as a result of changes in such measures as interest rates and stock market movements.</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w:t>
      </w:r>
      <w:r w:rsidRPr="001A4055">
        <w:rPr>
          <w:rFonts w:ascii="Verdana" w:eastAsia="Calibri" w:hAnsi="Verdana" w:cs="Arial"/>
          <w:sz w:val="22"/>
          <w:szCs w:val="22"/>
          <w:lang w:val="pt-BR"/>
        </w:rPr>
        <w:tab/>
        <w:t>Market Failure Risk – the risk that financial loss might arise as a result of a failure in financial markets.</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 xml:space="preserve">The Group’s overall risk management programme focuses on the unpredictability of financial markets and seeks to minimise potential adverse effects on the resources available to fund services.  The Head of Finance is responsible for implementing the Group’s approved Treasury Management Strategy which specifies the arrangements for specific areas such as interest rate risk, credit risk and the investment of surplus cash.  </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Day-to-day treasury management activity is undertaken on behalf of the Group by Surrey County Council under the terms of a service level agreement.</w:t>
      </w:r>
    </w:p>
    <w:p w:rsidR="00CA6653" w:rsidRPr="00DC5E2A" w:rsidRDefault="00CA6653" w:rsidP="00DC5E2A">
      <w:pPr>
        <w:pStyle w:val="Normal0"/>
        <w:spacing w:after="160" w:line="259" w:lineRule="auto"/>
        <w:jc w:val="both"/>
        <w:rPr>
          <w:rFonts w:ascii="Verdana" w:hAnsi="Verdana"/>
          <w:b/>
          <w:sz w:val="22"/>
          <w:szCs w:val="22"/>
          <w:lang w:val="pt-BR"/>
        </w:rPr>
      </w:pPr>
      <w:r w:rsidRPr="00DC5E2A">
        <w:rPr>
          <w:rFonts w:ascii="Verdana" w:eastAsia="Calibri" w:hAnsi="Verdana" w:cs="Arial"/>
          <w:b/>
          <w:sz w:val="22"/>
          <w:szCs w:val="22"/>
          <w:lang w:val="pt-BR"/>
        </w:rPr>
        <w:t>Credit and Counterparty Risk</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A prime objective of the Group’s treasury management activities is the security of the principal sums it invests.  The Group maintains a formal counterparty policy in respect of those organisations from which it may borrow, or with whom it may enter into other financing arrangements, which includes all organisations included on Surrey County Council’s counterparty lists.</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The Group’s only direct counterparty in relation to treasury management is Surrey County Council.  All investments made by Surrey County Council are made in accordance with that Council’s investment policies and prevailing legislation and regulations.  If the list of counterparties and their time or value limits need to be revised, amendments are presented to the Surrey County Council Audit &amp; Governance Committee.  It is considered that these arrangements minimise the risk in this area.</w:t>
      </w:r>
    </w:p>
    <w:p w:rsidR="00CA6653" w:rsidRPr="001A4055" w:rsidRDefault="00CA6653" w:rsidP="00DC5E2A">
      <w:pPr>
        <w:pStyle w:val="Normal0"/>
        <w:spacing w:after="160" w:line="259" w:lineRule="auto"/>
        <w:jc w:val="both"/>
        <w:rPr>
          <w:rFonts w:ascii="Verdana" w:hAnsi="Verdana"/>
          <w:sz w:val="22"/>
          <w:szCs w:val="22"/>
          <w:lang w:val="pt-BR"/>
        </w:rPr>
      </w:pPr>
      <w:r w:rsidRPr="00B52D20">
        <w:rPr>
          <w:rFonts w:ascii="Verdana" w:eastAsia="Calibri" w:hAnsi="Verdana" w:cs="Arial"/>
          <w:sz w:val="22"/>
          <w:szCs w:val="22"/>
          <w:lang w:val="pt-BR"/>
        </w:rPr>
        <w:t>The maximum exposure to credit risk at the Balance Sheet date was as follows: trade receivables £0.8m (201</w:t>
      </w:r>
      <w:r w:rsidR="00B52D20" w:rsidRPr="00B52D20">
        <w:rPr>
          <w:rFonts w:ascii="Verdana" w:eastAsia="Calibri" w:hAnsi="Verdana" w:cs="Arial"/>
          <w:sz w:val="22"/>
          <w:szCs w:val="22"/>
          <w:lang w:val="pt-BR"/>
        </w:rPr>
        <w:t>8</w:t>
      </w:r>
      <w:r w:rsidRPr="00B52D20">
        <w:rPr>
          <w:rFonts w:ascii="Verdana" w:eastAsia="Calibri" w:hAnsi="Verdana" w:cs="Arial"/>
          <w:sz w:val="22"/>
          <w:szCs w:val="22"/>
          <w:lang w:val="pt-BR"/>
        </w:rPr>
        <w:t>/1</w:t>
      </w:r>
      <w:r w:rsidR="00B52D20" w:rsidRPr="00B52D20">
        <w:rPr>
          <w:rFonts w:ascii="Verdana" w:eastAsia="Calibri" w:hAnsi="Verdana" w:cs="Arial"/>
          <w:sz w:val="22"/>
          <w:szCs w:val="22"/>
          <w:lang w:val="pt-BR"/>
        </w:rPr>
        <w:t>9</w:t>
      </w:r>
      <w:r w:rsidRPr="00B52D20">
        <w:rPr>
          <w:rFonts w:ascii="Verdana" w:eastAsia="Calibri" w:hAnsi="Verdana" w:cs="Arial"/>
          <w:sz w:val="22"/>
          <w:szCs w:val="22"/>
          <w:lang w:val="pt-BR"/>
        </w:rPr>
        <w:t xml:space="preserve"> £0.</w:t>
      </w:r>
      <w:r w:rsidR="00B52D20" w:rsidRPr="00B52D20">
        <w:rPr>
          <w:rFonts w:ascii="Verdana" w:eastAsia="Calibri" w:hAnsi="Verdana" w:cs="Arial"/>
          <w:sz w:val="22"/>
          <w:szCs w:val="22"/>
          <w:lang w:val="pt-BR"/>
        </w:rPr>
        <w:t>8</w:t>
      </w:r>
      <w:r w:rsidRPr="00B52D20">
        <w:rPr>
          <w:rFonts w:ascii="Verdana" w:eastAsia="Calibri" w:hAnsi="Verdana" w:cs="Arial"/>
          <w:sz w:val="22"/>
          <w:szCs w:val="22"/>
          <w:lang w:val="pt-BR"/>
        </w:rPr>
        <w:t>m), and cash and temporary loan investments £1</w:t>
      </w:r>
      <w:r w:rsidR="003F7813">
        <w:rPr>
          <w:rFonts w:ascii="Verdana" w:eastAsia="Calibri" w:hAnsi="Verdana" w:cs="Arial"/>
          <w:sz w:val="22"/>
          <w:szCs w:val="22"/>
          <w:lang w:val="pt-BR"/>
        </w:rPr>
        <w:t>7</w:t>
      </w:r>
      <w:r w:rsidRPr="00B52D20">
        <w:rPr>
          <w:rFonts w:ascii="Verdana" w:eastAsia="Calibri" w:hAnsi="Verdana" w:cs="Arial"/>
          <w:sz w:val="22"/>
          <w:szCs w:val="22"/>
          <w:lang w:val="pt-BR"/>
        </w:rPr>
        <w:t>.</w:t>
      </w:r>
      <w:r w:rsidR="00B52D20" w:rsidRPr="00B52D20">
        <w:rPr>
          <w:rFonts w:ascii="Verdana" w:eastAsia="Calibri" w:hAnsi="Verdana" w:cs="Arial"/>
          <w:sz w:val="22"/>
          <w:szCs w:val="22"/>
          <w:lang w:val="pt-BR"/>
        </w:rPr>
        <w:t>4</w:t>
      </w:r>
      <w:r w:rsidRPr="00B52D20">
        <w:rPr>
          <w:rFonts w:ascii="Verdana" w:eastAsia="Calibri" w:hAnsi="Verdana" w:cs="Arial"/>
          <w:sz w:val="22"/>
          <w:szCs w:val="22"/>
          <w:lang w:val="pt-BR"/>
        </w:rPr>
        <w:t>m (201</w:t>
      </w:r>
      <w:r w:rsidR="00177DED">
        <w:rPr>
          <w:rFonts w:ascii="Verdana" w:eastAsia="Calibri" w:hAnsi="Verdana" w:cs="Arial"/>
          <w:sz w:val="22"/>
          <w:szCs w:val="22"/>
          <w:lang w:val="pt-BR"/>
        </w:rPr>
        <w:t>8</w:t>
      </w:r>
      <w:r w:rsidRPr="00B52D20">
        <w:rPr>
          <w:rFonts w:ascii="Verdana" w:eastAsia="Calibri" w:hAnsi="Verdana" w:cs="Arial"/>
          <w:sz w:val="22"/>
          <w:szCs w:val="22"/>
          <w:lang w:val="pt-BR"/>
        </w:rPr>
        <w:t>/1</w:t>
      </w:r>
      <w:r w:rsidR="00177DED">
        <w:rPr>
          <w:rFonts w:ascii="Verdana" w:eastAsia="Calibri" w:hAnsi="Verdana" w:cs="Arial"/>
          <w:sz w:val="22"/>
          <w:szCs w:val="22"/>
          <w:lang w:val="pt-BR"/>
        </w:rPr>
        <w:t>9</w:t>
      </w:r>
      <w:r w:rsidRPr="00B52D20">
        <w:rPr>
          <w:rFonts w:ascii="Verdana" w:eastAsia="Calibri" w:hAnsi="Verdana" w:cs="Arial"/>
          <w:sz w:val="22"/>
          <w:szCs w:val="22"/>
          <w:lang w:val="pt-BR"/>
        </w:rPr>
        <w:t xml:space="preserve"> £1</w:t>
      </w:r>
      <w:r w:rsidR="003F7813">
        <w:rPr>
          <w:rFonts w:ascii="Verdana" w:eastAsia="Calibri" w:hAnsi="Verdana" w:cs="Arial"/>
          <w:sz w:val="22"/>
          <w:szCs w:val="22"/>
          <w:lang w:val="pt-BR"/>
        </w:rPr>
        <w:t>3</w:t>
      </w:r>
      <w:r w:rsidRPr="00B52D20">
        <w:rPr>
          <w:rFonts w:ascii="Verdana" w:eastAsia="Calibri" w:hAnsi="Verdana" w:cs="Arial"/>
          <w:sz w:val="22"/>
          <w:szCs w:val="22"/>
          <w:lang w:val="pt-BR"/>
        </w:rPr>
        <w:t>.</w:t>
      </w:r>
      <w:r w:rsidR="003F7813">
        <w:rPr>
          <w:rFonts w:ascii="Verdana" w:eastAsia="Calibri" w:hAnsi="Verdana" w:cs="Arial"/>
          <w:sz w:val="22"/>
          <w:szCs w:val="22"/>
          <w:lang w:val="pt-BR"/>
        </w:rPr>
        <w:t>7</w:t>
      </w:r>
      <w:r w:rsidRPr="00B52D20">
        <w:rPr>
          <w:rFonts w:ascii="Verdana" w:eastAsia="Calibri" w:hAnsi="Verdana" w:cs="Arial"/>
          <w:sz w:val="22"/>
          <w:szCs w:val="22"/>
          <w:lang w:val="pt-BR"/>
        </w:rPr>
        <w:t>m). The Group does not have any material exposure to concentrations of credit risk with any single counterparty.</w:t>
      </w:r>
    </w:p>
    <w:p w:rsidR="0030507D" w:rsidRDefault="0030507D">
      <w:pPr>
        <w:rPr>
          <w:rFonts w:eastAsia="Calibri" w:cs="Arial"/>
          <w:b/>
          <w:lang w:val="pt-BR"/>
        </w:rPr>
      </w:pPr>
      <w:r>
        <w:rPr>
          <w:rFonts w:eastAsia="Calibri" w:cs="Arial"/>
          <w:b/>
          <w:lang w:val="pt-BR"/>
        </w:rPr>
        <w:br w:type="page"/>
      </w:r>
    </w:p>
    <w:p w:rsidR="00CA6653" w:rsidRPr="00DC5E2A" w:rsidRDefault="00CA6653" w:rsidP="00DC5E2A">
      <w:pPr>
        <w:pStyle w:val="Normal0"/>
        <w:spacing w:after="160" w:line="259" w:lineRule="auto"/>
        <w:jc w:val="both"/>
        <w:rPr>
          <w:rFonts w:ascii="Verdana" w:hAnsi="Verdana"/>
          <w:b/>
          <w:sz w:val="22"/>
          <w:szCs w:val="22"/>
          <w:lang w:val="pt-BR"/>
        </w:rPr>
      </w:pPr>
      <w:r w:rsidRPr="00DC5E2A">
        <w:rPr>
          <w:rFonts w:ascii="Verdana" w:eastAsia="Calibri" w:hAnsi="Verdana" w:cs="Arial"/>
          <w:b/>
          <w:sz w:val="22"/>
          <w:szCs w:val="22"/>
          <w:lang w:val="pt-BR"/>
        </w:rPr>
        <w:t>Liquidity Risk</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The Group aims to ensure that it has adequate but not excessive cash resources, borrowing arrangements, overdraft or standby facilities to enable it to have the level of funds available to it that are necessary to achieve the objectives stated in its Policing Plan.</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Day-to-day cash balances are monitored on behalf of the Group under a service level agreement by Surrey County Council, whose remit is to aggregate and invest any surpluses with its own balances, and to pay interest based on its quarterly internal borrowing rate.</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The Group has had sufficient available cash balances to meet its daily requirements. In March 2019 The PCC entered into an external Loan with PWLB for £15.6m in order to purchase land for Building the Future.</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All trade and other payables are due to be paid in less than one year.</w:t>
      </w:r>
    </w:p>
    <w:p w:rsidR="00CA6653" w:rsidRPr="00C86C86" w:rsidRDefault="00CA6653" w:rsidP="00DC5E2A">
      <w:pPr>
        <w:pStyle w:val="Normal0"/>
        <w:spacing w:after="160" w:line="259" w:lineRule="auto"/>
        <w:jc w:val="both"/>
        <w:rPr>
          <w:rFonts w:ascii="Verdana" w:hAnsi="Verdana"/>
          <w:b/>
          <w:sz w:val="22"/>
          <w:szCs w:val="22"/>
          <w:lang w:val="pt-BR"/>
        </w:rPr>
      </w:pPr>
      <w:r w:rsidRPr="00C86C86">
        <w:rPr>
          <w:rFonts w:ascii="Verdana" w:eastAsia="Calibri" w:hAnsi="Verdana" w:cs="Arial"/>
          <w:b/>
          <w:sz w:val="22"/>
          <w:szCs w:val="22"/>
          <w:lang w:val="pt-BR"/>
        </w:rPr>
        <w:t>Interest Rate Risk</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 xml:space="preserve">The Group aims to protect itself against the risk that fluctuations in the levels of interest rates create an unexpected or unbudgeted burden on the Group’s finances. </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Since the Group investment activity is undertaken by Surrey County Council, fixed and variable rate exposure limits are set so as not to conflict with that Council’s prevailing limits.  In order to achieve this, both fixed and variable rate upper and lower exposure limits have been set at 100% and 0% respectively.</w:t>
      </w:r>
    </w:p>
    <w:p w:rsidR="00CA6653" w:rsidRPr="001A405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 xml:space="preserve">Surrey County Council employs a treasury consultant to advise on treasury strategy, provide economic data and interest rate forecasts. This information feeds into the Group’s annual budget setting process, and allows for any adverse changes to be accommodated.  </w:t>
      </w:r>
    </w:p>
    <w:p w:rsidR="00CA6653" w:rsidRPr="00184E05" w:rsidRDefault="00CA6653" w:rsidP="00DC5E2A">
      <w:pPr>
        <w:pStyle w:val="Normal0"/>
        <w:spacing w:after="160" w:line="259" w:lineRule="auto"/>
        <w:jc w:val="both"/>
        <w:rPr>
          <w:rFonts w:ascii="Verdana" w:hAnsi="Verdana"/>
          <w:sz w:val="22"/>
          <w:szCs w:val="22"/>
          <w:lang w:val="pt-BR"/>
        </w:rPr>
      </w:pPr>
      <w:r w:rsidRPr="001A4055">
        <w:rPr>
          <w:rFonts w:ascii="Verdana" w:eastAsia="Calibri" w:hAnsi="Verdana" w:cs="Arial"/>
          <w:sz w:val="22"/>
          <w:szCs w:val="22"/>
          <w:lang w:val="pt-BR"/>
        </w:rPr>
        <w:t>As at 31 March 20</w:t>
      </w:r>
      <w:r w:rsidR="001A4055" w:rsidRPr="001A4055">
        <w:rPr>
          <w:rFonts w:ascii="Verdana" w:eastAsia="Calibri" w:hAnsi="Verdana" w:cs="Arial"/>
          <w:sz w:val="22"/>
          <w:szCs w:val="22"/>
          <w:lang w:val="pt-BR"/>
        </w:rPr>
        <w:t>20</w:t>
      </w:r>
      <w:r w:rsidRPr="001A4055">
        <w:rPr>
          <w:rFonts w:ascii="Verdana" w:eastAsia="Calibri" w:hAnsi="Verdana" w:cs="Arial"/>
          <w:sz w:val="22"/>
          <w:szCs w:val="22"/>
          <w:lang w:val="pt-BR"/>
        </w:rPr>
        <w:t>, the Group has borrowing of £15.</w:t>
      </w:r>
      <w:r w:rsidR="001A4055" w:rsidRPr="001A4055">
        <w:rPr>
          <w:rFonts w:ascii="Verdana" w:eastAsia="Calibri" w:hAnsi="Verdana" w:cs="Arial"/>
          <w:sz w:val="22"/>
          <w:szCs w:val="22"/>
          <w:lang w:val="pt-BR"/>
        </w:rPr>
        <w:t>1m (2018/19 £15.6</w:t>
      </w:r>
      <w:r w:rsidRPr="001A4055">
        <w:rPr>
          <w:rFonts w:ascii="Verdana" w:eastAsia="Calibri" w:hAnsi="Verdana" w:cs="Arial"/>
          <w:sz w:val="22"/>
          <w:szCs w:val="22"/>
          <w:lang w:val="pt-BR"/>
        </w:rPr>
        <w:t xml:space="preserve">m) and hold </w:t>
      </w:r>
      <w:r w:rsidRPr="00B52D20">
        <w:rPr>
          <w:rFonts w:ascii="Verdana" w:eastAsia="Calibri" w:hAnsi="Verdana" w:cs="Arial"/>
          <w:sz w:val="22"/>
          <w:szCs w:val="22"/>
          <w:lang w:val="pt-BR"/>
        </w:rPr>
        <w:t>£1</w:t>
      </w:r>
      <w:r w:rsidR="009968F0">
        <w:rPr>
          <w:rFonts w:ascii="Verdana" w:eastAsia="Calibri" w:hAnsi="Verdana" w:cs="Arial"/>
          <w:sz w:val="22"/>
          <w:szCs w:val="22"/>
          <w:lang w:val="pt-BR"/>
        </w:rPr>
        <w:t>7</w:t>
      </w:r>
      <w:r w:rsidRPr="00B52D20">
        <w:rPr>
          <w:rFonts w:ascii="Verdana" w:eastAsia="Calibri" w:hAnsi="Verdana" w:cs="Arial"/>
          <w:sz w:val="22"/>
          <w:szCs w:val="22"/>
          <w:lang w:val="pt-BR"/>
        </w:rPr>
        <w:t>.</w:t>
      </w:r>
      <w:r w:rsidR="00386BAD" w:rsidRPr="00B52D20">
        <w:rPr>
          <w:rFonts w:ascii="Verdana" w:eastAsia="Calibri" w:hAnsi="Verdana" w:cs="Arial"/>
          <w:sz w:val="22"/>
          <w:szCs w:val="22"/>
          <w:lang w:val="pt-BR"/>
        </w:rPr>
        <w:t>4</w:t>
      </w:r>
      <w:r w:rsidRPr="00B52D20">
        <w:rPr>
          <w:rFonts w:ascii="Verdana" w:eastAsia="Calibri" w:hAnsi="Verdana" w:cs="Arial"/>
          <w:sz w:val="22"/>
          <w:szCs w:val="22"/>
          <w:lang w:val="pt-BR"/>
        </w:rPr>
        <w:t>m in variable rate loan investments (</w:t>
      </w:r>
      <w:r w:rsidRPr="001A4055">
        <w:rPr>
          <w:rFonts w:ascii="Verdana" w:eastAsia="Calibri" w:hAnsi="Verdana" w:cs="Arial"/>
          <w:sz w:val="22"/>
          <w:szCs w:val="22"/>
          <w:lang w:val="pt-BR"/>
        </w:rPr>
        <w:t>201</w:t>
      </w:r>
      <w:r w:rsidR="001A4055" w:rsidRPr="001A4055">
        <w:rPr>
          <w:rFonts w:ascii="Verdana" w:eastAsia="Calibri" w:hAnsi="Verdana" w:cs="Arial"/>
          <w:sz w:val="22"/>
          <w:szCs w:val="22"/>
          <w:lang w:val="pt-BR"/>
        </w:rPr>
        <w:t>8</w:t>
      </w:r>
      <w:r w:rsidRPr="001A4055">
        <w:rPr>
          <w:rFonts w:ascii="Verdana" w:eastAsia="Calibri" w:hAnsi="Verdana" w:cs="Arial"/>
          <w:sz w:val="22"/>
          <w:szCs w:val="22"/>
          <w:lang w:val="pt-BR"/>
        </w:rPr>
        <w:t>/1</w:t>
      </w:r>
      <w:r w:rsidR="001A4055" w:rsidRPr="001A4055">
        <w:rPr>
          <w:rFonts w:ascii="Verdana" w:eastAsia="Calibri" w:hAnsi="Verdana" w:cs="Arial"/>
          <w:sz w:val="22"/>
          <w:szCs w:val="22"/>
          <w:lang w:val="pt-BR"/>
        </w:rPr>
        <w:t>9</w:t>
      </w:r>
      <w:r w:rsidRPr="001A4055">
        <w:rPr>
          <w:rFonts w:ascii="Verdana" w:eastAsia="Calibri" w:hAnsi="Verdana" w:cs="Arial"/>
          <w:sz w:val="22"/>
          <w:szCs w:val="22"/>
          <w:lang w:val="pt-BR"/>
        </w:rPr>
        <w:t xml:space="preserve"> £1</w:t>
      </w:r>
      <w:r w:rsidR="001A4055" w:rsidRPr="001A4055">
        <w:rPr>
          <w:rFonts w:ascii="Verdana" w:eastAsia="Calibri" w:hAnsi="Verdana" w:cs="Arial"/>
          <w:sz w:val="22"/>
          <w:szCs w:val="22"/>
          <w:lang w:val="pt-BR"/>
        </w:rPr>
        <w:t>3</w:t>
      </w:r>
      <w:r w:rsidRPr="001A4055">
        <w:rPr>
          <w:rFonts w:ascii="Verdana" w:eastAsia="Calibri" w:hAnsi="Verdana" w:cs="Arial"/>
          <w:sz w:val="22"/>
          <w:szCs w:val="22"/>
          <w:lang w:val="pt-BR"/>
        </w:rPr>
        <w:t>.</w:t>
      </w:r>
      <w:r w:rsidR="001A4055" w:rsidRPr="001A4055">
        <w:rPr>
          <w:rFonts w:ascii="Verdana" w:eastAsia="Calibri" w:hAnsi="Verdana" w:cs="Arial"/>
          <w:sz w:val="22"/>
          <w:szCs w:val="22"/>
          <w:lang w:val="pt-BR"/>
        </w:rPr>
        <w:t>7</w:t>
      </w:r>
      <w:r w:rsidRPr="001A4055">
        <w:rPr>
          <w:rFonts w:ascii="Verdana" w:eastAsia="Calibri" w:hAnsi="Verdana" w:cs="Arial"/>
          <w:sz w:val="22"/>
          <w:szCs w:val="22"/>
          <w:lang w:val="pt-BR"/>
        </w:rPr>
        <w:t>m).</w:t>
      </w:r>
    </w:p>
    <w:p w:rsidR="00DC5E2A" w:rsidRDefault="00DC5E2A">
      <w:pPr>
        <w:pStyle w:val="Normal0"/>
        <w:spacing w:after="160" w:line="259" w:lineRule="auto"/>
        <w:rPr>
          <w:sz w:val="22"/>
          <w:szCs w:val="22"/>
          <w:lang w:val="en-GB"/>
        </w:rPr>
      </w:pPr>
    </w:p>
    <w:p w:rsidR="00CA6653" w:rsidRDefault="00CA6653" w:rsidP="00A31A9E">
      <w:pPr>
        <w:pStyle w:val="Heading1"/>
      </w:pPr>
      <w:bookmarkStart w:id="45" w:name="_Toc55900435"/>
      <w:r>
        <w:t>Note 3</w:t>
      </w:r>
      <w:r w:rsidR="00960EC4">
        <w:t>3</w:t>
      </w:r>
      <w:r>
        <w:t xml:space="preserve"> - Financing and Investment Income and Expenditure</w:t>
      </w:r>
      <w:bookmarkEnd w:id="45"/>
      <w:r>
        <w:t xml:space="preserve"> </w:t>
      </w:r>
    </w:p>
    <w:tbl>
      <w:tblPr>
        <w:tblpPr w:leftFromText="180" w:rightFromText="180" w:vertAnchor="text" w:tblpY="1"/>
        <w:tblOverlap w:val="never"/>
        <w:tblW w:w="0" w:type="auto"/>
        <w:tblLayout w:type="fixed"/>
        <w:tblLook w:val="04A0" w:firstRow="1" w:lastRow="0" w:firstColumn="1" w:lastColumn="0" w:noHBand="0" w:noVBand="1"/>
      </w:tblPr>
      <w:tblGrid>
        <w:gridCol w:w="1335"/>
        <w:gridCol w:w="1335"/>
        <w:gridCol w:w="180"/>
        <w:gridCol w:w="3750"/>
        <w:gridCol w:w="1335"/>
        <w:gridCol w:w="1335"/>
      </w:tblGrid>
      <w:tr w:rsidR="004D417B" w:rsidTr="00A200D5">
        <w:trPr>
          <w:trHeight w:val="360"/>
        </w:trPr>
        <w:tc>
          <w:tcPr>
            <w:tcW w:w="2670" w:type="dxa"/>
            <w:gridSpan w:val="2"/>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2018/19</w:t>
            </w:r>
          </w:p>
        </w:tc>
        <w:tc>
          <w:tcPr>
            <w:tcW w:w="18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2670" w:type="dxa"/>
            <w:gridSpan w:val="2"/>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2019/20</w:t>
            </w:r>
          </w:p>
        </w:tc>
      </w:tr>
      <w:tr w:rsidR="004D417B" w:rsidTr="00A200D5">
        <w:trPr>
          <w:trHeight w:val="300"/>
        </w:trPr>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PCC</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Group</w:t>
            </w:r>
          </w:p>
        </w:tc>
        <w:tc>
          <w:tcPr>
            <w:tcW w:w="180" w:type="dxa"/>
            <w:shd w:val="clear" w:color="auto" w:fill="auto"/>
            <w:tcMar>
              <w:top w:w="20" w:type="dxa"/>
              <w:left w:w="20" w:type="dxa"/>
              <w:bottom w:w="20" w:type="dxa"/>
              <w:right w:w="20" w:type="dxa"/>
            </w:tcMar>
            <w:vAlign w:val="bottom"/>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3750" w:type="dxa"/>
            <w:shd w:val="clear" w:color="auto" w:fill="auto"/>
            <w:tcMar>
              <w:top w:w="20" w:type="dxa"/>
              <w:left w:w="20" w:type="dxa"/>
              <w:bottom w:w="20" w:type="dxa"/>
              <w:right w:w="20" w:type="dxa"/>
            </w:tcMar>
            <w:vAlign w:val="bottom"/>
          </w:tcPr>
          <w:p w:rsidR="00CA6653" w:rsidRDefault="00CA6653">
            <w:pPr>
              <w:pStyle w:val="T1TableStyle"/>
              <w:jc w:val="center"/>
              <w:rPr>
                <w:rFonts w:ascii="Calibri" w:eastAsia="Calibri" w:hAnsi="Calibri" w:cs="Calibri"/>
                <w:color w:val="000000"/>
                <w:sz w:val="2"/>
                <w:lang w:val="en-GB"/>
              </w:rPr>
            </w:pPr>
            <w:r>
              <w:rPr>
                <w:rFonts w:ascii="Calibri" w:eastAsia="Calibri" w:hAnsi="Calibri" w:cs="Calibri"/>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PCC</w:t>
            </w:r>
          </w:p>
        </w:tc>
        <w:tc>
          <w:tcPr>
            <w:tcW w:w="1335"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Group</w:t>
            </w:r>
          </w:p>
        </w:tc>
      </w:tr>
      <w:tr w:rsidR="004D417B" w:rsidTr="00A200D5">
        <w:trPr>
          <w:trHeight w:val="300"/>
        </w:trPr>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50"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A200D5">
        <w:trPr>
          <w:trHeight w:val="300"/>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70</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Interest payable and similar charges</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293</w:t>
            </w:r>
          </w:p>
        </w:tc>
        <w:tc>
          <w:tcPr>
            <w:tcW w:w="1335" w:type="dxa"/>
            <w:shd w:val="clear" w:color="auto" w:fill="auto"/>
            <w:tcMar>
              <w:top w:w="20" w:type="dxa"/>
              <w:left w:w="20" w:type="dxa"/>
              <w:bottom w:w="20" w:type="dxa"/>
              <w:right w:w="20" w:type="dxa"/>
            </w:tcMar>
          </w:tcPr>
          <w:p w:rsidR="00CA6653" w:rsidRDefault="00CA6653" w:rsidP="00EB075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w:t>
            </w:r>
            <w:r w:rsidR="00C04153">
              <w:rPr>
                <w:rFonts w:ascii="Verdana" w:eastAsia="Verdana" w:hAnsi="Verdana" w:cs="Verdana"/>
                <w:color w:val="000000"/>
                <w:sz w:val="16"/>
                <w:lang w:val="en-GB"/>
              </w:rPr>
              <w:t>8</w:t>
            </w:r>
          </w:p>
        </w:tc>
      </w:tr>
      <w:tr w:rsidR="004D417B" w:rsidTr="00A200D5">
        <w:trPr>
          <w:trHeight w:val="420"/>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49,457</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Net interest on the net defined benefit liability (asset)</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35</w:t>
            </w:r>
          </w:p>
        </w:tc>
        <w:tc>
          <w:tcPr>
            <w:tcW w:w="1335" w:type="dxa"/>
            <w:shd w:val="clear" w:color="auto" w:fill="auto"/>
            <w:tcMar>
              <w:top w:w="20" w:type="dxa"/>
              <w:left w:w="20" w:type="dxa"/>
              <w:bottom w:w="20" w:type="dxa"/>
              <w:right w:w="20" w:type="dxa"/>
            </w:tcMar>
          </w:tcPr>
          <w:p w:rsidR="00CA6653" w:rsidRDefault="00CA6653" w:rsidP="00EB075B">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53,</w:t>
            </w:r>
            <w:r w:rsidR="00EC46FA">
              <w:rPr>
                <w:rFonts w:ascii="Verdana" w:eastAsia="Verdana" w:hAnsi="Verdana" w:cs="Verdana"/>
                <w:color w:val="000000"/>
                <w:sz w:val="16"/>
                <w:lang w:val="en-GB"/>
              </w:rPr>
              <w:t>149</w:t>
            </w:r>
          </w:p>
        </w:tc>
      </w:tr>
      <w:tr w:rsidR="004D417B" w:rsidTr="00A200D5">
        <w:trPr>
          <w:trHeight w:val="300"/>
        </w:trPr>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(213)</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(213)</w:t>
            </w:r>
          </w:p>
        </w:tc>
        <w:tc>
          <w:tcPr>
            <w:tcW w:w="180" w:type="dxa"/>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Interest receivable and similar income</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(206)</w:t>
            </w:r>
          </w:p>
        </w:tc>
        <w:tc>
          <w:tcPr>
            <w:tcW w:w="1335"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(206)</w:t>
            </w:r>
          </w:p>
        </w:tc>
      </w:tr>
      <w:tr w:rsidR="004D417B" w:rsidTr="00A200D5">
        <w:trPr>
          <w:trHeight w:val="315"/>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(14</w:t>
            </w:r>
            <w:r w:rsidR="000258B1">
              <w:rPr>
                <w:rFonts w:ascii="Verdana" w:eastAsia="Verdana" w:hAnsi="Verdana" w:cs="Verdana"/>
                <w:b/>
                <w:color w:val="000000"/>
                <w:sz w:val="16"/>
                <w:lang w:val="en-GB"/>
              </w:rPr>
              <w:t>3</w:t>
            </w:r>
            <w:r>
              <w:rPr>
                <w:rFonts w:ascii="Verdana" w:eastAsia="Verdana" w:hAnsi="Verdana" w:cs="Verdana"/>
                <w:b/>
                <w:color w:val="000000"/>
                <w:sz w:val="16"/>
                <w:lang w:val="en-GB"/>
              </w:rPr>
              <w:t>)</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49,31</w:t>
            </w:r>
            <w:r w:rsidR="000258B1">
              <w:rPr>
                <w:rFonts w:ascii="Verdana" w:eastAsia="Verdana" w:hAnsi="Verdana" w:cs="Verdana"/>
                <w:b/>
                <w:color w:val="000000"/>
                <w:sz w:val="16"/>
                <w:lang w:val="en-GB"/>
              </w:rPr>
              <w:t>4</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122</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53,</w:t>
            </w:r>
            <w:r w:rsidR="00EC46FA">
              <w:rPr>
                <w:rFonts w:ascii="Verdana" w:eastAsia="Verdana" w:hAnsi="Verdana" w:cs="Verdana"/>
                <w:b/>
                <w:color w:val="000000"/>
                <w:sz w:val="16"/>
                <w:lang w:val="en-GB"/>
              </w:rPr>
              <w:t>23</w:t>
            </w:r>
            <w:r w:rsidR="00C04153">
              <w:rPr>
                <w:rFonts w:ascii="Verdana" w:eastAsia="Verdana" w:hAnsi="Verdana" w:cs="Verdana"/>
                <w:b/>
                <w:color w:val="000000"/>
                <w:sz w:val="16"/>
                <w:lang w:val="en-GB"/>
              </w:rPr>
              <w:t>1</w:t>
            </w:r>
          </w:p>
          <w:p w:rsidR="00A571E1" w:rsidRDefault="00A571E1">
            <w:pPr>
              <w:pStyle w:val="T1TableStyle"/>
              <w:jc w:val="right"/>
              <w:rPr>
                <w:rFonts w:ascii="Verdana" w:eastAsia="Verdana" w:hAnsi="Verdana" w:cs="Verdana"/>
                <w:b/>
                <w:color w:val="000000"/>
                <w:sz w:val="16"/>
                <w:lang w:val="en-GB"/>
              </w:rPr>
            </w:pPr>
          </w:p>
        </w:tc>
      </w:tr>
    </w:tbl>
    <w:p w:rsidR="00CA6653" w:rsidRDefault="005355FE">
      <w:pPr>
        <w:pStyle w:val="T1TableStyle"/>
        <w:rPr>
          <w:rFonts w:ascii="Verdana" w:eastAsia="Verdana" w:hAnsi="Verdana" w:cs="Verdana"/>
          <w:sz w:val="22"/>
          <w:lang w:val="en-GB"/>
        </w:rPr>
      </w:pPr>
      <w:r>
        <w:rPr>
          <w:rFonts w:ascii="Verdana" w:eastAsia="Verdana" w:hAnsi="Verdana" w:cs="Verdana"/>
          <w:sz w:val="22"/>
          <w:lang w:val="en-GB"/>
        </w:rPr>
        <w:br w:type="textWrapping" w:clear="all"/>
      </w:r>
    </w:p>
    <w:p w:rsidR="00DC5E2A" w:rsidRDefault="00DC5E2A">
      <w:pPr>
        <w:pStyle w:val="Normal0"/>
        <w:spacing w:after="160"/>
        <w:rPr>
          <w:rFonts w:ascii="Verdana" w:hAnsi="Verdana"/>
          <w:sz w:val="22"/>
          <w:szCs w:val="22"/>
          <w:lang w:val="en-GB"/>
        </w:rPr>
      </w:pPr>
    </w:p>
    <w:p w:rsidR="0030507D" w:rsidRDefault="0030507D">
      <w:pPr>
        <w:rPr>
          <w:rFonts w:asciiTheme="majorHAnsi" w:eastAsiaTheme="majorEastAsia" w:hAnsiTheme="majorHAnsi" w:cstheme="majorBidi"/>
          <w:color w:val="2E74B5" w:themeColor="accent1" w:themeShade="BF"/>
          <w:sz w:val="32"/>
          <w:szCs w:val="32"/>
          <w:lang w:val="pt-BR"/>
        </w:rPr>
      </w:pPr>
      <w:r>
        <w:br w:type="page"/>
      </w:r>
    </w:p>
    <w:p w:rsidR="00CA6653" w:rsidRPr="00D75AD3" w:rsidRDefault="00CA6653" w:rsidP="00A31A9E">
      <w:pPr>
        <w:pStyle w:val="Heading1"/>
      </w:pPr>
      <w:bookmarkStart w:id="46" w:name="_Toc55900436"/>
      <w:r w:rsidRPr="00D75AD3">
        <w:t>Note 3</w:t>
      </w:r>
      <w:r w:rsidR="00960EC4" w:rsidRPr="00D75AD3">
        <w:t>4</w:t>
      </w:r>
      <w:r w:rsidRPr="00D75AD3">
        <w:t xml:space="preserve"> - Other Operating Expenditure</w:t>
      </w:r>
      <w:bookmarkEnd w:id="46"/>
      <w:r w:rsidRPr="00D75AD3">
        <w:t xml:space="preserve"> </w:t>
      </w:r>
    </w:p>
    <w:tbl>
      <w:tblPr>
        <w:tblW w:w="0" w:type="auto"/>
        <w:tblLayout w:type="fixed"/>
        <w:tblLook w:val="04A0" w:firstRow="1" w:lastRow="0" w:firstColumn="1" w:lastColumn="0" w:noHBand="0" w:noVBand="1"/>
      </w:tblPr>
      <w:tblGrid>
        <w:gridCol w:w="1335"/>
        <w:gridCol w:w="1335"/>
        <w:gridCol w:w="180"/>
        <w:gridCol w:w="3750"/>
        <w:gridCol w:w="1335"/>
        <w:gridCol w:w="1335"/>
      </w:tblGrid>
      <w:tr w:rsidR="004D417B" w:rsidRPr="00D75AD3">
        <w:trPr>
          <w:trHeight w:val="300"/>
        </w:trPr>
        <w:tc>
          <w:tcPr>
            <w:tcW w:w="2670" w:type="dxa"/>
            <w:gridSpan w:val="2"/>
            <w:shd w:val="clear" w:color="auto" w:fill="auto"/>
            <w:tcMar>
              <w:top w:w="20" w:type="dxa"/>
              <w:left w:w="20" w:type="dxa"/>
              <w:bottom w:w="20" w:type="dxa"/>
              <w:right w:w="20" w:type="dxa"/>
            </w:tcMar>
            <w:vAlign w:val="bottom"/>
          </w:tcPr>
          <w:p w:rsidR="00CA6653" w:rsidRPr="00D75AD3" w:rsidRDefault="00CA6653">
            <w:pPr>
              <w:pStyle w:val="T1TableStyle"/>
              <w:jc w:val="center"/>
              <w:rPr>
                <w:rFonts w:ascii="Verdana" w:eastAsia="Verdana" w:hAnsi="Verdana" w:cs="Verdana"/>
                <w:b/>
                <w:color w:val="000000"/>
                <w:sz w:val="16"/>
                <w:lang w:val="en-GB"/>
              </w:rPr>
            </w:pPr>
            <w:r w:rsidRPr="00D75AD3">
              <w:rPr>
                <w:rFonts w:ascii="Verdana" w:eastAsia="Verdana" w:hAnsi="Verdana" w:cs="Verdana"/>
                <w:b/>
                <w:color w:val="000000"/>
                <w:sz w:val="16"/>
                <w:lang w:val="en-GB"/>
              </w:rPr>
              <w:t>2018/19</w:t>
            </w:r>
          </w:p>
        </w:tc>
        <w:tc>
          <w:tcPr>
            <w:tcW w:w="180" w:type="dxa"/>
            <w:shd w:val="clear" w:color="auto" w:fill="auto"/>
            <w:tcMar>
              <w:top w:w="20" w:type="dxa"/>
              <w:left w:w="20" w:type="dxa"/>
              <w:bottom w:w="20" w:type="dxa"/>
              <w:right w:w="20" w:type="dxa"/>
            </w:tcMar>
          </w:tcPr>
          <w:p w:rsidR="00CA6653" w:rsidRPr="00D75AD3" w:rsidRDefault="00CA6653">
            <w:pPr>
              <w:pStyle w:val="T1TableStyle"/>
              <w:jc w:val="center"/>
              <w:rPr>
                <w:rFonts w:ascii="Verdana" w:eastAsia="Verdana" w:hAnsi="Verdana" w:cs="Verdana"/>
                <w:color w:val="000000"/>
                <w:sz w:val="2"/>
                <w:lang w:val="en-GB"/>
              </w:rPr>
            </w:pPr>
            <w:r w:rsidRPr="00D75AD3">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CA6653" w:rsidRPr="00D75AD3" w:rsidRDefault="00CA6653">
            <w:pPr>
              <w:pStyle w:val="T1TableStyle"/>
              <w:jc w:val="center"/>
              <w:rPr>
                <w:rFonts w:ascii="Verdana" w:eastAsia="Verdana" w:hAnsi="Verdana" w:cs="Verdana"/>
                <w:color w:val="000000"/>
                <w:sz w:val="2"/>
                <w:lang w:val="en-GB"/>
              </w:rPr>
            </w:pPr>
            <w:r w:rsidRPr="00D75AD3">
              <w:rPr>
                <w:rFonts w:ascii="Verdana" w:eastAsia="Verdana" w:hAnsi="Verdana" w:cs="Verdana"/>
                <w:color w:val="000000"/>
                <w:sz w:val="2"/>
                <w:lang w:val="en-GB"/>
              </w:rPr>
              <w:t xml:space="preserve"> </w:t>
            </w:r>
          </w:p>
        </w:tc>
        <w:tc>
          <w:tcPr>
            <w:tcW w:w="2670" w:type="dxa"/>
            <w:gridSpan w:val="2"/>
            <w:shd w:val="clear" w:color="auto" w:fill="auto"/>
            <w:tcMar>
              <w:top w:w="20" w:type="dxa"/>
              <w:left w:w="20" w:type="dxa"/>
              <w:bottom w:w="20" w:type="dxa"/>
              <w:right w:w="20" w:type="dxa"/>
            </w:tcMar>
            <w:vAlign w:val="bottom"/>
          </w:tcPr>
          <w:p w:rsidR="00CA6653" w:rsidRPr="00D75AD3" w:rsidRDefault="00CA6653">
            <w:pPr>
              <w:pStyle w:val="T1TableStyle"/>
              <w:jc w:val="center"/>
              <w:rPr>
                <w:rFonts w:ascii="Verdana" w:eastAsia="Verdana" w:hAnsi="Verdana" w:cs="Verdana"/>
                <w:b/>
                <w:color w:val="000000"/>
                <w:sz w:val="16"/>
                <w:lang w:val="en-GB"/>
              </w:rPr>
            </w:pPr>
            <w:r w:rsidRPr="00D75AD3">
              <w:rPr>
                <w:rFonts w:ascii="Verdana" w:eastAsia="Verdana" w:hAnsi="Verdana" w:cs="Verdana"/>
                <w:b/>
                <w:color w:val="000000"/>
                <w:sz w:val="16"/>
                <w:lang w:val="en-GB"/>
              </w:rPr>
              <w:t>2019/20</w:t>
            </w:r>
          </w:p>
        </w:tc>
      </w:tr>
      <w:tr w:rsidR="004D417B" w:rsidRPr="00D75AD3">
        <w:trPr>
          <w:trHeight w:val="300"/>
        </w:trPr>
        <w:tc>
          <w:tcPr>
            <w:tcW w:w="1335" w:type="dxa"/>
            <w:shd w:val="clear" w:color="auto" w:fill="auto"/>
            <w:tcMar>
              <w:top w:w="20" w:type="dxa"/>
              <w:left w:w="20" w:type="dxa"/>
              <w:bottom w:w="20" w:type="dxa"/>
              <w:right w:w="20" w:type="dxa"/>
            </w:tcMar>
            <w:vAlign w:val="bottom"/>
          </w:tcPr>
          <w:p w:rsidR="00CA6653" w:rsidRPr="00D75AD3" w:rsidRDefault="00CA6653">
            <w:pPr>
              <w:pStyle w:val="T1TableStyle"/>
              <w:jc w:val="center"/>
              <w:rPr>
                <w:rFonts w:ascii="Verdana" w:eastAsia="Verdana" w:hAnsi="Verdana" w:cs="Verdana"/>
                <w:b/>
                <w:color w:val="000000"/>
                <w:sz w:val="16"/>
                <w:lang w:val="en-GB"/>
              </w:rPr>
            </w:pPr>
            <w:r w:rsidRPr="00D75AD3">
              <w:rPr>
                <w:rFonts w:ascii="Verdana" w:eastAsia="Verdana" w:hAnsi="Verdana" w:cs="Verdana"/>
                <w:b/>
                <w:color w:val="000000"/>
                <w:sz w:val="16"/>
                <w:lang w:val="en-GB"/>
              </w:rPr>
              <w:t>PCC</w:t>
            </w:r>
          </w:p>
        </w:tc>
        <w:tc>
          <w:tcPr>
            <w:tcW w:w="1335" w:type="dxa"/>
            <w:shd w:val="clear" w:color="auto" w:fill="auto"/>
            <w:tcMar>
              <w:top w:w="20" w:type="dxa"/>
              <w:left w:w="20" w:type="dxa"/>
              <w:bottom w:w="20" w:type="dxa"/>
              <w:right w:w="20" w:type="dxa"/>
            </w:tcMar>
            <w:vAlign w:val="bottom"/>
          </w:tcPr>
          <w:p w:rsidR="00CA6653" w:rsidRPr="00D75AD3" w:rsidRDefault="00CA6653">
            <w:pPr>
              <w:pStyle w:val="T1TableStyle"/>
              <w:jc w:val="center"/>
              <w:rPr>
                <w:rFonts w:ascii="Verdana" w:eastAsia="Verdana" w:hAnsi="Verdana" w:cs="Verdana"/>
                <w:b/>
                <w:color w:val="000000"/>
                <w:sz w:val="16"/>
                <w:lang w:val="en-GB"/>
              </w:rPr>
            </w:pPr>
            <w:r w:rsidRPr="00D75AD3">
              <w:rPr>
                <w:rFonts w:ascii="Verdana" w:eastAsia="Verdana" w:hAnsi="Verdana" w:cs="Verdana"/>
                <w:b/>
                <w:color w:val="000000"/>
                <w:sz w:val="16"/>
                <w:lang w:val="en-GB"/>
              </w:rPr>
              <w:t>Group</w:t>
            </w:r>
          </w:p>
        </w:tc>
        <w:tc>
          <w:tcPr>
            <w:tcW w:w="180" w:type="dxa"/>
            <w:shd w:val="clear" w:color="auto" w:fill="auto"/>
            <w:tcMar>
              <w:top w:w="20" w:type="dxa"/>
              <w:left w:w="20" w:type="dxa"/>
              <w:bottom w:w="20" w:type="dxa"/>
              <w:right w:w="20" w:type="dxa"/>
            </w:tcMar>
          </w:tcPr>
          <w:p w:rsidR="00CA6653" w:rsidRPr="00D75AD3" w:rsidRDefault="00CA6653">
            <w:pPr>
              <w:pStyle w:val="T1TableStyle"/>
              <w:jc w:val="center"/>
              <w:rPr>
                <w:rFonts w:ascii="Verdana" w:eastAsia="Verdana" w:hAnsi="Verdana" w:cs="Verdana"/>
                <w:b/>
                <w:color w:val="000000"/>
                <w:sz w:val="2"/>
                <w:lang w:val="en-GB"/>
              </w:rPr>
            </w:pPr>
            <w:r w:rsidRPr="00D75AD3">
              <w:rPr>
                <w:rFonts w:ascii="Verdana" w:eastAsia="Verdana" w:hAnsi="Verdana" w:cs="Verdana"/>
                <w:b/>
                <w:color w:val="000000"/>
                <w:sz w:val="2"/>
                <w:lang w:val="en-GB"/>
              </w:rPr>
              <w:t xml:space="preserve"> </w:t>
            </w:r>
          </w:p>
        </w:tc>
        <w:tc>
          <w:tcPr>
            <w:tcW w:w="3750" w:type="dxa"/>
            <w:shd w:val="clear" w:color="auto" w:fill="auto"/>
            <w:tcMar>
              <w:top w:w="20" w:type="dxa"/>
              <w:left w:w="20" w:type="dxa"/>
              <w:bottom w:w="20" w:type="dxa"/>
              <w:right w:w="20" w:type="dxa"/>
            </w:tcMar>
          </w:tcPr>
          <w:p w:rsidR="00CA6653" w:rsidRPr="00D75AD3" w:rsidRDefault="00CA6653">
            <w:pPr>
              <w:pStyle w:val="T1TableStyle"/>
              <w:jc w:val="center"/>
              <w:rPr>
                <w:rFonts w:ascii="Verdana" w:eastAsia="Verdana" w:hAnsi="Verdana" w:cs="Verdana"/>
                <w:b/>
                <w:color w:val="000000"/>
                <w:sz w:val="2"/>
                <w:lang w:val="en-GB"/>
              </w:rPr>
            </w:pPr>
            <w:r w:rsidRPr="00D75AD3">
              <w:rPr>
                <w:rFonts w:ascii="Verdana" w:eastAsia="Verdana" w:hAnsi="Verdana" w:cs="Verdana"/>
                <w:b/>
                <w:color w:val="000000"/>
                <w:sz w:val="2"/>
                <w:lang w:val="en-GB"/>
              </w:rPr>
              <w:t xml:space="preserve"> </w:t>
            </w:r>
          </w:p>
        </w:tc>
        <w:tc>
          <w:tcPr>
            <w:tcW w:w="1335" w:type="dxa"/>
            <w:shd w:val="clear" w:color="auto" w:fill="auto"/>
            <w:tcMar>
              <w:top w:w="20" w:type="dxa"/>
              <w:left w:w="20" w:type="dxa"/>
              <w:bottom w:w="20" w:type="dxa"/>
              <w:right w:w="20" w:type="dxa"/>
            </w:tcMar>
            <w:vAlign w:val="bottom"/>
          </w:tcPr>
          <w:p w:rsidR="00CA6653" w:rsidRPr="00D75AD3" w:rsidRDefault="00CA6653">
            <w:pPr>
              <w:pStyle w:val="T1TableStyle"/>
              <w:jc w:val="center"/>
              <w:rPr>
                <w:rFonts w:ascii="Verdana" w:eastAsia="Verdana" w:hAnsi="Verdana" w:cs="Verdana"/>
                <w:b/>
                <w:color w:val="000000"/>
                <w:sz w:val="16"/>
                <w:lang w:val="en-GB"/>
              </w:rPr>
            </w:pPr>
            <w:r w:rsidRPr="00D75AD3">
              <w:rPr>
                <w:rFonts w:ascii="Verdana" w:eastAsia="Verdana" w:hAnsi="Verdana" w:cs="Verdana"/>
                <w:b/>
                <w:color w:val="000000"/>
                <w:sz w:val="16"/>
                <w:lang w:val="en-GB"/>
              </w:rPr>
              <w:t>PCC</w:t>
            </w:r>
          </w:p>
        </w:tc>
        <w:tc>
          <w:tcPr>
            <w:tcW w:w="1335" w:type="dxa"/>
            <w:shd w:val="clear" w:color="auto" w:fill="auto"/>
            <w:tcMar>
              <w:top w:w="20" w:type="dxa"/>
              <w:left w:w="20" w:type="dxa"/>
              <w:bottom w:w="20" w:type="dxa"/>
              <w:right w:w="20" w:type="dxa"/>
            </w:tcMar>
            <w:vAlign w:val="bottom"/>
          </w:tcPr>
          <w:p w:rsidR="00CA6653" w:rsidRPr="00D75AD3" w:rsidRDefault="00CA6653">
            <w:pPr>
              <w:pStyle w:val="T1TableStyle"/>
              <w:jc w:val="center"/>
              <w:rPr>
                <w:rFonts w:ascii="Verdana" w:eastAsia="Verdana" w:hAnsi="Verdana" w:cs="Verdana"/>
                <w:b/>
                <w:color w:val="000000"/>
                <w:sz w:val="16"/>
                <w:lang w:val="en-GB"/>
              </w:rPr>
            </w:pPr>
            <w:r w:rsidRPr="00D75AD3">
              <w:rPr>
                <w:rFonts w:ascii="Verdana" w:eastAsia="Verdana" w:hAnsi="Verdana" w:cs="Verdana"/>
                <w:b/>
                <w:color w:val="000000"/>
                <w:sz w:val="16"/>
                <w:lang w:val="en-GB"/>
              </w:rPr>
              <w:t>Group</w:t>
            </w:r>
          </w:p>
        </w:tc>
      </w:tr>
      <w:tr w:rsidR="004D417B" w:rsidRPr="00D75AD3">
        <w:trPr>
          <w:trHeight w:val="300"/>
        </w:trPr>
        <w:tc>
          <w:tcPr>
            <w:tcW w:w="1335" w:type="dxa"/>
            <w:tcBorders>
              <w:bottom w:val="single" w:sz="2" w:space="0" w:color="000000"/>
            </w:tcBorders>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b/>
                <w:color w:val="000000"/>
                <w:sz w:val="16"/>
                <w:lang w:val="en-GB"/>
              </w:rPr>
            </w:pPr>
            <w:r w:rsidRPr="00D75AD3">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b/>
                <w:color w:val="000000"/>
                <w:sz w:val="16"/>
                <w:lang w:val="en-GB"/>
              </w:rPr>
            </w:pPr>
            <w:r w:rsidRPr="00D75AD3">
              <w:rPr>
                <w:rFonts w:ascii="Verdana" w:eastAsia="Verdana" w:hAnsi="Verdana" w:cs="Verdana"/>
                <w:b/>
                <w:color w:val="000000"/>
                <w:sz w:val="16"/>
                <w:lang w:val="en-GB"/>
              </w:rPr>
              <w:t>£000</w:t>
            </w:r>
          </w:p>
        </w:tc>
        <w:tc>
          <w:tcPr>
            <w:tcW w:w="180" w:type="dxa"/>
            <w:tcBorders>
              <w:bottom w:val="single" w:sz="2" w:space="0" w:color="000000"/>
            </w:tcBorders>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b/>
                <w:color w:val="000000"/>
                <w:sz w:val="2"/>
                <w:lang w:val="en-GB"/>
              </w:rPr>
            </w:pPr>
            <w:r w:rsidRPr="00D75AD3">
              <w:rPr>
                <w:rFonts w:ascii="Verdana" w:eastAsia="Verdana" w:hAnsi="Verdana" w:cs="Verdana"/>
                <w:b/>
                <w:color w:val="000000"/>
                <w:sz w:val="2"/>
                <w:lang w:val="en-GB"/>
              </w:rPr>
              <w:t xml:space="preserve"> </w:t>
            </w:r>
          </w:p>
        </w:tc>
        <w:tc>
          <w:tcPr>
            <w:tcW w:w="3750" w:type="dxa"/>
            <w:tcBorders>
              <w:bottom w:val="single" w:sz="2" w:space="0" w:color="000000"/>
            </w:tcBorders>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b/>
                <w:color w:val="000000"/>
                <w:sz w:val="2"/>
                <w:lang w:val="en-GB"/>
              </w:rPr>
            </w:pPr>
            <w:r w:rsidRPr="00D75AD3">
              <w:rPr>
                <w:rFonts w:ascii="Verdana" w:eastAsia="Verdana" w:hAnsi="Verdana" w:cs="Verdana"/>
                <w:b/>
                <w:color w:val="000000"/>
                <w:sz w:val="2"/>
                <w:lang w:val="en-GB"/>
              </w:rPr>
              <w:t xml:space="preserve"> </w:t>
            </w:r>
          </w:p>
        </w:tc>
        <w:tc>
          <w:tcPr>
            <w:tcW w:w="1335" w:type="dxa"/>
            <w:tcBorders>
              <w:bottom w:val="single" w:sz="2" w:space="0" w:color="000000"/>
            </w:tcBorders>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b/>
                <w:color w:val="000000"/>
                <w:sz w:val="16"/>
                <w:lang w:val="en-GB"/>
              </w:rPr>
            </w:pPr>
            <w:r w:rsidRPr="00D75AD3">
              <w:rPr>
                <w:rFonts w:ascii="Verdana" w:eastAsia="Verdana" w:hAnsi="Verdana" w:cs="Verdana"/>
                <w:b/>
                <w:color w:val="000000"/>
                <w:sz w:val="16"/>
                <w:lang w:val="en-GB"/>
              </w:rPr>
              <w:t>£000</w:t>
            </w:r>
          </w:p>
        </w:tc>
        <w:tc>
          <w:tcPr>
            <w:tcW w:w="1335" w:type="dxa"/>
            <w:tcBorders>
              <w:bottom w:val="single" w:sz="2" w:space="0" w:color="000000"/>
            </w:tcBorders>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b/>
                <w:color w:val="000000"/>
                <w:sz w:val="16"/>
                <w:lang w:val="en-GB"/>
              </w:rPr>
            </w:pPr>
            <w:r w:rsidRPr="00D75AD3">
              <w:rPr>
                <w:rFonts w:ascii="Verdana" w:eastAsia="Verdana" w:hAnsi="Verdana" w:cs="Verdana"/>
                <w:b/>
                <w:color w:val="000000"/>
                <w:sz w:val="16"/>
                <w:lang w:val="en-GB"/>
              </w:rPr>
              <w:t>£000</w:t>
            </w:r>
          </w:p>
        </w:tc>
      </w:tr>
      <w:tr w:rsidR="004D417B" w:rsidRPr="00D75AD3">
        <w:trPr>
          <w:trHeight w:val="300"/>
        </w:trPr>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455</w:t>
            </w:r>
          </w:p>
        </w:tc>
        <w:tc>
          <w:tcPr>
            <w:tcW w:w="180" w:type="dxa"/>
            <w:shd w:val="clear" w:color="auto" w:fill="auto"/>
            <w:tcMar>
              <w:top w:w="20" w:type="dxa"/>
              <w:left w:w="20" w:type="dxa"/>
              <w:bottom w:w="20" w:type="dxa"/>
              <w:right w:w="20" w:type="dxa"/>
            </w:tcMar>
          </w:tcPr>
          <w:p w:rsidR="00CA6653" w:rsidRPr="00D75AD3" w:rsidRDefault="00CA6653">
            <w:pPr>
              <w:pStyle w:val="T1TableStyle"/>
              <w:jc w:val="center"/>
              <w:rPr>
                <w:rFonts w:ascii="Verdana" w:eastAsia="Verdana" w:hAnsi="Verdana" w:cs="Verdana"/>
                <w:color w:val="000000"/>
                <w:sz w:val="2"/>
                <w:lang w:val="en-GB"/>
              </w:rPr>
            </w:pPr>
            <w:r w:rsidRPr="00D75AD3">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CA6653" w:rsidRPr="00D75AD3" w:rsidRDefault="00CA6653">
            <w:pPr>
              <w:pStyle w:val="T1TableStyle"/>
              <w:rPr>
                <w:rFonts w:ascii="Verdana" w:eastAsia="Verdana" w:hAnsi="Verdana" w:cs="Verdana"/>
                <w:color w:val="000000"/>
                <w:sz w:val="16"/>
                <w:lang w:val="en-GB"/>
              </w:rPr>
            </w:pPr>
            <w:r w:rsidRPr="00D75AD3">
              <w:rPr>
                <w:rFonts w:ascii="Verdana" w:eastAsia="Verdana" w:hAnsi="Verdana" w:cs="Verdana"/>
                <w:color w:val="000000"/>
                <w:sz w:val="16"/>
                <w:lang w:val="en-GB"/>
              </w:rPr>
              <w:t>Levies</w:t>
            </w:r>
          </w:p>
        </w:tc>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522</w:t>
            </w:r>
          </w:p>
        </w:tc>
      </w:tr>
      <w:tr w:rsidR="004D417B" w:rsidRPr="00D75AD3">
        <w:trPr>
          <w:trHeight w:val="420"/>
        </w:trPr>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243</w:t>
            </w:r>
          </w:p>
        </w:tc>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243</w:t>
            </w:r>
          </w:p>
        </w:tc>
        <w:tc>
          <w:tcPr>
            <w:tcW w:w="180" w:type="dxa"/>
            <w:shd w:val="clear" w:color="auto" w:fill="auto"/>
            <w:tcMar>
              <w:top w:w="20" w:type="dxa"/>
              <w:left w:w="20" w:type="dxa"/>
              <w:bottom w:w="20" w:type="dxa"/>
              <w:right w:w="20" w:type="dxa"/>
            </w:tcMar>
          </w:tcPr>
          <w:p w:rsidR="00CA6653" w:rsidRPr="00D75AD3" w:rsidRDefault="00CA6653">
            <w:pPr>
              <w:pStyle w:val="T1TableStyle"/>
              <w:jc w:val="center"/>
              <w:rPr>
                <w:rFonts w:ascii="Verdana" w:eastAsia="Verdana" w:hAnsi="Verdana" w:cs="Verdana"/>
                <w:color w:val="000000"/>
                <w:sz w:val="2"/>
                <w:lang w:val="en-GB"/>
              </w:rPr>
            </w:pPr>
            <w:r w:rsidRPr="00D75AD3">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CA6653" w:rsidRPr="00D75AD3" w:rsidRDefault="00CA6653">
            <w:pPr>
              <w:pStyle w:val="T1TableStyle"/>
              <w:rPr>
                <w:rFonts w:ascii="Verdana" w:eastAsia="Verdana" w:hAnsi="Verdana" w:cs="Verdana"/>
                <w:color w:val="000000"/>
                <w:sz w:val="16"/>
                <w:lang w:val="en-GB"/>
              </w:rPr>
            </w:pPr>
            <w:r w:rsidRPr="00D75AD3">
              <w:rPr>
                <w:rFonts w:ascii="Verdana" w:eastAsia="Verdana" w:hAnsi="Verdana" w:cs="Verdana"/>
                <w:color w:val="000000"/>
                <w:sz w:val="16"/>
                <w:lang w:val="en-GB"/>
              </w:rPr>
              <w:t>Gains/losses on the Disposal of Non-Current Assets</w:t>
            </w:r>
          </w:p>
        </w:tc>
        <w:tc>
          <w:tcPr>
            <w:tcW w:w="1335" w:type="dxa"/>
            <w:shd w:val="clear" w:color="auto" w:fill="auto"/>
            <w:tcMar>
              <w:top w:w="20" w:type="dxa"/>
              <w:left w:w="20" w:type="dxa"/>
              <w:bottom w:w="20" w:type="dxa"/>
              <w:right w:w="20" w:type="dxa"/>
            </w:tcMar>
          </w:tcPr>
          <w:p w:rsidR="00CA6653" w:rsidRPr="00D75AD3" w:rsidRDefault="00D75AD3" w:rsidP="00D75AD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(1</w:t>
            </w:r>
            <w:r w:rsidR="00CA6653" w:rsidRPr="00D75AD3">
              <w:rPr>
                <w:rFonts w:ascii="Verdana" w:eastAsia="Verdana" w:hAnsi="Verdana" w:cs="Verdana"/>
                <w:color w:val="000000"/>
                <w:sz w:val="16"/>
                <w:lang w:val="en-GB"/>
              </w:rPr>
              <w:t>4</w:t>
            </w:r>
            <w:r w:rsidRPr="00D75AD3">
              <w:rPr>
                <w:rFonts w:ascii="Verdana" w:eastAsia="Verdana" w:hAnsi="Verdana" w:cs="Verdana"/>
                <w:color w:val="000000"/>
                <w:sz w:val="16"/>
                <w:lang w:val="en-GB"/>
              </w:rPr>
              <w:t>)</w:t>
            </w:r>
          </w:p>
        </w:tc>
        <w:tc>
          <w:tcPr>
            <w:tcW w:w="1335" w:type="dxa"/>
            <w:shd w:val="clear" w:color="auto" w:fill="auto"/>
            <w:tcMar>
              <w:top w:w="20" w:type="dxa"/>
              <w:left w:w="20" w:type="dxa"/>
              <w:bottom w:w="20" w:type="dxa"/>
              <w:right w:w="20" w:type="dxa"/>
            </w:tcMar>
          </w:tcPr>
          <w:p w:rsidR="00CA6653" w:rsidRPr="00D75AD3" w:rsidRDefault="00D75AD3" w:rsidP="00D75AD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(14)</w:t>
            </w:r>
          </w:p>
        </w:tc>
      </w:tr>
      <w:tr w:rsidR="004D417B" w:rsidRPr="00D75AD3">
        <w:trPr>
          <w:trHeight w:val="300"/>
        </w:trPr>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33</w:t>
            </w:r>
          </w:p>
        </w:tc>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33</w:t>
            </w:r>
          </w:p>
        </w:tc>
        <w:tc>
          <w:tcPr>
            <w:tcW w:w="180" w:type="dxa"/>
            <w:shd w:val="clear" w:color="auto" w:fill="auto"/>
            <w:tcMar>
              <w:top w:w="20" w:type="dxa"/>
              <w:left w:w="20" w:type="dxa"/>
              <w:bottom w:w="20" w:type="dxa"/>
              <w:right w:w="20" w:type="dxa"/>
            </w:tcMar>
          </w:tcPr>
          <w:p w:rsidR="00CA6653" w:rsidRPr="00D75AD3" w:rsidRDefault="00CA6653">
            <w:pPr>
              <w:pStyle w:val="T1TableStyle"/>
              <w:jc w:val="center"/>
              <w:rPr>
                <w:rFonts w:ascii="Verdana" w:eastAsia="Verdana" w:hAnsi="Verdana" w:cs="Verdana"/>
                <w:color w:val="000000"/>
                <w:sz w:val="2"/>
                <w:lang w:val="en-GB"/>
              </w:rPr>
            </w:pPr>
            <w:r w:rsidRPr="00D75AD3">
              <w:rPr>
                <w:rFonts w:ascii="Verdana" w:eastAsia="Verdana" w:hAnsi="Verdana" w:cs="Verdana"/>
                <w:color w:val="000000"/>
                <w:sz w:val="2"/>
                <w:lang w:val="en-GB"/>
              </w:rPr>
              <w:t xml:space="preserve"> </w:t>
            </w:r>
          </w:p>
        </w:tc>
        <w:tc>
          <w:tcPr>
            <w:tcW w:w="3750" w:type="dxa"/>
            <w:shd w:val="clear" w:color="auto" w:fill="auto"/>
            <w:tcMar>
              <w:top w:w="20" w:type="dxa"/>
              <w:left w:w="20" w:type="dxa"/>
              <w:bottom w:w="20" w:type="dxa"/>
              <w:right w:w="20" w:type="dxa"/>
            </w:tcMar>
          </w:tcPr>
          <w:p w:rsidR="00CA6653" w:rsidRPr="00D75AD3" w:rsidRDefault="00CA6653">
            <w:pPr>
              <w:pStyle w:val="T1TableStyle"/>
              <w:rPr>
                <w:rFonts w:ascii="Verdana" w:eastAsia="Verdana" w:hAnsi="Verdana" w:cs="Verdana"/>
                <w:color w:val="000000"/>
                <w:sz w:val="16"/>
                <w:lang w:val="en-GB"/>
              </w:rPr>
            </w:pPr>
            <w:r w:rsidRPr="00D75AD3">
              <w:rPr>
                <w:rFonts w:ascii="Verdana" w:eastAsia="Verdana" w:hAnsi="Verdana" w:cs="Verdana"/>
                <w:color w:val="000000"/>
                <w:sz w:val="16"/>
                <w:lang w:val="en-GB"/>
              </w:rPr>
              <w:t>Other</w:t>
            </w:r>
          </w:p>
        </w:tc>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0</w:t>
            </w:r>
          </w:p>
        </w:tc>
        <w:tc>
          <w:tcPr>
            <w:tcW w:w="1335" w:type="dxa"/>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color w:val="000000"/>
                <w:sz w:val="16"/>
                <w:lang w:val="en-GB"/>
              </w:rPr>
            </w:pPr>
            <w:r w:rsidRPr="00D75AD3">
              <w:rPr>
                <w:rFonts w:ascii="Verdana" w:eastAsia="Verdana" w:hAnsi="Verdana" w:cs="Verdana"/>
                <w:color w:val="000000"/>
                <w:sz w:val="16"/>
                <w:lang w:val="en-GB"/>
              </w:rPr>
              <w:t>0</w:t>
            </w:r>
          </w:p>
        </w:tc>
      </w:tr>
      <w:tr w:rsidR="004D417B">
        <w:trPr>
          <w:trHeight w:val="300"/>
        </w:trPr>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b/>
                <w:color w:val="000000"/>
                <w:sz w:val="16"/>
                <w:lang w:val="en-GB"/>
              </w:rPr>
            </w:pPr>
            <w:r w:rsidRPr="00D75AD3">
              <w:rPr>
                <w:rFonts w:ascii="Verdana" w:eastAsia="Verdana" w:hAnsi="Verdana" w:cs="Verdana"/>
                <w:b/>
                <w:color w:val="000000"/>
                <w:sz w:val="16"/>
                <w:lang w:val="en-GB"/>
              </w:rPr>
              <w:t>276</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D75AD3" w:rsidRDefault="00CA6653">
            <w:pPr>
              <w:pStyle w:val="T1TableStyle"/>
              <w:jc w:val="right"/>
              <w:rPr>
                <w:rFonts w:ascii="Verdana" w:eastAsia="Verdana" w:hAnsi="Verdana" w:cs="Verdana"/>
                <w:b/>
                <w:color w:val="000000"/>
                <w:sz w:val="16"/>
                <w:lang w:val="en-GB"/>
              </w:rPr>
            </w:pPr>
            <w:r w:rsidRPr="00D75AD3">
              <w:rPr>
                <w:rFonts w:ascii="Verdana" w:eastAsia="Verdana" w:hAnsi="Verdana" w:cs="Verdana"/>
                <w:b/>
                <w:color w:val="000000"/>
                <w:sz w:val="16"/>
                <w:lang w:val="en-GB"/>
              </w:rPr>
              <w:t>731</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D75AD3" w:rsidRDefault="00CA6653">
            <w:pPr>
              <w:pStyle w:val="T1TableStyle"/>
              <w:jc w:val="center"/>
              <w:rPr>
                <w:rFonts w:ascii="Verdana" w:eastAsia="Verdana" w:hAnsi="Verdana" w:cs="Verdana"/>
                <w:b/>
                <w:color w:val="000000"/>
                <w:sz w:val="2"/>
                <w:lang w:val="en-GB"/>
              </w:rPr>
            </w:pPr>
            <w:r w:rsidRPr="00D75AD3">
              <w:rPr>
                <w:rFonts w:ascii="Verdana" w:eastAsia="Verdana" w:hAnsi="Verdana" w:cs="Verdana"/>
                <w:b/>
                <w:color w:val="000000"/>
                <w:sz w:val="2"/>
                <w:lang w:val="en-GB"/>
              </w:rPr>
              <w:t xml:space="preserve"> </w:t>
            </w:r>
          </w:p>
        </w:tc>
        <w:tc>
          <w:tcPr>
            <w:tcW w:w="3750"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D75AD3" w:rsidRDefault="00CA6653">
            <w:pPr>
              <w:pStyle w:val="T1TableStyle"/>
              <w:rPr>
                <w:rFonts w:ascii="Verdana" w:eastAsia="Verdana" w:hAnsi="Verdana" w:cs="Verdana"/>
                <w:b/>
                <w:color w:val="000000"/>
                <w:sz w:val="16"/>
                <w:lang w:val="en-GB"/>
              </w:rPr>
            </w:pPr>
            <w:r w:rsidRPr="00D75AD3">
              <w:rPr>
                <w:rFonts w:ascii="Verdana" w:eastAsia="Verdana" w:hAnsi="Verdana" w:cs="Verdana"/>
                <w:b/>
                <w:color w:val="000000"/>
                <w:sz w:val="16"/>
                <w:lang w:val="en-GB"/>
              </w:rPr>
              <w:t>Total Other Operating Expenditure</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Pr="00D75AD3" w:rsidRDefault="00D75AD3" w:rsidP="00D75AD3">
            <w:pPr>
              <w:pStyle w:val="T1TableStyle"/>
              <w:jc w:val="right"/>
              <w:rPr>
                <w:rFonts w:ascii="Verdana" w:eastAsia="Verdana" w:hAnsi="Verdana" w:cs="Verdana"/>
                <w:b/>
                <w:color w:val="000000"/>
                <w:sz w:val="16"/>
                <w:lang w:val="en-GB"/>
              </w:rPr>
            </w:pPr>
            <w:r w:rsidRPr="00D75AD3">
              <w:rPr>
                <w:rFonts w:ascii="Verdana" w:eastAsia="Verdana" w:hAnsi="Verdana" w:cs="Verdana"/>
                <w:b/>
                <w:color w:val="000000"/>
                <w:sz w:val="16"/>
                <w:lang w:val="en-GB"/>
              </w:rPr>
              <w:t>(14)</w:t>
            </w:r>
          </w:p>
        </w:tc>
        <w:tc>
          <w:tcPr>
            <w:tcW w:w="1335" w:type="dxa"/>
            <w:tcBorders>
              <w:top w:val="single" w:sz="2" w:space="0" w:color="000000"/>
              <w:bottom w:val="single" w:sz="12" w:space="0" w:color="000000"/>
            </w:tcBorders>
            <w:shd w:val="clear" w:color="auto" w:fill="auto"/>
            <w:tcMar>
              <w:top w:w="20" w:type="dxa"/>
              <w:left w:w="20" w:type="dxa"/>
              <w:bottom w:w="20" w:type="dxa"/>
              <w:right w:w="20" w:type="dxa"/>
            </w:tcMar>
          </w:tcPr>
          <w:p w:rsidR="00CA6653" w:rsidRDefault="00D75AD3">
            <w:pPr>
              <w:pStyle w:val="T1TableStyle"/>
              <w:jc w:val="right"/>
              <w:rPr>
                <w:rFonts w:ascii="Verdana" w:eastAsia="Verdana" w:hAnsi="Verdana" w:cs="Verdana"/>
                <w:b/>
                <w:color w:val="000000"/>
                <w:sz w:val="16"/>
                <w:lang w:val="en-GB"/>
              </w:rPr>
            </w:pPr>
            <w:r w:rsidRPr="00D75AD3">
              <w:rPr>
                <w:rFonts w:ascii="Verdana" w:eastAsia="Verdana" w:hAnsi="Verdana" w:cs="Verdana"/>
                <w:b/>
                <w:color w:val="000000"/>
                <w:sz w:val="16"/>
                <w:lang w:val="en-GB"/>
              </w:rPr>
              <w:t>508</w:t>
            </w:r>
          </w:p>
        </w:tc>
      </w:tr>
    </w:tbl>
    <w:p w:rsidR="00CA6653" w:rsidRDefault="00CA6653">
      <w:pPr>
        <w:pStyle w:val="T1TableStyle"/>
        <w:rPr>
          <w:rFonts w:ascii="Verdana" w:eastAsia="Verdana" w:hAnsi="Verdana" w:cs="Verdana"/>
          <w:sz w:val="22"/>
          <w:lang w:val="en-GB"/>
        </w:rPr>
      </w:pPr>
    </w:p>
    <w:p w:rsidR="00CA6653" w:rsidRPr="00BC469E" w:rsidRDefault="00CA6653">
      <w:pPr>
        <w:pStyle w:val="Normal0"/>
        <w:spacing w:after="160"/>
        <w:rPr>
          <w:rFonts w:ascii="Verdana" w:hAnsi="Verdana"/>
          <w:sz w:val="22"/>
          <w:szCs w:val="22"/>
          <w:lang w:val="en-GB"/>
        </w:rPr>
      </w:pPr>
    </w:p>
    <w:p w:rsidR="00CA6653" w:rsidRDefault="00CA6653" w:rsidP="00A31A9E">
      <w:pPr>
        <w:pStyle w:val="Heading1"/>
      </w:pPr>
      <w:bookmarkStart w:id="47" w:name="_Toc55900437"/>
      <w:r w:rsidRPr="006375D5">
        <w:t>Note 3</w:t>
      </w:r>
      <w:r w:rsidR="00960EC4">
        <w:t>5</w:t>
      </w:r>
      <w:r w:rsidRPr="006375D5">
        <w:t xml:space="preserve"> - Cash Flow from Operating Activities</w:t>
      </w:r>
      <w:bookmarkEnd w:id="47"/>
    </w:p>
    <w:tbl>
      <w:tblPr>
        <w:tblW w:w="0" w:type="auto"/>
        <w:tblLayout w:type="fixed"/>
        <w:tblLook w:val="04A0" w:firstRow="1" w:lastRow="0" w:firstColumn="1" w:lastColumn="0" w:noHBand="0" w:noVBand="1"/>
      </w:tblPr>
      <w:tblGrid>
        <w:gridCol w:w="1545"/>
        <w:gridCol w:w="1545"/>
        <w:gridCol w:w="180"/>
        <w:gridCol w:w="3435"/>
        <w:gridCol w:w="1545"/>
        <w:gridCol w:w="1545"/>
      </w:tblGrid>
      <w:tr w:rsidR="004D417B">
        <w:trPr>
          <w:trHeight w:hRule="exact" w:val="300"/>
        </w:trPr>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r>
      <w:tr w:rsidR="004D417B">
        <w:trPr>
          <w:trHeight w:val="300"/>
        </w:trPr>
        <w:tc>
          <w:tcPr>
            <w:tcW w:w="9795" w:type="dxa"/>
            <w:gridSpan w:val="6"/>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The cash flows for operating activities include the following items:</w:t>
            </w:r>
          </w:p>
        </w:tc>
      </w:tr>
      <w:tr w:rsidR="004D417B">
        <w:trPr>
          <w:trHeight w:val="300"/>
        </w:trPr>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2019</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2020</w:t>
            </w:r>
          </w:p>
        </w:tc>
      </w:tr>
      <w:tr w:rsidR="004D417B">
        <w:trPr>
          <w:trHeight w:val="300"/>
        </w:trPr>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Calibri" w:eastAsia="Calibri" w:hAnsi="Calibri" w:cs="Calibri"/>
                <w:color w:val="000000"/>
                <w:sz w:val="2"/>
                <w:szCs w:val="22"/>
                <w:lang w:val="pt-BR"/>
              </w:rPr>
            </w:pPr>
            <w:r w:rsidRPr="006375D5">
              <w:rPr>
                <w:rFonts w:ascii="Calibri" w:eastAsia="Calibri" w:hAnsi="Calibri" w:cs="Calibri"/>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Calibri" w:eastAsia="Calibri" w:hAnsi="Calibri" w:cs="Calibri"/>
                <w:color w:val="000000"/>
                <w:sz w:val="2"/>
                <w:szCs w:val="22"/>
                <w:lang w:val="pt-BR"/>
              </w:rPr>
            </w:pPr>
            <w:r w:rsidRPr="006375D5">
              <w:rPr>
                <w:rFonts w:ascii="Calibri" w:eastAsia="Calibri" w:hAnsi="Calibri" w:cs="Calibri"/>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r>
      <w:tr w:rsidR="004D417B">
        <w:trPr>
          <w:trHeight w:val="300"/>
        </w:trPr>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r>
      <w:tr w:rsidR="004D417B">
        <w:trPr>
          <w:trHeight w:val="3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(213)</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(213)</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Interest received</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(206)</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(206)</w:t>
            </w:r>
          </w:p>
        </w:tc>
      </w:tr>
      <w:tr w:rsidR="004D417B">
        <w:trPr>
          <w:trHeight w:val="3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70</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70</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Interest paid</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293</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2</w:t>
            </w:r>
            <w:r w:rsidR="005D4AC6">
              <w:rPr>
                <w:rFonts w:ascii="Verdana" w:eastAsia="Verdana" w:hAnsi="Verdana" w:cs="Verdana"/>
                <w:color w:val="000000"/>
                <w:sz w:val="16"/>
                <w:szCs w:val="22"/>
                <w:lang w:val="pt-BR"/>
              </w:rPr>
              <w:t>88</w:t>
            </w:r>
          </w:p>
        </w:tc>
      </w:tr>
      <w:tr w:rsidR="004D417B">
        <w:trPr>
          <w:trHeight w:val="315"/>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(142)</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(142)</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Total</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87</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8</w:t>
            </w:r>
            <w:r w:rsidR="005D4AC6">
              <w:rPr>
                <w:rFonts w:ascii="Verdana" w:eastAsia="Verdana" w:hAnsi="Verdana" w:cs="Verdana"/>
                <w:b/>
                <w:color w:val="000000"/>
                <w:sz w:val="16"/>
                <w:szCs w:val="22"/>
                <w:lang w:val="pt-BR"/>
              </w:rPr>
              <w:t>2</w:t>
            </w:r>
          </w:p>
        </w:tc>
      </w:tr>
      <w:tr w:rsidR="004D417B">
        <w:trPr>
          <w:trHeight w:hRule="exact" w:val="3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r>
      <w:tr w:rsidR="004D417B">
        <w:trPr>
          <w:trHeight w:val="300"/>
        </w:trPr>
        <w:tc>
          <w:tcPr>
            <w:tcW w:w="9795" w:type="dxa"/>
            <w:gridSpan w:val="6"/>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The surplus or deficit on the provision of services has been adjusted for the following non-cash movements:</w:t>
            </w:r>
          </w:p>
        </w:tc>
      </w:tr>
      <w:tr w:rsidR="004D417B">
        <w:trPr>
          <w:trHeight w:hRule="exact" w:val="300"/>
        </w:trPr>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Calibri" w:eastAsia="Calibri" w:hAnsi="Calibri" w:cs="Calibri"/>
                <w:color w:val="000000"/>
                <w:sz w:val="2"/>
                <w:szCs w:val="22"/>
                <w:lang w:val="pt-BR"/>
              </w:rPr>
            </w:pPr>
            <w:r w:rsidRPr="006375D5">
              <w:rPr>
                <w:rFonts w:ascii="Calibri" w:eastAsia="Calibri" w:hAnsi="Calibri" w:cs="Calibri"/>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r>
      <w:tr w:rsidR="004D417B">
        <w:trPr>
          <w:trHeight w:val="300"/>
        </w:trPr>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2019</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2020</w:t>
            </w:r>
          </w:p>
        </w:tc>
      </w:tr>
      <w:tr w:rsidR="004D417B">
        <w:trPr>
          <w:trHeight w:val="300"/>
        </w:trPr>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Calibri" w:eastAsia="Calibri" w:hAnsi="Calibri" w:cs="Calibri"/>
                <w:color w:val="000000"/>
                <w:sz w:val="2"/>
                <w:szCs w:val="22"/>
                <w:lang w:val="pt-BR"/>
              </w:rPr>
            </w:pPr>
            <w:r w:rsidRPr="006375D5">
              <w:rPr>
                <w:rFonts w:ascii="Calibri" w:eastAsia="Calibri" w:hAnsi="Calibri" w:cs="Calibri"/>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Calibri" w:eastAsia="Calibri" w:hAnsi="Calibri" w:cs="Calibri"/>
                <w:color w:val="000000"/>
                <w:sz w:val="2"/>
                <w:szCs w:val="22"/>
                <w:lang w:val="pt-BR"/>
              </w:rPr>
            </w:pPr>
            <w:r w:rsidRPr="006375D5">
              <w:rPr>
                <w:rFonts w:ascii="Calibri" w:eastAsia="Calibri" w:hAnsi="Calibri" w:cs="Calibri"/>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r>
      <w:tr w:rsidR="004D417B">
        <w:trPr>
          <w:trHeight w:val="300"/>
        </w:trPr>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r>
      <w:tr w:rsidR="004D417B">
        <w:trPr>
          <w:trHeight w:val="3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(7,554)</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(7,554)</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Depreciation</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E14E34">
              <w:rPr>
                <w:rFonts w:ascii="Verdana" w:eastAsia="Verdana" w:hAnsi="Verdana" w:cs="Verdana"/>
                <w:color w:val="000000"/>
                <w:sz w:val="16"/>
                <w:szCs w:val="22"/>
                <w:lang w:val="pt-BR"/>
              </w:rPr>
              <w:t>7</w:t>
            </w:r>
            <w:r w:rsidRPr="006375D5">
              <w:rPr>
                <w:rFonts w:ascii="Verdana" w:eastAsia="Verdana" w:hAnsi="Verdana" w:cs="Verdana"/>
                <w:color w:val="000000"/>
                <w:sz w:val="16"/>
                <w:szCs w:val="22"/>
                <w:lang w:val="pt-BR"/>
              </w:rPr>
              <w:t>,</w:t>
            </w:r>
            <w:r w:rsidR="00E14E34">
              <w:rPr>
                <w:rFonts w:ascii="Verdana" w:eastAsia="Verdana" w:hAnsi="Verdana" w:cs="Verdana"/>
                <w:color w:val="000000"/>
                <w:sz w:val="16"/>
                <w:szCs w:val="22"/>
                <w:lang w:val="pt-BR"/>
              </w:rPr>
              <w:t>33</w:t>
            </w:r>
            <w:r w:rsidR="0095267E">
              <w:rPr>
                <w:rFonts w:ascii="Verdana" w:eastAsia="Verdana" w:hAnsi="Verdana" w:cs="Verdana"/>
                <w:color w:val="000000"/>
                <w:sz w:val="16"/>
                <w:szCs w:val="22"/>
                <w:lang w:val="pt-BR"/>
              </w:rPr>
              <w:t>9</w:t>
            </w:r>
            <w:r w:rsidRPr="006375D5">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9944C6">
              <w:rPr>
                <w:rFonts w:ascii="Verdana" w:eastAsia="Verdana" w:hAnsi="Verdana" w:cs="Verdana"/>
                <w:color w:val="000000"/>
                <w:sz w:val="16"/>
                <w:szCs w:val="22"/>
                <w:lang w:val="pt-BR"/>
              </w:rPr>
              <w:t>7</w:t>
            </w:r>
            <w:r w:rsidRPr="006375D5">
              <w:rPr>
                <w:rFonts w:ascii="Verdana" w:eastAsia="Verdana" w:hAnsi="Verdana" w:cs="Verdana"/>
                <w:color w:val="000000"/>
                <w:sz w:val="16"/>
                <w:szCs w:val="22"/>
                <w:lang w:val="pt-BR"/>
              </w:rPr>
              <w:t>,</w:t>
            </w:r>
            <w:r w:rsidR="009944C6">
              <w:rPr>
                <w:rFonts w:ascii="Verdana" w:eastAsia="Verdana" w:hAnsi="Verdana" w:cs="Verdana"/>
                <w:color w:val="000000"/>
                <w:sz w:val="16"/>
                <w:szCs w:val="22"/>
                <w:lang w:val="pt-BR"/>
              </w:rPr>
              <w:t>33</w:t>
            </w:r>
            <w:r w:rsidR="00D85F84">
              <w:rPr>
                <w:rFonts w:ascii="Verdana" w:eastAsia="Verdana" w:hAnsi="Verdana" w:cs="Verdana"/>
                <w:color w:val="000000"/>
                <w:sz w:val="16"/>
                <w:szCs w:val="22"/>
                <w:lang w:val="pt-BR"/>
              </w:rPr>
              <w:t>9</w:t>
            </w:r>
            <w:r w:rsidRPr="006375D5">
              <w:rPr>
                <w:rFonts w:ascii="Verdana" w:eastAsia="Verdana" w:hAnsi="Verdana" w:cs="Verdana"/>
                <w:color w:val="000000"/>
                <w:sz w:val="16"/>
                <w:szCs w:val="22"/>
                <w:lang w:val="pt-BR"/>
              </w:rPr>
              <w:t>)</w:t>
            </w:r>
          </w:p>
        </w:tc>
      </w:tr>
      <w:tr w:rsidR="004D417B">
        <w:trPr>
          <w:trHeight w:val="315"/>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126</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126</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Impairment and downward valuations</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E14E34">
              <w:rPr>
                <w:rFonts w:ascii="Verdana" w:eastAsia="Verdana" w:hAnsi="Verdana" w:cs="Verdana"/>
                <w:color w:val="000000"/>
                <w:sz w:val="16"/>
                <w:szCs w:val="22"/>
                <w:lang w:val="pt-BR"/>
              </w:rPr>
              <w:t>2</w:t>
            </w:r>
            <w:r w:rsidRPr="006375D5">
              <w:rPr>
                <w:rFonts w:ascii="Verdana" w:eastAsia="Verdana" w:hAnsi="Verdana" w:cs="Verdana"/>
                <w:color w:val="000000"/>
                <w:sz w:val="16"/>
                <w:szCs w:val="22"/>
                <w:lang w:val="pt-BR"/>
              </w:rPr>
              <w:t>,</w:t>
            </w:r>
            <w:r w:rsidR="00E14E34">
              <w:rPr>
                <w:rFonts w:ascii="Verdana" w:eastAsia="Verdana" w:hAnsi="Verdana" w:cs="Verdana"/>
                <w:color w:val="000000"/>
                <w:sz w:val="16"/>
                <w:szCs w:val="22"/>
                <w:lang w:val="pt-BR"/>
              </w:rPr>
              <w:t>081</w:t>
            </w:r>
            <w:r w:rsidRPr="006375D5">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9944C6">
              <w:rPr>
                <w:rFonts w:ascii="Verdana" w:eastAsia="Verdana" w:hAnsi="Verdana" w:cs="Verdana"/>
                <w:color w:val="000000"/>
                <w:sz w:val="16"/>
                <w:szCs w:val="22"/>
                <w:lang w:val="pt-BR"/>
              </w:rPr>
              <w:t>2</w:t>
            </w:r>
            <w:r w:rsidRPr="006375D5">
              <w:rPr>
                <w:rFonts w:ascii="Verdana" w:eastAsia="Verdana" w:hAnsi="Verdana" w:cs="Verdana"/>
                <w:color w:val="000000"/>
                <w:sz w:val="16"/>
                <w:szCs w:val="22"/>
                <w:lang w:val="pt-BR"/>
              </w:rPr>
              <w:t>,</w:t>
            </w:r>
            <w:r w:rsidR="009944C6">
              <w:rPr>
                <w:rFonts w:ascii="Verdana" w:eastAsia="Verdana" w:hAnsi="Verdana" w:cs="Verdana"/>
                <w:color w:val="000000"/>
                <w:sz w:val="16"/>
                <w:szCs w:val="22"/>
                <w:lang w:val="pt-BR"/>
              </w:rPr>
              <w:t>081</w:t>
            </w:r>
            <w:r w:rsidRPr="006375D5">
              <w:rPr>
                <w:rFonts w:ascii="Verdana" w:eastAsia="Verdana" w:hAnsi="Verdana" w:cs="Verdana"/>
                <w:color w:val="000000"/>
                <w:sz w:val="16"/>
                <w:szCs w:val="22"/>
                <w:lang w:val="pt-BR"/>
              </w:rPr>
              <w:t>)</w:t>
            </w:r>
          </w:p>
        </w:tc>
      </w:tr>
      <w:tr w:rsidR="004D417B">
        <w:trPr>
          <w:trHeight w:val="3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(1,452)</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(1,452)</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Amortisation</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E14E34">
              <w:rPr>
                <w:rFonts w:ascii="Verdana" w:eastAsia="Verdana" w:hAnsi="Verdana" w:cs="Verdana"/>
                <w:color w:val="000000"/>
                <w:sz w:val="16"/>
                <w:szCs w:val="22"/>
                <w:lang w:val="pt-BR"/>
              </w:rPr>
              <w:t>1</w:t>
            </w:r>
            <w:r w:rsidRPr="006375D5">
              <w:rPr>
                <w:rFonts w:ascii="Verdana" w:eastAsia="Verdana" w:hAnsi="Verdana" w:cs="Verdana"/>
                <w:color w:val="000000"/>
                <w:sz w:val="16"/>
                <w:szCs w:val="22"/>
                <w:lang w:val="pt-BR"/>
              </w:rPr>
              <w:t>,</w:t>
            </w:r>
            <w:r w:rsidR="00E14E34">
              <w:rPr>
                <w:rFonts w:ascii="Verdana" w:eastAsia="Verdana" w:hAnsi="Verdana" w:cs="Verdana"/>
                <w:color w:val="000000"/>
                <w:sz w:val="16"/>
                <w:szCs w:val="22"/>
                <w:lang w:val="pt-BR"/>
              </w:rPr>
              <w:t>776</w:t>
            </w:r>
            <w:r w:rsidRPr="006375D5">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9944C6">
              <w:rPr>
                <w:rFonts w:ascii="Verdana" w:eastAsia="Verdana" w:hAnsi="Verdana" w:cs="Verdana"/>
                <w:color w:val="000000"/>
                <w:sz w:val="16"/>
                <w:szCs w:val="22"/>
                <w:lang w:val="pt-BR"/>
              </w:rPr>
              <w:t>1</w:t>
            </w:r>
            <w:r w:rsidRPr="006375D5">
              <w:rPr>
                <w:rFonts w:ascii="Verdana" w:eastAsia="Verdana" w:hAnsi="Verdana" w:cs="Verdana"/>
                <w:color w:val="000000"/>
                <w:sz w:val="16"/>
                <w:szCs w:val="22"/>
                <w:lang w:val="pt-BR"/>
              </w:rPr>
              <w:t>,</w:t>
            </w:r>
            <w:r w:rsidR="009944C6">
              <w:rPr>
                <w:rFonts w:ascii="Verdana" w:eastAsia="Verdana" w:hAnsi="Verdana" w:cs="Verdana"/>
                <w:color w:val="000000"/>
                <w:sz w:val="16"/>
                <w:szCs w:val="22"/>
                <w:lang w:val="pt-BR"/>
              </w:rPr>
              <w:t>776</w:t>
            </w:r>
            <w:r w:rsidRPr="006375D5">
              <w:rPr>
                <w:rFonts w:ascii="Verdana" w:eastAsia="Verdana" w:hAnsi="Verdana" w:cs="Verdana"/>
                <w:color w:val="000000"/>
                <w:sz w:val="16"/>
                <w:szCs w:val="22"/>
                <w:lang w:val="pt-BR"/>
              </w:rPr>
              <w:t>)</w:t>
            </w:r>
          </w:p>
        </w:tc>
      </w:tr>
      <w:tr w:rsidR="004D417B">
        <w:trPr>
          <w:trHeight w:val="3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(2,855)</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(3,161)</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(Increase)/decrease in creditors</w:t>
            </w:r>
          </w:p>
        </w:tc>
        <w:tc>
          <w:tcPr>
            <w:tcW w:w="1545" w:type="dxa"/>
            <w:shd w:val="clear" w:color="auto" w:fill="auto"/>
            <w:tcMar>
              <w:top w:w="20" w:type="dxa"/>
              <w:left w:w="20" w:type="dxa"/>
              <w:bottom w:w="20" w:type="dxa"/>
              <w:right w:w="20" w:type="dxa"/>
            </w:tcMar>
          </w:tcPr>
          <w:p w:rsidR="004D417B" w:rsidRPr="006375D5" w:rsidRDefault="0095267E">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77</w:t>
            </w:r>
          </w:p>
        </w:tc>
        <w:tc>
          <w:tcPr>
            <w:tcW w:w="1545" w:type="dxa"/>
            <w:shd w:val="clear" w:color="auto" w:fill="auto"/>
            <w:tcMar>
              <w:top w:w="20" w:type="dxa"/>
              <w:left w:w="20" w:type="dxa"/>
              <w:bottom w:w="20" w:type="dxa"/>
              <w:right w:w="20" w:type="dxa"/>
            </w:tcMar>
          </w:tcPr>
          <w:p w:rsidR="004D417B" w:rsidRPr="006375D5" w:rsidRDefault="009944C6">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7</w:t>
            </w:r>
            <w:r w:rsidR="00D85F84">
              <w:rPr>
                <w:rFonts w:ascii="Verdana" w:eastAsia="Verdana" w:hAnsi="Verdana" w:cs="Verdana"/>
                <w:color w:val="000000"/>
                <w:sz w:val="16"/>
                <w:szCs w:val="22"/>
                <w:lang w:val="pt-BR"/>
              </w:rPr>
              <w:t>7</w:t>
            </w:r>
          </w:p>
        </w:tc>
      </w:tr>
      <w:tr w:rsidR="004D417B">
        <w:trPr>
          <w:trHeight w:val="3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539</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43</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Increase/(decrease) in debtors</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2,</w:t>
            </w:r>
            <w:r w:rsidR="0095267E">
              <w:rPr>
                <w:rFonts w:ascii="Verdana" w:eastAsia="Verdana" w:hAnsi="Verdana" w:cs="Verdana"/>
                <w:color w:val="000000"/>
                <w:sz w:val="16"/>
                <w:szCs w:val="22"/>
                <w:lang w:val="pt-BR"/>
              </w:rPr>
              <w:t>876</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2,</w:t>
            </w:r>
            <w:r w:rsidR="00D85F84">
              <w:rPr>
                <w:rFonts w:ascii="Verdana" w:eastAsia="Verdana" w:hAnsi="Verdana" w:cs="Verdana"/>
                <w:color w:val="000000"/>
                <w:sz w:val="16"/>
                <w:szCs w:val="22"/>
                <w:lang w:val="pt-BR"/>
              </w:rPr>
              <w:t>876</w:t>
            </w:r>
          </w:p>
        </w:tc>
      </w:tr>
      <w:tr w:rsidR="004D417B">
        <w:trPr>
          <w:trHeight w:val="3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114</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115</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Increase/(decrease) in inventories</w:t>
            </w:r>
          </w:p>
        </w:tc>
        <w:tc>
          <w:tcPr>
            <w:tcW w:w="1545" w:type="dxa"/>
            <w:shd w:val="clear" w:color="auto" w:fill="auto"/>
            <w:tcMar>
              <w:top w:w="20" w:type="dxa"/>
              <w:left w:w="20" w:type="dxa"/>
              <w:bottom w:w="20" w:type="dxa"/>
              <w:right w:w="20" w:type="dxa"/>
            </w:tcMar>
          </w:tcPr>
          <w:p w:rsidR="004D417B" w:rsidRPr="006375D5" w:rsidRDefault="00E14E34">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504</w:t>
            </w:r>
          </w:p>
        </w:tc>
        <w:tc>
          <w:tcPr>
            <w:tcW w:w="1545" w:type="dxa"/>
            <w:shd w:val="clear" w:color="auto" w:fill="auto"/>
            <w:tcMar>
              <w:top w:w="20" w:type="dxa"/>
              <w:left w:w="20" w:type="dxa"/>
              <w:bottom w:w="20" w:type="dxa"/>
              <w:right w:w="20" w:type="dxa"/>
            </w:tcMar>
          </w:tcPr>
          <w:p w:rsidR="004D417B" w:rsidRPr="006375D5" w:rsidRDefault="009944C6">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504</w:t>
            </w:r>
          </w:p>
        </w:tc>
      </w:tr>
      <w:tr w:rsidR="004D417B">
        <w:trPr>
          <w:trHeight w:val="3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0</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(141,085)</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Movement in pension liability</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w:t>
            </w:r>
            <w:r w:rsidR="00870C01">
              <w:rPr>
                <w:rFonts w:ascii="Verdana" w:eastAsia="Verdana" w:hAnsi="Verdana" w:cs="Verdana"/>
                <w:color w:val="000000"/>
                <w:sz w:val="16"/>
                <w:szCs w:val="22"/>
                <w:lang w:val="pt-BR"/>
              </w:rPr>
              <w:t>41</w:t>
            </w:r>
            <w:r w:rsidRPr="006375D5">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870C01">
              <w:rPr>
                <w:rFonts w:ascii="Verdana" w:eastAsia="Verdana" w:hAnsi="Verdana" w:cs="Verdana"/>
                <w:color w:val="000000"/>
                <w:sz w:val="16"/>
                <w:szCs w:val="22"/>
                <w:lang w:val="pt-BR"/>
              </w:rPr>
              <w:t>63</w:t>
            </w:r>
            <w:r w:rsidRPr="006375D5">
              <w:rPr>
                <w:rFonts w:ascii="Verdana" w:eastAsia="Verdana" w:hAnsi="Verdana" w:cs="Verdana"/>
                <w:color w:val="000000"/>
                <w:sz w:val="16"/>
                <w:szCs w:val="22"/>
                <w:lang w:val="pt-BR"/>
              </w:rPr>
              <w:t>,</w:t>
            </w:r>
            <w:r w:rsidR="00870C01">
              <w:rPr>
                <w:rFonts w:ascii="Verdana" w:eastAsia="Verdana" w:hAnsi="Verdana" w:cs="Verdana"/>
                <w:color w:val="000000"/>
                <w:sz w:val="16"/>
                <w:szCs w:val="22"/>
                <w:lang w:val="pt-BR"/>
              </w:rPr>
              <w:t>0</w:t>
            </w:r>
            <w:r w:rsidRPr="006375D5">
              <w:rPr>
                <w:rFonts w:ascii="Verdana" w:eastAsia="Verdana" w:hAnsi="Verdana" w:cs="Verdana"/>
                <w:color w:val="000000"/>
                <w:sz w:val="16"/>
                <w:szCs w:val="22"/>
                <w:lang w:val="pt-BR"/>
              </w:rPr>
              <w:t>2</w:t>
            </w:r>
            <w:r w:rsidR="00870C01">
              <w:rPr>
                <w:rFonts w:ascii="Verdana" w:eastAsia="Verdana" w:hAnsi="Verdana" w:cs="Verdana"/>
                <w:color w:val="000000"/>
                <w:sz w:val="16"/>
                <w:szCs w:val="22"/>
                <w:lang w:val="pt-BR"/>
              </w:rPr>
              <w:t>7</w:t>
            </w:r>
            <w:r w:rsidRPr="006375D5">
              <w:rPr>
                <w:rFonts w:ascii="Verdana" w:eastAsia="Verdana" w:hAnsi="Verdana" w:cs="Verdana"/>
                <w:color w:val="000000"/>
                <w:sz w:val="16"/>
                <w:szCs w:val="22"/>
                <w:lang w:val="pt-BR"/>
              </w:rPr>
              <w:t>)</w:t>
            </w:r>
          </w:p>
        </w:tc>
      </w:tr>
      <w:tr w:rsidR="004D417B">
        <w:trPr>
          <w:trHeight w:val="675"/>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(1,264)</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(1,264)</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Carrying amount of non-current assets and non-current assets held for sale, sold or derecognised</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E14E34">
              <w:rPr>
                <w:rFonts w:ascii="Verdana" w:eastAsia="Verdana" w:hAnsi="Verdana" w:cs="Verdana"/>
                <w:color w:val="000000"/>
                <w:sz w:val="16"/>
                <w:szCs w:val="22"/>
                <w:lang w:val="pt-BR"/>
              </w:rPr>
              <w:t>164</w:t>
            </w:r>
            <w:r w:rsidRPr="006375D5">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9944C6">
              <w:rPr>
                <w:rFonts w:ascii="Verdana" w:eastAsia="Verdana" w:hAnsi="Verdana" w:cs="Verdana"/>
                <w:color w:val="000000"/>
                <w:sz w:val="16"/>
                <w:szCs w:val="22"/>
                <w:lang w:val="pt-BR"/>
              </w:rPr>
              <w:t>164</w:t>
            </w:r>
            <w:r w:rsidRPr="006375D5">
              <w:rPr>
                <w:rFonts w:ascii="Verdana" w:eastAsia="Verdana" w:hAnsi="Verdana" w:cs="Verdana"/>
                <w:color w:val="000000"/>
                <w:sz w:val="16"/>
                <w:szCs w:val="22"/>
                <w:lang w:val="pt-BR"/>
              </w:rPr>
              <w:t>)</w:t>
            </w:r>
          </w:p>
        </w:tc>
      </w:tr>
      <w:tr w:rsidR="004D417B">
        <w:trPr>
          <w:trHeight w:val="60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941</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1,437</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Other non-cash movements charged to the surplus or deficit on provision of services</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95267E">
              <w:rPr>
                <w:rFonts w:ascii="Verdana" w:eastAsia="Verdana" w:hAnsi="Verdana" w:cs="Verdana"/>
                <w:color w:val="000000"/>
                <w:sz w:val="16"/>
                <w:szCs w:val="22"/>
                <w:lang w:val="pt-BR"/>
              </w:rPr>
              <w:t>230</w:t>
            </w:r>
            <w:r w:rsidRPr="006375D5">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rsidR="004D417B" w:rsidRPr="006375D5" w:rsidRDefault="00D85F84">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(375)</w:t>
            </w:r>
          </w:p>
        </w:tc>
      </w:tr>
      <w:tr w:rsidR="004D417B">
        <w:trPr>
          <w:trHeight w:val="315"/>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(11,404)</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(152,795)</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Total</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w:t>
            </w:r>
            <w:r w:rsidR="0095267E">
              <w:rPr>
                <w:rFonts w:ascii="Verdana" w:eastAsia="Verdana" w:hAnsi="Verdana" w:cs="Verdana"/>
                <w:b/>
                <w:color w:val="000000"/>
                <w:sz w:val="16"/>
                <w:szCs w:val="22"/>
                <w:lang w:val="pt-BR"/>
              </w:rPr>
              <w:t>8</w:t>
            </w:r>
            <w:r w:rsidRPr="006375D5">
              <w:rPr>
                <w:rFonts w:ascii="Verdana" w:eastAsia="Verdana" w:hAnsi="Verdana" w:cs="Verdana"/>
                <w:b/>
                <w:color w:val="000000"/>
                <w:sz w:val="16"/>
                <w:szCs w:val="22"/>
                <w:lang w:val="pt-BR"/>
              </w:rPr>
              <w:t>,</w:t>
            </w:r>
            <w:r w:rsidR="0095267E">
              <w:rPr>
                <w:rFonts w:ascii="Verdana" w:eastAsia="Verdana" w:hAnsi="Verdana" w:cs="Verdana"/>
                <w:b/>
                <w:color w:val="000000"/>
                <w:sz w:val="16"/>
                <w:szCs w:val="22"/>
                <w:lang w:val="pt-BR"/>
              </w:rPr>
              <w:t>2</w:t>
            </w:r>
            <w:r w:rsidR="00870C01">
              <w:rPr>
                <w:rFonts w:ascii="Verdana" w:eastAsia="Verdana" w:hAnsi="Verdana" w:cs="Verdana"/>
                <w:b/>
                <w:color w:val="000000"/>
                <w:sz w:val="16"/>
                <w:szCs w:val="22"/>
                <w:lang w:val="pt-BR"/>
              </w:rPr>
              <w:t>74</w:t>
            </w:r>
            <w:r w:rsidRPr="006375D5">
              <w:rPr>
                <w:rFonts w:ascii="Verdana" w:eastAsia="Verdana" w:hAnsi="Verdana" w:cs="Verdana"/>
                <w:b/>
                <w:color w:val="000000"/>
                <w:sz w:val="16"/>
                <w:szCs w:val="22"/>
                <w:lang w:val="pt-BR"/>
              </w:rPr>
              <w:t>)</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w:t>
            </w:r>
            <w:r w:rsidR="00870C01">
              <w:rPr>
                <w:rFonts w:ascii="Verdana" w:eastAsia="Verdana" w:hAnsi="Verdana" w:cs="Verdana"/>
                <w:b/>
                <w:color w:val="000000"/>
                <w:sz w:val="16"/>
                <w:szCs w:val="22"/>
                <w:lang w:val="pt-BR"/>
              </w:rPr>
              <w:t>71</w:t>
            </w:r>
            <w:r w:rsidRPr="006375D5">
              <w:rPr>
                <w:rFonts w:ascii="Verdana" w:eastAsia="Verdana" w:hAnsi="Verdana" w:cs="Verdana"/>
                <w:b/>
                <w:color w:val="000000"/>
                <w:sz w:val="16"/>
                <w:szCs w:val="22"/>
                <w:lang w:val="pt-BR"/>
              </w:rPr>
              <w:t>,</w:t>
            </w:r>
            <w:r w:rsidR="00870C01">
              <w:rPr>
                <w:rFonts w:ascii="Verdana" w:eastAsia="Verdana" w:hAnsi="Verdana" w:cs="Verdana"/>
                <w:b/>
                <w:color w:val="000000"/>
                <w:sz w:val="16"/>
                <w:szCs w:val="22"/>
                <w:lang w:val="pt-BR"/>
              </w:rPr>
              <w:t>3</w:t>
            </w:r>
            <w:r w:rsidR="009944C6">
              <w:rPr>
                <w:rFonts w:ascii="Verdana" w:eastAsia="Verdana" w:hAnsi="Verdana" w:cs="Verdana"/>
                <w:b/>
                <w:color w:val="000000"/>
                <w:sz w:val="16"/>
                <w:szCs w:val="22"/>
                <w:lang w:val="pt-BR"/>
              </w:rPr>
              <w:t>0</w:t>
            </w:r>
            <w:r w:rsidR="00870C01">
              <w:rPr>
                <w:rFonts w:ascii="Verdana" w:eastAsia="Verdana" w:hAnsi="Verdana" w:cs="Verdana"/>
                <w:b/>
                <w:color w:val="000000"/>
                <w:sz w:val="16"/>
                <w:szCs w:val="22"/>
                <w:lang w:val="pt-BR"/>
              </w:rPr>
              <w:t>5</w:t>
            </w:r>
            <w:r w:rsidRPr="006375D5">
              <w:rPr>
                <w:rFonts w:ascii="Verdana" w:eastAsia="Verdana" w:hAnsi="Verdana" w:cs="Verdana"/>
                <w:b/>
                <w:color w:val="000000"/>
                <w:sz w:val="16"/>
                <w:szCs w:val="22"/>
                <w:lang w:val="pt-BR"/>
              </w:rPr>
              <w:t>)</w:t>
            </w:r>
          </w:p>
        </w:tc>
      </w:tr>
      <w:tr w:rsidR="004D417B">
        <w:trPr>
          <w:trHeight w:hRule="exact" w:val="300"/>
        </w:trPr>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Calibri" w:eastAsia="Calibri" w:hAnsi="Calibri" w:cs="Calibri"/>
                <w:color w:val="000000"/>
                <w:sz w:val="2"/>
                <w:szCs w:val="22"/>
                <w:lang w:val="pt-BR"/>
              </w:rPr>
            </w:pPr>
            <w:r w:rsidRPr="006375D5">
              <w:rPr>
                <w:rFonts w:ascii="Calibri" w:eastAsia="Calibri" w:hAnsi="Calibri" w:cs="Calibri"/>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r>
      <w:tr w:rsidR="004D417B">
        <w:trPr>
          <w:trHeight w:val="480"/>
        </w:trPr>
        <w:tc>
          <w:tcPr>
            <w:tcW w:w="9795" w:type="dxa"/>
            <w:gridSpan w:val="6"/>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The surplus or deficit on the provision of services has been adjusted for the following items which are investing and financing activities:</w:t>
            </w:r>
          </w:p>
        </w:tc>
      </w:tr>
      <w:tr w:rsidR="004D417B">
        <w:trPr>
          <w:trHeight w:hRule="exact" w:val="300"/>
        </w:trPr>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Calibri" w:eastAsia="Calibri" w:hAnsi="Calibri" w:cs="Calibri"/>
                <w:color w:val="000000"/>
                <w:sz w:val="2"/>
                <w:szCs w:val="22"/>
                <w:lang w:val="pt-BR"/>
              </w:rPr>
            </w:pPr>
            <w:r w:rsidRPr="006375D5">
              <w:rPr>
                <w:rFonts w:ascii="Calibri" w:eastAsia="Calibri" w:hAnsi="Calibri" w:cs="Calibri"/>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r>
      <w:tr w:rsidR="004D417B">
        <w:trPr>
          <w:trHeight w:val="300"/>
        </w:trPr>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2019</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2020</w:t>
            </w:r>
          </w:p>
        </w:tc>
      </w:tr>
      <w:tr w:rsidR="004D417B">
        <w:trPr>
          <w:trHeight w:val="300"/>
        </w:trPr>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Calibri" w:eastAsia="Calibri" w:hAnsi="Calibri" w:cs="Calibri"/>
                <w:color w:val="000000"/>
                <w:sz w:val="2"/>
                <w:szCs w:val="22"/>
                <w:lang w:val="pt-BR"/>
              </w:rPr>
            </w:pPr>
            <w:r w:rsidRPr="006375D5">
              <w:rPr>
                <w:rFonts w:ascii="Calibri" w:eastAsia="Calibri" w:hAnsi="Calibri" w:cs="Calibri"/>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Calibri" w:eastAsia="Calibri" w:hAnsi="Calibri" w:cs="Calibri"/>
                <w:color w:val="000000"/>
                <w:sz w:val="2"/>
                <w:szCs w:val="22"/>
                <w:lang w:val="pt-BR"/>
              </w:rPr>
            </w:pPr>
            <w:r w:rsidRPr="006375D5">
              <w:rPr>
                <w:rFonts w:ascii="Calibri" w:eastAsia="Calibri" w:hAnsi="Calibri" w:cs="Calibri"/>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r>
      <w:tr w:rsidR="004D417B">
        <w:trPr>
          <w:trHeight w:val="300"/>
        </w:trPr>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r>
      <w:tr w:rsidR="004D417B">
        <w:trPr>
          <w:trHeight w:val="675"/>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1,022</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1,022</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Proceeds from the sale of property, plant and equipment, investment property and intangible assets</w:t>
            </w:r>
          </w:p>
        </w:tc>
        <w:tc>
          <w:tcPr>
            <w:tcW w:w="1545" w:type="dxa"/>
            <w:shd w:val="clear" w:color="auto" w:fill="auto"/>
            <w:tcMar>
              <w:top w:w="20" w:type="dxa"/>
              <w:left w:w="20" w:type="dxa"/>
              <w:bottom w:w="20" w:type="dxa"/>
              <w:right w:w="20" w:type="dxa"/>
            </w:tcMar>
          </w:tcPr>
          <w:p w:rsidR="004D417B" w:rsidRPr="006375D5" w:rsidRDefault="00E14E34" w:rsidP="00CA6653">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73</w:t>
            </w:r>
          </w:p>
        </w:tc>
        <w:tc>
          <w:tcPr>
            <w:tcW w:w="1545" w:type="dxa"/>
            <w:shd w:val="clear" w:color="auto" w:fill="auto"/>
            <w:tcMar>
              <w:top w:w="20" w:type="dxa"/>
              <w:left w:w="20" w:type="dxa"/>
              <w:bottom w:w="20" w:type="dxa"/>
              <w:right w:w="20" w:type="dxa"/>
            </w:tcMar>
          </w:tcPr>
          <w:p w:rsidR="004D417B" w:rsidRPr="006375D5" w:rsidRDefault="009944C6" w:rsidP="00CA6653">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73</w:t>
            </w:r>
          </w:p>
        </w:tc>
      </w:tr>
      <w:tr w:rsidR="004D417B">
        <w:trPr>
          <w:trHeight w:val="675"/>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801</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801</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Any other items for which the cash effects are investing or financing cash flows</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1,345</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1,345</w:t>
            </w:r>
          </w:p>
        </w:tc>
      </w:tr>
      <w:tr w:rsidR="004D417B">
        <w:trPr>
          <w:trHeight w:val="315"/>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1,823</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1,823</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Total</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w:t>
            </w:r>
            <w:r w:rsidR="00E14E34">
              <w:rPr>
                <w:rFonts w:ascii="Verdana" w:eastAsia="Verdana" w:hAnsi="Verdana" w:cs="Verdana"/>
                <w:b/>
                <w:color w:val="000000"/>
                <w:sz w:val="16"/>
                <w:szCs w:val="22"/>
                <w:lang w:val="pt-BR"/>
              </w:rPr>
              <w:t>418</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w:t>
            </w:r>
            <w:r w:rsidR="009944C6">
              <w:rPr>
                <w:rFonts w:ascii="Verdana" w:eastAsia="Verdana" w:hAnsi="Verdana" w:cs="Verdana"/>
                <w:b/>
                <w:color w:val="000000"/>
                <w:sz w:val="16"/>
                <w:szCs w:val="22"/>
                <w:lang w:val="pt-BR"/>
              </w:rPr>
              <w:t>418</w:t>
            </w:r>
          </w:p>
        </w:tc>
      </w:tr>
    </w:tbl>
    <w:p w:rsidR="00CA6653" w:rsidRPr="006375D5" w:rsidRDefault="00CA6653" w:rsidP="00CA6653">
      <w:pPr>
        <w:pStyle w:val="T1TableStyle"/>
        <w:rPr>
          <w:rFonts w:ascii="Verdana" w:hAnsi="Verdana"/>
          <w:sz w:val="22"/>
          <w:szCs w:val="22"/>
          <w:lang w:val="pt-BR"/>
        </w:rPr>
      </w:pPr>
    </w:p>
    <w:p w:rsidR="00CA6653" w:rsidRDefault="00CA6653" w:rsidP="00A31A9E">
      <w:pPr>
        <w:pStyle w:val="Heading1"/>
      </w:pPr>
      <w:bookmarkStart w:id="48" w:name="_Toc55900438"/>
      <w:r w:rsidRPr="006375D5">
        <w:t>Note 3</w:t>
      </w:r>
      <w:r w:rsidR="00960EC4">
        <w:t>6</w:t>
      </w:r>
      <w:r w:rsidRPr="006375D5">
        <w:t xml:space="preserve"> - Cash Flow from Investing Activities</w:t>
      </w:r>
      <w:bookmarkEnd w:id="48"/>
    </w:p>
    <w:tbl>
      <w:tblPr>
        <w:tblW w:w="0" w:type="auto"/>
        <w:tblLayout w:type="fixed"/>
        <w:tblLook w:val="04A0" w:firstRow="1" w:lastRow="0" w:firstColumn="1" w:lastColumn="0" w:noHBand="0" w:noVBand="1"/>
      </w:tblPr>
      <w:tblGrid>
        <w:gridCol w:w="1545"/>
        <w:gridCol w:w="1545"/>
        <w:gridCol w:w="180"/>
        <w:gridCol w:w="3225"/>
        <w:gridCol w:w="1545"/>
        <w:gridCol w:w="1545"/>
      </w:tblGrid>
      <w:tr w:rsidR="004D417B">
        <w:trPr>
          <w:trHeight w:val="300"/>
        </w:trPr>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2019</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22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2020</w:t>
            </w:r>
          </w:p>
        </w:tc>
      </w:tr>
      <w:tr w:rsidR="004D417B">
        <w:trPr>
          <w:trHeight w:val="300"/>
        </w:trPr>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22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r>
      <w:tr w:rsidR="004D417B">
        <w:trPr>
          <w:trHeight w:val="300"/>
        </w:trPr>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22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r>
      <w:tr w:rsidR="004D417B">
        <w:trPr>
          <w:trHeight w:val="72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30,110</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30,110</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22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Purchase of property, plant and equipment, investment property and intangible assets</w:t>
            </w:r>
          </w:p>
        </w:tc>
        <w:tc>
          <w:tcPr>
            <w:tcW w:w="1545" w:type="dxa"/>
            <w:shd w:val="clear" w:color="auto" w:fill="auto"/>
            <w:tcMar>
              <w:top w:w="20" w:type="dxa"/>
              <w:left w:w="20" w:type="dxa"/>
              <w:bottom w:w="20" w:type="dxa"/>
              <w:right w:w="20" w:type="dxa"/>
            </w:tcMar>
          </w:tcPr>
          <w:p w:rsidR="004D417B" w:rsidRPr="006375D5" w:rsidRDefault="0001692B">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9</w:t>
            </w:r>
            <w:r w:rsidR="00CA6653" w:rsidRPr="006375D5">
              <w:rPr>
                <w:rFonts w:ascii="Verdana" w:eastAsia="Verdana" w:hAnsi="Verdana" w:cs="Verdana"/>
                <w:color w:val="000000"/>
                <w:sz w:val="16"/>
                <w:szCs w:val="22"/>
                <w:lang w:val="pt-BR"/>
              </w:rPr>
              <w:t>,</w:t>
            </w:r>
            <w:r>
              <w:rPr>
                <w:rFonts w:ascii="Verdana" w:eastAsia="Verdana" w:hAnsi="Verdana" w:cs="Verdana"/>
                <w:color w:val="000000"/>
                <w:sz w:val="16"/>
                <w:szCs w:val="22"/>
                <w:lang w:val="pt-BR"/>
              </w:rPr>
              <w:t>408</w:t>
            </w:r>
          </w:p>
        </w:tc>
        <w:tc>
          <w:tcPr>
            <w:tcW w:w="1545" w:type="dxa"/>
            <w:shd w:val="clear" w:color="auto" w:fill="auto"/>
            <w:tcMar>
              <w:top w:w="20" w:type="dxa"/>
              <w:left w:w="20" w:type="dxa"/>
              <w:bottom w:w="20" w:type="dxa"/>
              <w:right w:w="20" w:type="dxa"/>
            </w:tcMar>
          </w:tcPr>
          <w:p w:rsidR="004D417B" w:rsidRPr="006375D5" w:rsidRDefault="009944C6">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9</w:t>
            </w:r>
            <w:r w:rsidR="00CA6653" w:rsidRPr="006375D5">
              <w:rPr>
                <w:rFonts w:ascii="Verdana" w:eastAsia="Verdana" w:hAnsi="Verdana" w:cs="Verdana"/>
                <w:color w:val="000000"/>
                <w:sz w:val="16"/>
                <w:szCs w:val="22"/>
                <w:lang w:val="pt-BR"/>
              </w:rPr>
              <w:t>,</w:t>
            </w:r>
            <w:r>
              <w:rPr>
                <w:rFonts w:ascii="Verdana" w:eastAsia="Verdana" w:hAnsi="Verdana" w:cs="Verdana"/>
                <w:color w:val="000000"/>
                <w:sz w:val="16"/>
                <w:szCs w:val="22"/>
                <w:lang w:val="pt-BR"/>
              </w:rPr>
              <w:t>408</w:t>
            </w:r>
          </w:p>
        </w:tc>
      </w:tr>
      <w:tr w:rsidR="004D417B">
        <w:trPr>
          <w:trHeight w:val="645"/>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(1,022)</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(1,022)</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22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Proceeds from the sale of property, plant and equipment, investment property and intangible assets</w:t>
            </w:r>
          </w:p>
        </w:tc>
        <w:tc>
          <w:tcPr>
            <w:tcW w:w="1545" w:type="dxa"/>
            <w:shd w:val="clear" w:color="auto" w:fill="auto"/>
            <w:tcMar>
              <w:top w:w="20" w:type="dxa"/>
              <w:left w:w="20" w:type="dxa"/>
              <w:bottom w:w="20" w:type="dxa"/>
              <w:right w:w="20" w:type="dxa"/>
            </w:tcMar>
          </w:tcPr>
          <w:p w:rsidR="004D417B" w:rsidRPr="006375D5" w:rsidRDefault="0001692B">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(73)</w:t>
            </w:r>
          </w:p>
        </w:tc>
        <w:tc>
          <w:tcPr>
            <w:tcW w:w="1545" w:type="dxa"/>
            <w:shd w:val="clear" w:color="auto" w:fill="auto"/>
            <w:tcMar>
              <w:top w:w="20" w:type="dxa"/>
              <w:left w:w="20" w:type="dxa"/>
              <w:bottom w:w="20" w:type="dxa"/>
              <w:right w:w="20" w:type="dxa"/>
            </w:tcMar>
          </w:tcPr>
          <w:p w:rsidR="004D417B" w:rsidRPr="006375D5" w:rsidRDefault="008B23DA" w:rsidP="00CA6653">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(73)</w:t>
            </w:r>
          </w:p>
        </w:tc>
      </w:tr>
      <w:tr w:rsidR="004D417B">
        <w:trPr>
          <w:trHeight w:val="495"/>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(801)</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(801)</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22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Other receipts from investing activities</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01692B">
              <w:rPr>
                <w:rFonts w:ascii="Verdana" w:eastAsia="Verdana" w:hAnsi="Verdana" w:cs="Verdana"/>
                <w:color w:val="000000"/>
                <w:sz w:val="16"/>
                <w:szCs w:val="22"/>
                <w:lang w:val="pt-BR"/>
              </w:rPr>
              <w:t>13</w:t>
            </w:r>
            <w:r w:rsidRPr="006375D5">
              <w:rPr>
                <w:rFonts w:ascii="Verdana" w:eastAsia="Verdana" w:hAnsi="Verdana" w:cs="Verdana"/>
                <w:color w:val="000000"/>
                <w:sz w:val="16"/>
                <w:szCs w:val="22"/>
                <w:lang w:val="pt-BR"/>
              </w:rPr>
              <w:t>4</w:t>
            </w:r>
            <w:r w:rsidR="0001692B">
              <w:rPr>
                <w:rFonts w:ascii="Verdana" w:eastAsia="Verdana" w:hAnsi="Verdana" w:cs="Verdana"/>
                <w:color w:val="000000"/>
                <w:sz w:val="16"/>
                <w:szCs w:val="22"/>
                <w:lang w:val="pt-BR"/>
              </w:rPr>
              <w:t>5</w:t>
            </w:r>
            <w:r w:rsidRPr="006375D5">
              <w:rPr>
                <w:rFonts w:ascii="Verdana" w:eastAsia="Verdana" w:hAnsi="Verdana" w:cs="Verdana"/>
                <w:color w:val="000000"/>
                <w:sz w:val="16"/>
                <w:szCs w:val="22"/>
                <w:lang w:val="pt-BR"/>
              </w:rPr>
              <w:t>)</w:t>
            </w:r>
          </w:p>
        </w:tc>
        <w:tc>
          <w:tcPr>
            <w:tcW w:w="1545" w:type="dxa"/>
            <w:shd w:val="clear" w:color="auto" w:fill="auto"/>
            <w:tcMar>
              <w:top w:w="20" w:type="dxa"/>
              <w:left w:w="20" w:type="dxa"/>
              <w:bottom w:w="20" w:type="dxa"/>
              <w:right w:w="20" w:type="dxa"/>
            </w:tcMar>
          </w:tcPr>
          <w:p w:rsidR="004D417B" w:rsidRPr="006375D5" w:rsidRDefault="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w:t>
            </w:r>
            <w:r w:rsidR="008B23DA">
              <w:rPr>
                <w:rFonts w:ascii="Verdana" w:eastAsia="Verdana" w:hAnsi="Verdana" w:cs="Verdana"/>
                <w:color w:val="000000"/>
                <w:sz w:val="16"/>
                <w:szCs w:val="22"/>
                <w:lang w:val="pt-BR"/>
              </w:rPr>
              <w:t>1345</w:t>
            </w:r>
            <w:r w:rsidRPr="006375D5">
              <w:rPr>
                <w:rFonts w:ascii="Verdana" w:eastAsia="Verdana" w:hAnsi="Verdana" w:cs="Verdana"/>
                <w:color w:val="000000"/>
                <w:sz w:val="16"/>
                <w:szCs w:val="22"/>
                <w:lang w:val="pt-BR"/>
              </w:rPr>
              <w:t>)</w:t>
            </w:r>
          </w:p>
        </w:tc>
      </w:tr>
      <w:tr w:rsidR="004D417B">
        <w:trPr>
          <w:trHeight w:val="555"/>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28,287</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28,287</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22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Net cash flows from investing activities</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E14E34">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7</w:t>
            </w:r>
            <w:r w:rsidR="00CA6653" w:rsidRPr="006375D5">
              <w:rPr>
                <w:rFonts w:ascii="Verdana" w:eastAsia="Verdana" w:hAnsi="Verdana" w:cs="Verdana"/>
                <w:b/>
                <w:color w:val="000000"/>
                <w:sz w:val="16"/>
                <w:szCs w:val="22"/>
                <w:lang w:val="pt-BR"/>
              </w:rPr>
              <w:t>,</w:t>
            </w:r>
            <w:r>
              <w:rPr>
                <w:rFonts w:ascii="Verdana" w:eastAsia="Verdana" w:hAnsi="Verdana" w:cs="Verdana"/>
                <w:b/>
                <w:color w:val="000000"/>
                <w:sz w:val="16"/>
                <w:szCs w:val="22"/>
                <w:lang w:val="pt-BR"/>
              </w:rPr>
              <w:t>990</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8B23DA">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7</w:t>
            </w:r>
            <w:r w:rsidR="00CA6653" w:rsidRPr="006375D5">
              <w:rPr>
                <w:rFonts w:ascii="Verdana" w:eastAsia="Verdana" w:hAnsi="Verdana" w:cs="Verdana"/>
                <w:b/>
                <w:color w:val="000000"/>
                <w:sz w:val="16"/>
                <w:szCs w:val="22"/>
                <w:lang w:val="pt-BR"/>
              </w:rPr>
              <w:t>,</w:t>
            </w:r>
            <w:r>
              <w:rPr>
                <w:rFonts w:ascii="Verdana" w:eastAsia="Verdana" w:hAnsi="Verdana" w:cs="Verdana"/>
                <w:b/>
                <w:color w:val="000000"/>
                <w:sz w:val="16"/>
                <w:szCs w:val="22"/>
                <w:lang w:val="pt-BR"/>
              </w:rPr>
              <w:t>990</w:t>
            </w:r>
          </w:p>
        </w:tc>
      </w:tr>
    </w:tbl>
    <w:p w:rsidR="00CA6653" w:rsidRDefault="00CA6653" w:rsidP="00A31A9E">
      <w:pPr>
        <w:pStyle w:val="Heading1"/>
      </w:pPr>
      <w:bookmarkStart w:id="49" w:name="_Toc55900439"/>
      <w:r w:rsidRPr="006375D5">
        <w:t>Note 3</w:t>
      </w:r>
      <w:r w:rsidR="00960EC4">
        <w:t>7</w:t>
      </w:r>
      <w:r w:rsidRPr="006375D5">
        <w:t xml:space="preserve"> - Cash Flow from Financing Activities</w:t>
      </w:r>
      <w:bookmarkEnd w:id="49"/>
    </w:p>
    <w:tbl>
      <w:tblPr>
        <w:tblW w:w="0" w:type="auto"/>
        <w:tblLayout w:type="fixed"/>
        <w:tblLook w:val="04A0" w:firstRow="1" w:lastRow="0" w:firstColumn="1" w:lastColumn="0" w:noHBand="0" w:noVBand="1"/>
      </w:tblPr>
      <w:tblGrid>
        <w:gridCol w:w="1545"/>
        <w:gridCol w:w="1545"/>
        <w:gridCol w:w="180"/>
        <w:gridCol w:w="3435"/>
        <w:gridCol w:w="1545"/>
        <w:gridCol w:w="1545"/>
      </w:tblGrid>
      <w:tr w:rsidR="004D417B">
        <w:trPr>
          <w:trHeight w:val="300"/>
        </w:trPr>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2019</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090" w:type="dxa"/>
            <w:gridSpan w:val="2"/>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31 March 2020</w:t>
            </w:r>
          </w:p>
        </w:tc>
      </w:tr>
      <w:tr w:rsidR="004D417B">
        <w:trPr>
          <w:trHeight w:val="300"/>
        </w:trPr>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c>
          <w:tcPr>
            <w:tcW w:w="180"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PCC</w:t>
            </w:r>
          </w:p>
        </w:tc>
        <w:tc>
          <w:tcPr>
            <w:tcW w:w="1545" w:type="dxa"/>
            <w:shd w:val="clear" w:color="auto" w:fill="auto"/>
            <w:tcMar>
              <w:top w:w="20" w:type="dxa"/>
              <w:left w:w="20" w:type="dxa"/>
              <w:bottom w:w="20" w:type="dxa"/>
              <w:right w:w="20" w:type="dxa"/>
            </w:tcMar>
            <w:vAlign w:val="bottom"/>
          </w:tcPr>
          <w:p w:rsidR="004D417B" w:rsidRPr="006375D5" w:rsidRDefault="00CA6653" w:rsidP="00CA6653">
            <w:pPr>
              <w:pStyle w:val="T1TableStyle"/>
              <w:jc w:val="center"/>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Group</w:t>
            </w:r>
          </w:p>
        </w:tc>
      </w:tr>
      <w:tr w:rsidR="004D417B">
        <w:trPr>
          <w:trHeight w:val="300"/>
        </w:trPr>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80"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c>
          <w:tcPr>
            <w:tcW w:w="1545" w:type="dxa"/>
            <w:tcBorders>
              <w:bottom w:val="single" w:sz="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£000</w:t>
            </w:r>
          </w:p>
        </w:tc>
      </w:tr>
      <w:tr w:rsidR="004D417B">
        <w:trPr>
          <w:trHeight w:val="48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(15,635)</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(15,635)</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Cash receipts of short-term and long-term borrowing</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0</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0</w:t>
            </w:r>
          </w:p>
        </w:tc>
      </w:tr>
      <w:tr w:rsidR="004D417B">
        <w:trPr>
          <w:trHeight w:val="360"/>
        </w:trPr>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(715)</w:t>
            </w:r>
          </w:p>
        </w:tc>
        <w:tc>
          <w:tcPr>
            <w:tcW w:w="1545" w:type="dxa"/>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(715)</w:t>
            </w:r>
          </w:p>
        </w:tc>
        <w:tc>
          <w:tcPr>
            <w:tcW w:w="180" w:type="dxa"/>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color w:val="000000"/>
                <w:sz w:val="2"/>
                <w:szCs w:val="22"/>
                <w:lang w:val="pt-BR"/>
              </w:rPr>
            </w:pPr>
            <w:r w:rsidRPr="006375D5">
              <w:rPr>
                <w:rFonts w:ascii="Verdana" w:eastAsia="Verdana" w:hAnsi="Verdana" w:cs="Verdana"/>
                <w:color w:val="000000"/>
                <w:sz w:val="2"/>
                <w:szCs w:val="22"/>
                <w:lang w:val="pt-BR"/>
              </w:rPr>
              <w:t xml:space="preserve"> </w:t>
            </w:r>
          </w:p>
        </w:tc>
        <w:tc>
          <w:tcPr>
            <w:tcW w:w="3435" w:type="dxa"/>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color w:val="000000"/>
                <w:sz w:val="16"/>
                <w:szCs w:val="22"/>
                <w:lang w:val="pt-BR"/>
              </w:rPr>
            </w:pPr>
            <w:r w:rsidRPr="006375D5">
              <w:rPr>
                <w:rFonts w:ascii="Verdana" w:eastAsia="Verdana" w:hAnsi="Verdana" w:cs="Verdana"/>
                <w:color w:val="000000"/>
                <w:sz w:val="16"/>
                <w:szCs w:val="22"/>
                <w:lang w:val="pt-BR"/>
              </w:rPr>
              <w:t>Other receipts from financing activities</w:t>
            </w:r>
          </w:p>
        </w:tc>
        <w:tc>
          <w:tcPr>
            <w:tcW w:w="1545" w:type="dxa"/>
            <w:shd w:val="clear" w:color="auto" w:fill="auto"/>
            <w:tcMar>
              <w:top w:w="20" w:type="dxa"/>
              <w:left w:w="20" w:type="dxa"/>
              <w:bottom w:w="20" w:type="dxa"/>
              <w:right w:w="20" w:type="dxa"/>
            </w:tcMar>
          </w:tcPr>
          <w:p w:rsidR="004D417B" w:rsidRPr="006375D5" w:rsidRDefault="0001692B" w:rsidP="00A200D5">
            <w:pPr>
              <w:pStyle w:val="T1TableStyle"/>
              <w:tabs>
                <w:tab w:val="left" w:pos="1367"/>
                <w:tab w:val="right" w:pos="1505"/>
              </w:tabs>
              <w:rPr>
                <w:rFonts w:ascii="Verdana" w:eastAsia="Verdana" w:hAnsi="Verdana" w:cs="Verdana"/>
                <w:color w:val="000000"/>
                <w:sz w:val="16"/>
                <w:szCs w:val="22"/>
                <w:lang w:val="pt-BR"/>
              </w:rPr>
            </w:pPr>
            <w:r>
              <w:rPr>
                <w:rFonts w:ascii="Verdana" w:eastAsia="Verdana" w:hAnsi="Verdana" w:cs="Verdana"/>
                <w:color w:val="000000"/>
                <w:sz w:val="16"/>
                <w:szCs w:val="22"/>
                <w:lang w:val="pt-BR"/>
              </w:rPr>
              <w:t xml:space="preserve">                 </w:t>
            </w:r>
            <w:r w:rsidR="0095267E">
              <w:rPr>
                <w:rFonts w:ascii="Verdana" w:eastAsia="Verdana" w:hAnsi="Verdana" w:cs="Verdana"/>
                <w:color w:val="000000"/>
                <w:sz w:val="16"/>
                <w:szCs w:val="22"/>
                <w:lang w:val="pt-BR"/>
              </w:rPr>
              <w:t xml:space="preserve">     </w:t>
            </w:r>
            <w:r>
              <w:rPr>
                <w:rFonts w:ascii="Verdana" w:eastAsia="Verdana" w:hAnsi="Verdana" w:cs="Verdana"/>
                <w:color w:val="000000"/>
                <w:sz w:val="16"/>
                <w:szCs w:val="22"/>
                <w:lang w:val="pt-BR"/>
              </w:rPr>
              <w:t xml:space="preserve"> </w:t>
            </w:r>
            <w:r w:rsidR="0095267E">
              <w:rPr>
                <w:rFonts w:ascii="Verdana" w:eastAsia="Verdana" w:hAnsi="Verdana" w:cs="Verdana"/>
                <w:color w:val="000000"/>
                <w:sz w:val="16"/>
                <w:szCs w:val="22"/>
                <w:lang w:val="pt-BR"/>
              </w:rPr>
              <w:t>89</w:t>
            </w:r>
            <w:r>
              <w:rPr>
                <w:rFonts w:ascii="Verdana" w:eastAsia="Verdana" w:hAnsi="Verdana" w:cs="Verdana"/>
                <w:color w:val="000000"/>
                <w:sz w:val="16"/>
                <w:szCs w:val="22"/>
                <w:lang w:val="pt-BR"/>
              </w:rPr>
              <w:t xml:space="preserve"> </w:t>
            </w:r>
          </w:p>
        </w:tc>
        <w:tc>
          <w:tcPr>
            <w:tcW w:w="1545" w:type="dxa"/>
            <w:shd w:val="clear" w:color="auto" w:fill="auto"/>
            <w:tcMar>
              <w:top w:w="20" w:type="dxa"/>
              <w:left w:w="20" w:type="dxa"/>
              <w:bottom w:w="20" w:type="dxa"/>
              <w:right w:w="20" w:type="dxa"/>
            </w:tcMar>
          </w:tcPr>
          <w:p w:rsidR="004D417B" w:rsidRPr="006375D5" w:rsidRDefault="0095267E">
            <w:pPr>
              <w:pStyle w:val="T1TableStyle"/>
              <w:jc w:val="right"/>
              <w:rPr>
                <w:rFonts w:ascii="Verdana" w:eastAsia="Verdana" w:hAnsi="Verdana" w:cs="Verdana"/>
                <w:color w:val="000000"/>
                <w:sz w:val="16"/>
                <w:szCs w:val="22"/>
                <w:lang w:val="pt-BR"/>
              </w:rPr>
            </w:pPr>
            <w:r>
              <w:rPr>
                <w:rFonts w:ascii="Verdana" w:eastAsia="Verdana" w:hAnsi="Verdana" w:cs="Verdana"/>
                <w:color w:val="000000"/>
                <w:sz w:val="16"/>
                <w:szCs w:val="22"/>
                <w:lang w:val="pt-BR"/>
              </w:rPr>
              <w:t>89</w:t>
            </w:r>
          </w:p>
        </w:tc>
      </w:tr>
      <w:tr w:rsidR="004D417B">
        <w:trPr>
          <w:trHeight w:val="555"/>
        </w:trPr>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(16,350)</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right"/>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(16,350)</w:t>
            </w:r>
          </w:p>
        </w:tc>
        <w:tc>
          <w:tcPr>
            <w:tcW w:w="180"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jc w:val="center"/>
              <w:rPr>
                <w:rFonts w:ascii="Verdana" w:eastAsia="Verdana" w:hAnsi="Verdana" w:cs="Verdana"/>
                <w:b/>
                <w:color w:val="000000"/>
                <w:sz w:val="2"/>
                <w:szCs w:val="22"/>
                <w:lang w:val="pt-BR"/>
              </w:rPr>
            </w:pPr>
            <w:r w:rsidRPr="006375D5">
              <w:rPr>
                <w:rFonts w:ascii="Verdana" w:eastAsia="Verdana" w:hAnsi="Verdana" w:cs="Verdana"/>
                <w:b/>
                <w:color w:val="000000"/>
                <w:sz w:val="2"/>
                <w:szCs w:val="22"/>
                <w:lang w:val="pt-BR"/>
              </w:rPr>
              <w:t xml:space="preserve"> </w:t>
            </w:r>
          </w:p>
        </w:tc>
        <w:tc>
          <w:tcPr>
            <w:tcW w:w="343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CA6653" w:rsidP="00CA6653">
            <w:pPr>
              <w:pStyle w:val="T1TableStyle"/>
              <w:rPr>
                <w:rFonts w:ascii="Verdana" w:eastAsia="Verdana" w:hAnsi="Verdana" w:cs="Verdana"/>
                <w:b/>
                <w:color w:val="000000"/>
                <w:sz w:val="16"/>
                <w:szCs w:val="22"/>
                <w:lang w:val="pt-BR"/>
              </w:rPr>
            </w:pPr>
            <w:r w:rsidRPr="006375D5">
              <w:rPr>
                <w:rFonts w:ascii="Verdana" w:eastAsia="Verdana" w:hAnsi="Verdana" w:cs="Verdana"/>
                <w:b/>
                <w:color w:val="000000"/>
                <w:sz w:val="16"/>
                <w:szCs w:val="22"/>
                <w:lang w:val="pt-BR"/>
              </w:rPr>
              <w:t>Net cash flows from financing activities</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95267E">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89</w:t>
            </w:r>
          </w:p>
        </w:tc>
        <w:tc>
          <w:tcPr>
            <w:tcW w:w="1545" w:type="dxa"/>
            <w:tcBorders>
              <w:top w:val="single" w:sz="2" w:space="0" w:color="000000"/>
              <w:bottom w:val="single" w:sz="12" w:space="0" w:color="000000"/>
            </w:tcBorders>
            <w:shd w:val="clear" w:color="auto" w:fill="auto"/>
            <w:tcMar>
              <w:top w:w="20" w:type="dxa"/>
              <w:left w:w="20" w:type="dxa"/>
              <w:bottom w:w="20" w:type="dxa"/>
              <w:right w:w="20" w:type="dxa"/>
            </w:tcMar>
          </w:tcPr>
          <w:p w:rsidR="004D417B" w:rsidRPr="006375D5" w:rsidRDefault="00D85F84">
            <w:pPr>
              <w:pStyle w:val="T1TableStyle"/>
              <w:jc w:val="right"/>
              <w:rPr>
                <w:rFonts w:ascii="Verdana" w:eastAsia="Verdana" w:hAnsi="Verdana" w:cs="Verdana"/>
                <w:b/>
                <w:color w:val="000000"/>
                <w:sz w:val="16"/>
                <w:szCs w:val="22"/>
                <w:lang w:val="pt-BR"/>
              </w:rPr>
            </w:pPr>
            <w:r>
              <w:rPr>
                <w:rFonts w:ascii="Verdana" w:eastAsia="Verdana" w:hAnsi="Verdana" w:cs="Verdana"/>
                <w:b/>
                <w:color w:val="000000"/>
                <w:sz w:val="16"/>
                <w:szCs w:val="22"/>
                <w:lang w:val="pt-BR"/>
              </w:rPr>
              <w:t>89</w:t>
            </w:r>
          </w:p>
        </w:tc>
      </w:tr>
    </w:tbl>
    <w:p w:rsidR="00CA6653" w:rsidRPr="006375D5" w:rsidRDefault="00CA6653" w:rsidP="00CA6653">
      <w:pPr>
        <w:pStyle w:val="T1TableStyle"/>
        <w:rPr>
          <w:rFonts w:ascii="Verdana" w:hAnsi="Verdana"/>
          <w:sz w:val="22"/>
          <w:szCs w:val="22"/>
          <w:lang w:val="pt-BR"/>
        </w:rPr>
      </w:pPr>
    </w:p>
    <w:p w:rsidR="0030507D" w:rsidRDefault="0030507D">
      <w:pPr>
        <w:rPr>
          <w:rFonts w:asciiTheme="majorHAnsi" w:eastAsiaTheme="majorEastAsia" w:hAnsiTheme="majorHAnsi" w:cstheme="majorBidi"/>
          <w:color w:val="2E74B5" w:themeColor="accent1" w:themeShade="BF"/>
          <w:sz w:val="32"/>
          <w:szCs w:val="32"/>
          <w:lang w:val="pt-BR"/>
        </w:rPr>
      </w:pPr>
      <w:r>
        <w:br w:type="page"/>
      </w:r>
    </w:p>
    <w:p w:rsidR="00CA6653" w:rsidRDefault="00502D6C" w:rsidP="00A31A9E">
      <w:pPr>
        <w:pStyle w:val="Heading1"/>
      </w:pPr>
      <w:bookmarkStart w:id="50" w:name="_Toc55900440"/>
      <w:r>
        <w:t>Note 3</w:t>
      </w:r>
      <w:r w:rsidR="00960EC4">
        <w:t>8</w:t>
      </w:r>
      <w:r w:rsidR="00CA6653">
        <w:t xml:space="preserve"> - Reconciliation of Liabilities Arising from Financing Activities</w:t>
      </w:r>
      <w:bookmarkEnd w:id="50"/>
      <w:r w:rsidR="00CA6653">
        <w:t xml:space="preserve"> </w:t>
      </w:r>
    </w:p>
    <w:tbl>
      <w:tblPr>
        <w:tblW w:w="0" w:type="auto"/>
        <w:tblLayout w:type="fixed"/>
        <w:tblLook w:val="04A0" w:firstRow="1" w:lastRow="0" w:firstColumn="1" w:lastColumn="0" w:noHBand="0" w:noVBand="1"/>
      </w:tblPr>
      <w:tblGrid>
        <w:gridCol w:w="3908"/>
        <w:gridCol w:w="1149"/>
        <w:gridCol w:w="1149"/>
        <w:gridCol w:w="1149"/>
        <w:gridCol w:w="1150"/>
        <w:gridCol w:w="1151"/>
      </w:tblGrid>
      <w:tr w:rsidR="004D417B" w:rsidTr="00C86C86">
        <w:trPr>
          <w:trHeight w:val="301"/>
        </w:trPr>
        <w:tc>
          <w:tcPr>
            <w:tcW w:w="9656" w:type="dxa"/>
            <w:gridSpan w:val="6"/>
            <w:shd w:val="clear" w:color="auto" w:fill="auto"/>
            <w:tcMar>
              <w:top w:w="20" w:type="dxa"/>
              <w:left w:w="20" w:type="dxa"/>
              <w:bottom w:w="20" w:type="dxa"/>
              <w:right w:w="20" w:type="dxa"/>
            </w:tcMar>
            <w:vAlign w:val="bottom"/>
          </w:tcPr>
          <w:p w:rsidR="00CA6653" w:rsidRDefault="00CA6653">
            <w:pPr>
              <w:pStyle w:val="T1TableStyle"/>
              <w:rPr>
                <w:rFonts w:ascii="Calibri" w:eastAsia="Calibri" w:hAnsi="Calibri" w:cs="Calibri"/>
                <w:b/>
                <w:color w:val="000000"/>
                <w:sz w:val="22"/>
                <w:lang w:val="en-GB"/>
              </w:rPr>
            </w:pPr>
            <w:r>
              <w:rPr>
                <w:rFonts w:ascii="Calibri" w:eastAsia="Calibri" w:hAnsi="Calibri" w:cs="Calibri"/>
                <w:b/>
                <w:color w:val="000000"/>
                <w:sz w:val="22"/>
                <w:lang w:val="en-GB"/>
              </w:rPr>
              <w:t>Reconciliation of Liabilities Arising from Financing Activities</w:t>
            </w:r>
          </w:p>
        </w:tc>
      </w:tr>
      <w:tr w:rsidR="004D417B" w:rsidTr="00A200D5">
        <w:trPr>
          <w:trHeight w:hRule="exact" w:val="301"/>
        </w:trPr>
        <w:tc>
          <w:tcPr>
            <w:tcW w:w="3908"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color w:val="000000"/>
                <w:sz w:val="2"/>
                <w:lang w:val="en-GB"/>
              </w:rPr>
            </w:pPr>
            <w:r>
              <w:rPr>
                <w:rFonts w:ascii="Verdana" w:eastAsia="Verdana" w:hAnsi="Verdana" w:cs="Verdana"/>
                <w:color w:val="000000"/>
                <w:sz w:val="2"/>
                <w:lang w:val="en-GB"/>
              </w:rPr>
              <w:t xml:space="preserve"> </w:t>
            </w:r>
          </w:p>
        </w:tc>
        <w:tc>
          <w:tcPr>
            <w:tcW w:w="1149"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5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51"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A200D5">
        <w:trPr>
          <w:trHeight w:val="452"/>
        </w:trPr>
        <w:tc>
          <w:tcPr>
            <w:tcW w:w="3908"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vMerge w:val="restart"/>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1 April 2019</w:t>
            </w:r>
          </w:p>
        </w:tc>
        <w:tc>
          <w:tcPr>
            <w:tcW w:w="1149" w:type="dxa"/>
            <w:vMerge w:val="restart"/>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Financing cash flows</w:t>
            </w:r>
          </w:p>
        </w:tc>
        <w:tc>
          <w:tcPr>
            <w:tcW w:w="2299" w:type="dxa"/>
            <w:gridSpan w:val="2"/>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Non-cash changes</w:t>
            </w:r>
          </w:p>
        </w:tc>
        <w:tc>
          <w:tcPr>
            <w:tcW w:w="1151" w:type="dxa"/>
            <w:vMerge w:val="restart"/>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2020</w:t>
            </w:r>
          </w:p>
        </w:tc>
      </w:tr>
      <w:tr w:rsidR="004D417B" w:rsidTr="00A200D5">
        <w:trPr>
          <w:trHeight w:val="664"/>
        </w:trPr>
        <w:tc>
          <w:tcPr>
            <w:tcW w:w="3908"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Acquisition</w:t>
            </w:r>
          </w:p>
        </w:tc>
        <w:tc>
          <w:tcPr>
            <w:tcW w:w="115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Other non-cash changes</w:t>
            </w:r>
          </w:p>
        </w:tc>
        <w:tc>
          <w:tcPr>
            <w:tcW w:w="1151"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A200D5">
        <w:trPr>
          <w:trHeight w:val="301"/>
        </w:trPr>
        <w:tc>
          <w:tcPr>
            <w:tcW w:w="3908"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49"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49"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5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51"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A200D5">
        <w:trPr>
          <w:trHeight w:val="301"/>
        </w:trPr>
        <w:tc>
          <w:tcPr>
            <w:tcW w:w="390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Long-term borrowings</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(15,635)</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w:t>
            </w:r>
            <w:r w:rsidR="00951A1C">
              <w:rPr>
                <w:rFonts w:ascii="Verdana" w:eastAsia="Verdana" w:hAnsi="Verdana" w:cs="Verdana"/>
                <w:color w:val="000000"/>
                <w:sz w:val="16"/>
                <w:lang w:val="en-GB"/>
              </w:rPr>
              <w:t>15,</w:t>
            </w:r>
            <w:r w:rsidR="00903517">
              <w:rPr>
                <w:rFonts w:ascii="Verdana" w:eastAsia="Verdana" w:hAnsi="Verdana" w:cs="Verdana"/>
                <w:color w:val="000000"/>
                <w:sz w:val="16"/>
                <w:lang w:val="en-GB"/>
              </w:rPr>
              <w:t>084</w:t>
            </w:r>
            <w:r>
              <w:rPr>
                <w:rFonts w:ascii="Verdana" w:eastAsia="Verdana" w:hAnsi="Verdana" w:cs="Verdana"/>
                <w:color w:val="000000"/>
                <w:sz w:val="16"/>
                <w:lang w:val="en-GB"/>
              </w:rPr>
              <w:t>)</w:t>
            </w:r>
          </w:p>
        </w:tc>
      </w:tr>
      <w:tr w:rsidR="004D417B" w:rsidTr="00A200D5">
        <w:trPr>
          <w:trHeight w:val="301"/>
        </w:trPr>
        <w:tc>
          <w:tcPr>
            <w:tcW w:w="390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Short-term borrowings</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4D417B" w:rsidTr="00A200D5">
        <w:trPr>
          <w:trHeight w:val="301"/>
        </w:trPr>
        <w:tc>
          <w:tcPr>
            <w:tcW w:w="390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Lease liabilities</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4D417B" w:rsidTr="00A200D5">
        <w:trPr>
          <w:trHeight w:val="437"/>
        </w:trPr>
        <w:tc>
          <w:tcPr>
            <w:tcW w:w="390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liabilities from financing activities</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(15,635)</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w:t>
            </w:r>
            <w:r w:rsidR="00951A1C">
              <w:rPr>
                <w:rFonts w:ascii="Verdana" w:eastAsia="Verdana" w:hAnsi="Verdana" w:cs="Verdana"/>
                <w:b/>
                <w:color w:val="000000"/>
                <w:sz w:val="16"/>
                <w:lang w:val="en-GB"/>
              </w:rPr>
              <w:t>15,</w:t>
            </w:r>
            <w:r w:rsidR="00903517">
              <w:rPr>
                <w:rFonts w:ascii="Verdana" w:eastAsia="Verdana" w:hAnsi="Verdana" w:cs="Verdana"/>
                <w:b/>
                <w:color w:val="000000"/>
                <w:sz w:val="16"/>
                <w:lang w:val="en-GB"/>
              </w:rPr>
              <w:t>084</w:t>
            </w:r>
            <w:r>
              <w:rPr>
                <w:rFonts w:ascii="Verdana" w:eastAsia="Verdana" w:hAnsi="Verdana" w:cs="Verdana"/>
                <w:b/>
                <w:color w:val="000000"/>
                <w:sz w:val="16"/>
                <w:lang w:val="en-GB"/>
              </w:rPr>
              <w:t>)</w:t>
            </w:r>
          </w:p>
        </w:tc>
      </w:tr>
      <w:tr w:rsidR="004D417B" w:rsidTr="00A200D5">
        <w:trPr>
          <w:trHeight w:hRule="exact" w:val="301"/>
        </w:trPr>
        <w:tc>
          <w:tcPr>
            <w:tcW w:w="3908"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50"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51" w:type="dxa"/>
            <w:shd w:val="clear" w:color="auto" w:fill="auto"/>
            <w:tcMar>
              <w:top w:w="20" w:type="dxa"/>
              <w:left w:w="20" w:type="dxa"/>
              <w:bottom w:w="20" w:type="dxa"/>
              <w:right w:w="20" w:type="dxa"/>
            </w:tcMar>
            <w:vAlign w:val="center"/>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A200D5">
        <w:trPr>
          <w:trHeight w:val="452"/>
        </w:trPr>
        <w:tc>
          <w:tcPr>
            <w:tcW w:w="3908"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vMerge w:val="restart"/>
            <w:shd w:val="clear" w:color="auto" w:fill="auto"/>
            <w:tcMar>
              <w:top w:w="20" w:type="dxa"/>
              <w:left w:w="20" w:type="dxa"/>
              <w:bottom w:w="20" w:type="dxa"/>
              <w:right w:w="20" w:type="dxa"/>
            </w:tcMar>
            <w:vAlign w:val="bottom"/>
          </w:tcPr>
          <w:p w:rsidR="00DC5E2A" w:rsidRDefault="00DC5E2A">
            <w:pPr>
              <w:pStyle w:val="T1TableStyle"/>
              <w:jc w:val="center"/>
              <w:rPr>
                <w:rFonts w:ascii="Verdana" w:eastAsia="Verdana" w:hAnsi="Verdana" w:cs="Verdana"/>
                <w:b/>
                <w:color w:val="000000"/>
                <w:sz w:val="16"/>
                <w:lang w:val="en-GB"/>
              </w:rPr>
            </w:pPr>
          </w:p>
          <w:p w:rsidR="00DC5E2A" w:rsidRDefault="00DC5E2A">
            <w:pPr>
              <w:pStyle w:val="T1TableStyle"/>
              <w:jc w:val="center"/>
              <w:rPr>
                <w:rFonts w:ascii="Verdana" w:eastAsia="Verdana" w:hAnsi="Verdana" w:cs="Verdana"/>
                <w:b/>
                <w:color w:val="000000"/>
                <w:sz w:val="16"/>
                <w:lang w:val="en-GB"/>
              </w:rPr>
            </w:pPr>
          </w:p>
          <w:p w:rsidR="00DC5E2A" w:rsidRDefault="00DC5E2A">
            <w:pPr>
              <w:pStyle w:val="T1TableStyle"/>
              <w:jc w:val="center"/>
              <w:rPr>
                <w:rFonts w:ascii="Verdana" w:eastAsia="Verdana" w:hAnsi="Verdana" w:cs="Verdana"/>
                <w:b/>
                <w:color w:val="000000"/>
                <w:sz w:val="16"/>
                <w:lang w:val="en-GB"/>
              </w:rPr>
            </w:pPr>
          </w:p>
          <w:p w:rsidR="00DC5E2A" w:rsidRDefault="00DC5E2A">
            <w:pPr>
              <w:pStyle w:val="T1TableStyle"/>
              <w:jc w:val="center"/>
              <w:rPr>
                <w:rFonts w:ascii="Verdana" w:eastAsia="Verdana" w:hAnsi="Verdana" w:cs="Verdana"/>
                <w:b/>
                <w:color w:val="000000"/>
                <w:sz w:val="16"/>
                <w:lang w:val="en-GB"/>
              </w:rPr>
            </w:pPr>
          </w:p>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1 April 2018</w:t>
            </w:r>
          </w:p>
        </w:tc>
        <w:tc>
          <w:tcPr>
            <w:tcW w:w="1149" w:type="dxa"/>
            <w:vMerge w:val="restart"/>
            <w:shd w:val="clear" w:color="auto" w:fill="auto"/>
            <w:tcMar>
              <w:top w:w="20" w:type="dxa"/>
              <w:left w:w="20" w:type="dxa"/>
              <w:bottom w:w="20" w:type="dxa"/>
              <w:right w:w="20" w:type="dxa"/>
            </w:tcMar>
            <w:vAlign w:val="bottom"/>
          </w:tcPr>
          <w:p w:rsidR="00DC5E2A" w:rsidRDefault="00DC5E2A">
            <w:pPr>
              <w:pStyle w:val="T1TableStyle"/>
              <w:jc w:val="center"/>
              <w:rPr>
                <w:rFonts w:ascii="Verdana" w:eastAsia="Verdana" w:hAnsi="Verdana" w:cs="Verdana"/>
                <w:b/>
                <w:color w:val="000000"/>
                <w:sz w:val="16"/>
                <w:lang w:val="en-GB"/>
              </w:rPr>
            </w:pPr>
          </w:p>
          <w:p w:rsidR="00DC5E2A" w:rsidRDefault="00DC5E2A">
            <w:pPr>
              <w:pStyle w:val="T1TableStyle"/>
              <w:jc w:val="center"/>
              <w:rPr>
                <w:rFonts w:ascii="Verdana" w:eastAsia="Verdana" w:hAnsi="Verdana" w:cs="Verdana"/>
                <w:b/>
                <w:color w:val="000000"/>
                <w:sz w:val="16"/>
                <w:lang w:val="en-GB"/>
              </w:rPr>
            </w:pPr>
          </w:p>
          <w:p w:rsidR="00DC5E2A" w:rsidRDefault="00DC5E2A">
            <w:pPr>
              <w:pStyle w:val="T1TableStyle"/>
              <w:jc w:val="center"/>
              <w:rPr>
                <w:rFonts w:ascii="Verdana" w:eastAsia="Verdana" w:hAnsi="Verdana" w:cs="Verdana"/>
                <w:b/>
                <w:color w:val="000000"/>
                <w:sz w:val="16"/>
                <w:lang w:val="en-GB"/>
              </w:rPr>
            </w:pPr>
          </w:p>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Financing cash flows</w:t>
            </w:r>
          </w:p>
        </w:tc>
        <w:tc>
          <w:tcPr>
            <w:tcW w:w="2299" w:type="dxa"/>
            <w:gridSpan w:val="2"/>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Non-cash changes</w:t>
            </w:r>
          </w:p>
        </w:tc>
        <w:tc>
          <w:tcPr>
            <w:tcW w:w="1151" w:type="dxa"/>
            <w:vMerge w:val="restart"/>
            <w:shd w:val="clear" w:color="auto" w:fill="auto"/>
            <w:tcMar>
              <w:top w:w="20" w:type="dxa"/>
              <w:left w:w="20" w:type="dxa"/>
              <w:bottom w:w="20" w:type="dxa"/>
              <w:right w:w="20" w:type="dxa"/>
            </w:tcMar>
            <w:vAlign w:val="bottom"/>
          </w:tcPr>
          <w:p w:rsidR="00DC5E2A" w:rsidRDefault="00DC5E2A">
            <w:pPr>
              <w:pStyle w:val="T1TableStyle"/>
              <w:jc w:val="center"/>
              <w:rPr>
                <w:rFonts w:ascii="Verdana" w:eastAsia="Verdana" w:hAnsi="Verdana" w:cs="Verdana"/>
                <w:b/>
                <w:color w:val="000000"/>
                <w:sz w:val="16"/>
                <w:lang w:val="en-GB"/>
              </w:rPr>
            </w:pPr>
          </w:p>
          <w:p w:rsidR="00DC5E2A" w:rsidRDefault="00DC5E2A">
            <w:pPr>
              <w:pStyle w:val="T1TableStyle"/>
              <w:jc w:val="center"/>
              <w:rPr>
                <w:rFonts w:ascii="Verdana" w:eastAsia="Verdana" w:hAnsi="Verdana" w:cs="Verdana"/>
                <w:b/>
                <w:color w:val="000000"/>
                <w:sz w:val="16"/>
                <w:lang w:val="en-GB"/>
              </w:rPr>
            </w:pPr>
          </w:p>
          <w:p w:rsidR="00DC5E2A" w:rsidRDefault="00DC5E2A">
            <w:pPr>
              <w:pStyle w:val="T1TableStyle"/>
              <w:jc w:val="center"/>
              <w:rPr>
                <w:rFonts w:ascii="Verdana" w:eastAsia="Verdana" w:hAnsi="Verdana" w:cs="Verdana"/>
                <w:b/>
                <w:color w:val="000000"/>
                <w:sz w:val="16"/>
                <w:lang w:val="en-GB"/>
              </w:rPr>
            </w:pPr>
          </w:p>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31 March 2019</w:t>
            </w:r>
          </w:p>
        </w:tc>
      </w:tr>
      <w:tr w:rsidR="004D417B" w:rsidTr="00A200D5">
        <w:trPr>
          <w:trHeight w:val="664"/>
        </w:trPr>
        <w:tc>
          <w:tcPr>
            <w:tcW w:w="3908"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Acquisition</w:t>
            </w:r>
          </w:p>
        </w:tc>
        <w:tc>
          <w:tcPr>
            <w:tcW w:w="1150"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16"/>
                <w:lang w:val="en-GB"/>
              </w:rPr>
            </w:pPr>
            <w:r>
              <w:rPr>
                <w:rFonts w:ascii="Verdana" w:eastAsia="Verdana" w:hAnsi="Verdana" w:cs="Verdana"/>
                <w:b/>
                <w:color w:val="000000"/>
                <w:sz w:val="16"/>
                <w:lang w:val="en-GB"/>
              </w:rPr>
              <w:t>Other non-cash changes</w:t>
            </w:r>
          </w:p>
        </w:tc>
        <w:tc>
          <w:tcPr>
            <w:tcW w:w="1151" w:type="dxa"/>
            <w:shd w:val="clear" w:color="auto" w:fill="auto"/>
            <w:tcMar>
              <w:top w:w="20" w:type="dxa"/>
              <w:left w:w="20" w:type="dxa"/>
              <w:bottom w:w="20" w:type="dxa"/>
              <w:right w:w="20" w:type="dxa"/>
            </w:tcMar>
            <w:vAlign w:val="bottom"/>
          </w:tcPr>
          <w:p w:rsidR="00CA6653" w:rsidRDefault="00CA6653">
            <w:pPr>
              <w:pStyle w:val="T1TableStyle"/>
              <w:jc w:val="center"/>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r>
      <w:tr w:rsidR="004D417B" w:rsidTr="00A200D5">
        <w:trPr>
          <w:trHeight w:val="301"/>
        </w:trPr>
        <w:tc>
          <w:tcPr>
            <w:tcW w:w="3908"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2"/>
                <w:lang w:val="en-GB"/>
              </w:rPr>
            </w:pPr>
            <w:r>
              <w:rPr>
                <w:rFonts w:ascii="Verdana" w:eastAsia="Verdana" w:hAnsi="Verdana" w:cs="Verdana"/>
                <w:b/>
                <w:color w:val="000000"/>
                <w:sz w:val="2"/>
                <w:lang w:val="en-GB"/>
              </w:rPr>
              <w:t xml:space="preserve"> </w:t>
            </w:r>
          </w:p>
        </w:tc>
        <w:tc>
          <w:tcPr>
            <w:tcW w:w="1149"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49"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49"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50"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c>
          <w:tcPr>
            <w:tcW w:w="1151" w:type="dxa"/>
            <w:tcBorders>
              <w:bottom w:val="single" w:sz="2" w:space="0" w:color="000000"/>
            </w:tcBorders>
            <w:shd w:val="clear" w:color="auto" w:fill="auto"/>
            <w:tcMar>
              <w:top w:w="20" w:type="dxa"/>
              <w:left w:w="20" w:type="dxa"/>
              <w:bottom w:w="20" w:type="dxa"/>
              <w:right w:w="20" w:type="dxa"/>
            </w:tcMar>
            <w:vAlign w:val="bottom"/>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£000</w:t>
            </w:r>
          </w:p>
        </w:tc>
      </w:tr>
      <w:tr w:rsidR="004D417B" w:rsidTr="00A200D5">
        <w:trPr>
          <w:trHeight w:val="301"/>
        </w:trPr>
        <w:tc>
          <w:tcPr>
            <w:tcW w:w="390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Long-term borrowings</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rsidR="00CA6653" w:rsidRDefault="00951A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(15,635)</w:t>
            </w:r>
          </w:p>
        </w:tc>
      </w:tr>
      <w:tr w:rsidR="004D417B" w:rsidTr="00A200D5">
        <w:trPr>
          <w:trHeight w:val="301"/>
        </w:trPr>
        <w:tc>
          <w:tcPr>
            <w:tcW w:w="390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Short-term borrowings</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rsidR="00CA6653" w:rsidRDefault="00951A1C">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4D417B" w:rsidTr="00A200D5">
        <w:trPr>
          <w:trHeight w:val="301"/>
        </w:trPr>
        <w:tc>
          <w:tcPr>
            <w:tcW w:w="3908" w:type="dxa"/>
            <w:shd w:val="clear" w:color="auto" w:fill="auto"/>
            <w:tcMar>
              <w:top w:w="20" w:type="dxa"/>
              <w:left w:w="20" w:type="dxa"/>
              <w:bottom w:w="20" w:type="dxa"/>
              <w:right w:w="20" w:type="dxa"/>
            </w:tcMar>
          </w:tcPr>
          <w:p w:rsidR="00CA6653" w:rsidRDefault="00CA6653">
            <w:pPr>
              <w:pStyle w:val="T1TableStyle"/>
              <w:rPr>
                <w:rFonts w:ascii="Verdana" w:eastAsia="Verdana" w:hAnsi="Verdana" w:cs="Verdana"/>
                <w:color w:val="000000"/>
                <w:sz w:val="16"/>
                <w:lang w:val="en-GB"/>
              </w:rPr>
            </w:pPr>
            <w:r>
              <w:rPr>
                <w:rFonts w:ascii="Verdana" w:eastAsia="Verdana" w:hAnsi="Verdana" w:cs="Verdana"/>
                <w:color w:val="000000"/>
                <w:sz w:val="16"/>
                <w:lang w:val="en-GB"/>
              </w:rPr>
              <w:t>Lease liabilities</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49"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0"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c>
          <w:tcPr>
            <w:tcW w:w="1151" w:type="dxa"/>
            <w:shd w:val="clear" w:color="auto" w:fill="auto"/>
            <w:tcMar>
              <w:top w:w="20" w:type="dxa"/>
              <w:left w:w="20" w:type="dxa"/>
              <w:bottom w:w="20" w:type="dxa"/>
              <w:right w:w="20" w:type="dxa"/>
            </w:tcMar>
          </w:tcPr>
          <w:p w:rsidR="00CA6653" w:rsidRDefault="00CA6653">
            <w:pPr>
              <w:pStyle w:val="T1TableStyle"/>
              <w:jc w:val="right"/>
              <w:rPr>
                <w:rFonts w:ascii="Verdana" w:eastAsia="Verdana" w:hAnsi="Verdana" w:cs="Verdana"/>
                <w:color w:val="000000"/>
                <w:sz w:val="16"/>
                <w:lang w:val="en-GB"/>
              </w:rPr>
            </w:pPr>
            <w:r>
              <w:rPr>
                <w:rFonts w:ascii="Verdana" w:eastAsia="Verdana" w:hAnsi="Verdana" w:cs="Verdana"/>
                <w:color w:val="000000"/>
                <w:sz w:val="16"/>
                <w:lang w:val="en-GB"/>
              </w:rPr>
              <w:t>0</w:t>
            </w:r>
          </w:p>
        </w:tc>
      </w:tr>
      <w:tr w:rsidR="004D417B" w:rsidTr="00A200D5">
        <w:trPr>
          <w:trHeight w:val="437"/>
        </w:trPr>
        <w:tc>
          <w:tcPr>
            <w:tcW w:w="3908"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rPr>
                <w:rFonts w:ascii="Verdana" w:eastAsia="Verdana" w:hAnsi="Verdana" w:cs="Verdana"/>
                <w:b/>
                <w:color w:val="000000"/>
                <w:sz w:val="16"/>
                <w:lang w:val="en-GB"/>
              </w:rPr>
            </w:pPr>
            <w:r>
              <w:rPr>
                <w:rFonts w:ascii="Verdana" w:eastAsia="Verdana" w:hAnsi="Verdana" w:cs="Verdana"/>
                <w:b/>
                <w:color w:val="000000"/>
                <w:sz w:val="16"/>
                <w:lang w:val="en-GB"/>
              </w:rPr>
              <w:t>Total liabilities from financing activities</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49"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50"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CA6653">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0</w:t>
            </w:r>
          </w:p>
        </w:tc>
        <w:tc>
          <w:tcPr>
            <w:tcW w:w="1151" w:type="dxa"/>
            <w:tcBorders>
              <w:top w:val="single" w:sz="2" w:space="0" w:color="000000"/>
              <w:bottom w:val="single" w:sz="12" w:space="0" w:color="000000"/>
            </w:tcBorders>
            <w:shd w:val="clear" w:color="auto" w:fill="auto"/>
            <w:tcMar>
              <w:top w:w="20" w:type="dxa"/>
              <w:left w:w="20" w:type="dxa"/>
              <w:bottom w:w="20" w:type="dxa"/>
              <w:right w:w="20" w:type="dxa"/>
            </w:tcMar>
            <w:vAlign w:val="center"/>
          </w:tcPr>
          <w:p w:rsidR="00CA6653" w:rsidRDefault="00D213FD">
            <w:pPr>
              <w:pStyle w:val="T1TableStyle"/>
              <w:jc w:val="right"/>
              <w:rPr>
                <w:rFonts w:ascii="Verdana" w:eastAsia="Verdana" w:hAnsi="Verdana" w:cs="Verdana"/>
                <w:b/>
                <w:color w:val="000000"/>
                <w:sz w:val="16"/>
                <w:lang w:val="en-GB"/>
              </w:rPr>
            </w:pPr>
            <w:r>
              <w:rPr>
                <w:rFonts w:ascii="Verdana" w:eastAsia="Verdana" w:hAnsi="Verdana" w:cs="Verdana"/>
                <w:b/>
                <w:color w:val="000000"/>
                <w:sz w:val="16"/>
                <w:lang w:val="en-GB"/>
              </w:rPr>
              <w:t>(15,635)</w:t>
            </w:r>
          </w:p>
        </w:tc>
      </w:tr>
    </w:tbl>
    <w:p w:rsidR="00CA6653" w:rsidRDefault="00CA6653">
      <w:pPr>
        <w:pStyle w:val="T1TableStyle"/>
        <w:rPr>
          <w:rFonts w:ascii="Verdana" w:eastAsia="Verdana" w:hAnsi="Verdana" w:cs="Verdana"/>
          <w:sz w:val="22"/>
          <w:lang w:val="en-GB"/>
        </w:rPr>
      </w:pPr>
    </w:p>
    <w:p w:rsidR="0030507D" w:rsidRDefault="0030507D" w:rsidP="00A31A9E">
      <w:pPr>
        <w:pStyle w:val="Heading1"/>
      </w:pPr>
    </w:p>
    <w:p w:rsidR="00CA6653" w:rsidRPr="000A1B9B" w:rsidRDefault="00491740" w:rsidP="00A31A9E">
      <w:pPr>
        <w:pStyle w:val="Heading1"/>
        <w:rPr>
          <w:rFonts w:eastAsia="Times New Roman"/>
          <w:lang w:eastAsia="en-GB"/>
        </w:rPr>
      </w:pPr>
      <w:bookmarkStart w:id="51" w:name="_Toc55900441"/>
      <w:r w:rsidRPr="00A02D19">
        <w:t xml:space="preserve">Note </w:t>
      </w:r>
      <w:r w:rsidR="004A190F">
        <w:t>39</w:t>
      </w:r>
      <w:r w:rsidRPr="00A02D19">
        <w:t xml:space="preserve"> </w:t>
      </w:r>
      <w:r w:rsidRPr="006375D5">
        <w:t>-</w:t>
      </w:r>
      <w:r w:rsidRPr="00A02D19">
        <w:t xml:space="preserve"> </w:t>
      </w:r>
      <w:r w:rsidR="00CA6653" w:rsidRPr="000A1B9B">
        <w:rPr>
          <w:rFonts w:eastAsia="Times New Roman"/>
          <w:lang w:eastAsia="en-GB"/>
        </w:rPr>
        <w:t>Accounting Policies</w:t>
      </w:r>
      <w:bookmarkEnd w:id="51"/>
      <w:r w:rsidR="00CA6653" w:rsidRPr="000A1B9B">
        <w:rPr>
          <w:rFonts w:eastAsia="Times New Roman"/>
          <w:lang w:eastAsia="en-GB"/>
        </w:rPr>
        <w:t xml:space="preserve"> </w:t>
      </w:r>
    </w:p>
    <w:p w:rsidR="00CA6653"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General Principles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cs="Arial"/>
          <w:sz w:val="22"/>
          <w:szCs w:val="22"/>
          <w:lang w:val="en-GB"/>
        </w:rPr>
        <w:t xml:space="preserve">The financial statements have been prepared in accordance with the Code of Practice on Local Authority Accounting in the United Kingdom, issued by the Chartered Institute of Public Finance and Accountancy (CIPFA) and reviewed by the Financial Reporting Advisory Board (FRAB).  The Code is based on approved accounting standards issued by the International Accounting Standards Board (IASB) and interpretations of the International Financial Reporting Interpretations Committee, except where these are inconsistent with specific statutory requirements.  The Code also draws on approved accounting standards issued by the International Public Sector Accounting Standards Board (IPSAS) and the UK Accounting Standards Board (ASB) where these provide additional guidance.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cs="Arial"/>
          <w:sz w:val="22"/>
          <w:szCs w:val="22"/>
          <w:lang w:val="en-GB"/>
        </w:rPr>
        <w:t>Following the passing of the Police Reform and Social Responsibility Act 2011 the Police and Crime Commissioner for Surrey (PCC) and the Chief Constable of Surrey Police (CC) were set up as two ‘corporation sole’ bodies.  Both bodies are required to prepare separate Statement of Accounts.</w:t>
      </w:r>
    </w:p>
    <w:p w:rsidR="00CA6653" w:rsidRPr="000E2C81" w:rsidRDefault="00CA6653" w:rsidP="00CA6653">
      <w:pPr>
        <w:pStyle w:val="Normal00"/>
        <w:jc w:val="both"/>
        <w:rPr>
          <w:rFonts w:ascii="Verdana" w:hAnsi="Verdana"/>
          <w:sz w:val="22"/>
          <w:szCs w:val="22"/>
          <w:lang w:val="en-GB"/>
        </w:rPr>
      </w:pPr>
    </w:p>
    <w:p w:rsidR="00CA6653" w:rsidRDefault="00CA6653" w:rsidP="00CA6653">
      <w:pPr>
        <w:pStyle w:val="Normal00"/>
        <w:jc w:val="both"/>
        <w:rPr>
          <w:rFonts w:ascii="Verdana" w:hAnsi="Verdana"/>
          <w:sz w:val="22"/>
          <w:szCs w:val="22"/>
          <w:lang w:val="en-GB"/>
        </w:rPr>
      </w:pPr>
      <w:r w:rsidRPr="000E2C81">
        <w:rPr>
          <w:rFonts w:ascii="Verdana" w:hAnsi="Verdana"/>
          <w:sz w:val="22"/>
          <w:szCs w:val="22"/>
          <w:lang w:val="en-GB"/>
        </w:rPr>
        <w:t>The Financial Statements included here represent the accounts for the PCC and also those for the PCC Group.  The term ‘Group’ is used to indicate individual transactions and policies of PCC and CC for the year ended 31 March.  Under the Police Reform and Social Responsibility Act 2011 the powers and responsibilities attributed to the PCC as the holding organisation identifies the requirement to produce group accounts.</w:t>
      </w:r>
    </w:p>
    <w:p w:rsidR="00CA6653"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Fundamental Accounting Policies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The Statement of Accounts has been prepared in accordance with the following accounting concepts and principles: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b/>
          <w:sz w:val="22"/>
        </w:rPr>
        <w:t>Accruals</w:t>
      </w:r>
      <w:r w:rsidRPr="000E2C81">
        <w:rPr>
          <w:sz w:val="22"/>
        </w:rPr>
        <w:t xml:space="preserve"> – the accrual basis of accounting establishes that the non-cash effects of transactions are reflected in the accounting period in which those effects occur, even if the resulting cash receipts and payments occur in a different period.</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b/>
          <w:sz w:val="22"/>
        </w:rPr>
        <w:t>Going Concern</w:t>
      </w:r>
      <w:r w:rsidRPr="000E2C81">
        <w:rPr>
          <w:sz w:val="22"/>
        </w:rPr>
        <w:t xml:space="preserve"> – the Accounts have been prepared on the assumption that the functions of the Group will continue in operational existence for the foreseeable future.  This means in particular that the Comprehensive Income and Expenditure Statement and Balance Sheet assume no intention to curtail significantly the scale of operation.</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b/>
          <w:sz w:val="22"/>
        </w:rPr>
        <w:t>Understandable</w:t>
      </w:r>
      <w:r w:rsidRPr="000E2C81">
        <w:rPr>
          <w:sz w:val="22"/>
        </w:rPr>
        <w:t xml:space="preserve"> – to ensure that the Statements of Accounts produced can be understood by readers who have a reasonable knowledge of business and economic activities.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b/>
          <w:sz w:val="22"/>
        </w:rPr>
        <w:t>Relevance</w:t>
      </w:r>
      <w:r w:rsidRPr="000E2C81">
        <w:rPr>
          <w:sz w:val="22"/>
        </w:rPr>
        <w:t xml:space="preserve"> – to ensure that the information provided about the Group’s financial position, performance and cash flow is useful for assessing stewardship of public funds and for making economic decisions.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b/>
          <w:sz w:val="22"/>
        </w:rPr>
        <w:t>Materiality</w:t>
      </w:r>
      <w:r w:rsidRPr="000E2C81">
        <w:rPr>
          <w:sz w:val="22"/>
        </w:rPr>
        <w:t xml:space="preserve"> – provides a threshold or cut-off point to ensure that the information included in the Financial Statements is of such significance as to justify its inclusion.  Omissions or misstatements of items are material if they could, individually or collectively, influence users decisions or assessment of the Financial Statements.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b/>
          <w:sz w:val="22"/>
        </w:rPr>
        <w:t>Reliability</w:t>
      </w:r>
      <w:r w:rsidRPr="000E2C81">
        <w:rPr>
          <w:sz w:val="22"/>
        </w:rPr>
        <w:t xml:space="preserve"> – to ensure that the financial information provided accurately reflects the substance of the transactions and other events that have taken place.</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b/>
          <w:sz w:val="22"/>
        </w:rPr>
        <w:t>Comparability</w:t>
      </w:r>
      <w:r w:rsidRPr="000E2C81">
        <w:rPr>
          <w:sz w:val="22"/>
        </w:rPr>
        <w:t xml:space="preserve"> – the information contained in the Financial Statements has been prepared so that it can be readily compared with similar information about the same entity for different accounting periods and with similar information about other entities.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b/>
          <w:sz w:val="22"/>
        </w:rPr>
        <w:t>Primacy of Legislative Requirements</w:t>
      </w:r>
      <w:r w:rsidRPr="000E2C81">
        <w:rPr>
          <w:sz w:val="22"/>
        </w:rPr>
        <w:t xml:space="preserve"> – the PCC derives powers from statute and the financial and accounting framework is closely controlled by primary and secondary legislation.  Where specific legislative requirements and accounting principles conflict, the legislative requirement is applied.  However, the Code deals with such conflicts by showing the position required by the Code’s accounting requirements in the Comprehensive Income and Expenditure Statement, and the effect of the legislative requirements in the Movement in Reserves Statement.</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The following sections set out the Group’s principal accounting policies that have been reviewed and adopted in 2018/19.</w:t>
      </w:r>
    </w:p>
    <w:p w:rsidR="00CA6653"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Income &amp; Expenditure Recognition</w:t>
      </w:r>
    </w:p>
    <w:p w:rsidR="00CA6653" w:rsidRPr="00092766" w:rsidRDefault="00CA6653" w:rsidP="00CA6653">
      <w:pPr>
        <w:pStyle w:val="Normal000"/>
        <w:rPr>
          <w:rFonts w:eastAsia="Times New Roman" w:cs="Arial"/>
          <w:szCs w:val="22"/>
          <w:lang w:val="en-GB" w:eastAsia="en-GB"/>
        </w:rPr>
      </w:pPr>
    </w:p>
    <w:p w:rsidR="00CA6653" w:rsidRPr="00092766" w:rsidRDefault="00CA6653" w:rsidP="00CA6653">
      <w:pPr>
        <w:pStyle w:val="Normal00"/>
        <w:jc w:val="both"/>
        <w:rPr>
          <w:rFonts w:ascii="Verdana" w:hAnsi="Verdana" w:cs="Arial"/>
          <w:sz w:val="22"/>
          <w:szCs w:val="22"/>
          <w:lang w:val="en-GB"/>
        </w:rPr>
      </w:pPr>
      <w:r w:rsidRPr="00092766">
        <w:rPr>
          <w:rStyle w:val="Strong"/>
          <w:rFonts w:ascii="Verdana" w:hAnsi="Verdana"/>
          <w:b w:val="0"/>
          <w:sz w:val="22"/>
          <w:szCs w:val="22"/>
          <w:lang w:val="en-GB"/>
        </w:rPr>
        <w:t>Revenue (Income) is measured at the fair value of the consideration received or receivable and represents the amounts receivable for goods or services provided</w:t>
      </w:r>
      <w:r w:rsidRPr="00092766">
        <w:rPr>
          <w:rFonts w:ascii="Verdana" w:hAnsi="Verdana" w:cs="Arial"/>
          <w:sz w:val="22"/>
          <w:szCs w:val="22"/>
          <w:lang w:val="en-GB"/>
        </w:rPr>
        <w:t xml:space="preserve"> in the normal course of business less discounts and VAT.  </w:t>
      </w:r>
    </w:p>
    <w:p w:rsidR="00CA6653" w:rsidRPr="00092766"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Revenue is recognised when goods are delivered and title has passed.  The provision of services contains many accounting aspects and revenue is only recognised when all related work has been completed or when the percentage of completion of the transaction can be reliably measured and it is probable that economic benefits or service potential associated with the transaction will flow to the PCC and group.  Whilst all income is received by the PCC and all expenditure is paid for by the PCC including wages of police staff and officers, the actual recognition in the respective Police and Crime Commissioner and Chief Constable Accounts is based on economic benefit.</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Supplies are recorded as expenditure when they are consumed – where there is a gap between the date on which supplies are received and when they are consumed, they are carried as inventories or stocks on the Balance Sheet.</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Income and Expenditure are credited and debited to the relevant revenue account, unless they properly represent capital receipts or capital expenditure.  Works of a capital nature are charged as capital expenditure when they are completed, before which they are carried as Assets Under Construction on the Balance Sheet.</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Activity is accounted for in the year that it takes place, not simply when cash payments are made or received, thus the accounts reflect the normal accruals concept for both capital and revenue.  Exceptions to this can be made for utilities (gas, electricity, telephones, etc.), where invoices may be accounted for in the year they fall, providing that only four quarterly or twelve monthly invoices are charged in any one year.</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sz w:val="22"/>
          <w:szCs w:val="22"/>
          <w:lang w:val="en-GB"/>
        </w:rPr>
        <w:t>Where revenue or expenditure have been recognised by cash has not been received or paid, a debtor or creditor for the relevant amount is recorded in the Balance Sheet.  Creditors are included within the Balance Sheet for goods and services received and risks and rewards of ownership transferred, but not paid for at the year end.  Debtors are included within the Balance Sheet where services have been provided but not yet reimbursed at the year end.</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Cash &amp; Cash Equivalents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Cash equivalents are short term, highly liquid investments that are readily convertible to known amounts of cash and which are subject to an insignificant risk of changes in value.  All investments due in 1 day or less are therefore treated as "cash and cash equivalents”, and are not therefore included within Investments.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Pr>
          <w:rFonts w:ascii="Verdana" w:hAnsi="Verdana"/>
          <w:sz w:val="22"/>
          <w:szCs w:val="22"/>
          <w:lang w:val="en-GB"/>
        </w:rPr>
        <w:t>Cash is represented by cash in hand and deposits with financial institutions repayable without penalty on notice of not more than 24 hours. Cash equivalents are investments that mature in one day or less from the date of acquisition and that are readily convertible to known amounts of cash with insignificant risk of change in value.  Investments held by Surrey County Council on behalf of the Group are classified as cash equivalents as they are low risk, short term and readily available.</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In the Cash Flow Statement, cash and cash equivalents are shown net of bank overdrafts that are repayable on demand.</w:t>
      </w:r>
    </w:p>
    <w:p w:rsidR="00CA6653" w:rsidRPr="000E2C81" w:rsidRDefault="00CA6653" w:rsidP="00CA6653">
      <w:pPr>
        <w:pStyle w:val="Normal00"/>
        <w:jc w:val="both"/>
        <w:rPr>
          <w:rFonts w:ascii="Verdana" w:hAnsi="Verdana"/>
          <w:sz w:val="22"/>
          <w:szCs w:val="22"/>
          <w:lang w:val="en-GB"/>
        </w:rPr>
      </w:pPr>
    </w:p>
    <w:p w:rsidR="009A7F64" w:rsidRDefault="009A7F64"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Prior Period Adjustments, Changes in Accounting Policies, Estimates and Errors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Prior period adjustments may arise as a result of a change in accounting policies or to correct a material error. Changes in accounting estimates are accounted for prospectively, i.e. in the current and future years affected by the change and do not give rise to a prior period adjustment.</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Changes in accounting policies are only made when required by proper accounting practices or the change provides more reliable or relevant information about the effect of transactions, other events and conditions on the Police and Crime Commissioner's financial position or financial performance. Where a change is made, it is applied retrospectively (unless stated otherwise) by adjusting opening balances and comparative amounts for the prior period as if the new policy had always been applied.</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Material errors discovered in prior period figures are corrected retrospectively by amending opening balances and comparative amounts for the prior period.</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Events after the Balance Sheet</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Events after the Balance Sheet date are those events, both favourable and unfavourable, that occur between the end of the reporting period and the date when the Statement of Accounts is authorised for issue. Two types of events can be identified:</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sz w:val="22"/>
        </w:rPr>
        <w:t>those that provide evidence of conditions that existed at the end of the reporting period the Statement of Accounts is adjusted to reflect such events</w:t>
      </w:r>
    </w:p>
    <w:p w:rsidR="00CA6653" w:rsidRPr="000E2C81" w:rsidRDefault="00CA6653" w:rsidP="00CA6653">
      <w:pPr>
        <w:pStyle w:val="ListParagraph"/>
        <w:numPr>
          <w:ilvl w:val="0"/>
          <w:numId w:val="0"/>
        </w:numPr>
        <w:ind w:left="357"/>
        <w:jc w:val="both"/>
        <w:rPr>
          <w:sz w:val="22"/>
        </w:rPr>
      </w:pPr>
    </w:p>
    <w:p w:rsidR="00CA6653" w:rsidRPr="000E2C81" w:rsidRDefault="00CA6653" w:rsidP="00CA6653">
      <w:pPr>
        <w:pStyle w:val="ListParagraph"/>
        <w:numPr>
          <w:ilvl w:val="0"/>
          <w:numId w:val="2"/>
        </w:numPr>
        <w:ind w:left="357" w:hanging="357"/>
        <w:jc w:val="both"/>
        <w:rPr>
          <w:sz w:val="22"/>
        </w:rPr>
      </w:pPr>
      <w:r w:rsidRPr="000E2C81">
        <w:rPr>
          <w:sz w:val="22"/>
        </w:rPr>
        <w:t>those that are indicative of conditions that arose after the reporting period – the Statement of Accounts is not adjusted to reflect such events, but where a category of events would have a material effect, disclosure is made in the notes of the nature of the events and their estimated financial effect</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Events taking place after the date of authorisation for issue are not reflected in the Statement of Accounts.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 xml:space="preserve">Government Grants and Contributions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Government grants and third party contributions are recognised as income at the date the Group satisfies the conditions of entitlement to the grant or contribution, where there is reasonable assurance that the monies will be received and the expenditure for which the grant is given has been incurred.</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Net expenditure is expressed before deducting government grants in support of the overall expenditure of the Group, e.g. specific police grants, revenue support grants and national non domestic rates. Other smaller revenue grants are shown as income in arriving at net expenditure, and can be matched against specific items of expenditure.</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Amounts recognised as due to the PCC are not credited to the Comprehensive Income and Expenditure Statement until conditions attached to the grant or contribution has been satisfied. Conditions are stipulations that specify that the future economic benefits or service potential embodied in the asset acquired using the grant or contribution, are required to be consumed by the recipient as specified, or future economic benefits or service potential must be returned to the transferor.</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Pr>
          <w:rFonts w:ascii="Verdana" w:hAnsi="Verdana"/>
          <w:sz w:val="22"/>
          <w:szCs w:val="22"/>
          <w:lang w:val="en-GB"/>
        </w:rPr>
        <w:t>Monies advanced as grants and contributions for which conditions have not been satisfied are carried in the Balance Sheet as creditors. When conditions are satisfied, the grant or contribution is credited to the relevant service line (attributable revenue grants and contributions) or Taxation and Non-Specific Grant Income (non-ring-fenced revenue grants and all capital grants) in the Comprehensive Income and Expenditure Statement.</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 xml:space="preserve">Funding of Capital Expenditure to purchase Non-Current Assets </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Capital expenditure is funded by government grants, capital receipts, revenue contributions, third party contributions and borrowing.</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Capital contributions and grants are accounted for in the Comprehensive Income and Expenditure Statement on an accruals basis (unless the grant or contribution has an unsatisfied condition); they are then transferred to the Balance Sheet as follows:</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sz w:val="22"/>
        </w:rPr>
        <w:t xml:space="preserve">When a capital grant or contribution has been recognised in the Comprehensive Income and Expenditure Statement, and the expenditure to be financed from that grant or contribution has been incurred, the grant or contribution is transferred from the General Fund to the Capital Adjustment Account, reflecting the application of capital reserves to finance expenditure. </w:t>
      </w:r>
    </w:p>
    <w:p w:rsidR="00CA6653" w:rsidRPr="000E2C81" w:rsidRDefault="00CA6653" w:rsidP="00CA6653">
      <w:pPr>
        <w:pStyle w:val="ListParagraph"/>
        <w:numPr>
          <w:ilvl w:val="0"/>
          <w:numId w:val="0"/>
        </w:numPr>
        <w:ind w:left="357"/>
        <w:jc w:val="both"/>
        <w:rPr>
          <w:sz w:val="22"/>
        </w:rPr>
      </w:pPr>
    </w:p>
    <w:p w:rsidR="00CA6653" w:rsidRPr="000E2C81" w:rsidRDefault="00CA6653" w:rsidP="00CA6653">
      <w:pPr>
        <w:pStyle w:val="ListParagraph"/>
        <w:numPr>
          <w:ilvl w:val="0"/>
          <w:numId w:val="2"/>
        </w:numPr>
        <w:ind w:left="357" w:hanging="357"/>
        <w:jc w:val="both"/>
        <w:rPr>
          <w:sz w:val="22"/>
        </w:rPr>
      </w:pPr>
      <w:r w:rsidRPr="000E2C81">
        <w:rPr>
          <w:sz w:val="22"/>
        </w:rPr>
        <w:t>When a capital grant or contribution has been recognised in the Comprehensive Income and Expenditure Statement, but the expenditure to be financed from that grant or contribution has not been incurred, the grant or contribution is transferred to the Capital Grants Unapplied Account, reflecting its status as a capital resource available to finance expenditure.  Amounts in the Capital Grants Unapplied reserve are transferred to the Capital Adjustment Account once they have been applied to fund capital expenditure.</w:t>
      </w:r>
    </w:p>
    <w:p w:rsidR="00CA6653" w:rsidRPr="000E2C81" w:rsidRDefault="00CA6653" w:rsidP="00CA6653">
      <w:pPr>
        <w:pStyle w:val="ListParagraph"/>
        <w:numPr>
          <w:ilvl w:val="0"/>
          <w:numId w:val="0"/>
        </w:numPr>
        <w:ind w:left="357"/>
        <w:jc w:val="both"/>
        <w:rPr>
          <w:sz w:val="22"/>
        </w:rPr>
      </w:pPr>
    </w:p>
    <w:p w:rsidR="00CA6653" w:rsidRPr="000E2C81" w:rsidRDefault="00CA6653" w:rsidP="00CA6653">
      <w:pPr>
        <w:pStyle w:val="ListParagraph"/>
        <w:numPr>
          <w:ilvl w:val="0"/>
          <w:numId w:val="2"/>
        </w:numPr>
        <w:ind w:left="357" w:hanging="357"/>
        <w:jc w:val="both"/>
        <w:rPr>
          <w:sz w:val="22"/>
        </w:rPr>
      </w:pPr>
      <w:r w:rsidRPr="000E2C81">
        <w:rPr>
          <w:sz w:val="22"/>
        </w:rPr>
        <w:t>When a capital grant or contribution has been received with conditions that the Group has not met, the grant or contribution is recognised in the Balance Sheet as Capital Grants Receipts in Advance. Once the condition has been met, the grant or contribution is transferred from the Capital Grants Receipts in Advance Account and recognised as income in the Comprehensive Income and Expenditure Statement and accounted for as above depending on whether expenditure has been incurred.</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Where capital grants are credited to the Comprehensive Income and Expenditure Statement, they are reversed out of the General Fund Balance in the Movement in Reserves Statement.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At the year end the Police and Crime Commissioner reviews all material grants and considers whether any existing conditions are outstanding, and the appropriate accounting policy treatment is then applied accordingly.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 xml:space="preserve">Non-Current Assets – Property, Plant and Equipment </w:t>
      </w:r>
    </w:p>
    <w:p w:rsidR="00CA6653" w:rsidRPr="000E2C81" w:rsidRDefault="00CA6653" w:rsidP="00CA6653">
      <w:pPr>
        <w:pStyle w:val="Normal00"/>
        <w:jc w:val="both"/>
        <w:rPr>
          <w:rFonts w:ascii="Verdana" w:hAnsi="Verdana"/>
          <w:b/>
          <w:bCs/>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Assets that have physical substance, are used to supply services and that are expected to be used during more than one financial year are classified as Property, Plant and Equipment.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 xml:space="preserve">Recognition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The cost of acquisition, creation or enhancement of Property, Plant and Equipment is capitalised, provided that it is probable that the future economic benefits or service potential associated with the item will flow to the Police and Crime Commissioner for a period of more than one year, and the cost of the item can be measured reliably. Expenditure that maintains but does not add to an asset's potential to deliver future economic benefits or service potential (i.e. repairs and maintenance) is charged as an expense when it is incurred.</w:t>
      </w:r>
    </w:p>
    <w:p w:rsidR="00CA6653" w:rsidRPr="000E2C81" w:rsidRDefault="00CA6653" w:rsidP="00CA6653">
      <w:pPr>
        <w:pStyle w:val="Normal00"/>
        <w:jc w:val="both"/>
        <w:rPr>
          <w:rFonts w:ascii="Verdana" w:hAnsi="Verdana"/>
          <w:sz w:val="22"/>
          <w:szCs w:val="22"/>
          <w:lang w:val="en-GB"/>
        </w:rPr>
      </w:pPr>
    </w:p>
    <w:p w:rsidR="00CA6653" w:rsidRPr="00A200D5" w:rsidRDefault="00CA6653" w:rsidP="00A200D5">
      <w:pPr>
        <w:pStyle w:val="Normal00"/>
        <w:jc w:val="both"/>
        <w:rPr>
          <w:rFonts w:ascii="Verdana" w:hAnsi="Verdana"/>
          <w:sz w:val="22"/>
          <w:szCs w:val="22"/>
          <w:lang w:val="en-GB"/>
        </w:rPr>
      </w:pPr>
      <w:r w:rsidRPr="00A200D5">
        <w:rPr>
          <w:rFonts w:ascii="Verdana" w:hAnsi="Verdana"/>
          <w:sz w:val="22"/>
          <w:szCs w:val="22"/>
          <w:lang w:val="en-GB"/>
        </w:rPr>
        <w:t xml:space="preserve">When a component is replaced, restored or enhanced, the carrying amount of the old component is de-recognised, and the new component reflected in the carrying amount. </w:t>
      </w:r>
    </w:p>
    <w:p w:rsidR="00CA6653" w:rsidRPr="00A200D5" w:rsidRDefault="00CA6653" w:rsidP="00CA6653">
      <w:pPr>
        <w:pStyle w:val="Normal00"/>
        <w:jc w:val="both"/>
        <w:rPr>
          <w:rFonts w:ascii="Verdana" w:hAnsi="Verdana"/>
          <w:sz w:val="22"/>
          <w:szCs w:val="22"/>
          <w:lang w:val="en-GB"/>
        </w:rPr>
      </w:pPr>
      <w:r w:rsidRPr="00A200D5">
        <w:rPr>
          <w:rFonts w:ascii="Verdana" w:hAnsi="Verdana"/>
          <w:sz w:val="22"/>
          <w:szCs w:val="22"/>
          <w:lang w:val="en-GB"/>
        </w:rPr>
        <w:t>The general de minimis capitalisation limit is £10,000 for all relevant expenditure. There is no de minimis limit for the purchase of land and buildings, or fleet vehicles.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Measurement</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Items of Property, Plant and Equipment are initially measured at cost, comprising all expenditure that is directly attributable to bringing the assets into working condition for their intended use.</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The Police and Crime Commissioner does not capitalise its borrowing costs.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The Code stipulates that assets and liabilities should be measured and disclosures provided in accordance with IFRS 13 </w:t>
      </w:r>
      <w:r w:rsidRPr="000E2C81">
        <w:rPr>
          <w:rFonts w:ascii="Verdana" w:hAnsi="Verdana"/>
          <w:i/>
          <w:sz w:val="22"/>
          <w:szCs w:val="22"/>
          <w:lang w:val="en-GB"/>
        </w:rPr>
        <w:t>Fair Value Measurement</w:t>
      </w:r>
      <w:r w:rsidRPr="000E2C81">
        <w:rPr>
          <w:rFonts w:ascii="Verdana" w:hAnsi="Verdana"/>
          <w:sz w:val="22"/>
          <w:szCs w:val="22"/>
          <w:lang w:val="en-GB"/>
        </w:rPr>
        <w:t xml:space="preserve">.  There are no adaptions to IFRS 13 for the public sector context.  However, section 4 of the Code adapts IAS 16 to require that items of property, plant and equipment that are operational and therefore providing service potential for the authority are measured for their service potential at existing use value or depreciated replacement cost, and not fair value.  Surplus assets of property, plant and equipment are measured at fair value.        </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Property, plant and equipment assets are therefore measured at current value as follows:</w:t>
      </w:r>
    </w:p>
    <w:p w:rsidR="00CA6653" w:rsidRPr="000E2C81" w:rsidRDefault="00CA6653" w:rsidP="00CA6653">
      <w:pPr>
        <w:pStyle w:val="ListParagraph"/>
        <w:numPr>
          <w:ilvl w:val="0"/>
          <w:numId w:val="2"/>
        </w:numPr>
        <w:ind w:left="357" w:hanging="357"/>
        <w:jc w:val="both"/>
        <w:rPr>
          <w:sz w:val="22"/>
        </w:rPr>
      </w:pPr>
      <w:r w:rsidRPr="000E2C81">
        <w:rPr>
          <w:sz w:val="22"/>
        </w:rPr>
        <w:t>Assets under construction - depreciated historical cost</w:t>
      </w:r>
    </w:p>
    <w:p w:rsidR="00CA6653" w:rsidRPr="000E2C81" w:rsidRDefault="00CA6653" w:rsidP="00CA6653">
      <w:pPr>
        <w:pStyle w:val="ListParagraph"/>
        <w:numPr>
          <w:ilvl w:val="0"/>
          <w:numId w:val="2"/>
        </w:numPr>
        <w:ind w:left="357" w:hanging="357"/>
        <w:jc w:val="both"/>
        <w:rPr>
          <w:sz w:val="22"/>
        </w:rPr>
      </w:pPr>
      <w:r w:rsidRPr="000E2C81">
        <w:rPr>
          <w:sz w:val="22"/>
        </w:rPr>
        <w:t>Land and Buildings - current value, determined using the following bases:</w:t>
      </w:r>
    </w:p>
    <w:p w:rsidR="00CA6653" w:rsidRPr="000E2C81" w:rsidRDefault="00CA6653" w:rsidP="00CA6653">
      <w:pPr>
        <w:pStyle w:val="ListParagraph"/>
        <w:numPr>
          <w:ilvl w:val="1"/>
          <w:numId w:val="2"/>
        </w:numPr>
        <w:jc w:val="both"/>
        <w:rPr>
          <w:sz w:val="22"/>
        </w:rPr>
      </w:pPr>
      <w:r w:rsidRPr="000E2C81">
        <w:rPr>
          <w:sz w:val="22"/>
        </w:rPr>
        <w:t>Operational properties – Existing Use Value (EUV) in accordance with RICS valuation standards</w:t>
      </w:r>
    </w:p>
    <w:p w:rsidR="00CA6653" w:rsidRPr="000E2C81" w:rsidRDefault="00CA6653" w:rsidP="00CA6653">
      <w:pPr>
        <w:pStyle w:val="ListParagraph"/>
        <w:numPr>
          <w:ilvl w:val="1"/>
          <w:numId w:val="2"/>
        </w:numPr>
        <w:jc w:val="both"/>
        <w:rPr>
          <w:sz w:val="22"/>
        </w:rPr>
      </w:pPr>
      <w:r w:rsidRPr="000E2C81">
        <w:rPr>
          <w:sz w:val="22"/>
        </w:rPr>
        <w:t>Operational specialised properties such as police custody centres – Depreciated Replacement Cost (DRC)</w:t>
      </w:r>
    </w:p>
    <w:p w:rsidR="00CA6653" w:rsidRPr="000E2C81" w:rsidRDefault="00CA6653" w:rsidP="00CA6653">
      <w:pPr>
        <w:pStyle w:val="ListParagraph"/>
        <w:numPr>
          <w:ilvl w:val="1"/>
          <w:numId w:val="2"/>
        </w:numPr>
        <w:jc w:val="both"/>
        <w:rPr>
          <w:sz w:val="22"/>
        </w:rPr>
      </w:pPr>
      <w:r w:rsidRPr="000E2C81">
        <w:rPr>
          <w:sz w:val="22"/>
        </w:rPr>
        <w:t>Non-operational properties such as police houses – Fair Value (based on Market Value)</w:t>
      </w:r>
    </w:p>
    <w:p w:rsidR="00CA6653" w:rsidRPr="000E2C81" w:rsidRDefault="00CA6653" w:rsidP="00CA6653">
      <w:pPr>
        <w:pStyle w:val="ListParagraph"/>
        <w:numPr>
          <w:ilvl w:val="1"/>
          <w:numId w:val="2"/>
        </w:numPr>
        <w:jc w:val="both"/>
        <w:rPr>
          <w:sz w:val="22"/>
        </w:rPr>
      </w:pPr>
      <w:r w:rsidRPr="000E2C81">
        <w:rPr>
          <w:sz w:val="22"/>
        </w:rPr>
        <w:t>All other assets – (EUV)</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 xml:space="preserve">Depreciated Replacement Cost (DRC) is used for assets where there is no market-based evidence of current value and/or the asset is specialised. </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Non-property assets that have short useful lives or low values (or both) are valued using the depreciated historical cost basis (</w:t>
      </w:r>
      <w:smartTag w:uri="urn:schemas-microsoft-com:office:smarttags" w:element="stockticker">
        <w:r w:rsidRPr="000E2C81">
          <w:rPr>
            <w:rFonts w:ascii="Verdana" w:hAnsi="Verdana"/>
            <w:sz w:val="22"/>
            <w:szCs w:val="22"/>
            <w:lang w:val="en-GB"/>
          </w:rPr>
          <w:t>DHC</w:t>
        </w:r>
      </w:smartTag>
      <w:r w:rsidRPr="000E2C81">
        <w:rPr>
          <w:rFonts w:ascii="Verdana" w:hAnsi="Verdana"/>
          <w:sz w:val="22"/>
          <w:szCs w:val="22"/>
          <w:lang w:val="en-GB"/>
        </w:rPr>
        <w:t>) as a proxy for current value.  This is on the assumption that the useful life is a realistic reflection of the life of the asset and the depreciation method used is a realistic reflection of the consumption of that asset class.</w:t>
      </w:r>
    </w:p>
    <w:p w:rsidR="00CA6653" w:rsidRPr="000E2C81" w:rsidRDefault="00CA6653" w:rsidP="00CA6653">
      <w:pPr>
        <w:pStyle w:val="Normal00"/>
        <w:jc w:val="both"/>
        <w:rPr>
          <w:rFonts w:ascii="Verdana" w:hAnsi="Verdana"/>
          <w:sz w:val="22"/>
          <w:szCs w:val="22"/>
          <w:lang w:val="en-GB"/>
        </w:rPr>
      </w:pPr>
    </w:p>
    <w:p w:rsidR="00CA6653"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Assets included in the Balance Sheet at fair value are re-valued sufficiently regularly to ensure that their carrying amount is not materially different from their fair value at the year-end, but as a minimum every five years.  </w:t>
      </w:r>
    </w:p>
    <w:p w:rsidR="00CA6653"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Increases in valuations are recognised in the Revaluation Reserve to recognise unrealised gains unless the increase is reversing a previous impairment loss in which case it would be charged to the Comprehensive Income and Expenditure Statement.  Decreases in valuations are recognised in the Revaluation Reserve to the extent of previous revaluation increases recognised in the Revaluation Reserve in respect of that asset, and decreases in excess of that amount are recognised in the Comprehensive Income and Expenditure Statement.</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Component Assets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The Police and Crime Commissioner recognises and records component assets separately from the main asset with which they are associated where the component life differs significantly. The Police and Crime Commissioner has agreed an accounting policy stating that for accounting purposes, the value of the component must be above a minimum material level of £200,000 and the value of the component constitutes more than 20% of the main asset category value.  Where a component asset is identified it is written down on a straight line basis over its useful economic life in line with the depreciation policy for that class of asset.</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Impairment</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Assets are assessed at each year-end as to whether there is any indication that an asset may be impaired.  Examples of events and changes in circumstances that indicate impairment may have incurred include:</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ListParagraph"/>
        <w:numPr>
          <w:ilvl w:val="0"/>
          <w:numId w:val="2"/>
        </w:numPr>
        <w:ind w:left="357" w:hanging="357"/>
        <w:jc w:val="both"/>
        <w:rPr>
          <w:sz w:val="22"/>
        </w:rPr>
      </w:pPr>
      <w:r w:rsidRPr="000E2C81">
        <w:rPr>
          <w:sz w:val="22"/>
        </w:rPr>
        <w:t>Significant decline in a specific asset’s carrying amount during the period;</w:t>
      </w:r>
    </w:p>
    <w:p w:rsidR="00CA6653" w:rsidRPr="000E2C81" w:rsidRDefault="00CA6653" w:rsidP="00CA6653">
      <w:pPr>
        <w:pStyle w:val="ListParagraph"/>
        <w:numPr>
          <w:ilvl w:val="0"/>
          <w:numId w:val="2"/>
        </w:numPr>
        <w:ind w:left="357" w:hanging="357"/>
        <w:jc w:val="both"/>
        <w:rPr>
          <w:sz w:val="22"/>
        </w:rPr>
      </w:pPr>
      <w:r w:rsidRPr="000E2C81">
        <w:rPr>
          <w:sz w:val="22"/>
        </w:rPr>
        <w:t>Evidence of obsolescence or physical damage of an asset;</w:t>
      </w:r>
    </w:p>
    <w:p w:rsidR="00CA6653" w:rsidRPr="000E2C81" w:rsidRDefault="00CA6653" w:rsidP="00CA6653">
      <w:pPr>
        <w:pStyle w:val="ListParagraph"/>
        <w:numPr>
          <w:ilvl w:val="0"/>
          <w:numId w:val="2"/>
        </w:numPr>
        <w:ind w:left="357" w:hanging="357"/>
        <w:jc w:val="both"/>
        <w:rPr>
          <w:sz w:val="22"/>
        </w:rPr>
      </w:pPr>
      <w:r w:rsidRPr="000E2C81">
        <w:rPr>
          <w:sz w:val="22"/>
        </w:rPr>
        <w:t>Commitment by the Group to undertake a significant reorganisation</w:t>
      </w:r>
    </w:p>
    <w:p w:rsidR="00CA6653" w:rsidRPr="000E2C81" w:rsidRDefault="00CA6653" w:rsidP="00CA6653">
      <w:pPr>
        <w:pStyle w:val="ListParagraph"/>
        <w:numPr>
          <w:ilvl w:val="0"/>
          <w:numId w:val="2"/>
        </w:numPr>
        <w:ind w:left="357" w:hanging="357"/>
        <w:jc w:val="both"/>
        <w:rPr>
          <w:sz w:val="22"/>
        </w:rPr>
      </w:pPr>
      <w:r w:rsidRPr="000E2C81">
        <w:rPr>
          <w:sz w:val="22"/>
        </w:rPr>
        <w:t>Significant adverse change in the statutory or other regulatory environment in which the Group operates.</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Where indications exist and any possible differences are estimated to be material, the recoverable amount of the asset is estimated and all impairment losses are recognised in the Revaluation Reserve up to the amount in the Revaluation Reserve for each respective asset and thereafter written down against the relevant service line in the Comprehensive Income and Expenditure Statement.</w:t>
      </w:r>
    </w:p>
    <w:p w:rsidR="00CA6653" w:rsidRPr="000E2C81" w:rsidRDefault="00CA6653" w:rsidP="00CA6653">
      <w:pPr>
        <w:pStyle w:val="Normal00"/>
        <w:jc w:val="both"/>
        <w:rPr>
          <w:rFonts w:ascii="Verdana" w:hAnsi="Verdana" w:cs="Arial"/>
          <w:b/>
          <w:sz w:val="22"/>
          <w:szCs w:val="22"/>
          <w:lang w:val="en-GB"/>
        </w:rPr>
      </w:pPr>
    </w:p>
    <w:p w:rsidR="00CA6653" w:rsidRPr="000E2C81" w:rsidRDefault="00CA6653" w:rsidP="00CA6653">
      <w:pPr>
        <w:pStyle w:val="Normal00"/>
        <w:jc w:val="both"/>
        <w:rPr>
          <w:rFonts w:ascii="Verdana" w:hAnsi="Verdana" w:cs="Arial"/>
          <w:b/>
          <w:sz w:val="22"/>
          <w:szCs w:val="22"/>
          <w:lang w:val="en-GB"/>
        </w:rPr>
      </w:pPr>
      <w:r w:rsidRPr="000E2C81">
        <w:rPr>
          <w:rFonts w:ascii="Verdana" w:hAnsi="Verdana" w:cs="Arial"/>
          <w:b/>
          <w:sz w:val="22"/>
          <w:szCs w:val="22"/>
          <w:lang w:val="en-GB"/>
        </w:rPr>
        <w:t>Depreciation</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Depreciation is provided for on all Property, Plant and Equipment assets by allocation of their depreciable amounts over their useful lives. An exception is made for assets without a determinable finite useful life (e.g. freehold land), assets that are not yet available for use (i.e. assets under construction) and assets held for sale.</w:t>
      </w:r>
    </w:p>
    <w:p w:rsidR="00CA6653" w:rsidRPr="000E2C81" w:rsidRDefault="00CA6653" w:rsidP="00CA6653">
      <w:pPr>
        <w:pStyle w:val="Normal00"/>
        <w:jc w:val="both"/>
        <w:rPr>
          <w:rFonts w:ascii="Verdana" w:hAnsi="Verdana" w:cs="Arial"/>
          <w:sz w:val="22"/>
          <w:szCs w:val="22"/>
          <w:lang w:val="en-GB"/>
        </w:rPr>
      </w:pPr>
    </w:p>
    <w:p w:rsidR="00CA6653"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 xml:space="preserve">Where an item of Property, Plant and Equipment asset has major components whose cost is significant in relation to the total cost of the item, the components are depreciated separately.  </w:t>
      </w:r>
    </w:p>
    <w:p w:rsidR="00CA6653" w:rsidRDefault="00CA6653" w:rsidP="00CA6653">
      <w:pPr>
        <w:pStyle w:val="Normal00"/>
        <w:jc w:val="both"/>
        <w:rPr>
          <w:rFonts w:ascii="Verdana" w:hAnsi="Verdana" w:cs="Arial"/>
          <w:sz w:val="22"/>
          <w:szCs w:val="22"/>
          <w:lang w:val="en-GB"/>
        </w:rPr>
      </w:pPr>
    </w:p>
    <w:p w:rsidR="00CA6653" w:rsidRDefault="00CA6653" w:rsidP="00CA6653">
      <w:pPr>
        <w:pStyle w:val="Normal00"/>
        <w:jc w:val="both"/>
        <w:rPr>
          <w:rFonts w:ascii="Verdana" w:hAnsi="Verdana" w:cs="Arial"/>
          <w:sz w:val="22"/>
          <w:szCs w:val="22"/>
          <w:lang w:val="en-GB"/>
        </w:rPr>
      </w:pPr>
      <w:r>
        <w:rPr>
          <w:rFonts w:ascii="Verdana" w:hAnsi="Verdana" w:cs="Arial"/>
          <w:sz w:val="22"/>
          <w:szCs w:val="22"/>
          <w:lang w:val="en-GB"/>
        </w:rPr>
        <w:t>Approximate average depreciation periods are as follows:</w:t>
      </w:r>
    </w:p>
    <w:p w:rsidR="00CA6653" w:rsidRDefault="00CA6653" w:rsidP="00CA6653">
      <w:pPr>
        <w:pStyle w:val="Normal00"/>
        <w:jc w:val="both"/>
        <w:rPr>
          <w:rFonts w:ascii="Verdana" w:hAnsi="Verdana" w:cs="Arial"/>
          <w:sz w:val="22"/>
          <w:szCs w:val="22"/>
          <w:lang w:val="en-GB"/>
        </w:rPr>
      </w:pPr>
    </w:p>
    <w:p w:rsidR="00CA6653" w:rsidRDefault="00CA6653" w:rsidP="00CA6653">
      <w:pPr>
        <w:pStyle w:val="Normal00"/>
        <w:numPr>
          <w:ilvl w:val="0"/>
          <w:numId w:val="3"/>
        </w:numPr>
        <w:jc w:val="both"/>
        <w:rPr>
          <w:rFonts w:ascii="Verdana" w:hAnsi="Verdana" w:cs="Arial"/>
          <w:sz w:val="22"/>
          <w:szCs w:val="22"/>
          <w:lang w:val="en-GB"/>
        </w:rPr>
      </w:pPr>
      <w:r>
        <w:rPr>
          <w:rFonts w:ascii="Verdana" w:hAnsi="Verdana" w:cs="Arial"/>
          <w:sz w:val="22"/>
          <w:szCs w:val="22"/>
          <w:lang w:val="en-GB"/>
        </w:rPr>
        <w:t>Buildings</w:t>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t xml:space="preserve"> 25 years </w:t>
      </w:r>
      <w:r>
        <w:rPr>
          <w:rFonts w:ascii="Verdana" w:hAnsi="Verdana" w:cs="Arial"/>
          <w:sz w:val="22"/>
          <w:szCs w:val="22"/>
          <w:lang w:val="en-GB"/>
        </w:rPr>
        <w:tab/>
        <w:t>(or as assessed by the valuer)</w:t>
      </w:r>
    </w:p>
    <w:p w:rsidR="00CA6653" w:rsidRDefault="00CA6653" w:rsidP="00CA6653">
      <w:pPr>
        <w:pStyle w:val="Normal00"/>
        <w:numPr>
          <w:ilvl w:val="0"/>
          <w:numId w:val="3"/>
        </w:numPr>
        <w:jc w:val="both"/>
        <w:rPr>
          <w:rFonts w:ascii="Verdana" w:hAnsi="Verdana" w:cs="Arial"/>
          <w:sz w:val="22"/>
          <w:szCs w:val="22"/>
          <w:lang w:val="en-GB"/>
        </w:rPr>
      </w:pPr>
      <w:r>
        <w:rPr>
          <w:rFonts w:ascii="Verdana" w:hAnsi="Verdana" w:cs="Arial"/>
          <w:sz w:val="22"/>
          <w:szCs w:val="22"/>
          <w:lang w:val="en-GB"/>
        </w:rPr>
        <w:t>Plant, Furniture &amp; Equipment</w:t>
      </w:r>
      <w:r>
        <w:rPr>
          <w:rFonts w:ascii="Verdana" w:hAnsi="Verdana" w:cs="Arial"/>
          <w:sz w:val="22"/>
          <w:szCs w:val="22"/>
          <w:lang w:val="en-GB"/>
        </w:rPr>
        <w:tab/>
        <w:t xml:space="preserve"> 5 years </w:t>
      </w:r>
      <w:r>
        <w:rPr>
          <w:rFonts w:ascii="Verdana" w:hAnsi="Verdana" w:cs="Arial"/>
          <w:sz w:val="22"/>
          <w:szCs w:val="22"/>
          <w:lang w:val="en-GB"/>
        </w:rPr>
        <w:tab/>
        <w:t>(or as assessed by the business)</w:t>
      </w:r>
    </w:p>
    <w:p w:rsidR="00CA6653" w:rsidRDefault="00CA6653" w:rsidP="00CA6653">
      <w:pPr>
        <w:pStyle w:val="Normal00"/>
        <w:numPr>
          <w:ilvl w:val="0"/>
          <w:numId w:val="3"/>
        </w:numPr>
        <w:jc w:val="both"/>
        <w:rPr>
          <w:rFonts w:ascii="Verdana" w:hAnsi="Verdana" w:cs="Arial"/>
          <w:sz w:val="22"/>
          <w:szCs w:val="22"/>
          <w:lang w:val="en-GB"/>
        </w:rPr>
      </w:pPr>
      <w:r>
        <w:rPr>
          <w:rFonts w:ascii="Verdana" w:hAnsi="Verdana" w:cs="Arial"/>
          <w:sz w:val="22"/>
          <w:szCs w:val="22"/>
          <w:lang w:val="en-GB"/>
        </w:rPr>
        <w:t>Vehicles</w:t>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t xml:space="preserve"> 3-5 years </w:t>
      </w:r>
      <w:r>
        <w:rPr>
          <w:rFonts w:ascii="Verdana" w:hAnsi="Verdana" w:cs="Arial"/>
          <w:sz w:val="22"/>
          <w:szCs w:val="22"/>
          <w:lang w:val="en-GB"/>
        </w:rPr>
        <w:tab/>
        <w:t xml:space="preserve">(depending on vehicle type as assessed by </w:t>
      </w:r>
    </w:p>
    <w:p w:rsidR="00CA6653" w:rsidRPr="000E2C81" w:rsidRDefault="00CA6653" w:rsidP="00CA6653">
      <w:pPr>
        <w:pStyle w:val="Normal00"/>
        <w:ind w:left="5040" w:firstLine="720"/>
        <w:jc w:val="both"/>
        <w:rPr>
          <w:rFonts w:ascii="Verdana" w:hAnsi="Verdana" w:cs="Arial"/>
          <w:sz w:val="22"/>
          <w:szCs w:val="22"/>
          <w:lang w:val="en-GB"/>
        </w:rPr>
      </w:pPr>
      <w:r>
        <w:rPr>
          <w:rFonts w:ascii="Verdana" w:hAnsi="Verdana" w:cs="Arial"/>
          <w:sz w:val="22"/>
          <w:szCs w:val="22"/>
          <w:lang w:val="en-GB"/>
        </w:rPr>
        <w:t>the Transport Manager)</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 xml:space="preserve">Revaluation gains are depreciated, with an amount equal to the difference between current value depreciation charged on assets and the depreciation that would have been chargeable based on their historical cost being transferred each year from the Revaluation Reserve to the Capital Adjustment Account.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cs="Arial"/>
          <w:b/>
          <w:sz w:val="22"/>
          <w:szCs w:val="22"/>
          <w:lang w:val="en-GB"/>
        </w:rPr>
      </w:pPr>
      <w:r w:rsidRPr="000E2C81">
        <w:rPr>
          <w:rFonts w:ascii="Verdana" w:hAnsi="Verdana" w:cs="Arial"/>
          <w:b/>
          <w:sz w:val="22"/>
          <w:szCs w:val="22"/>
          <w:lang w:val="en-GB"/>
        </w:rPr>
        <w:t xml:space="preserve">Disposal </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When a non-current asset is disposed of or decommissioned, the carrying amount of the asset in the Balance Sheet is written off to the Comprehensive Income and Expenditure Statement.  Disposal proceeds are credited to the Comprehensive Income and Expenditure Statement and netted off against the asset’s carrying value.  The resulting balance represents either the gain or loss on disposal.  Any revaluation gains accumulated for the asset in the Revaluation Reserve are transferred to the Capital Adjustment Account.</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Receipts in excess of £10,000 from the sale of non-current assets are defined as capital receipts and are used to fund future capital expenditure.  These receipts are transferred to the Capital Receipts Reserve via the Movement in Reserves Statement.  Individual receipts of less than £10,000 remain in the Comprehensive Income and Expenditure Statement.</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The disposal value is not a charge against council tax, as the cost of non-current assets is fully provided for under a separate arrangement for capital financing.  Amounts are appropriated to the Capital Adjustment Account from the Movement in Reserves Statement.</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 xml:space="preserve">Assets that are to be abandoned or scrapped are not reclassified as Assets Held for Sale. </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b/>
          <w:sz w:val="22"/>
          <w:szCs w:val="22"/>
          <w:lang w:val="en-GB"/>
        </w:rPr>
      </w:pPr>
      <w:r w:rsidRPr="000E2C81">
        <w:rPr>
          <w:rFonts w:ascii="Verdana" w:hAnsi="Verdana" w:cs="Arial"/>
          <w:b/>
          <w:sz w:val="22"/>
          <w:szCs w:val="22"/>
          <w:lang w:val="en-GB"/>
        </w:rPr>
        <w:t>Assets Held for Sale</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Non-current assets are classified as Held for Sale only if they meet all of the following criteria: </w:t>
      </w:r>
    </w:p>
    <w:p w:rsidR="00CA6653" w:rsidRPr="000E2C81" w:rsidRDefault="00CA6653" w:rsidP="00CA6653">
      <w:pPr>
        <w:pStyle w:val="Normal00"/>
        <w:tabs>
          <w:tab w:val="left" w:pos="12672"/>
        </w:tabs>
        <w:jc w:val="both"/>
        <w:rPr>
          <w:rFonts w:ascii="Verdana" w:hAnsi="Verdana"/>
          <w:sz w:val="22"/>
          <w:szCs w:val="22"/>
          <w:lang w:val="en-GB"/>
        </w:rPr>
      </w:pPr>
      <w:r>
        <w:rPr>
          <w:rFonts w:ascii="Verdana" w:hAnsi="Verdana"/>
          <w:sz w:val="22"/>
          <w:szCs w:val="22"/>
          <w:lang w:val="en-GB"/>
        </w:rPr>
        <w:tab/>
      </w:r>
    </w:p>
    <w:p w:rsidR="00CA6653" w:rsidRPr="000E2C81" w:rsidRDefault="00CA6653" w:rsidP="00CA6653">
      <w:pPr>
        <w:pStyle w:val="ListParagraph"/>
        <w:numPr>
          <w:ilvl w:val="0"/>
          <w:numId w:val="2"/>
        </w:numPr>
        <w:ind w:left="357" w:hanging="357"/>
        <w:jc w:val="both"/>
        <w:rPr>
          <w:sz w:val="22"/>
        </w:rPr>
      </w:pPr>
      <w:r w:rsidRPr="000E2C81">
        <w:rPr>
          <w:sz w:val="22"/>
        </w:rPr>
        <w:t>The asset must be available for immediate sale in its present condition;</w:t>
      </w:r>
    </w:p>
    <w:p w:rsidR="00CA6653" w:rsidRPr="000E2C81" w:rsidRDefault="00CA6653" w:rsidP="00CA6653">
      <w:pPr>
        <w:pStyle w:val="ListParagraph"/>
        <w:numPr>
          <w:ilvl w:val="0"/>
          <w:numId w:val="2"/>
        </w:numPr>
        <w:ind w:left="357" w:hanging="357"/>
        <w:jc w:val="both"/>
        <w:rPr>
          <w:sz w:val="22"/>
        </w:rPr>
      </w:pPr>
      <w:r w:rsidRPr="000E2C81">
        <w:rPr>
          <w:sz w:val="22"/>
        </w:rPr>
        <w:t>The sale must be highly probable.  This means the appropriate level of management within the Group must be committed to a plan to sell the asset and an active programme to locate a buyer and complete the plan must have been initiated.</w:t>
      </w:r>
    </w:p>
    <w:p w:rsidR="00CA6653" w:rsidRPr="000E2C81" w:rsidRDefault="00CA6653" w:rsidP="00CA6653">
      <w:pPr>
        <w:pStyle w:val="ListParagraph"/>
        <w:numPr>
          <w:ilvl w:val="0"/>
          <w:numId w:val="2"/>
        </w:numPr>
        <w:ind w:left="357" w:hanging="357"/>
        <w:jc w:val="both"/>
        <w:rPr>
          <w:sz w:val="22"/>
        </w:rPr>
      </w:pPr>
      <w:r w:rsidRPr="000E2C81">
        <w:rPr>
          <w:sz w:val="22"/>
        </w:rPr>
        <w:t>The asset must be actively marketed for sale at a price that is reasonable in relation to its current fair value.</w:t>
      </w:r>
    </w:p>
    <w:p w:rsidR="00CA6653" w:rsidRPr="000E2C81" w:rsidRDefault="00CA6653" w:rsidP="00CA6653">
      <w:pPr>
        <w:pStyle w:val="ListParagraph"/>
        <w:numPr>
          <w:ilvl w:val="0"/>
          <w:numId w:val="2"/>
        </w:numPr>
        <w:ind w:left="357" w:hanging="357"/>
        <w:jc w:val="both"/>
        <w:rPr>
          <w:sz w:val="22"/>
        </w:rPr>
      </w:pPr>
      <w:r w:rsidRPr="000E2C81">
        <w:rPr>
          <w:sz w:val="22"/>
        </w:rPr>
        <w:t>The sale should be expected to qualify for recognition as a completed sale within one year from the date of classification and actions required to complete the plan should indicate that it is unlikely that significant changes to the plan will be made or that the plan will be withdrawn.</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The asset is re-valued immediately before reclassification and then carried at the lower of carrying value and fair value less costs to sell.  Fair Value for Assets Held for Sale is the market value.</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Assets Held for Sale are not depreciated.</w:t>
      </w:r>
    </w:p>
    <w:p w:rsidR="00CA6653" w:rsidRPr="000E2C81" w:rsidRDefault="00CA6653" w:rsidP="00CA6653">
      <w:pPr>
        <w:pStyle w:val="Normal00"/>
        <w:jc w:val="both"/>
        <w:rPr>
          <w:rFonts w:ascii="Verdana" w:hAnsi="Verdana"/>
          <w:b/>
          <w:sz w:val="22"/>
          <w:szCs w:val="22"/>
          <w:lang w:val="en-GB"/>
        </w:rPr>
      </w:pPr>
    </w:p>
    <w:p w:rsidR="00CA6653" w:rsidRPr="00FA52C9" w:rsidRDefault="00CA6653" w:rsidP="00CA6653">
      <w:pPr>
        <w:pStyle w:val="Normal00"/>
        <w:jc w:val="both"/>
        <w:rPr>
          <w:rFonts w:ascii="Verdana" w:hAnsi="Verdana"/>
          <w:b/>
          <w:sz w:val="22"/>
          <w:szCs w:val="22"/>
          <w:lang w:val="en-GB"/>
        </w:rPr>
      </w:pPr>
      <w:r w:rsidRPr="00FA52C9">
        <w:rPr>
          <w:rFonts w:ascii="Verdana" w:hAnsi="Verdana"/>
          <w:b/>
          <w:sz w:val="22"/>
          <w:szCs w:val="22"/>
          <w:lang w:val="en-GB"/>
        </w:rPr>
        <w:t>Inventories (Stock) and Long Term Contracts</w:t>
      </w:r>
    </w:p>
    <w:p w:rsidR="00CA6653" w:rsidRPr="00FA52C9" w:rsidRDefault="00CA6653" w:rsidP="00CA6653">
      <w:pPr>
        <w:pStyle w:val="Normal00"/>
        <w:jc w:val="both"/>
        <w:rPr>
          <w:rFonts w:ascii="Verdana" w:hAnsi="Verdana"/>
          <w:sz w:val="22"/>
          <w:szCs w:val="22"/>
          <w:lang w:val="en-GB"/>
        </w:rPr>
      </w:pPr>
    </w:p>
    <w:p w:rsidR="00CA6653" w:rsidRPr="00FA52C9" w:rsidRDefault="00CA6653" w:rsidP="00CA6653">
      <w:pPr>
        <w:pStyle w:val="Normal00"/>
        <w:jc w:val="both"/>
        <w:rPr>
          <w:rFonts w:ascii="Verdana" w:hAnsi="Verdana"/>
          <w:sz w:val="22"/>
          <w:szCs w:val="22"/>
          <w:lang w:val="en-GB"/>
        </w:rPr>
      </w:pPr>
      <w:r w:rsidRPr="00FA52C9">
        <w:rPr>
          <w:rFonts w:ascii="Verdana" w:hAnsi="Verdana"/>
          <w:sz w:val="22"/>
          <w:szCs w:val="22"/>
          <w:lang w:val="en-GB"/>
        </w:rPr>
        <w:t>Inventories are included in the Balance Sheet at cost.  All other expenditure on stock and stores is charged to the revenue account in the year of purchase.</w:t>
      </w:r>
    </w:p>
    <w:p w:rsidR="00CA6653" w:rsidRPr="00FA52C9" w:rsidRDefault="00CA6653" w:rsidP="00CA6653">
      <w:pPr>
        <w:pStyle w:val="Normal00"/>
        <w:jc w:val="both"/>
        <w:rPr>
          <w:rFonts w:ascii="Verdana" w:hAnsi="Verdana"/>
          <w:sz w:val="22"/>
          <w:szCs w:val="22"/>
          <w:lang w:val="en-GB"/>
        </w:rPr>
      </w:pPr>
    </w:p>
    <w:p w:rsidR="00CA6653" w:rsidRPr="00FA52C9" w:rsidRDefault="00CA6653" w:rsidP="00CA6653">
      <w:pPr>
        <w:pStyle w:val="Normal00"/>
        <w:jc w:val="both"/>
        <w:rPr>
          <w:rFonts w:ascii="Verdana" w:hAnsi="Verdana" w:cs="Arial"/>
          <w:sz w:val="22"/>
          <w:szCs w:val="22"/>
          <w:lang w:val="en-GB"/>
        </w:rPr>
      </w:pPr>
      <w:r w:rsidRPr="00FA52C9">
        <w:rPr>
          <w:rFonts w:ascii="Verdana" w:hAnsi="Verdana" w:cs="Arial"/>
          <w:sz w:val="22"/>
          <w:szCs w:val="22"/>
          <w:lang w:val="en-GB"/>
        </w:rPr>
        <w:t>This policy is a departure from the IFRS standard IAS2 which requires inventories to be valued at the lower of cost or net realisable value.  For many inventory items, particularly uniforms, net realisable value would be minimal and does not accurately reflect the value to the Group of holding these items.  The variation from IAS2 does not have a material impact on these financial statements.</w:t>
      </w:r>
    </w:p>
    <w:p w:rsidR="00CA6653" w:rsidRPr="00FA52C9"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sz w:val="22"/>
          <w:szCs w:val="22"/>
          <w:lang w:val="en-GB"/>
        </w:rPr>
      </w:pPr>
      <w:r w:rsidRPr="00FA52C9">
        <w:rPr>
          <w:rFonts w:ascii="Verdana" w:hAnsi="Verdana"/>
          <w:sz w:val="22"/>
          <w:szCs w:val="22"/>
          <w:lang w:val="en-GB"/>
        </w:rPr>
        <w:t>Long term contracts are accounted for on the basis of charging the Surplus or Deficit on the Provision of Services with the value of works and services received under the contract during the financial year.</w:t>
      </w:r>
    </w:p>
    <w:p w:rsidR="00CA6653"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Jointly Controlled Operations and Jointly Controlled Assets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 xml:space="preserve">Jointly controlled operations are activities undertaken in conjunction with other venturers that involve the use of the assets and resources of the venturers rather than the establishment of a separate entity. The Group recognises on its Balance Sheet the assets that it controls and the liabilities that it incurs and debits and credits the Comprehensive Income and Expenditure Statement with the expenditure it incurs and the share of income it earns from the activity of the operation. </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Jointly controlled assets are items of property, plant or equipment that are jointly controlled by the Group and other venturers, with the assets being used to obtain benefits for the venturers.  The joint venture does not involve the establishment of a separate entity. The Group accounts for only its share of the jointly controlled assets, the liabilities and expenses that it incurs on its own behalf or jointly with others in respect of its interest in the joint venture and income that it earns from the venture.</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Intangible Assets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Expenditure on non-monetary assets that do not have physical substance but are controlled by the Group as a result of past events (e.g. software licences) is capitalised when it is expected that future economic benefits or service potential will flow from the intangible asset to the Group.</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Internally generated assets are capitalised where it is demonstrable that the project is technically feasible and is intended to be completed (with adequate resources being available) and the Group will be able to generate future economic benefits or deliver service potential by being able to sell or use the asset.  Expenditure is capitalised where it can be measured reliably as attributable to the asset and is restricted to that incurred during the development phase (research expenditure cannot be capitalised).</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Intangible assets are included in the Balance Sheet at amortised cost.  The depreciable amount of an intangible asset is amortised over its useful life to the relevant service revenue accounts in the Comprehensive Income and Expenditure Statement.  An asset is tested for impairment whenever there is an indication that the asset might be impaired - any losses recognised are posted to the relevant service revenue accounts in the Comprehensive Income and Expenditure Statement.  Any gains or losses arising on the disposal or abandonment of an intangible asset are posted to the Comprehensive Income and Expenditure Statement.  Gains or losses are not permitted to have an impact on the General Fund Balance therefore they are moved out of the General Fund Balance in the Movement in Reserves Statement and posted to the Capital Adjustment Account and (for any sale proceeds greater than £10,000) the Capital Receipts Reserve.</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Charges to Revenue for Non-Current Assets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The Group is not permitted to raise council tax to cover charges for depreciation, impairment losses or amortisation.  However it is required to make an annual provision from revenue towards the repayment of borrowing, known as the Minimum Revenue Provision (MRP).</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Depreciation, impairment losses and amortisation are reversed from the General Fund via the Movement in Reserves Statement and MRP is charged as a contribution to the Capital Adjustment Account.</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Debts Outstanding</w:t>
      </w:r>
    </w:p>
    <w:p w:rsidR="00CA6653" w:rsidRPr="000E2C81" w:rsidRDefault="00CA6653" w:rsidP="00CA6653">
      <w:pPr>
        <w:pStyle w:val="Normal00"/>
        <w:jc w:val="both"/>
        <w:rPr>
          <w:rFonts w:ascii="Verdana" w:hAnsi="Verdana"/>
          <w:sz w:val="22"/>
          <w:szCs w:val="22"/>
          <w:lang w:val="en-GB"/>
        </w:rPr>
      </w:pPr>
    </w:p>
    <w:p w:rsidR="00CA6653" w:rsidRPr="00C01498" w:rsidRDefault="00CA6653" w:rsidP="00CA6653">
      <w:pPr>
        <w:pStyle w:val="Normal00"/>
        <w:jc w:val="both"/>
        <w:rPr>
          <w:rFonts w:ascii="Verdana" w:hAnsi="Verdana" w:cs="Arial"/>
          <w:sz w:val="22"/>
          <w:szCs w:val="22"/>
          <w:lang w:val="en-GB"/>
        </w:rPr>
      </w:pPr>
      <w:r w:rsidRPr="00C01498">
        <w:rPr>
          <w:rFonts w:ascii="Verdana" w:hAnsi="Verdana" w:cs="Arial"/>
          <w:sz w:val="22"/>
          <w:szCs w:val="22"/>
          <w:lang w:val="en-GB"/>
        </w:rPr>
        <w:t>Income is accounted for on an accruals basis.  Debts that cannot be collected are written off via the Comprehensive Income and Expenditure Statement to the command team or department that raised the debt.  The level of any bad debt provision is reviewed annually.</w:t>
      </w:r>
    </w:p>
    <w:p w:rsidR="00CA6653" w:rsidRPr="00C01498" w:rsidRDefault="00CA6653" w:rsidP="00CA6653">
      <w:pPr>
        <w:pStyle w:val="Normal00"/>
        <w:jc w:val="both"/>
        <w:rPr>
          <w:rFonts w:ascii="Verdana" w:hAnsi="Verdana" w:cs="Arial"/>
          <w:sz w:val="22"/>
          <w:szCs w:val="22"/>
          <w:lang w:val="en-GB"/>
        </w:rPr>
      </w:pPr>
    </w:p>
    <w:p w:rsidR="00CA6653" w:rsidRPr="00C01498" w:rsidRDefault="00CA6653" w:rsidP="00CA6653">
      <w:pPr>
        <w:pStyle w:val="Normal00"/>
        <w:jc w:val="both"/>
        <w:rPr>
          <w:rFonts w:ascii="Verdana" w:hAnsi="Verdana" w:cs="Arial"/>
          <w:sz w:val="22"/>
          <w:szCs w:val="22"/>
          <w:lang w:val="en-GB"/>
        </w:rPr>
      </w:pPr>
      <w:r w:rsidRPr="00C01498">
        <w:rPr>
          <w:rFonts w:ascii="Verdana" w:hAnsi="Verdana" w:cs="Arial"/>
          <w:sz w:val="22"/>
          <w:szCs w:val="22"/>
          <w:lang w:val="en-GB"/>
        </w:rPr>
        <w:t xml:space="preserve">The writing off of bad debt can be authorised by either the PCC’s CFO or the CC’s Executive Director of Commercial &amp; Finance Services in respect of their own corporations up to a value of £10,000 for individual bad debt cases and £25,000 cumulatively in any one financial year.  The write off of bad debts greater than these limits requires the approval of both CC’s Executive Director of Commercial &amp; Finance Services and PCC’s CFO up to a maximum of a cumulative value of £50,000 in any one financial year. In Surrey the PCC will approve where appropriate the writing off of debts in excess of the CFOs delegated authority. </w:t>
      </w:r>
    </w:p>
    <w:p w:rsidR="00CA6653" w:rsidRPr="00C01498" w:rsidRDefault="00CA6653" w:rsidP="00CA6653">
      <w:pPr>
        <w:pStyle w:val="Normal00"/>
        <w:jc w:val="both"/>
        <w:rPr>
          <w:rFonts w:ascii="Verdana" w:hAnsi="Verdana"/>
          <w:b/>
          <w:sz w:val="22"/>
          <w:szCs w:val="22"/>
          <w:lang w:val="en-GB"/>
        </w:rPr>
      </w:pPr>
    </w:p>
    <w:p w:rsidR="00CA6653" w:rsidRPr="00C01498" w:rsidRDefault="00CA6653" w:rsidP="00CA6653">
      <w:pPr>
        <w:pStyle w:val="Normal00"/>
        <w:jc w:val="both"/>
        <w:rPr>
          <w:rFonts w:ascii="Verdana" w:hAnsi="Verdana"/>
          <w:b/>
          <w:sz w:val="22"/>
          <w:szCs w:val="22"/>
          <w:lang w:val="en-GB"/>
        </w:rPr>
      </w:pPr>
      <w:r w:rsidRPr="00C01498">
        <w:rPr>
          <w:rFonts w:ascii="Verdana" w:hAnsi="Verdana"/>
          <w:b/>
          <w:sz w:val="22"/>
          <w:szCs w:val="22"/>
          <w:lang w:val="en-GB"/>
        </w:rPr>
        <w:t xml:space="preserve">Reserves </w:t>
      </w:r>
    </w:p>
    <w:p w:rsidR="00CA6653" w:rsidRPr="00C01498"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The Group maintains reserves to finance future commitments, unforeseen circumstances, fluctuations in annual grant settlements and council tax precepts and emergency expenditure which cannot be contained within the approved budget.  The approved Reserves Policy sets a target for the level of General Reserve of 3% of budgeted expenditure.</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Certain reserves are kept to manage the accounting processes for non-current assets, retirement benefits and other employee benefits and do not represent usable resources for the Group.</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The nature and purpose of each reserve set up by the Group is described in the Notes to the Financial Statements.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The classification of reserves is consistent with the CIPFA Code of Practice and is reviewed annually by the Police and Crime Commissioner.  </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 xml:space="preserve">Overheads and Support Services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The costs of overheads and support services are charged in line with the Code and Police Objective Analysis, the costs of support services are fully allocated to the Group’s services. </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b/>
          <w:sz w:val="22"/>
          <w:szCs w:val="22"/>
          <w:lang w:val="en-GB"/>
        </w:rPr>
        <w:t>Provisions and Contingent Liabilities</w:t>
      </w:r>
      <w:r w:rsidRPr="000E2C81">
        <w:rPr>
          <w:rFonts w:ascii="Verdana" w:hAnsi="Verdana"/>
          <w:sz w:val="22"/>
          <w:szCs w:val="22"/>
          <w:lang w:val="en-GB"/>
        </w:rPr>
        <w:t xml:space="preserve">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 xml:space="preserve">Provisions </w:t>
      </w:r>
    </w:p>
    <w:p w:rsidR="00CA6653" w:rsidRPr="000E2C81" w:rsidRDefault="00CA6653" w:rsidP="00CA6653">
      <w:pPr>
        <w:pStyle w:val="Normal00"/>
        <w:jc w:val="both"/>
        <w:rPr>
          <w:rFonts w:ascii="Verdana" w:hAnsi="Verdana"/>
          <w:b/>
          <w:bCs/>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Provisions are made where an event has taken place that gives the Group a legal or constructive obligation that probably requires settlement by a transfer of economic benefits or service potential, and a reliable estimate can be made of the amount of the obligation, but where the timing of transfer is uncertain.  Provisions are recognised on the Balance Sheet.</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Contingent Liabilities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A contingent liability arises where an event has taken place that gives the Group a possible obligation whose existence will only be confirmed by the occurrence or otherwise of uncertain future events not wholly within the control of the Group. Contingent liabilities also arise in circumstances where a provision would otherwise be made but either it is not probable that an outflow of resources will be required or the amount of the obligation cannot be measured reliably.  Contingent liabilities are not recognised in the Balance Sheet but disclosed in a note to the accounts.</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Precept Income</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 xml:space="preserve">Precept income from relevant local authorities is fixed for the year and not subject to revision.  </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VAT</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 xml:space="preserve">VAT payable is included as an expense only to the extent that it is not recoverable from Her Majesty's Revenue and Customs. VAT receivable is excluded from income. </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sz w:val="22"/>
          <w:szCs w:val="22"/>
          <w:lang w:val="en-GB"/>
        </w:rPr>
        <w:t xml:space="preserve">A single VAT return is submitted on behalf of the Group.  </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Leases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 xml:space="preserve">Leases are classified as either finance leases or operating leases based on risks and rewards of ownership.  </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Leases are classified as finance leases where the terms of the lease transfer substantially all the risks and rewards incidental to ownership of the property, plant or equipment from the lessor to the lessee. All other leases are classified as operating leases.   Where a lease covers both land and buildings, the land and buildings elements are considered separately for classification.</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Arrangements that do not have the legal status of a lease but convey a right to use an asset in return for payment are accounted for under this policy where fulfilment of the arrangement is dependent on the use of specific assets.</w:t>
      </w:r>
    </w:p>
    <w:p w:rsidR="00CA6653" w:rsidRPr="000E2C81" w:rsidRDefault="00CA6653" w:rsidP="00CA6653">
      <w:pPr>
        <w:pStyle w:val="Normal00"/>
        <w:jc w:val="both"/>
        <w:rPr>
          <w:rFonts w:ascii="Verdana" w:hAnsi="Verdana"/>
          <w:b/>
          <w:sz w:val="22"/>
          <w:szCs w:val="22"/>
          <w:lang w:val="en-GB"/>
        </w:rPr>
      </w:pPr>
    </w:p>
    <w:p w:rsidR="00CA6653" w:rsidRPr="006E72E6" w:rsidRDefault="00CA6653" w:rsidP="00CA6653">
      <w:pPr>
        <w:pStyle w:val="Normal00"/>
        <w:jc w:val="both"/>
        <w:rPr>
          <w:rFonts w:ascii="Verdana" w:hAnsi="Verdana"/>
          <w:b/>
          <w:sz w:val="22"/>
          <w:szCs w:val="22"/>
          <w:lang w:val="en-GB"/>
        </w:rPr>
      </w:pPr>
      <w:r w:rsidRPr="006E72E6">
        <w:rPr>
          <w:rFonts w:ascii="Verdana" w:hAnsi="Verdana"/>
          <w:b/>
          <w:sz w:val="22"/>
          <w:szCs w:val="22"/>
          <w:lang w:val="en-GB"/>
        </w:rPr>
        <w:t>The Police and Crime Commissioner as Lessee</w:t>
      </w:r>
    </w:p>
    <w:p w:rsidR="00CA6653" w:rsidRPr="006E72E6" w:rsidRDefault="00CA6653" w:rsidP="00CA6653">
      <w:pPr>
        <w:pStyle w:val="Normal00"/>
        <w:jc w:val="both"/>
        <w:rPr>
          <w:rFonts w:ascii="Verdana" w:hAnsi="Verdana"/>
          <w:sz w:val="22"/>
          <w:szCs w:val="22"/>
          <w:lang w:val="en-GB"/>
        </w:rPr>
      </w:pPr>
    </w:p>
    <w:p w:rsidR="00CA6653" w:rsidRPr="006E72E6" w:rsidRDefault="00CA6653" w:rsidP="00CA6653">
      <w:pPr>
        <w:pStyle w:val="Normal00"/>
        <w:jc w:val="both"/>
        <w:rPr>
          <w:rFonts w:ascii="Verdana" w:hAnsi="Verdana"/>
          <w:b/>
          <w:sz w:val="22"/>
          <w:szCs w:val="22"/>
          <w:lang w:val="en-GB"/>
        </w:rPr>
      </w:pPr>
      <w:r w:rsidRPr="006E72E6">
        <w:rPr>
          <w:rFonts w:ascii="Verdana" w:hAnsi="Verdana"/>
          <w:b/>
          <w:sz w:val="22"/>
          <w:szCs w:val="22"/>
          <w:lang w:val="en-GB"/>
        </w:rPr>
        <w:t>Finance Leases</w:t>
      </w:r>
    </w:p>
    <w:p w:rsidR="00CA6653" w:rsidRPr="006E72E6" w:rsidRDefault="00CA6653" w:rsidP="00CA6653">
      <w:pPr>
        <w:pStyle w:val="Normal00"/>
        <w:jc w:val="both"/>
        <w:rPr>
          <w:rFonts w:ascii="Verdana" w:hAnsi="Verdana"/>
          <w:sz w:val="22"/>
          <w:szCs w:val="22"/>
          <w:lang w:val="en-GB"/>
        </w:rPr>
      </w:pPr>
    </w:p>
    <w:p w:rsidR="00CA6653" w:rsidRPr="006E72E6" w:rsidRDefault="00CA6653" w:rsidP="00CA6653">
      <w:pPr>
        <w:pStyle w:val="Normal00"/>
        <w:jc w:val="both"/>
        <w:rPr>
          <w:rFonts w:ascii="Verdana" w:hAnsi="Verdana"/>
          <w:sz w:val="22"/>
          <w:szCs w:val="22"/>
          <w:lang w:val="en-GB"/>
        </w:rPr>
      </w:pPr>
      <w:r w:rsidRPr="006E72E6">
        <w:rPr>
          <w:rFonts w:ascii="Verdana" w:hAnsi="Verdana"/>
          <w:sz w:val="22"/>
          <w:szCs w:val="22"/>
          <w:lang w:val="en-GB"/>
        </w:rPr>
        <w:t xml:space="preserve">Property, Plant and Equipment held under finance leases is recognised on the Balance Sheet at the commencement of the lease at its fair value measured at the lease's inception (or the present value of the minimum lease payments, if lower).  The asset recognised is matched by a liability for the obligation to pay the lessor.  </w:t>
      </w:r>
    </w:p>
    <w:p w:rsidR="00CA6653" w:rsidRPr="006E72E6"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6E72E6">
        <w:rPr>
          <w:rFonts w:ascii="Verdana" w:hAnsi="Verdana"/>
          <w:sz w:val="22"/>
          <w:szCs w:val="22"/>
          <w:lang w:val="en-GB"/>
        </w:rPr>
        <w:t>Lease payments are apportioned between a charge for the acquisition applied to write down the lease liability and the interest costs of the lease are charged to the Comprehensive Income and Expenditure Statement.</w:t>
      </w:r>
    </w:p>
    <w:p w:rsidR="00CA6653"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Operating Leases</w:t>
      </w:r>
    </w:p>
    <w:p w:rsidR="00CA6653" w:rsidRPr="000E2C81"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Rentals paid under operating leases are charged to the Comprehensive Income and Expenditure Statement on a straight-line basis over the life of the lease.</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The Police and Crime Commissioner as Lessor</w:t>
      </w:r>
    </w:p>
    <w:p w:rsidR="00CA6653" w:rsidRPr="000E2C81" w:rsidRDefault="00CA6653" w:rsidP="00CA6653">
      <w:pPr>
        <w:pStyle w:val="Normal00"/>
        <w:jc w:val="both"/>
        <w:rPr>
          <w:rFonts w:ascii="Verdana" w:hAnsi="Verdana"/>
          <w:sz w:val="22"/>
          <w:szCs w:val="22"/>
          <w:lang w:val="en-GB"/>
        </w:rPr>
      </w:pPr>
    </w:p>
    <w:p w:rsidR="00CA6653" w:rsidRPr="00FA52C9" w:rsidRDefault="00CA6653" w:rsidP="00CA6653">
      <w:pPr>
        <w:pStyle w:val="Normal00"/>
        <w:jc w:val="both"/>
        <w:rPr>
          <w:rFonts w:ascii="Verdana" w:hAnsi="Verdana"/>
          <w:b/>
          <w:sz w:val="22"/>
          <w:szCs w:val="22"/>
          <w:lang w:val="en-GB"/>
        </w:rPr>
      </w:pPr>
      <w:r w:rsidRPr="00FA52C9">
        <w:rPr>
          <w:rFonts w:ascii="Verdana" w:hAnsi="Verdana"/>
          <w:b/>
          <w:sz w:val="22"/>
          <w:szCs w:val="22"/>
          <w:lang w:val="en-GB"/>
        </w:rPr>
        <w:t>Operating Leases</w:t>
      </w:r>
    </w:p>
    <w:p w:rsidR="00CA6653" w:rsidRPr="00FA52C9"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FA52C9">
        <w:rPr>
          <w:rFonts w:ascii="Verdana" w:hAnsi="Verdana"/>
          <w:sz w:val="22"/>
          <w:szCs w:val="22"/>
          <w:lang w:val="en-GB"/>
        </w:rPr>
        <w:t>Where the Police and Crime Commissioner grants an operating lease over a property or an item of plant or equipment, the asset is retained in the Balance Sheet.  Rental income is credited to the Other Operating Expenditure line in the Comprehensive Income and Expenditure Statement. Credits are made on a straight-line basis over the life of the lease, even if this does not match the pattern of payments (e.g. there is a premium paid at the commencement of the lease). Initial direct costs incurred in negotiating and arranging the lease are added to the carrying amount of the relevant asset and charged as an expense over the lease term on the same basis as rental income.</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Employee Benefits Payable During Employment</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cs="Arial"/>
          <w:sz w:val="22"/>
          <w:szCs w:val="22"/>
          <w:lang w:val="en-GB"/>
        </w:rPr>
      </w:pPr>
      <w:r w:rsidRPr="000E2C81">
        <w:rPr>
          <w:rFonts w:ascii="Verdana" w:hAnsi="Verdana" w:cs="Arial"/>
          <w:sz w:val="22"/>
          <w:szCs w:val="22"/>
          <w:lang w:val="en-GB"/>
        </w:rPr>
        <w:t>Short-term employee benefits are those due to be settled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Police and Crime Commissioner. An accrual is made for the cost of holiday entitlements (or any form of leave, e.g. time off in lieu) earned by employees but not taken before the year-end which employees can carry forward into the next financial year. The accrual is charged to Surplus or Deficit on the Provision of Services, but then reversed out through the Movement in Reserves Statement so that holiday benefits are charged to revenue in the financial year in which the holiday absence occurs.</w:t>
      </w:r>
    </w:p>
    <w:p w:rsidR="00CA6653" w:rsidRPr="000E2C81" w:rsidRDefault="00CA6653" w:rsidP="00CA6653">
      <w:pPr>
        <w:pStyle w:val="Normal00"/>
        <w:jc w:val="both"/>
        <w:rPr>
          <w:rFonts w:ascii="Verdana" w:hAnsi="Verdana"/>
          <w:b/>
          <w:sz w:val="22"/>
          <w:szCs w:val="22"/>
          <w:lang w:val="en-GB"/>
        </w:rPr>
      </w:pPr>
    </w:p>
    <w:p w:rsidR="00CA6653" w:rsidRPr="000E2C81" w:rsidRDefault="00CA6653" w:rsidP="00CA6653">
      <w:pPr>
        <w:pStyle w:val="Normal00"/>
        <w:jc w:val="both"/>
        <w:rPr>
          <w:rFonts w:ascii="Verdana" w:hAnsi="Verdana"/>
          <w:b/>
          <w:sz w:val="22"/>
          <w:szCs w:val="22"/>
          <w:lang w:val="en-GB"/>
        </w:rPr>
      </w:pPr>
      <w:r w:rsidRPr="000E2C81">
        <w:rPr>
          <w:rFonts w:ascii="Verdana" w:hAnsi="Verdana"/>
          <w:b/>
          <w:sz w:val="22"/>
          <w:szCs w:val="22"/>
          <w:lang w:val="en-GB"/>
        </w:rPr>
        <w:t>Termination Benefits / Exit Packages</w:t>
      </w:r>
    </w:p>
    <w:p w:rsidR="00CA6653" w:rsidRPr="000E2C81" w:rsidRDefault="00CA6653" w:rsidP="00CA6653">
      <w:pPr>
        <w:pStyle w:val="Normal00"/>
        <w:jc w:val="both"/>
        <w:rPr>
          <w:rFonts w:ascii="Verdana" w:hAnsi="Verdana" w:cs="Arial"/>
          <w:sz w:val="22"/>
          <w:szCs w:val="22"/>
          <w:lang w:val="en-GB"/>
        </w:rPr>
      </w:pPr>
    </w:p>
    <w:p w:rsidR="00CA6653" w:rsidRPr="000E2C81" w:rsidRDefault="00CA6653" w:rsidP="00CA6653">
      <w:pPr>
        <w:pStyle w:val="Normal00"/>
        <w:jc w:val="both"/>
        <w:rPr>
          <w:rFonts w:ascii="Verdana" w:hAnsi="Verdana"/>
          <w:sz w:val="22"/>
          <w:szCs w:val="22"/>
          <w:lang w:val="en-GB"/>
        </w:rPr>
      </w:pPr>
      <w:r w:rsidRPr="000E2C81">
        <w:rPr>
          <w:rFonts w:ascii="Verdana" w:hAnsi="Verdana"/>
          <w:sz w:val="22"/>
          <w:szCs w:val="22"/>
          <w:lang w:val="en-GB"/>
        </w:rPr>
        <w:t>Termination benefits are amounts payable as a result of a decision by the Group to terminate a member of staff's employment before the normal retirement date or an officer's decision to accept voluntary redundancy.  Termination benefits are charged on an accruals basis to the appropriate service line in the Comprehensive Income and Expenditure Statement when the Group is demonstrably committed to the termination of the employment of a staff member or group of staff members or making an offer to encourage voluntary redundancy.</w:t>
      </w:r>
    </w:p>
    <w:p w:rsidR="00CA6653" w:rsidRPr="000E2C81" w:rsidRDefault="00CA6653" w:rsidP="00CA6653">
      <w:pPr>
        <w:pStyle w:val="Normal00"/>
        <w:jc w:val="both"/>
        <w:rPr>
          <w:rFonts w:ascii="Verdana" w:hAnsi="Verdana"/>
          <w:sz w:val="22"/>
          <w:szCs w:val="22"/>
          <w:lang w:val="en-GB"/>
        </w:rPr>
      </w:pPr>
    </w:p>
    <w:p w:rsidR="00CA6653" w:rsidRPr="00FC05C7" w:rsidRDefault="00CA6653" w:rsidP="00CA6653">
      <w:pPr>
        <w:pStyle w:val="Normal00"/>
        <w:jc w:val="both"/>
        <w:rPr>
          <w:rFonts w:ascii="Verdana" w:hAnsi="Verdana"/>
          <w:sz w:val="22"/>
          <w:szCs w:val="22"/>
          <w:lang w:val="en-GB"/>
        </w:rPr>
      </w:pPr>
      <w:r w:rsidRPr="00FC05C7">
        <w:rPr>
          <w:rFonts w:ascii="Verdana" w:hAnsi="Verdana"/>
          <w:sz w:val="22"/>
          <w:szCs w:val="22"/>
          <w:lang w:val="en-GB"/>
        </w:rPr>
        <w:t>Where termination benefits involve the enhancement of pensions, statutory provisions require the General Fund balance to be charged with the amount payable by the Group to the pension fund or pensioner in the year, not the amount calculated according to the relevant accounting standards.  In the Movement in Reserves Statement, appropriations are required to and from the Pensions Reserve to remove the notional debits and credits for pension enhancement termination benefits and replace them with debits for the cash paid to the pension fund and pensioners and any such amounts payable but unpaid at the year-end.</w:t>
      </w:r>
    </w:p>
    <w:p w:rsidR="00CA6653" w:rsidRPr="00FC05C7" w:rsidRDefault="00CA6653" w:rsidP="00CA6653">
      <w:pPr>
        <w:pStyle w:val="Normal00"/>
        <w:jc w:val="both"/>
        <w:rPr>
          <w:rFonts w:ascii="Verdana" w:hAnsi="Verdana"/>
          <w:sz w:val="22"/>
          <w:szCs w:val="22"/>
          <w:lang w:val="en-GB"/>
        </w:rPr>
      </w:pPr>
    </w:p>
    <w:p w:rsidR="00CA6653" w:rsidRPr="00FC05C7" w:rsidRDefault="00CA6653" w:rsidP="00CA6653">
      <w:pPr>
        <w:pStyle w:val="Normal00"/>
        <w:jc w:val="both"/>
        <w:rPr>
          <w:rFonts w:ascii="Verdana" w:hAnsi="Verdana"/>
          <w:b/>
          <w:sz w:val="22"/>
          <w:szCs w:val="22"/>
          <w:lang w:val="en-GB"/>
        </w:rPr>
      </w:pPr>
      <w:r w:rsidRPr="00FC05C7">
        <w:rPr>
          <w:rFonts w:ascii="Verdana" w:hAnsi="Verdana"/>
          <w:b/>
          <w:sz w:val="22"/>
          <w:szCs w:val="22"/>
          <w:lang w:val="en-GB"/>
        </w:rPr>
        <w:t>Long-term Employee Benefits – Pension Arrangements</w:t>
      </w:r>
    </w:p>
    <w:p w:rsidR="00CA6653" w:rsidRPr="00FC05C7" w:rsidRDefault="00CA6653" w:rsidP="00CA6653">
      <w:pPr>
        <w:pStyle w:val="Normal00"/>
        <w:jc w:val="both"/>
        <w:rPr>
          <w:rFonts w:ascii="Verdana" w:hAnsi="Verdana"/>
          <w:b/>
          <w:sz w:val="22"/>
          <w:szCs w:val="22"/>
          <w:lang w:val="en-GB"/>
        </w:rPr>
      </w:pPr>
    </w:p>
    <w:p w:rsidR="00CA6653" w:rsidRPr="00FC05C7" w:rsidRDefault="00CA6653" w:rsidP="00CA6653">
      <w:pPr>
        <w:pStyle w:val="Normal00"/>
        <w:jc w:val="both"/>
        <w:rPr>
          <w:rFonts w:ascii="Verdana" w:hAnsi="Verdana"/>
          <w:sz w:val="22"/>
          <w:szCs w:val="22"/>
          <w:lang w:val="en-GB"/>
        </w:rPr>
      </w:pPr>
      <w:r w:rsidRPr="00FC05C7">
        <w:rPr>
          <w:rFonts w:ascii="Verdana" w:hAnsi="Verdana"/>
          <w:sz w:val="22"/>
          <w:szCs w:val="22"/>
          <w:lang w:val="en-GB"/>
        </w:rPr>
        <w:t>The Chief Constable operates, on behalf of the Group, three pension schemes for police officers and a single scheme for police staff:</w:t>
      </w:r>
    </w:p>
    <w:p w:rsidR="00CA6653" w:rsidRPr="00FC05C7" w:rsidRDefault="00CA6653" w:rsidP="00CA6653">
      <w:pPr>
        <w:pStyle w:val="Normal00"/>
        <w:jc w:val="both"/>
        <w:rPr>
          <w:rFonts w:ascii="Verdana" w:hAnsi="Verdana"/>
          <w:sz w:val="22"/>
          <w:szCs w:val="22"/>
          <w:lang w:val="en-GB"/>
        </w:rPr>
      </w:pPr>
    </w:p>
    <w:p w:rsidR="00CA6653" w:rsidRPr="00FC05C7" w:rsidRDefault="00CA6653" w:rsidP="00CA6653">
      <w:pPr>
        <w:pStyle w:val="ListParagraph"/>
        <w:numPr>
          <w:ilvl w:val="0"/>
          <w:numId w:val="2"/>
        </w:numPr>
        <w:ind w:left="357" w:hanging="357"/>
        <w:jc w:val="both"/>
        <w:rPr>
          <w:sz w:val="22"/>
        </w:rPr>
      </w:pPr>
      <w:r w:rsidRPr="00FC05C7">
        <w:rPr>
          <w:sz w:val="22"/>
        </w:rPr>
        <w:t>The Police Pension Scheme (</w:t>
      </w:r>
      <w:smartTag w:uri="urn:schemas-microsoft-com:office:smarttags" w:element="stockticker">
        <w:r w:rsidRPr="00FC05C7">
          <w:rPr>
            <w:sz w:val="22"/>
          </w:rPr>
          <w:t>PPS</w:t>
        </w:r>
      </w:smartTag>
      <w:r w:rsidRPr="00FC05C7">
        <w:rPr>
          <w:sz w:val="22"/>
        </w:rPr>
        <w:t>), regulated under the Police Pensions Act 1976</w:t>
      </w:r>
    </w:p>
    <w:p w:rsidR="00CA6653" w:rsidRPr="00FC05C7" w:rsidRDefault="00CA6653" w:rsidP="00CA6653">
      <w:pPr>
        <w:pStyle w:val="ListParagraph"/>
        <w:numPr>
          <w:ilvl w:val="0"/>
          <w:numId w:val="2"/>
        </w:numPr>
        <w:ind w:left="357" w:hanging="357"/>
        <w:jc w:val="both"/>
        <w:rPr>
          <w:sz w:val="22"/>
        </w:rPr>
      </w:pPr>
      <w:r w:rsidRPr="00FC05C7">
        <w:rPr>
          <w:sz w:val="22"/>
        </w:rPr>
        <w:t>The New Police Pension Scheme (NPPS), regulated under the Police Pension Regulations 2006</w:t>
      </w:r>
    </w:p>
    <w:p w:rsidR="00CA6653" w:rsidRPr="00FC05C7" w:rsidRDefault="00CA6653" w:rsidP="00CA6653">
      <w:pPr>
        <w:pStyle w:val="ListParagraph"/>
        <w:numPr>
          <w:ilvl w:val="0"/>
          <w:numId w:val="2"/>
        </w:numPr>
        <w:ind w:left="357" w:hanging="357"/>
        <w:jc w:val="both"/>
        <w:rPr>
          <w:sz w:val="22"/>
        </w:rPr>
      </w:pPr>
      <w:r w:rsidRPr="00FC05C7">
        <w:rPr>
          <w:sz w:val="22"/>
        </w:rPr>
        <w:t>The Police Pension Scheme 2015 (the 2015 scheme)</w:t>
      </w:r>
    </w:p>
    <w:p w:rsidR="00CA6653" w:rsidRPr="00FC05C7" w:rsidRDefault="00CA6653" w:rsidP="00CA6653">
      <w:pPr>
        <w:pStyle w:val="ListParagraph"/>
        <w:numPr>
          <w:ilvl w:val="0"/>
          <w:numId w:val="2"/>
        </w:numPr>
        <w:ind w:left="357" w:hanging="357"/>
        <w:jc w:val="both"/>
        <w:rPr>
          <w:sz w:val="22"/>
        </w:rPr>
      </w:pPr>
      <w:r w:rsidRPr="00FC05C7">
        <w:rPr>
          <w:sz w:val="22"/>
        </w:rPr>
        <w:t>The Local Government Pensions Scheme (LGPS), administered by Surrey County Council</w:t>
      </w:r>
    </w:p>
    <w:p w:rsidR="00CA6653" w:rsidRPr="00FC05C7" w:rsidRDefault="00CA6653" w:rsidP="00CA6653">
      <w:pPr>
        <w:pStyle w:val="Normal00"/>
        <w:jc w:val="both"/>
        <w:rPr>
          <w:rFonts w:ascii="Verdana" w:hAnsi="Verdana"/>
          <w:sz w:val="22"/>
          <w:szCs w:val="22"/>
          <w:lang w:val="en-GB"/>
        </w:rPr>
      </w:pPr>
    </w:p>
    <w:p w:rsidR="00CA6653" w:rsidRPr="00FC05C7" w:rsidRDefault="00CA6653" w:rsidP="00CA6653">
      <w:pPr>
        <w:pStyle w:val="Normal00"/>
        <w:jc w:val="both"/>
        <w:rPr>
          <w:rFonts w:ascii="Verdana" w:hAnsi="Verdana"/>
          <w:sz w:val="22"/>
          <w:szCs w:val="22"/>
          <w:lang w:val="en-GB"/>
        </w:rPr>
      </w:pPr>
      <w:r w:rsidRPr="00FC05C7">
        <w:rPr>
          <w:rFonts w:ascii="Verdana" w:hAnsi="Verdana"/>
          <w:sz w:val="22"/>
          <w:szCs w:val="22"/>
          <w:lang w:val="en-GB"/>
        </w:rPr>
        <w:t>All police schemes are contributory occupational pension schemes with officers making contributions.</w:t>
      </w:r>
    </w:p>
    <w:p w:rsidR="00CA6653" w:rsidRPr="00FC05C7" w:rsidRDefault="00CA6653" w:rsidP="00CA6653">
      <w:pPr>
        <w:pStyle w:val="Normal00"/>
        <w:jc w:val="both"/>
        <w:rPr>
          <w:rFonts w:ascii="Verdana" w:hAnsi="Verdana"/>
          <w:sz w:val="22"/>
          <w:szCs w:val="22"/>
          <w:lang w:val="en-GB"/>
        </w:rPr>
      </w:pPr>
    </w:p>
    <w:p w:rsidR="00CA6653" w:rsidRPr="00FC05C7" w:rsidRDefault="00CA6653" w:rsidP="00CA6653">
      <w:pPr>
        <w:pStyle w:val="Normal00"/>
        <w:jc w:val="both"/>
        <w:rPr>
          <w:rFonts w:ascii="Verdana" w:hAnsi="Verdana"/>
          <w:sz w:val="22"/>
          <w:szCs w:val="22"/>
          <w:lang w:val="en-GB"/>
        </w:rPr>
      </w:pPr>
      <w:r w:rsidRPr="00FC05C7">
        <w:rPr>
          <w:rFonts w:ascii="Verdana" w:hAnsi="Verdana"/>
          <w:sz w:val="22"/>
          <w:szCs w:val="22"/>
          <w:lang w:val="en-GB"/>
        </w:rPr>
        <w:t>A Police Pension Account was set up on 1st April 2006 to administer the police pension schemes.  All police schemes are unfunded schemes which are treated as defined benefit schemes and provide defined benefits to members (retirement lump sums and pensions), earned as employees worked.</w:t>
      </w:r>
    </w:p>
    <w:p w:rsidR="00CA6653" w:rsidRPr="00FC05C7" w:rsidRDefault="00CA6653" w:rsidP="00CA6653">
      <w:pPr>
        <w:pStyle w:val="Normal00"/>
        <w:jc w:val="both"/>
        <w:rPr>
          <w:rFonts w:ascii="Verdana" w:hAnsi="Verdana"/>
          <w:sz w:val="22"/>
          <w:szCs w:val="22"/>
          <w:lang w:val="en-GB"/>
        </w:rPr>
      </w:pPr>
    </w:p>
    <w:p w:rsidR="00CA6653" w:rsidRPr="00FC05C7" w:rsidRDefault="00CA6653" w:rsidP="00CA6653">
      <w:pPr>
        <w:pStyle w:val="Normal00"/>
        <w:jc w:val="both"/>
        <w:rPr>
          <w:rFonts w:ascii="Verdana" w:hAnsi="Verdana"/>
          <w:sz w:val="22"/>
          <w:szCs w:val="22"/>
          <w:lang w:val="en-GB"/>
        </w:rPr>
      </w:pPr>
      <w:r w:rsidRPr="00FC05C7">
        <w:rPr>
          <w:rFonts w:ascii="Verdana" w:hAnsi="Verdana"/>
          <w:sz w:val="22"/>
          <w:szCs w:val="22"/>
          <w:lang w:val="en-GB"/>
        </w:rPr>
        <w:t xml:space="preserve">All police pension schemes are unfunded schemes which are treated as defined benefit schemes paid from revenue (without managed pension assets).  Accrued net pension liabilities have been assessed on an actuarial basis in accordance with IAS19 Employee Benefits, the net liability and a pensions reserve for both Pension Schemes has been recognised on the Balance Sheet, as have entries in the CIES for movements in the asset/liability relating to the defined benefit scheme.  Transfers into and out of the Scheme representing joining and leaving police officers, are recorded on a cash basis in the Pension Fund, because of the length of time taken to finalise the sums involved.  </w:t>
      </w:r>
    </w:p>
    <w:p w:rsidR="00CA6653" w:rsidRPr="00FC05C7" w:rsidRDefault="00CA6653" w:rsidP="00CA6653">
      <w:pPr>
        <w:pStyle w:val="Normal00"/>
        <w:jc w:val="both"/>
        <w:rPr>
          <w:rFonts w:ascii="Verdana" w:hAnsi="Verdana" w:cs="Arial"/>
          <w:sz w:val="22"/>
          <w:szCs w:val="22"/>
          <w:lang w:val="en-GB"/>
        </w:rPr>
      </w:pPr>
    </w:p>
    <w:p w:rsidR="00CA6653" w:rsidRPr="00FC05C7" w:rsidRDefault="00CA6653" w:rsidP="00CA6653">
      <w:pPr>
        <w:pStyle w:val="Normal00"/>
        <w:jc w:val="both"/>
        <w:rPr>
          <w:rFonts w:ascii="Verdana" w:hAnsi="Verdana" w:cs="Arial"/>
          <w:sz w:val="22"/>
          <w:szCs w:val="22"/>
          <w:lang w:val="en-GB"/>
        </w:rPr>
      </w:pPr>
      <w:r w:rsidRPr="00FC05C7">
        <w:rPr>
          <w:rFonts w:ascii="Verdana" w:hAnsi="Verdana" w:cs="Arial"/>
          <w:sz w:val="22"/>
          <w:szCs w:val="22"/>
          <w:lang w:val="en-GB"/>
        </w:rPr>
        <w:t xml:space="preserve">Following the Code’s requirements, IAS19 has been fully recognised in the Chief Constable and Group accounts.  </w:t>
      </w:r>
    </w:p>
    <w:p w:rsidR="00CA6653" w:rsidRPr="00FC05C7" w:rsidRDefault="00CA6653" w:rsidP="00CA6653">
      <w:pPr>
        <w:pStyle w:val="Normal00"/>
        <w:jc w:val="both"/>
        <w:rPr>
          <w:rFonts w:ascii="Verdana" w:hAnsi="Verdana" w:cs="Arial"/>
          <w:sz w:val="22"/>
          <w:szCs w:val="22"/>
          <w:lang w:val="en-GB"/>
        </w:rPr>
      </w:pPr>
    </w:p>
    <w:p w:rsidR="00CA6653" w:rsidRPr="00FC05C7" w:rsidRDefault="00CA6653" w:rsidP="00CA6653">
      <w:pPr>
        <w:pStyle w:val="ListParagraph"/>
        <w:numPr>
          <w:ilvl w:val="0"/>
          <w:numId w:val="2"/>
        </w:numPr>
        <w:ind w:left="357" w:hanging="357"/>
        <w:jc w:val="both"/>
        <w:rPr>
          <w:sz w:val="22"/>
        </w:rPr>
      </w:pPr>
      <w:r w:rsidRPr="00FC05C7">
        <w:rPr>
          <w:sz w:val="22"/>
        </w:rPr>
        <w:t>The liabilities of the police schemes attributable are included in the Balance Sheet on an actuarial basis using the projected unit method - i.e. an assessment of the future payments that will be made in relation to retirement benefits earned to date by employees, based on assumptions about mortality rates, employee turnover rates, etc. and projections of projected earnings for current employees</w:t>
      </w:r>
    </w:p>
    <w:p w:rsidR="00CA6653" w:rsidRPr="00FC05C7" w:rsidRDefault="00CA6653" w:rsidP="00CA6653">
      <w:pPr>
        <w:pStyle w:val="ListParagraph"/>
        <w:numPr>
          <w:ilvl w:val="0"/>
          <w:numId w:val="0"/>
        </w:numPr>
        <w:ind w:left="357"/>
        <w:jc w:val="both"/>
        <w:rPr>
          <w:sz w:val="22"/>
        </w:rPr>
      </w:pPr>
    </w:p>
    <w:p w:rsidR="00CA6653" w:rsidRPr="00FC05C7" w:rsidRDefault="00CA6653" w:rsidP="00CA6653">
      <w:pPr>
        <w:pStyle w:val="ListParagraph"/>
        <w:numPr>
          <w:ilvl w:val="0"/>
          <w:numId w:val="2"/>
        </w:numPr>
        <w:ind w:left="357" w:hanging="357"/>
        <w:jc w:val="both"/>
        <w:rPr>
          <w:sz w:val="22"/>
        </w:rPr>
      </w:pPr>
      <w:r w:rsidRPr="00FC05C7">
        <w:rPr>
          <w:sz w:val="22"/>
        </w:rPr>
        <w:t>Liabilities are discounted to their value at current prices, using a discount rate based on the indicative rate of return on high quality corporate bond</w:t>
      </w:r>
    </w:p>
    <w:p w:rsidR="00CA6653" w:rsidRPr="00FC05C7" w:rsidRDefault="00CA6653" w:rsidP="00CA6653">
      <w:pPr>
        <w:pStyle w:val="Normal00"/>
        <w:jc w:val="both"/>
        <w:rPr>
          <w:rFonts w:ascii="Verdana" w:hAnsi="Verdana"/>
          <w:sz w:val="22"/>
          <w:szCs w:val="22"/>
          <w:lang w:val="en-GB"/>
        </w:rPr>
      </w:pPr>
    </w:p>
    <w:p w:rsidR="00CA6653" w:rsidRPr="00FC05C7" w:rsidRDefault="00CA6653" w:rsidP="00CA6653">
      <w:pPr>
        <w:pStyle w:val="Normal00"/>
        <w:jc w:val="both"/>
        <w:rPr>
          <w:rFonts w:ascii="Verdana" w:hAnsi="Verdana"/>
          <w:sz w:val="22"/>
          <w:szCs w:val="22"/>
          <w:lang w:val="en-GB"/>
        </w:rPr>
      </w:pPr>
      <w:r w:rsidRPr="00FC05C7">
        <w:rPr>
          <w:rFonts w:ascii="Verdana" w:hAnsi="Verdana"/>
          <w:sz w:val="22"/>
          <w:szCs w:val="22"/>
          <w:lang w:val="en-GB"/>
        </w:rPr>
        <w:t>Police Staff are eligible to join the Local Government Pension Scheme (LGPS) administered by Surrey County Council.  This is a funded scheme.  The employer’s contribution rate is determined by the Fund’s actuary based on valuations every three years.</w:t>
      </w:r>
    </w:p>
    <w:p w:rsidR="00CA6653" w:rsidRPr="00FC05C7" w:rsidRDefault="00CA6653" w:rsidP="00CA6653">
      <w:pPr>
        <w:pStyle w:val="Normal00"/>
        <w:jc w:val="both"/>
        <w:rPr>
          <w:rFonts w:ascii="Verdana" w:hAnsi="Verdana"/>
          <w:sz w:val="22"/>
          <w:szCs w:val="22"/>
          <w:lang w:val="en-GB"/>
        </w:rPr>
      </w:pPr>
    </w:p>
    <w:p w:rsidR="00CA6653" w:rsidRPr="00FC05C7" w:rsidRDefault="00CA6653" w:rsidP="00CA6653">
      <w:pPr>
        <w:pStyle w:val="Normal00"/>
        <w:jc w:val="both"/>
        <w:rPr>
          <w:rFonts w:ascii="Verdana" w:hAnsi="Verdana"/>
          <w:sz w:val="22"/>
          <w:szCs w:val="22"/>
          <w:lang w:val="en-GB"/>
        </w:rPr>
      </w:pPr>
      <w:r w:rsidRPr="00FC05C7">
        <w:rPr>
          <w:rFonts w:ascii="Verdana" w:hAnsi="Verdana"/>
          <w:sz w:val="22"/>
          <w:szCs w:val="22"/>
          <w:lang w:val="en-GB"/>
        </w:rPr>
        <w:t>Additional contributions are payable to cover the cost of any early retirements except those due to ill-health.  In addition the Chief Constable is responsible for all pension payments relating to any added years’ benefits, together with the related increases.</w:t>
      </w:r>
    </w:p>
    <w:p w:rsidR="00CA6653" w:rsidRPr="00FC05C7" w:rsidRDefault="00CA6653" w:rsidP="00CA6653">
      <w:pPr>
        <w:pStyle w:val="Normal00"/>
        <w:jc w:val="both"/>
        <w:rPr>
          <w:rFonts w:ascii="Verdana" w:hAnsi="Verdana"/>
          <w:sz w:val="22"/>
          <w:szCs w:val="22"/>
          <w:lang w:val="en-GB"/>
        </w:rPr>
      </w:pPr>
    </w:p>
    <w:p w:rsidR="00CA6653" w:rsidRPr="00FC05C7" w:rsidRDefault="00CA6653" w:rsidP="00CA6653">
      <w:pPr>
        <w:pStyle w:val="ListParagraph"/>
        <w:numPr>
          <w:ilvl w:val="0"/>
          <w:numId w:val="2"/>
        </w:numPr>
        <w:ind w:left="357" w:hanging="357"/>
        <w:jc w:val="both"/>
        <w:rPr>
          <w:sz w:val="22"/>
        </w:rPr>
      </w:pPr>
      <w:r w:rsidRPr="00FC05C7">
        <w:rPr>
          <w:sz w:val="22"/>
        </w:rPr>
        <w:t xml:space="preserve">The assets of the LGPS attributable to Surrey Police are included in the Balance Sheet at their fair value:  </w:t>
      </w:r>
    </w:p>
    <w:p w:rsidR="00CA6653" w:rsidRPr="00FC05C7" w:rsidRDefault="00CA6653" w:rsidP="00CA6653">
      <w:pPr>
        <w:pStyle w:val="ListParagraph"/>
        <w:numPr>
          <w:ilvl w:val="1"/>
          <w:numId w:val="2"/>
        </w:numPr>
        <w:jc w:val="both"/>
        <w:rPr>
          <w:sz w:val="22"/>
        </w:rPr>
      </w:pPr>
      <w:r w:rsidRPr="00FC05C7">
        <w:rPr>
          <w:sz w:val="22"/>
        </w:rPr>
        <w:t>quoted securities - current bid price</w:t>
      </w:r>
    </w:p>
    <w:p w:rsidR="00CA6653" w:rsidRPr="00FC05C7" w:rsidRDefault="00CA6653" w:rsidP="00CA6653">
      <w:pPr>
        <w:pStyle w:val="ListParagraph"/>
        <w:numPr>
          <w:ilvl w:val="1"/>
          <w:numId w:val="2"/>
        </w:numPr>
        <w:jc w:val="both"/>
        <w:rPr>
          <w:sz w:val="22"/>
        </w:rPr>
      </w:pPr>
      <w:r w:rsidRPr="00FC05C7">
        <w:rPr>
          <w:sz w:val="22"/>
        </w:rPr>
        <w:t>unquoted securities - professional estimate</w:t>
      </w:r>
    </w:p>
    <w:p w:rsidR="00CA6653" w:rsidRPr="00FC05C7" w:rsidRDefault="00CA6653" w:rsidP="00CA6653">
      <w:pPr>
        <w:pStyle w:val="ListParagraph"/>
        <w:numPr>
          <w:ilvl w:val="1"/>
          <w:numId w:val="2"/>
        </w:numPr>
        <w:jc w:val="both"/>
        <w:rPr>
          <w:sz w:val="22"/>
        </w:rPr>
      </w:pPr>
      <w:r w:rsidRPr="00FC05C7">
        <w:rPr>
          <w:sz w:val="22"/>
        </w:rPr>
        <w:t>unitised securities - current bid price</w:t>
      </w:r>
    </w:p>
    <w:p w:rsidR="00CA6653" w:rsidRPr="00FC05C7" w:rsidRDefault="00CA6653" w:rsidP="00CA6653">
      <w:pPr>
        <w:pStyle w:val="ListParagraph"/>
        <w:numPr>
          <w:ilvl w:val="1"/>
          <w:numId w:val="2"/>
        </w:numPr>
        <w:jc w:val="both"/>
        <w:rPr>
          <w:sz w:val="22"/>
        </w:rPr>
      </w:pPr>
      <w:r w:rsidRPr="00FC05C7">
        <w:rPr>
          <w:sz w:val="22"/>
        </w:rPr>
        <w:t>property - market value</w:t>
      </w:r>
    </w:p>
    <w:p w:rsidR="00CA6653" w:rsidRPr="00FC05C7" w:rsidRDefault="00CA6653" w:rsidP="00CA6653">
      <w:pPr>
        <w:pStyle w:val="Normal00"/>
        <w:jc w:val="both"/>
        <w:rPr>
          <w:rFonts w:ascii="Verdana" w:hAnsi="Verdana"/>
          <w:sz w:val="22"/>
          <w:szCs w:val="22"/>
          <w:lang w:val="en-GB"/>
        </w:rPr>
      </w:pPr>
    </w:p>
    <w:p w:rsidR="00CA6653" w:rsidRPr="00FC05C7" w:rsidRDefault="00CA6653" w:rsidP="00CA6653">
      <w:pPr>
        <w:pStyle w:val="Normal00"/>
        <w:jc w:val="both"/>
        <w:rPr>
          <w:rFonts w:ascii="Verdana" w:hAnsi="Verdana"/>
          <w:sz w:val="22"/>
          <w:szCs w:val="22"/>
          <w:lang w:val="en-GB"/>
        </w:rPr>
      </w:pPr>
      <w:r w:rsidRPr="00FC05C7">
        <w:rPr>
          <w:rFonts w:ascii="Verdana" w:hAnsi="Verdana"/>
          <w:sz w:val="22"/>
          <w:szCs w:val="22"/>
          <w:lang w:val="en-GB"/>
        </w:rPr>
        <w:t>The change in the net pension liability is analysed into seven components:</w:t>
      </w:r>
    </w:p>
    <w:p w:rsidR="00CA6653" w:rsidRPr="00FC05C7" w:rsidRDefault="00CA6653" w:rsidP="00CA6653">
      <w:pPr>
        <w:pStyle w:val="ListParagraph"/>
        <w:numPr>
          <w:ilvl w:val="0"/>
          <w:numId w:val="0"/>
        </w:numPr>
        <w:ind w:left="357"/>
        <w:jc w:val="both"/>
        <w:rPr>
          <w:sz w:val="22"/>
        </w:rPr>
      </w:pPr>
    </w:p>
    <w:p w:rsidR="00CA6653" w:rsidRPr="00FC05C7" w:rsidRDefault="00CA6653" w:rsidP="00CA6653">
      <w:pPr>
        <w:pStyle w:val="ListParagraph"/>
        <w:numPr>
          <w:ilvl w:val="0"/>
          <w:numId w:val="2"/>
        </w:numPr>
        <w:ind w:left="357" w:hanging="357"/>
        <w:jc w:val="both"/>
        <w:rPr>
          <w:sz w:val="22"/>
        </w:rPr>
      </w:pPr>
      <w:r w:rsidRPr="00FC05C7">
        <w:rPr>
          <w:b/>
          <w:sz w:val="22"/>
        </w:rPr>
        <w:t xml:space="preserve">current service cost </w:t>
      </w:r>
      <w:r w:rsidRPr="00FC05C7">
        <w:rPr>
          <w:sz w:val="22"/>
        </w:rPr>
        <w:t>- the increase in liabilities as a result of years of service earned this year allocated in the CIES to the services for which the employees worked</w:t>
      </w:r>
    </w:p>
    <w:p w:rsidR="00CA6653" w:rsidRPr="00FC05C7" w:rsidRDefault="00CA6653" w:rsidP="00CA6653">
      <w:pPr>
        <w:pStyle w:val="ListParagraph"/>
        <w:numPr>
          <w:ilvl w:val="0"/>
          <w:numId w:val="0"/>
        </w:numPr>
        <w:ind w:left="357"/>
        <w:jc w:val="both"/>
        <w:rPr>
          <w:sz w:val="22"/>
        </w:rPr>
      </w:pPr>
    </w:p>
    <w:p w:rsidR="00CA6653" w:rsidRPr="00FC05C7" w:rsidRDefault="00CA6653" w:rsidP="00CA6653">
      <w:pPr>
        <w:pStyle w:val="ListParagraph"/>
        <w:numPr>
          <w:ilvl w:val="0"/>
          <w:numId w:val="2"/>
        </w:numPr>
        <w:ind w:left="357" w:hanging="357"/>
        <w:jc w:val="both"/>
        <w:rPr>
          <w:sz w:val="22"/>
        </w:rPr>
      </w:pPr>
      <w:r w:rsidRPr="00FC05C7">
        <w:rPr>
          <w:b/>
          <w:sz w:val="22"/>
        </w:rPr>
        <w:t>past service cost</w:t>
      </w:r>
      <w:r w:rsidRPr="00FC05C7">
        <w:rPr>
          <w:sz w:val="22"/>
        </w:rPr>
        <w:t xml:space="preserve"> - the increase in liabilities arising from current year decisions whose effect relates to years of service earned in earlier years - debited to the Surplus or Deficit on the Provision of Services in the CIES as part of Non Distributed Costs</w:t>
      </w:r>
    </w:p>
    <w:p w:rsidR="00CA6653" w:rsidRPr="00FC05C7" w:rsidRDefault="00CA6653" w:rsidP="00CA6653">
      <w:pPr>
        <w:pStyle w:val="ListParagraph"/>
        <w:numPr>
          <w:ilvl w:val="0"/>
          <w:numId w:val="0"/>
        </w:numPr>
        <w:ind w:left="357"/>
        <w:jc w:val="both"/>
        <w:rPr>
          <w:sz w:val="22"/>
        </w:rPr>
      </w:pPr>
    </w:p>
    <w:p w:rsidR="00CA6653" w:rsidRPr="00FC05C7" w:rsidRDefault="00CA6653" w:rsidP="00CA6653">
      <w:pPr>
        <w:pStyle w:val="ListParagraph"/>
        <w:numPr>
          <w:ilvl w:val="0"/>
          <w:numId w:val="2"/>
        </w:numPr>
        <w:ind w:left="357" w:hanging="357"/>
        <w:jc w:val="both"/>
        <w:rPr>
          <w:sz w:val="22"/>
        </w:rPr>
      </w:pPr>
      <w:r w:rsidRPr="00FC05C7">
        <w:rPr>
          <w:b/>
          <w:sz w:val="22"/>
        </w:rPr>
        <w:t>interest cost</w:t>
      </w:r>
      <w:r w:rsidRPr="00FC05C7">
        <w:rPr>
          <w:sz w:val="22"/>
        </w:rPr>
        <w:t xml:space="preserve"> - the expected increase in the present value of liabilities during the year as they move one year closer to being paid - debited to the Financing and Investment Income and Expenditure line in the CIES</w:t>
      </w:r>
    </w:p>
    <w:p w:rsidR="00CA6653" w:rsidRPr="00FC05C7" w:rsidRDefault="00CA6653" w:rsidP="00CA6653">
      <w:pPr>
        <w:pStyle w:val="ListParagraph"/>
        <w:numPr>
          <w:ilvl w:val="0"/>
          <w:numId w:val="0"/>
        </w:numPr>
        <w:ind w:left="357"/>
        <w:jc w:val="both"/>
        <w:rPr>
          <w:sz w:val="22"/>
        </w:rPr>
      </w:pPr>
    </w:p>
    <w:p w:rsidR="00CA6653" w:rsidRPr="00FC05C7" w:rsidRDefault="00CA6653" w:rsidP="00CA6653">
      <w:pPr>
        <w:pStyle w:val="ListParagraph"/>
        <w:numPr>
          <w:ilvl w:val="0"/>
          <w:numId w:val="2"/>
        </w:numPr>
        <w:ind w:left="357" w:hanging="357"/>
        <w:jc w:val="both"/>
        <w:rPr>
          <w:sz w:val="22"/>
        </w:rPr>
      </w:pPr>
      <w:r w:rsidRPr="00FC05C7">
        <w:rPr>
          <w:b/>
          <w:sz w:val="22"/>
        </w:rPr>
        <w:t>expected return on assets</w:t>
      </w:r>
      <w:r w:rsidRPr="00FC05C7">
        <w:rPr>
          <w:sz w:val="22"/>
        </w:rPr>
        <w:t xml:space="preserve"> - the annual investment return on the fund assets attributable to the Group, based on an average of the expected long-term return - credited to the Financing and Investment Income and Expenditure line in the CIES</w:t>
      </w:r>
    </w:p>
    <w:p w:rsidR="00CA6653" w:rsidRPr="00FC05C7" w:rsidRDefault="00CA6653" w:rsidP="00CA6653">
      <w:pPr>
        <w:pStyle w:val="ListParagraph"/>
        <w:numPr>
          <w:ilvl w:val="0"/>
          <w:numId w:val="0"/>
        </w:numPr>
        <w:ind w:left="357"/>
        <w:jc w:val="both"/>
        <w:rPr>
          <w:sz w:val="22"/>
        </w:rPr>
      </w:pPr>
    </w:p>
    <w:p w:rsidR="00CA6653" w:rsidRPr="00FC05C7" w:rsidRDefault="00CA6653" w:rsidP="00CA6653">
      <w:pPr>
        <w:pStyle w:val="ListParagraph"/>
        <w:numPr>
          <w:ilvl w:val="0"/>
          <w:numId w:val="2"/>
        </w:numPr>
        <w:ind w:left="357" w:hanging="357"/>
        <w:jc w:val="both"/>
        <w:rPr>
          <w:sz w:val="22"/>
        </w:rPr>
      </w:pPr>
      <w:r w:rsidRPr="00FC05C7">
        <w:rPr>
          <w:b/>
          <w:sz w:val="22"/>
        </w:rPr>
        <w:t>gains or losses on settlements and curtailments</w:t>
      </w:r>
      <w:r w:rsidRPr="00FC05C7">
        <w:rPr>
          <w:sz w:val="22"/>
        </w:rPr>
        <w:t xml:space="preserve"> - the result of actions to relieve the Group of liabilities or events that reduce the expected future service or accrual of benefits of employees - debited or credited to the Surplus or Deficit on the Provision of Services in the CIES as part of Non Distributed Costs</w:t>
      </w:r>
    </w:p>
    <w:p w:rsidR="00CA6653" w:rsidRPr="00FC05C7" w:rsidRDefault="00CA6653" w:rsidP="00CA6653">
      <w:pPr>
        <w:pStyle w:val="ListParagraph"/>
        <w:numPr>
          <w:ilvl w:val="0"/>
          <w:numId w:val="0"/>
        </w:numPr>
        <w:ind w:left="357"/>
        <w:jc w:val="both"/>
        <w:rPr>
          <w:sz w:val="22"/>
        </w:rPr>
      </w:pPr>
    </w:p>
    <w:p w:rsidR="00CA6653" w:rsidRPr="00FC05C7" w:rsidRDefault="00CA6653" w:rsidP="00CA6653">
      <w:pPr>
        <w:pStyle w:val="ListParagraph"/>
        <w:numPr>
          <w:ilvl w:val="0"/>
          <w:numId w:val="2"/>
        </w:numPr>
        <w:ind w:left="357" w:hanging="357"/>
        <w:jc w:val="both"/>
        <w:rPr>
          <w:sz w:val="22"/>
        </w:rPr>
      </w:pPr>
      <w:r w:rsidRPr="00FC05C7">
        <w:rPr>
          <w:b/>
          <w:sz w:val="22"/>
        </w:rPr>
        <w:t>actuarial gains and losses</w:t>
      </w:r>
      <w:r w:rsidRPr="00FC05C7">
        <w:rPr>
          <w:sz w:val="22"/>
        </w:rPr>
        <w:t xml:space="preserve"> - changes in the net pensions liability that arise because events have not coincided with assumptions made at the last actuarial valuation or because the actuaries have updated their assumptions - debited to the Pensions Reserve</w:t>
      </w:r>
    </w:p>
    <w:p w:rsidR="00CA6653" w:rsidRPr="00FC05C7" w:rsidRDefault="00CA6653" w:rsidP="00CA6653">
      <w:pPr>
        <w:pStyle w:val="ListParagraph"/>
        <w:numPr>
          <w:ilvl w:val="0"/>
          <w:numId w:val="0"/>
        </w:numPr>
        <w:ind w:left="357"/>
        <w:rPr>
          <w:b/>
          <w:sz w:val="22"/>
        </w:rPr>
      </w:pPr>
    </w:p>
    <w:p w:rsidR="00CA6653" w:rsidRPr="00FC05C7" w:rsidRDefault="00CA6653" w:rsidP="00CA6653">
      <w:pPr>
        <w:pStyle w:val="ListParagraph"/>
        <w:numPr>
          <w:ilvl w:val="0"/>
          <w:numId w:val="2"/>
        </w:numPr>
        <w:ind w:left="357" w:hanging="357"/>
        <w:jc w:val="both"/>
        <w:rPr>
          <w:sz w:val="22"/>
        </w:rPr>
      </w:pPr>
      <w:r w:rsidRPr="00FC05C7">
        <w:rPr>
          <w:b/>
          <w:sz w:val="22"/>
        </w:rPr>
        <w:t>contributions paid to the pension fund</w:t>
      </w:r>
      <w:r w:rsidRPr="00FC05C7">
        <w:rPr>
          <w:sz w:val="22"/>
        </w:rPr>
        <w:t xml:space="preserve"> - cash paid as employer's contributions to the pension fund in settlement of liabilities; not accounted for as an expense</w:t>
      </w:r>
    </w:p>
    <w:p w:rsidR="00CA6653" w:rsidRPr="00FC05C7" w:rsidRDefault="00CA6653" w:rsidP="00CA6653">
      <w:pPr>
        <w:pStyle w:val="Normal00"/>
        <w:jc w:val="both"/>
        <w:rPr>
          <w:rFonts w:ascii="Verdana" w:hAnsi="Verdana" w:cs="Arial"/>
          <w:sz w:val="22"/>
          <w:szCs w:val="22"/>
          <w:lang w:val="en-GB"/>
        </w:rPr>
      </w:pPr>
    </w:p>
    <w:p w:rsidR="00CA6653" w:rsidRPr="00FC05C7" w:rsidRDefault="00CA6653" w:rsidP="00CA6653">
      <w:pPr>
        <w:pStyle w:val="Normal00"/>
        <w:jc w:val="both"/>
        <w:rPr>
          <w:rFonts w:ascii="Verdana" w:hAnsi="Verdana" w:cs="Arial"/>
          <w:sz w:val="22"/>
          <w:szCs w:val="22"/>
          <w:lang w:val="en-GB"/>
        </w:rPr>
      </w:pPr>
      <w:r w:rsidRPr="00FC05C7">
        <w:rPr>
          <w:rFonts w:ascii="Verdana" w:hAnsi="Verdana" w:cs="Arial"/>
          <w:sz w:val="22"/>
          <w:szCs w:val="22"/>
          <w:lang w:val="en-GB"/>
        </w:rPr>
        <w:t xml:space="preserve">In relation to retirement benefits, statutory provisions require the General Fund balance to be charged with the amount payable by the Group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rsidR="00CA6653" w:rsidRPr="00FC05C7" w:rsidRDefault="00CA6653" w:rsidP="00CA6653">
      <w:pPr>
        <w:pStyle w:val="Normal00"/>
        <w:jc w:val="both"/>
        <w:rPr>
          <w:rFonts w:ascii="Verdana" w:hAnsi="Verdana" w:cs="Arial"/>
          <w:b/>
          <w:sz w:val="22"/>
          <w:szCs w:val="22"/>
          <w:lang w:val="en-GB"/>
        </w:rPr>
      </w:pPr>
    </w:p>
    <w:p w:rsidR="00CA6653" w:rsidRPr="00FC05C7" w:rsidRDefault="00CA6653" w:rsidP="00CA6653">
      <w:pPr>
        <w:pStyle w:val="Normal00"/>
        <w:jc w:val="both"/>
        <w:rPr>
          <w:rFonts w:ascii="Verdana" w:hAnsi="Verdana" w:cs="Arial"/>
          <w:b/>
          <w:sz w:val="22"/>
          <w:szCs w:val="22"/>
          <w:lang w:val="en-GB"/>
        </w:rPr>
      </w:pPr>
      <w:r w:rsidRPr="00FC05C7">
        <w:rPr>
          <w:rFonts w:ascii="Verdana" w:hAnsi="Verdana" w:cs="Arial"/>
          <w:b/>
          <w:sz w:val="22"/>
          <w:szCs w:val="22"/>
          <w:lang w:val="en-GB"/>
        </w:rPr>
        <w:t>Discretionary Benefits</w:t>
      </w:r>
    </w:p>
    <w:p w:rsidR="00CA6653" w:rsidRPr="00FC05C7" w:rsidRDefault="00CA6653" w:rsidP="00CA6653">
      <w:pPr>
        <w:pStyle w:val="Normal00"/>
        <w:jc w:val="both"/>
        <w:rPr>
          <w:rFonts w:ascii="Verdana" w:hAnsi="Verdana" w:cs="Arial"/>
          <w:sz w:val="22"/>
          <w:szCs w:val="22"/>
          <w:lang w:val="en-GB"/>
        </w:rPr>
      </w:pPr>
    </w:p>
    <w:p w:rsidR="00CA6653" w:rsidRPr="00FC05C7" w:rsidRDefault="00CA6653" w:rsidP="00CA6653">
      <w:pPr>
        <w:pStyle w:val="Normal00"/>
        <w:jc w:val="both"/>
        <w:rPr>
          <w:rFonts w:ascii="Verdana" w:hAnsi="Verdana" w:cs="Arial"/>
          <w:sz w:val="22"/>
          <w:szCs w:val="22"/>
          <w:lang w:val="en-GB"/>
        </w:rPr>
      </w:pPr>
      <w:r w:rsidRPr="00FC05C7">
        <w:rPr>
          <w:rFonts w:ascii="Verdana" w:hAnsi="Verdana" w:cs="Arial"/>
          <w:sz w:val="22"/>
          <w:szCs w:val="22"/>
          <w:lang w:val="en-GB"/>
        </w:rPr>
        <w:t>The Group has restricted powers to make discretionary awards of retirement benefits in the event of early retirements. Any liabilities estimated to arise as a result of an award to any member of staff are accrued in the year of the decision to make the award and accounted for using the same policies as are applied to the relevant Pension Scheme.</w:t>
      </w:r>
    </w:p>
    <w:p w:rsidR="00CA6653" w:rsidRPr="00FC05C7" w:rsidRDefault="00CA6653" w:rsidP="00CA6653">
      <w:pPr>
        <w:pStyle w:val="Normal00"/>
        <w:jc w:val="both"/>
        <w:rPr>
          <w:rFonts w:ascii="Verdana" w:hAnsi="Verdana" w:cs="Arial"/>
          <w:sz w:val="22"/>
          <w:szCs w:val="22"/>
          <w:lang w:val="en-GB"/>
        </w:rPr>
      </w:pPr>
    </w:p>
    <w:p w:rsidR="00CA6653" w:rsidRPr="00FC05C7" w:rsidRDefault="00CA6653" w:rsidP="00CA6653">
      <w:pPr>
        <w:pStyle w:val="Normal00"/>
        <w:jc w:val="both"/>
        <w:rPr>
          <w:rFonts w:ascii="Verdana" w:hAnsi="Verdana"/>
          <w:sz w:val="22"/>
          <w:szCs w:val="22"/>
          <w:lang w:val="en-GB"/>
        </w:rPr>
      </w:pPr>
      <w:r w:rsidRPr="00FC05C7">
        <w:rPr>
          <w:rFonts w:ascii="Verdana" w:hAnsi="Verdana"/>
          <w:sz w:val="22"/>
          <w:szCs w:val="22"/>
          <w:lang w:val="en-GB"/>
        </w:rPr>
        <w:t>The Group also has restricted powers to make material payments in relation to injury awards. Any liabilities estimated to arise as a result of an award to any member of staff or police officer are accrued in the year of the decision to make the award and accounted for using the same policies as are applied to the relevant pension scheme.</w:t>
      </w:r>
    </w:p>
    <w:p w:rsidR="00CA6653" w:rsidRPr="00FC05C7" w:rsidRDefault="00CA6653" w:rsidP="00CA6653">
      <w:pPr>
        <w:pStyle w:val="Normal00"/>
        <w:jc w:val="both"/>
        <w:rPr>
          <w:rFonts w:ascii="Verdana" w:hAnsi="Verdana" w:cs="Arial"/>
          <w:sz w:val="22"/>
          <w:szCs w:val="22"/>
          <w:lang w:val="en-GB"/>
        </w:rPr>
      </w:pPr>
    </w:p>
    <w:p w:rsidR="00CA6653" w:rsidRPr="00C15A8E" w:rsidRDefault="00CA6653" w:rsidP="00CA6653">
      <w:pPr>
        <w:pStyle w:val="Normal00"/>
        <w:jc w:val="both"/>
        <w:rPr>
          <w:rFonts w:ascii="Verdana" w:hAnsi="Verdana"/>
          <w:b/>
          <w:sz w:val="22"/>
          <w:szCs w:val="22"/>
          <w:lang w:val="en-GB"/>
        </w:rPr>
      </w:pPr>
      <w:r w:rsidRPr="00C15A8E">
        <w:rPr>
          <w:rFonts w:ascii="Verdana" w:hAnsi="Verdana"/>
          <w:b/>
          <w:sz w:val="22"/>
          <w:szCs w:val="22"/>
          <w:lang w:val="en-GB"/>
        </w:rPr>
        <w:t>Fair Value Measurement</w:t>
      </w:r>
    </w:p>
    <w:p w:rsidR="00CA6653" w:rsidRPr="00C15A8E" w:rsidRDefault="00CA6653" w:rsidP="00CA6653">
      <w:pPr>
        <w:pStyle w:val="Normal00"/>
        <w:jc w:val="both"/>
        <w:rPr>
          <w:rFonts w:ascii="Verdana" w:hAnsi="Verdana" w:cs="Arial"/>
          <w:sz w:val="22"/>
          <w:szCs w:val="22"/>
          <w:lang w:val="en-GB"/>
        </w:rPr>
      </w:pPr>
    </w:p>
    <w:p w:rsidR="00CA6653" w:rsidRPr="00C15A8E" w:rsidRDefault="00CA6653" w:rsidP="00CA6653">
      <w:pPr>
        <w:pStyle w:val="Normal00"/>
        <w:jc w:val="both"/>
        <w:rPr>
          <w:rFonts w:ascii="Verdana" w:hAnsi="Verdana" w:cs="Arial"/>
          <w:sz w:val="22"/>
          <w:szCs w:val="22"/>
          <w:lang w:val="en-GB"/>
        </w:rPr>
      </w:pPr>
      <w:r w:rsidRPr="00C15A8E">
        <w:rPr>
          <w:rFonts w:ascii="Verdana" w:hAnsi="Verdana" w:cs="Arial"/>
          <w:sz w:val="22"/>
          <w:szCs w:val="22"/>
          <w:lang w:val="en-GB"/>
        </w:rPr>
        <w:t>The PCC measures some non-financial assets, surplus assets and assets held for sale at fair value at each reporting date using the IFRS13 Fair Value market approach.  Fair value is the price that would be received to sell an asset or be paid to transfer a liability in an orderly transaction between market participants at the measurement date.  The fair value measurement assumes that the transaction to sell the asset or transfer the liability takes place either:</w:t>
      </w:r>
    </w:p>
    <w:p w:rsidR="00CA6653" w:rsidRPr="00C15A8E" w:rsidRDefault="00CA6653" w:rsidP="00CA6653">
      <w:pPr>
        <w:pStyle w:val="Normal00"/>
        <w:jc w:val="both"/>
        <w:rPr>
          <w:rFonts w:ascii="Verdana" w:hAnsi="Verdana" w:cs="Arial"/>
          <w:sz w:val="22"/>
          <w:szCs w:val="22"/>
          <w:lang w:val="en-GB"/>
        </w:rPr>
      </w:pPr>
    </w:p>
    <w:p w:rsidR="00CA6653" w:rsidRPr="00C15A8E" w:rsidRDefault="00CA6653" w:rsidP="00CA6653">
      <w:pPr>
        <w:pStyle w:val="ListParagraph"/>
        <w:numPr>
          <w:ilvl w:val="0"/>
          <w:numId w:val="2"/>
        </w:numPr>
        <w:ind w:left="357" w:hanging="357"/>
        <w:jc w:val="both"/>
        <w:rPr>
          <w:sz w:val="22"/>
        </w:rPr>
      </w:pPr>
      <w:r w:rsidRPr="00C15A8E">
        <w:rPr>
          <w:sz w:val="22"/>
        </w:rPr>
        <w:t>In the principal market for the asset or liability, or</w:t>
      </w:r>
    </w:p>
    <w:p w:rsidR="00CA6653" w:rsidRPr="00C15A8E" w:rsidRDefault="00CA6653" w:rsidP="00CA6653">
      <w:pPr>
        <w:pStyle w:val="ListParagraph"/>
        <w:numPr>
          <w:ilvl w:val="0"/>
          <w:numId w:val="2"/>
        </w:numPr>
        <w:ind w:left="357" w:hanging="357"/>
        <w:jc w:val="both"/>
        <w:rPr>
          <w:sz w:val="22"/>
        </w:rPr>
      </w:pPr>
      <w:r w:rsidRPr="00C15A8E">
        <w:rPr>
          <w:sz w:val="22"/>
        </w:rPr>
        <w:t>In the absence of a principal market, in the most advantageous market for the asset or liability</w:t>
      </w:r>
    </w:p>
    <w:p w:rsidR="00CA6653" w:rsidRPr="00C15A8E" w:rsidRDefault="00CA6653" w:rsidP="00CA6653">
      <w:pPr>
        <w:pStyle w:val="Normal00"/>
        <w:jc w:val="both"/>
        <w:rPr>
          <w:rFonts w:ascii="Verdana" w:hAnsi="Verdana"/>
          <w:sz w:val="22"/>
          <w:szCs w:val="22"/>
          <w:lang w:val="en-GB"/>
        </w:rPr>
      </w:pPr>
    </w:p>
    <w:p w:rsidR="00CA6653" w:rsidRPr="00C15A8E" w:rsidRDefault="00CA6653" w:rsidP="00CA6653">
      <w:pPr>
        <w:pStyle w:val="Normal00"/>
        <w:jc w:val="both"/>
        <w:rPr>
          <w:rFonts w:ascii="Verdana" w:hAnsi="Verdana" w:cs="Arial"/>
          <w:sz w:val="22"/>
          <w:szCs w:val="22"/>
          <w:lang w:val="en-GB"/>
        </w:rPr>
      </w:pPr>
      <w:r w:rsidRPr="00C15A8E">
        <w:rPr>
          <w:rFonts w:ascii="Verdana" w:hAnsi="Verdana" w:cs="Arial"/>
          <w:sz w:val="22"/>
          <w:szCs w:val="22"/>
          <w:lang w:val="en-GB"/>
        </w:rPr>
        <w:t>The PCC uses External Valuers to measure the fair value of an asset or liability using the assumptions that market participants would use when pricing the asset or liability, assuming that market participants act in their economic best interest.</w:t>
      </w:r>
    </w:p>
    <w:p w:rsidR="00CA6653" w:rsidRPr="00C15A8E" w:rsidRDefault="00CA6653" w:rsidP="00CA6653">
      <w:pPr>
        <w:pStyle w:val="Normal00"/>
        <w:jc w:val="both"/>
        <w:rPr>
          <w:rFonts w:ascii="Verdana" w:hAnsi="Verdana" w:cs="Arial"/>
          <w:sz w:val="22"/>
          <w:szCs w:val="22"/>
          <w:lang w:val="en-GB"/>
        </w:rPr>
      </w:pPr>
    </w:p>
    <w:p w:rsidR="00CA6653" w:rsidRPr="00693370" w:rsidRDefault="00CA6653" w:rsidP="00CA6653">
      <w:pPr>
        <w:pStyle w:val="Normal00"/>
        <w:jc w:val="both"/>
        <w:rPr>
          <w:rFonts w:ascii="Verdana" w:hAnsi="Verdana" w:cs="Arial"/>
          <w:sz w:val="22"/>
          <w:szCs w:val="22"/>
          <w:lang w:val="en-GB"/>
        </w:rPr>
      </w:pPr>
      <w:r w:rsidRPr="00693370">
        <w:rPr>
          <w:rFonts w:ascii="Verdana" w:hAnsi="Verdana" w:cs="Arial"/>
          <w:sz w:val="22"/>
          <w:szCs w:val="22"/>
          <w:lang w:val="en-GB"/>
        </w:rPr>
        <w:t>This fair value measurement takes into account a market participant’s ability to generate economic benefits by using the asset in its highest and best use or by selling it to another market participant that would use the asset in its highest and best use.  The Valuers use valuation techniques that are appropriate to the circumstances and for which sufficient data are available to measure fair value, maximising the use of relevant observable inputs and minimising the use of unobservable inputs.</w:t>
      </w:r>
    </w:p>
    <w:p w:rsidR="00CA6653" w:rsidRPr="00693370" w:rsidRDefault="00CA6653" w:rsidP="00CA6653">
      <w:pPr>
        <w:pStyle w:val="Normal00"/>
        <w:jc w:val="both"/>
        <w:rPr>
          <w:rFonts w:ascii="Verdana" w:hAnsi="Verdana" w:cs="Arial"/>
          <w:sz w:val="22"/>
          <w:szCs w:val="22"/>
          <w:lang w:val="en-GB"/>
        </w:rPr>
      </w:pPr>
    </w:p>
    <w:p w:rsidR="00CA6653" w:rsidRPr="00693370" w:rsidRDefault="00CA6653" w:rsidP="00CA6653">
      <w:pPr>
        <w:pStyle w:val="Normal00"/>
        <w:jc w:val="both"/>
        <w:rPr>
          <w:rFonts w:ascii="Verdana" w:hAnsi="Verdana" w:cs="Arial"/>
          <w:sz w:val="22"/>
          <w:szCs w:val="22"/>
          <w:lang w:val="en-GB"/>
        </w:rPr>
      </w:pPr>
      <w:r w:rsidRPr="00693370">
        <w:rPr>
          <w:rFonts w:ascii="Verdana" w:hAnsi="Verdana" w:cs="Arial"/>
          <w:sz w:val="22"/>
          <w:szCs w:val="22"/>
          <w:lang w:val="en-GB"/>
        </w:rPr>
        <w:t xml:space="preserve">The PCC follows the fair value hierarchy prescribed by IFRS13 to increase consistency and comparability in fair value measurements and related disclosures.  This hierarchy categorises into three levels the inputs to valuation techniques used to measure fair value as follows: </w:t>
      </w:r>
    </w:p>
    <w:p w:rsidR="00CA6653" w:rsidRPr="00693370" w:rsidRDefault="00CA6653" w:rsidP="00CA6653">
      <w:pPr>
        <w:pStyle w:val="ListParagraph"/>
        <w:numPr>
          <w:ilvl w:val="0"/>
          <w:numId w:val="2"/>
        </w:numPr>
        <w:ind w:left="357" w:hanging="357"/>
        <w:jc w:val="both"/>
        <w:rPr>
          <w:sz w:val="22"/>
        </w:rPr>
      </w:pPr>
      <w:r w:rsidRPr="00693370">
        <w:rPr>
          <w:sz w:val="22"/>
        </w:rPr>
        <w:t>Level 1 Inputs – quoted prices (unadjusted) in active markets for identical assets or liabilities that the authority can access at the measurement date.</w:t>
      </w:r>
    </w:p>
    <w:p w:rsidR="00CA6653" w:rsidRPr="00693370" w:rsidRDefault="00CA6653" w:rsidP="00CA6653">
      <w:pPr>
        <w:pStyle w:val="ListParagraph"/>
        <w:numPr>
          <w:ilvl w:val="0"/>
          <w:numId w:val="2"/>
        </w:numPr>
        <w:ind w:left="357" w:hanging="357"/>
        <w:jc w:val="both"/>
        <w:rPr>
          <w:sz w:val="22"/>
        </w:rPr>
      </w:pPr>
      <w:r w:rsidRPr="00693370">
        <w:rPr>
          <w:sz w:val="22"/>
        </w:rPr>
        <w:t>Level 2 Inputs – inputs other than quoted prices included within Level 1 that are observable for the asset or liability, either directly or indirectly.</w:t>
      </w:r>
    </w:p>
    <w:p w:rsidR="00CA6653" w:rsidRPr="00693370" w:rsidRDefault="00CA6653" w:rsidP="00CA6653">
      <w:pPr>
        <w:pStyle w:val="ListParagraph"/>
        <w:numPr>
          <w:ilvl w:val="0"/>
          <w:numId w:val="2"/>
        </w:numPr>
        <w:ind w:left="357" w:hanging="357"/>
        <w:jc w:val="both"/>
        <w:rPr>
          <w:sz w:val="22"/>
        </w:rPr>
      </w:pPr>
      <w:r w:rsidRPr="00693370">
        <w:rPr>
          <w:sz w:val="22"/>
        </w:rPr>
        <w:t>Level 3 Inputs – unobservable inputs for the asset or liability.</w:t>
      </w:r>
    </w:p>
    <w:p w:rsidR="00CA6653" w:rsidRPr="00693370" w:rsidRDefault="00CA6653" w:rsidP="00CA6653">
      <w:pPr>
        <w:pStyle w:val="Normal00"/>
        <w:jc w:val="both"/>
        <w:rPr>
          <w:rFonts w:ascii="Verdana" w:hAnsi="Verdana"/>
          <w:b/>
          <w:sz w:val="22"/>
          <w:szCs w:val="22"/>
          <w:lang w:val="en-GB"/>
        </w:rPr>
      </w:pPr>
    </w:p>
    <w:p w:rsidR="00CA6653" w:rsidRPr="00693370" w:rsidRDefault="00CA6653" w:rsidP="00CA6653">
      <w:pPr>
        <w:pStyle w:val="Normal00"/>
        <w:jc w:val="both"/>
        <w:rPr>
          <w:rFonts w:ascii="Verdana" w:hAnsi="Verdana"/>
          <w:b/>
          <w:sz w:val="22"/>
          <w:szCs w:val="22"/>
          <w:lang w:val="en-GB"/>
        </w:rPr>
      </w:pPr>
      <w:r w:rsidRPr="00693370">
        <w:rPr>
          <w:rFonts w:ascii="Verdana" w:hAnsi="Verdana"/>
          <w:b/>
          <w:sz w:val="22"/>
          <w:szCs w:val="22"/>
          <w:lang w:val="en-GB"/>
        </w:rPr>
        <w:t>Financial Instruments</w:t>
      </w:r>
    </w:p>
    <w:p w:rsidR="00CA6653" w:rsidRPr="00693370" w:rsidRDefault="00CA6653" w:rsidP="00CA6653">
      <w:pPr>
        <w:pStyle w:val="Normal00"/>
        <w:jc w:val="both"/>
        <w:rPr>
          <w:rFonts w:ascii="Verdana" w:hAnsi="Verdana" w:cs="Arial"/>
          <w:b/>
          <w:sz w:val="22"/>
          <w:szCs w:val="22"/>
          <w:lang w:val="en-GB"/>
        </w:rPr>
      </w:pPr>
    </w:p>
    <w:p w:rsidR="00CA6653" w:rsidRPr="00693370" w:rsidRDefault="00CA6653" w:rsidP="00CA6653">
      <w:pPr>
        <w:pStyle w:val="Normal00"/>
        <w:jc w:val="both"/>
        <w:rPr>
          <w:rFonts w:ascii="Verdana" w:hAnsi="Verdana" w:cs="Arial"/>
          <w:b/>
          <w:sz w:val="22"/>
          <w:szCs w:val="22"/>
          <w:lang w:val="en-GB"/>
        </w:rPr>
      </w:pPr>
      <w:r w:rsidRPr="00693370">
        <w:rPr>
          <w:rFonts w:ascii="Verdana" w:hAnsi="Verdana" w:cs="Arial"/>
          <w:b/>
          <w:sz w:val="22"/>
          <w:szCs w:val="22"/>
          <w:lang w:val="en-GB"/>
        </w:rPr>
        <w:t>Financial Liabilities</w:t>
      </w:r>
    </w:p>
    <w:p w:rsidR="00CA6653" w:rsidRPr="00693370" w:rsidRDefault="00CA6653" w:rsidP="00CA6653">
      <w:pPr>
        <w:pStyle w:val="Normal00"/>
        <w:jc w:val="both"/>
        <w:rPr>
          <w:rFonts w:ascii="Verdana" w:hAnsi="Verdana" w:cs="Arial"/>
          <w:sz w:val="22"/>
          <w:szCs w:val="22"/>
          <w:lang w:val="en-GB"/>
        </w:rPr>
      </w:pPr>
    </w:p>
    <w:p w:rsidR="00CA6653" w:rsidRPr="00693370" w:rsidRDefault="00CA6653" w:rsidP="00CA6653">
      <w:pPr>
        <w:pStyle w:val="Normal00"/>
        <w:jc w:val="both"/>
        <w:rPr>
          <w:rFonts w:ascii="Verdana" w:hAnsi="Verdana"/>
          <w:sz w:val="22"/>
          <w:szCs w:val="22"/>
          <w:lang w:val="en-GB"/>
        </w:rPr>
      </w:pPr>
      <w:r w:rsidRPr="00693370">
        <w:rPr>
          <w:rFonts w:ascii="Verdana" w:hAnsi="Verdana"/>
          <w:sz w:val="22"/>
          <w:szCs w:val="22"/>
          <w:lang w:val="en-GB"/>
        </w:rPr>
        <w:t>Financial liabilities are recognised on the Balance Sheet when the PCC becomes a party to the contractual provisions of a financial instrument and are initially measured at fair value and are carried at their amortised cost. Annual charges to the Financing and Investment Income and Expenditure line in the Comprehensive Income and Expenditure Statement (CIES)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w:t>
      </w:r>
    </w:p>
    <w:p w:rsidR="00CA6653" w:rsidRPr="00693370" w:rsidRDefault="00CA6653" w:rsidP="00CA6653">
      <w:pPr>
        <w:pStyle w:val="Normal00"/>
        <w:jc w:val="both"/>
        <w:rPr>
          <w:rFonts w:ascii="Verdana" w:hAnsi="Verdana"/>
          <w:sz w:val="22"/>
          <w:szCs w:val="22"/>
          <w:lang w:val="en-GB"/>
        </w:rPr>
      </w:pPr>
    </w:p>
    <w:p w:rsidR="00CA6653" w:rsidRPr="00693370" w:rsidRDefault="00CA6653" w:rsidP="00CA6653">
      <w:pPr>
        <w:pStyle w:val="Normal00"/>
        <w:rPr>
          <w:rFonts w:ascii="Verdana" w:hAnsi="Verdana"/>
          <w:sz w:val="22"/>
          <w:szCs w:val="22"/>
          <w:lang w:val="en-GB"/>
        </w:rPr>
      </w:pPr>
      <w:r w:rsidRPr="00693370">
        <w:rPr>
          <w:rFonts w:ascii="Verdana" w:hAnsi="Verdana"/>
          <w:sz w:val="22"/>
          <w:szCs w:val="22"/>
          <w:lang w:val="en-GB"/>
        </w:rPr>
        <w:t>For the PCC borrowings held, this means that the amount presented in the Balance Sheet is the outstanding principal repayable (plus accrued interest); and interest charged to the CIES is the amount payable for the year according to the loan agreement.</w:t>
      </w:r>
    </w:p>
    <w:p w:rsidR="00CA6653" w:rsidRPr="00693370" w:rsidRDefault="00CA6653" w:rsidP="00CA6653">
      <w:pPr>
        <w:pStyle w:val="Normal00"/>
        <w:jc w:val="both"/>
        <w:rPr>
          <w:rFonts w:ascii="Verdana" w:hAnsi="Verdana" w:cs="Arial"/>
          <w:sz w:val="22"/>
          <w:szCs w:val="22"/>
          <w:lang w:val="en-GB"/>
        </w:rPr>
      </w:pPr>
    </w:p>
    <w:p w:rsidR="00CA6653" w:rsidRPr="00693370" w:rsidRDefault="00CA6653" w:rsidP="00CA6653">
      <w:pPr>
        <w:pStyle w:val="Normal00"/>
        <w:jc w:val="both"/>
        <w:rPr>
          <w:rFonts w:ascii="Verdana" w:hAnsi="Verdana" w:cs="Arial"/>
          <w:sz w:val="22"/>
          <w:szCs w:val="22"/>
          <w:lang w:val="en-GB"/>
        </w:rPr>
      </w:pPr>
      <w:r w:rsidRPr="00693370">
        <w:rPr>
          <w:rFonts w:ascii="Verdana" w:hAnsi="Verdana" w:cs="Arial"/>
          <w:sz w:val="22"/>
          <w:szCs w:val="22"/>
          <w:lang w:val="en-GB"/>
        </w:rPr>
        <w:t>The Group has adopted CIPFA’s Treasury Management in the Public Services: Code of Practice and has set treasury management indicators to control key financial instrument risks in accordance with CIPFA’s Prudential Code.</w:t>
      </w:r>
    </w:p>
    <w:p w:rsidR="00CA6653" w:rsidRPr="00693370" w:rsidRDefault="00CA6653" w:rsidP="00CA6653">
      <w:pPr>
        <w:pStyle w:val="Normal00"/>
        <w:jc w:val="both"/>
        <w:rPr>
          <w:rFonts w:ascii="Verdana" w:hAnsi="Verdana" w:cs="Arial"/>
          <w:sz w:val="22"/>
          <w:szCs w:val="22"/>
          <w:lang w:val="en-GB"/>
        </w:rPr>
      </w:pPr>
    </w:p>
    <w:p w:rsidR="00CA6653" w:rsidRPr="00693370" w:rsidRDefault="00CA6653" w:rsidP="00CA6653">
      <w:pPr>
        <w:pStyle w:val="Normal00"/>
        <w:jc w:val="both"/>
        <w:rPr>
          <w:rFonts w:ascii="Verdana" w:hAnsi="Verdana" w:cs="Arial"/>
          <w:b/>
          <w:sz w:val="22"/>
          <w:szCs w:val="22"/>
          <w:lang w:val="en-GB"/>
        </w:rPr>
      </w:pPr>
      <w:r w:rsidRPr="00693370">
        <w:rPr>
          <w:rFonts w:ascii="Verdana" w:hAnsi="Verdana" w:cs="Arial"/>
          <w:b/>
          <w:sz w:val="22"/>
          <w:szCs w:val="22"/>
          <w:lang w:val="en-GB"/>
        </w:rPr>
        <w:t>Financial Assets</w:t>
      </w:r>
    </w:p>
    <w:p w:rsidR="00CA6653" w:rsidRPr="00693370" w:rsidRDefault="00CA6653" w:rsidP="00CA6653">
      <w:pPr>
        <w:pStyle w:val="Pa12"/>
        <w:spacing w:before="120"/>
        <w:jc w:val="both"/>
        <w:rPr>
          <w:rFonts w:ascii="Verdana" w:hAnsi="Verdana" w:cs="FS Lola"/>
          <w:sz w:val="22"/>
          <w:szCs w:val="22"/>
          <w:lang w:val="en-GB"/>
        </w:rPr>
      </w:pPr>
      <w:r w:rsidRPr="00693370">
        <w:rPr>
          <w:rFonts w:ascii="Verdana" w:hAnsi="Verdana" w:cs="FS Lola"/>
          <w:sz w:val="22"/>
          <w:szCs w:val="22"/>
          <w:lang w:val="en-GB"/>
        </w:rPr>
        <w:t xml:space="preserve">Financial assets are classified based on a classification and measurement approach that reflects the business model for holding the financial assets and their cashflow characteristics. There are three main classes of financial assets measured at: </w:t>
      </w:r>
    </w:p>
    <w:p w:rsidR="00CA6653" w:rsidRPr="00693370" w:rsidRDefault="00CA6653" w:rsidP="00CA6653">
      <w:pPr>
        <w:pStyle w:val="Default"/>
        <w:numPr>
          <w:ilvl w:val="0"/>
          <w:numId w:val="2"/>
        </w:numPr>
        <w:spacing w:after="86"/>
        <w:jc w:val="both"/>
        <w:rPr>
          <w:rFonts w:ascii="Verdana" w:hAnsi="Verdana"/>
          <w:color w:val="auto"/>
          <w:sz w:val="22"/>
          <w:szCs w:val="22"/>
          <w:lang w:val="en-GB"/>
        </w:rPr>
      </w:pPr>
      <w:r w:rsidRPr="00693370">
        <w:rPr>
          <w:rFonts w:ascii="Verdana" w:hAnsi="Verdana"/>
          <w:color w:val="auto"/>
          <w:sz w:val="22"/>
          <w:szCs w:val="22"/>
          <w:lang w:val="en-GB"/>
        </w:rPr>
        <w:t xml:space="preserve">amortised cost </w:t>
      </w:r>
    </w:p>
    <w:p w:rsidR="00CA6653" w:rsidRPr="00693370" w:rsidRDefault="00CA6653" w:rsidP="00CA6653">
      <w:pPr>
        <w:pStyle w:val="Default"/>
        <w:numPr>
          <w:ilvl w:val="0"/>
          <w:numId w:val="2"/>
        </w:numPr>
        <w:spacing w:after="86"/>
        <w:jc w:val="both"/>
        <w:rPr>
          <w:rFonts w:ascii="Verdana" w:hAnsi="Verdana"/>
          <w:color w:val="auto"/>
          <w:sz w:val="22"/>
          <w:szCs w:val="22"/>
          <w:lang w:val="en-GB"/>
        </w:rPr>
      </w:pPr>
      <w:r w:rsidRPr="00693370">
        <w:rPr>
          <w:rFonts w:ascii="Verdana" w:hAnsi="Verdana"/>
          <w:color w:val="auto"/>
          <w:sz w:val="22"/>
          <w:szCs w:val="22"/>
          <w:lang w:val="en-GB"/>
        </w:rPr>
        <w:t xml:space="preserve">fair value through profit or loss (FVPL), and </w:t>
      </w:r>
    </w:p>
    <w:p w:rsidR="00CA6653" w:rsidRPr="00693370" w:rsidRDefault="00CA6653" w:rsidP="00CA6653">
      <w:pPr>
        <w:pStyle w:val="Default"/>
        <w:numPr>
          <w:ilvl w:val="0"/>
          <w:numId w:val="2"/>
        </w:numPr>
        <w:jc w:val="both"/>
        <w:rPr>
          <w:rFonts w:ascii="Verdana" w:hAnsi="Verdana"/>
          <w:color w:val="auto"/>
          <w:sz w:val="22"/>
          <w:szCs w:val="22"/>
          <w:lang w:val="en-GB"/>
        </w:rPr>
      </w:pPr>
      <w:r w:rsidRPr="00693370">
        <w:rPr>
          <w:rFonts w:ascii="Verdana" w:hAnsi="Verdana"/>
          <w:color w:val="auto"/>
          <w:sz w:val="22"/>
          <w:szCs w:val="22"/>
          <w:lang w:val="en-GB"/>
        </w:rPr>
        <w:t xml:space="preserve">fair value through other comprehensive income (FVOCI) [separate accounting policy is required where an authority holds financial instruments at fair value through other comprehensive income]. </w:t>
      </w:r>
    </w:p>
    <w:p w:rsidR="00CA6653" w:rsidRPr="00693370" w:rsidRDefault="00CA6653" w:rsidP="00CA6653">
      <w:pPr>
        <w:pStyle w:val="Default"/>
        <w:jc w:val="both"/>
        <w:rPr>
          <w:rFonts w:ascii="Verdana" w:hAnsi="Verdana"/>
          <w:color w:val="auto"/>
          <w:sz w:val="22"/>
          <w:szCs w:val="22"/>
          <w:lang w:val="en-GB"/>
        </w:rPr>
      </w:pPr>
    </w:p>
    <w:p w:rsidR="00CA6653" w:rsidRPr="00693370" w:rsidRDefault="00CA6653" w:rsidP="00CA6653">
      <w:pPr>
        <w:pStyle w:val="Normal00"/>
        <w:jc w:val="both"/>
        <w:rPr>
          <w:rFonts w:ascii="Verdana" w:hAnsi="Verdana" w:cs="FS Lola"/>
          <w:sz w:val="22"/>
          <w:szCs w:val="22"/>
          <w:lang w:val="en-GB"/>
        </w:rPr>
      </w:pPr>
      <w:r w:rsidRPr="00693370">
        <w:rPr>
          <w:rFonts w:ascii="Verdana" w:hAnsi="Verdana" w:cs="FS Lola"/>
          <w:sz w:val="22"/>
          <w:szCs w:val="22"/>
          <w:lang w:val="en-GB"/>
        </w:rPr>
        <w:t>The authority’s business model is to hold investments to collect contractual cash flows. Financial assets are therefore classified as amortised cost, except for those whose contractual payments are not solely payment of principal and interest (ie where the cash flows do not take the form of a basic debt instrument).</w:t>
      </w:r>
    </w:p>
    <w:p w:rsidR="00CA6653" w:rsidRPr="00693370" w:rsidRDefault="00CA6653" w:rsidP="00CA6653">
      <w:pPr>
        <w:pStyle w:val="Pa28"/>
        <w:spacing w:before="280"/>
        <w:ind w:right="100"/>
        <w:jc w:val="both"/>
        <w:rPr>
          <w:rFonts w:ascii="Verdana" w:hAnsi="Verdana" w:cs="FS Lola"/>
          <w:sz w:val="22"/>
          <w:szCs w:val="22"/>
          <w:lang w:val="en-GB"/>
        </w:rPr>
      </w:pPr>
      <w:r w:rsidRPr="00693370">
        <w:rPr>
          <w:rFonts w:ascii="Verdana" w:hAnsi="Verdana" w:cs="FS Lola"/>
          <w:b/>
          <w:bCs/>
          <w:sz w:val="22"/>
          <w:szCs w:val="22"/>
          <w:lang w:val="en-GB"/>
        </w:rPr>
        <w:t xml:space="preserve">Financial Assets Measured at Amortised Cost </w:t>
      </w:r>
    </w:p>
    <w:p w:rsidR="00CA6653" w:rsidRPr="00693370" w:rsidRDefault="00CA6653" w:rsidP="00CA6653">
      <w:pPr>
        <w:pStyle w:val="Pa12"/>
        <w:spacing w:before="120"/>
        <w:jc w:val="both"/>
        <w:rPr>
          <w:rFonts w:ascii="Verdana" w:hAnsi="Verdana" w:cs="FS Lola"/>
          <w:sz w:val="22"/>
          <w:szCs w:val="22"/>
          <w:lang w:val="en-GB"/>
        </w:rPr>
      </w:pPr>
      <w:r w:rsidRPr="00693370">
        <w:rPr>
          <w:rFonts w:ascii="Verdana" w:hAnsi="Verdana" w:cs="FS Lola"/>
          <w:sz w:val="22"/>
          <w:szCs w:val="22"/>
          <w:lang w:val="en-GB"/>
        </w:rPr>
        <w:t xml:space="preserve">Financial assets measured at amortised cost are recognised on the Balance Sheet when the authority becomes a party to the contractual provisions of a financial instrument and are initially measured at fair value. They are subsequently measured at their amortised cost. Annual credits to the Financing and Investment Income and Expenditure line in the CIES for interest receivable are based on the carrying amount of the asset multiplied by the effective rate of interest for the instrument. For most of the financial assets held by the authority, this means that the amount presented in the Balance Sheet is the outstanding principal receivable (plus accrued interest) and interest credited to the CIES is the amount receivable for the year in the loan agreement. </w:t>
      </w:r>
    </w:p>
    <w:p w:rsidR="00CA6653" w:rsidRPr="00693370" w:rsidRDefault="00CA6653" w:rsidP="00CA6653">
      <w:pPr>
        <w:pStyle w:val="Pa12"/>
        <w:spacing w:before="120"/>
        <w:jc w:val="both"/>
        <w:rPr>
          <w:rFonts w:ascii="Verdana" w:hAnsi="Verdana" w:cs="FS Lola"/>
          <w:sz w:val="22"/>
          <w:szCs w:val="22"/>
          <w:lang w:val="en-GB"/>
        </w:rPr>
      </w:pPr>
      <w:r w:rsidRPr="00693370">
        <w:rPr>
          <w:rFonts w:ascii="Verdana" w:hAnsi="Verdana" w:cs="FS Lola"/>
          <w:sz w:val="22"/>
          <w:szCs w:val="22"/>
          <w:lang w:val="en-GB"/>
        </w:rPr>
        <w:t xml:space="preserve">The authority does not hold any soft loans. </w:t>
      </w:r>
    </w:p>
    <w:p w:rsidR="00CA6653" w:rsidRPr="00693370" w:rsidRDefault="00CA6653" w:rsidP="00CA6653">
      <w:pPr>
        <w:pStyle w:val="Pa28"/>
        <w:spacing w:before="280"/>
        <w:ind w:right="100"/>
        <w:jc w:val="both"/>
        <w:rPr>
          <w:rFonts w:ascii="Verdana" w:hAnsi="Verdana" w:cs="FS Lola"/>
          <w:sz w:val="22"/>
          <w:szCs w:val="22"/>
          <w:lang w:val="en-GB"/>
        </w:rPr>
      </w:pPr>
      <w:r w:rsidRPr="00693370">
        <w:rPr>
          <w:rFonts w:ascii="Verdana" w:hAnsi="Verdana" w:cs="FS Lola"/>
          <w:b/>
          <w:bCs/>
          <w:sz w:val="22"/>
          <w:szCs w:val="22"/>
          <w:lang w:val="en-GB"/>
        </w:rPr>
        <w:t>Expected Credit Loss</w:t>
      </w:r>
    </w:p>
    <w:p w:rsidR="00CA6653" w:rsidRPr="00693370" w:rsidRDefault="00CA6653" w:rsidP="00CA6653">
      <w:pPr>
        <w:pStyle w:val="Pa12"/>
        <w:spacing w:before="120"/>
        <w:jc w:val="both"/>
        <w:rPr>
          <w:rFonts w:ascii="Verdana" w:hAnsi="Verdana" w:cs="FS Lola"/>
          <w:sz w:val="22"/>
          <w:szCs w:val="22"/>
          <w:lang w:val="en-GB"/>
        </w:rPr>
      </w:pPr>
      <w:r w:rsidRPr="00693370">
        <w:rPr>
          <w:rFonts w:ascii="Verdana" w:hAnsi="Verdana" w:cs="FS Lola"/>
          <w:sz w:val="22"/>
          <w:szCs w:val="22"/>
          <w:lang w:val="en-GB"/>
        </w:rPr>
        <w:t xml:space="preserve">The authority will recognise material expected credit losses on all of its financial assets held at amortised cost [or where relevant FVOCI], either on a 12-month or lifetime basis. </w:t>
      </w:r>
    </w:p>
    <w:p w:rsidR="00CA6653" w:rsidRPr="00693370" w:rsidRDefault="00CA6653" w:rsidP="00CA6653">
      <w:pPr>
        <w:pStyle w:val="Pa12"/>
        <w:spacing w:before="120"/>
        <w:jc w:val="both"/>
        <w:rPr>
          <w:rFonts w:ascii="Verdana" w:hAnsi="Verdana" w:cs="FS Lola"/>
          <w:sz w:val="22"/>
          <w:szCs w:val="22"/>
          <w:lang w:val="en-GB"/>
        </w:rPr>
      </w:pPr>
      <w:r w:rsidRPr="00693370">
        <w:rPr>
          <w:rFonts w:ascii="Verdana" w:hAnsi="Verdana" w:cs="FS Lola"/>
          <w:sz w:val="22"/>
          <w:szCs w:val="22"/>
          <w:lang w:val="en-GB"/>
        </w:rPr>
        <w:t xml:space="preserve">Impairment losses are calculated to reflect the expectation that the future cash flows might not take place because the borrower could default on their obligations. Credit risk plays a crucial part in assessing losses. Where risk has increased significantly since an instrument was initially recognised, losses are assessed on a lifetime basis. Where risk has not increased significantly or remains low, losses are assessed on the basis of 12-month expected losses. </w:t>
      </w:r>
    </w:p>
    <w:p w:rsidR="00CA6653" w:rsidRPr="00693370" w:rsidRDefault="00CA6653" w:rsidP="00CA6653">
      <w:pPr>
        <w:pStyle w:val="Normal00"/>
        <w:autoSpaceDE w:val="0"/>
        <w:autoSpaceDN w:val="0"/>
        <w:adjustRightInd w:val="0"/>
        <w:spacing w:before="280" w:line="231" w:lineRule="atLeast"/>
        <w:ind w:right="100"/>
        <w:jc w:val="both"/>
        <w:rPr>
          <w:rFonts w:ascii="Verdana" w:hAnsi="Verdana" w:cs="FS Lola"/>
          <w:sz w:val="22"/>
          <w:szCs w:val="22"/>
          <w:lang w:val="en-GB"/>
        </w:rPr>
      </w:pPr>
      <w:r w:rsidRPr="00693370">
        <w:rPr>
          <w:rFonts w:ascii="Verdana" w:hAnsi="Verdana" w:cs="FS Lola"/>
          <w:b/>
          <w:bCs/>
          <w:sz w:val="22"/>
          <w:szCs w:val="22"/>
          <w:lang w:val="en-GB"/>
        </w:rPr>
        <w:t xml:space="preserve">Financial Assets Measured at Fair Value through Profit of Loss </w:t>
      </w:r>
    </w:p>
    <w:p w:rsidR="00CA6653" w:rsidRPr="00693370" w:rsidRDefault="00CA6653" w:rsidP="00CA6653">
      <w:pPr>
        <w:pStyle w:val="Normal00"/>
        <w:autoSpaceDE w:val="0"/>
        <w:autoSpaceDN w:val="0"/>
        <w:adjustRightInd w:val="0"/>
        <w:spacing w:before="120" w:line="231" w:lineRule="atLeast"/>
        <w:jc w:val="both"/>
        <w:rPr>
          <w:rFonts w:ascii="Verdana" w:hAnsi="Verdana" w:cs="FS Lola"/>
          <w:sz w:val="22"/>
          <w:szCs w:val="22"/>
          <w:lang w:val="en-GB"/>
        </w:rPr>
      </w:pPr>
      <w:r w:rsidRPr="00693370">
        <w:rPr>
          <w:rFonts w:ascii="Verdana" w:hAnsi="Verdana" w:cs="FS Lola"/>
          <w:sz w:val="22"/>
          <w:szCs w:val="22"/>
          <w:lang w:val="en-GB"/>
        </w:rPr>
        <w:t xml:space="preserve">Financial assets that are measured at FVPL are recognised on the Balance Sheet when the authority becomes a party to the contractual provisions of a financial instrument and are initially measured and carried at fair value. Fair value gains and losses are recognised as they arrive in the Surplus or Deficit on the Provision of Services. </w:t>
      </w:r>
    </w:p>
    <w:p w:rsidR="00CA6653" w:rsidRPr="00693370" w:rsidRDefault="00CA6653" w:rsidP="00CA6653">
      <w:pPr>
        <w:pStyle w:val="Normal00"/>
        <w:autoSpaceDE w:val="0"/>
        <w:autoSpaceDN w:val="0"/>
        <w:adjustRightInd w:val="0"/>
        <w:spacing w:before="120" w:line="231" w:lineRule="atLeast"/>
        <w:jc w:val="both"/>
        <w:rPr>
          <w:rFonts w:ascii="Verdana" w:hAnsi="Verdana" w:cs="FS Lola"/>
          <w:sz w:val="22"/>
          <w:szCs w:val="22"/>
          <w:lang w:val="en-GB"/>
        </w:rPr>
      </w:pPr>
      <w:r w:rsidRPr="00693370">
        <w:rPr>
          <w:rFonts w:ascii="Verdana" w:hAnsi="Verdana" w:cs="FS Lola"/>
          <w:sz w:val="22"/>
          <w:szCs w:val="22"/>
          <w:lang w:val="en-GB"/>
        </w:rPr>
        <w:t xml:space="preserve">The fair value measurements of the financial assets are based on the following techniques: </w:t>
      </w:r>
    </w:p>
    <w:p w:rsidR="00CA6653" w:rsidRPr="00693370" w:rsidRDefault="00CA6653" w:rsidP="00CA6653">
      <w:pPr>
        <w:pStyle w:val="ListParagraph"/>
        <w:numPr>
          <w:ilvl w:val="0"/>
          <w:numId w:val="4"/>
        </w:numPr>
        <w:autoSpaceDE w:val="0"/>
        <w:autoSpaceDN w:val="0"/>
        <w:adjustRightInd w:val="0"/>
        <w:spacing w:after="86"/>
        <w:jc w:val="both"/>
        <w:rPr>
          <w:rFonts w:eastAsiaTheme="minorHAnsi" w:cs="FS Lola"/>
          <w:sz w:val="22"/>
          <w:lang w:eastAsia="en-US"/>
        </w:rPr>
      </w:pPr>
      <w:r w:rsidRPr="00693370">
        <w:rPr>
          <w:rFonts w:eastAsiaTheme="minorHAnsi" w:cs="FS Lola"/>
          <w:sz w:val="22"/>
          <w:lang w:eastAsia="en-US"/>
        </w:rPr>
        <w:t xml:space="preserve">instruments with quoted market prices – the market price </w:t>
      </w:r>
    </w:p>
    <w:p w:rsidR="00CA6653" w:rsidRPr="00693370" w:rsidRDefault="00CA6653" w:rsidP="00CA6653">
      <w:pPr>
        <w:pStyle w:val="ListParagraph"/>
        <w:numPr>
          <w:ilvl w:val="0"/>
          <w:numId w:val="4"/>
        </w:numPr>
        <w:autoSpaceDE w:val="0"/>
        <w:autoSpaceDN w:val="0"/>
        <w:adjustRightInd w:val="0"/>
        <w:jc w:val="both"/>
        <w:rPr>
          <w:rFonts w:eastAsiaTheme="minorHAnsi" w:cs="FS Lola"/>
          <w:sz w:val="22"/>
          <w:lang w:eastAsia="en-US"/>
        </w:rPr>
      </w:pPr>
      <w:r w:rsidRPr="00693370">
        <w:rPr>
          <w:rFonts w:eastAsiaTheme="minorHAnsi" w:cs="FS Lola"/>
          <w:sz w:val="22"/>
          <w:lang w:eastAsia="en-US"/>
        </w:rPr>
        <w:t xml:space="preserve">other instruments with fixed and determinable payments – discounted cash flow analysis. </w:t>
      </w:r>
    </w:p>
    <w:p w:rsidR="00CA6653" w:rsidRPr="00693370" w:rsidRDefault="00CA6653" w:rsidP="00CA6653">
      <w:pPr>
        <w:pStyle w:val="Normal00"/>
        <w:autoSpaceDE w:val="0"/>
        <w:autoSpaceDN w:val="0"/>
        <w:adjustRightInd w:val="0"/>
        <w:spacing w:before="120" w:line="231" w:lineRule="atLeast"/>
        <w:jc w:val="both"/>
        <w:rPr>
          <w:rFonts w:ascii="Verdana" w:hAnsi="Verdana" w:cs="FS Lola"/>
          <w:sz w:val="22"/>
          <w:szCs w:val="22"/>
          <w:lang w:val="en-GB"/>
        </w:rPr>
      </w:pPr>
      <w:r w:rsidRPr="00693370">
        <w:rPr>
          <w:rFonts w:ascii="Verdana" w:hAnsi="Verdana" w:cs="FS Lola"/>
          <w:sz w:val="22"/>
          <w:szCs w:val="22"/>
          <w:lang w:val="en-GB"/>
        </w:rPr>
        <w:t xml:space="preserve">The inputs to the measurement techniques are categorised in accordance with the following three levels: </w:t>
      </w:r>
    </w:p>
    <w:p w:rsidR="00CA6653" w:rsidRPr="00693370" w:rsidRDefault="00CA6653" w:rsidP="00CA6653">
      <w:pPr>
        <w:pStyle w:val="ListParagraph"/>
        <w:numPr>
          <w:ilvl w:val="0"/>
          <w:numId w:val="5"/>
        </w:numPr>
        <w:autoSpaceDE w:val="0"/>
        <w:autoSpaceDN w:val="0"/>
        <w:adjustRightInd w:val="0"/>
        <w:spacing w:after="86"/>
        <w:jc w:val="both"/>
        <w:rPr>
          <w:rFonts w:eastAsiaTheme="minorHAnsi" w:cs="FS Lola"/>
          <w:sz w:val="22"/>
          <w:lang w:eastAsia="en-US"/>
        </w:rPr>
      </w:pPr>
      <w:r w:rsidRPr="00693370">
        <w:rPr>
          <w:rFonts w:eastAsiaTheme="minorHAnsi" w:cs="FS Lola"/>
          <w:sz w:val="22"/>
          <w:lang w:eastAsia="en-US"/>
        </w:rPr>
        <w:t xml:space="preserve">Level 1 inputs – quoted prices (unadjusted) in active markets for identical assets at the measurement date. </w:t>
      </w:r>
    </w:p>
    <w:p w:rsidR="00CA6653" w:rsidRPr="00693370" w:rsidRDefault="00CA6653" w:rsidP="00CA6653">
      <w:pPr>
        <w:pStyle w:val="ListParagraph"/>
        <w:numPr>
          <w:ilvl w:val="0"/>
          <w:numId w:val="5"/>
        </w:numPr>
        <w:autoSpaceDE w:val="0"/>
        <w:autoSpaceDN w:val="0"/>
        <w:adjustRightInd w:val="0"/>
        <w:spacing w:after="86"/>
        <w:jc w:val="both"/>
        <w:rPr>
          <w:rFonts w:eastAsiaTheme="minorHAnsi" w:cs="FS Lola"/>
          <w:sz w:val="22"/>
          <w:lang w:eastAsia="en-US"/>
        </w:rPr>
      </w:pPr>
      <w:r w:rsidRPr="00693370">
        <w:rPr>
          <w:rFonts w:eastAsiaTheme="minorHAnsi" w:cs="FS Lola"/>
          <w:sz w:val="22"/>
          <w:lang w:eastAsia="en-US"/>
        </w:rPr>
        <w:t xml:space="preserve">Level 2 inputs – inputs other than quoted prices included within Level 1 that are observable for the asset, either directly or indirectly. </w:t>
      </w:r>
    </w:p>
    <w:p w:rsidR="00CA6653" w:rsidRPr="00693370" w:rsidRDefault="00CA6653" w:rsidP="00CA6653">
      <w:pPr>
        <w:pStyle w:val="ListParagraph"/>
        <w:numPr>
          <w:ilvl w:val="0"/>
          <w:numId w:val="5"/>
        </w:numPr>
        <w:autoSpaceDE w:val="0"/>
        <w:autoSpaceDN w:val="0"/>
        <w:adjustRightInd w:val="0"/>
        <w:jc w:val="both"/>
        <w:rPr>
          <w:rFonts w:eastAsiaTheme="minorHAnsi" w:cs="FS Lola"/>
          <w:sz w:val="22"/>
          <w:lang w:eastAsia="en-US"/>
        </w:rPr>
      </w:pPr>
      <w:r w:rsidRPr="00693370">
        <w:rPr>
          <w:rFonts w:eastAsiaTheme="minorHAnsi" w:cs="FS Lola"/>
          <w:sz w:val="22"/>
          <w:lang w:eastAsia="en-US"/>
        </w:rPr>
        <w:t xml:space="preserve">Level 3 inputs – unobservable inputs for the asset. </w:t>
      </w:r>
    </w:p>
    <w:p w:rsidR="00CA6653" w:rsidRPr="00693370" w:rsidRDefault="00CA6653" w:rsidP="00CA6653">
      <w:pPr>
        <w:pStyle w:val="Normal00"/>
        <w:autoSpaceDE w:val="0"/>
        <w:autoSpaceDN w:val="0"/>
        <w:adjustRightInd w:val="0"/>
        <w:spacing w:before="120" w:line="231" w:lineRule="atLeast"/>
        <w:jc w:val="both"/>
        <w:rPr>
          <w:rFonts w:ascii="Verdana" w:hAnsi="Verdana" w:cs="FS Lola"/>
          <w:sz w:val="22"/>
          <w:szCs w:val="22"/>
          <w:lang w:val="en-GB"/>
        </w:rPr>
      </w:pPr>
      <w:r w:rsidRPr="00693370">
        <w:rPr>
          <w:rFonts w:ascii="Verdana" w:hAnsi="Verdana" w:cs="FS Lola"/>
          <w:sz w:val="22"/>
          <w:szCs w:val="22"/>
          <w:lang w:val="en-GB"/>
        </w:rPr>
        <w:t xml:space="preserve">Any gains and losses that arise on the derecognition of the asset are credited or debited to the Financing and Investment Income and Expenditure line in the Comprehensive Income and Expenditure Statement. </w:t>
      </w:r>
    </w:p>
    <w:p w:rsidR="00CA6653" w:rsidRPr="00693370" w:rsidRDefault="00CA6653" w:rsidP="00CA6653">
      <w:pPr>
        <w:pStyle w:val="Normal00"/>
        <w:jc w:val="both"/>
        <w:rPr>
          <w:rFonts w:ascii="Verdana" w:hAnsi="Verdana"/>
          <w:sz w:val="22"/>
          <w:szCs w:val="22"/>
          <w:lang w:val="en-GB"/>
        </w:rPr>
      </w:pPr>
    </w:p>
    <w:p w:rsidR="00CA6653" w:rsidRPr="00693370" w:rsidRDefault="00CA6653" w:rsidP="00CA6653">
      <w:pPr>
        <w:pStyle w:val="Normal00"/>
        <w:jc w:val="both"/>
        <w:rPr>
          <w:rFonts w:ascii="Verdana" w:hAnsi="Verdana"/>
          <w:b/>
          <w:sz w:val="22"/>
          <w:szCs w:val="22"/>
          <w:lang w:val="en-GB"/>
        </w:rPr>
      </w:pPr>
      <w:r w:rsidRPr="00693370">
        <w:rPr>
          <w:rFonts w:ascii="Verdana" w:hAnsi="Verdana"/>
          <w:b/>
          <w:sz w:val="22"/>
          <w:szCs w:val="22"/>
          <w:lang w:val="en-GB"/>
        </w:rPr>
        <w:t>Loans and Receivables</w:t>
      </w:r>
    </w:p>
    <w:p w:rsidR="00CA6653" w:rsidRPr="00693370" w:rsidRDefault="00CA6653" w:rsidP="00CA6653">
      <w:pPr>
        <w:pStyle w:val="Normal00"/>
        <w:jc w:val="both"/>
        <w:rPr>
          <w:rFonts w:ascii="Verdana" w:hAnsi="Verdana"/>
          <w:sz w:val="22"/>
          <w:szCs w:val="22"/>
          <w:lang w:val="en-GB"/>
        </w:rPr>
      </w:pPr>
    </w:p>
    <w:p w:rsidR="00CA6653" w:rsidRPr="00693370" w:rsidRDefault="00CA6653" w:rsidP="00CA6653">
      <w:pPr>
        <w:pStyle w:val="Normal00"/>
        <w:jc w:val="both"/>
        <w:rPr>
          <w:rFonts w:ascii="Verdana" w:hAnsi="Verdana"/>
          <w:sz w:val="22"/>
          <w:szCs w:val="22"/>
          <w:lang w:val="en-GB"/>
        </w:rPr>
      </w:pPr>
      <w:r w:rsidRPr="00693370">
        <w:rPr>
          <w:rFonts w:ascii="Verdana" w:hAnsi="Verdana"/>
          <w:sz w:val="22"/>
          <w:szCs w:val="22"/>
          <w:lang w:val="en-GB"/>
        </w:rPr>
        <w:t xml:space="preserve">Loans and receivables are recognised on the Balance Sheet when the PCC becomes a party to the contractual provisions of a financial instrument and are initially measured at fair value. They are subsequently measured at their amortised cost. The Police and Crime Commissioner does not currently make any soft loans. </w:t>
      </w:r>
    </w:p>
    <w:p w:rsidR="00CA6653" w:rsidRPr="00693370" w:rsidRDefault="00CA6653" w:rsidP="00CA6653">
      <w:pPr>
        <w:pStyle w:val="Normal00"/>
        <w:jc w:val="both"/>
        <w:rPr>
          <w:rFonts w:ascii="Verdana" w:hAnsi="Verdana"/>
          <w:b/>
          <w:sz w:val="22"/>
          <w:szCs w:val="22"/>
          <w:lang w:val="en-GB"/>
        </w:rPr>
      </w:pPr>
    </w:p>
    <w:p w:rsidR="00CA6653" w:rsidRPr="00693370" w:rsidRDefault="00CA6653" w:rsidP="00CA6653">
      <w:pPr>
        <w:pStyle w:val="Normal00"/>
        <w:jc w:val="both"/>
        <w:rPr>
          <w:rFonts w:ascii="Verdana" w:hAnsi="Verdana"/>
          <w:b/>
          <w:sz w:val="22"/>
          <w:szCs w:val="22"/>
          <w:lang w:val="en-GB"/>
        </w:rPr>
      </w:pPr>
      <w:r w:rsidRPr="00693370">
        <w:rPr>
          <w:rFonts w:ascii="Verdana" w:hAnsi="Verdana"/>
          <w:b/>
          <w:sz w:val="22"/>
          <w:szCs w:val="22"/>
          <w:lang w:val="en-GB"/>
        </w:rPr>
        <w:t>Interests in Companies and Other Entities</w:t>
      </w:r>
    </w:p>
    <w:p w:rsidR="00CA6653" w:rsidRPr="00693370" w:rsidRDefault="00CA6653" w:rsidP="00CA6653">
      <w:pPr>
        <w:pStyle w:val="Normal00"/>
        <w:jc w:val="both"/>
        <w:rPr>
          <w:rFonts w:ascii="Verdana" w:hAnsi="Verdana" w:cs="Arial"/>
          <w:b/>
          <w:bCs/>
          <w:sz w:val="22"/>
          <w:szCs w:val="22"/>
          <w:lang w:val="en-GB"/>
        </w:rPr>
      </w:pPr>
    </w:p>
    <w:p w:rsidR="00CA6653" w:rsidRPr="00693370" w:rsidRDefault="00CA6653" w:rsidP="00CA6653">
      <w:pPr>
        <w:pStyle w:val="Normal00"/>
        <w:jc w:val="both"/>
        <w:rPr>
          <w:rFonts w:ascii="Verdana" w:hAnsi="Verdana"/>
          <w:sz w:val="22"/>
          <w:szCs w:val="22"/>
          <w:lang w:val="en-GB"/>
        </w:rPr>
      </w:pPr>
      <w:r w:rsidRPr="00693370">
        <w:rPr>
          <w:rFonts w:ascii="Verdana" w:hAnsi="Verdana"/>
          <w:sz w:val="22"/>
          <w:szCs w:val="22"/>
          <w:lang w:val="en-GB"/>
        </w:rPr>
        <w:t>All the financial transactions incurred during the year for policing Surrey have been recognised and recorded within the Statement of Accounts of the PCC for Surrey, which sets out the overall financial position of the PCC and Chief Constable Group for the year ended 31 March.</w:t>
      </w:r>
    </w:p>
    <w:p w:rsidR="00CA6653" w:rsidRPr="00693370" w:rsidRDefault="00CA6653" w:rsidP="00CA6653">
      <w:pPr>
        <w:pStyle w:val="Normal00"/>
        <w:jc w:val="both"/>
        <w:rPr>
          <w:rFonts w:ascii="Verdana" w:hAnsi="Verdana"/>
          <w:sz w:val="22"/>
          <w:szCs w:val="22"/>
          <w:lang w:val="en-GB"/>
        </w:rPr>
      </w:pPr>
    </w:p>
    <w:p w:rsidR="00CA6653" w:rsidRPr="000E2C81" w:rsidRDefault="00CA6653" w:rsidP="00CA6653">
      <w:pPr>
        <w:pStyle w:val="Normal00"/>
        <w:jc w:val="both"/>
        <w:rPr>
          <w:rFonts w:ascii="Verdana" w:hAnsi="Verdana"/>
          <w:sz w:val="22"/>
          <w:szCs w:val="22"/>
          <w:lang w:val="en-GB"/>
        </w:rPr>
      </w:pPr>
      <w:r w:rsidRPr="00693370">
        <w:rPr>
          <w:rFonts w:ascii="Verdana" w:hAnsi="Verdana"/>
          <w:sz w:val="22"/>
          <w:szCs w:val="22"/>
          <w:lang w:val="en-GB"/>
        </w:rPr>
        <w:t>The Group position therefore reflects the consolidated accounts of the PCC and its 100% subsidiary the Chief Constable.  Where the Group position differs from the PCC position this is made clear within the statements and notes.  Separate statutory accounts are prepared for the Chief Constable.</w:t>
      </w:r>
    </w:p>
    <w:p w:rsidR="00CA6653" w:rsidRDefault="00CA6653" w:rsidP="00CA6653">
      <w:pPr>
        <w:pStyle w:val="Normal00"/>
        <w:jc w:val="both"/>
        <w:rPr>
          <w:rFonts w:ascii="Verdana" w:hAnsi="Verdana"/>
          <w:sz w:val="22"/>
          <w:szCs w:val="22"/>
          <w:lang w:val="en-GB"/>
        </w:rPr>
      </w:pPr>
    </w:p>
    <w:p w:rsidR="00CA6653" w:rsidRPr="00C24EFF" w:rsidRDefault="00434141" w:rsidP="00A31A9E">
      <w:pPr>
        <w:pStyle w:val="Heading1"/>
      </w:pPr>
      <w:bookmarkStart w:id="52" w:name="_Toc55900442"/>
      <w:r>
        <w:t>Note 4</w:t>
      </w:r>
      <w:r w:rsidR="004A190F">
        <w:t>0</w:t>
      </w:r>
      <w:r>
        <w:t xml:space="preserve"> - </w:t>
      </w:r>
      <w:r w:rsidR="00CA6653" w:rsidRPr="00C24EFF">
        <w:t>Accounting Standards issued but not yet adopted</w:t>
      </w:r>
      <w:bookmarkEnd w:id="52"/>
    </w:p>
    <w:p w:rsidR="00CA6653" w:rsidRPr="00193E9D" w:rsidRDefault="00CA6653" w:rsidP="00CA6653">
      <w:pPr>
        <w:pStyle w:val="Style1"/>
        <w:ind w:left="786" w:firstLine="0"/>
        <w:rPr>
          <w:rFonts w:ascii="Verdana" w:hAnsi="Verdana"/>
          <w:sz w:val="22"/>
          <w:szCs w:val="22"/>
          <w:lang w:val="en-GB"/>
        </w:rPr>
      </w:pPr>
    </w:p>
    <w:p w:rsidR="00434141" w:rsidRDefault="00434141" w:rsidP="00A200D5">
      <w:pPr>
        <w:jc w:val="both"/>
      </w:pPr>
      <w:r>
        <w:t>A number of future accounting policy changes will need to be reported with effect from 1 April 2020.</w:t>
      </w:r>
    </w:p>
    <w:p w:rsidR="00434141" w:rsidRDefault="00434141" w:rsidP="00A200D5">
      <w:pPr>
        <w:jc w:val="both"/>
      </w:pPr>
    </w:p>
    <w:p w:rsidR="00434141" w:rsidRDefault="00434141" w:rsidP="00A200D5">
      <w:pPr>
        <w:jc w:val="both"/>
      </w:pPr>
      <w:r>
        <w:t xml:space="preserve">Paragraph 3.3.2.13 of the 2019/2020 code requires changes in accounting policy to be applied retrospectively unless alternative transitional arrangements are specified in the Code. </w:t>
      </w:r>
    </w:p>
    <w:p w:rsidR="00434141" w:rsidRDefault="00434141" w:rsidP="00A200D5">
      <w:pPr>
        <w:jc w:val="both"/>
      </w:pPr>
    </w:p>
    <w:p w:rsidR="00434141" w:rsidRDefault="00434141" w:rsidP="00A200D5">
      <w:pPr>
        <w:jc w:val="both"/>
      </w:pPr>
      <w:r>
        <w:t xml:space="preserve">Paragraph 3.3.4.3 requires an authority to disclose information relating to the impact of an accounting change that will be required by a new standard that has been issued but not yet adopted by the Code for the relevant financial year. Disclosure requirements are expected to be included in a subsequent edition of the Code. </w:t>
      </w:r>
    </w:p>
    <w:p w:rsidR="00434141" w:rsidRDefault="00434141" w:rsidP="00A200D5">
      <w:pPr>
        <w:jc w:val="both"/>
      </w:pPr>
    </w:p>
    <w:p w:rsidR="00434141" w:rsidRDefault="00434141" w:rsidP="00A200D5">
      <w:pPr>
        <w:jc w:val="both"/>
      </w:pPr>
      <w:r>
        <w:t>The standards that may be relevant for additional disclosures that will be required in the 2019/2020 and 2020/21 financial statements in respect of accounting changes that are to be introduced in the 2020/21 Code are:</w:t>
      </w:r>
    </w:p>
    <w:p w:rsidR="00434141" w:rsidRDefault="00434141" w:rsidP="00A200D5">
      <w:pPr>
        <w:jc w:val="both"/>
      </w:pPr>
    </w:p>
    <w:p w:rsidR="00434141" w:rsidRDefault="00434141">
      <w:pPr>
        <w:pStyle w:val="ListParagraph"/>
        <w:numPr>
          <w:ilvl w:val="0"/>
          <w:numId w:val="23"/>
        </w:numPr>
        <w:spacing w:after="160" w:line="256" w:lineRule="auto"/>
        <w:jc w:val="both"/>
        <w:rPr>
          <w:rFonts w:eastAsia="Verdana" w:cs="Verdana"/>
          <w:sz w:val="22"/>
        </w:rPr>
      </w:pPr>
      <w:r>
        <w:rPr>
          <w:rFonts w:eastAsia="Verdana" w:cs="Verdana"/>
          <w:sz w:val="22"/>
        </w:rPr>
        <w:t xml:space="preserve">Amendment to IAS 28 Investments in Associates and Joint Ventures in relation to Long-term Interests in Associates and Joint Ventures provides clarification that IFRS 9 applies to long term interests in an associate or joint venture that form part of the net investment in the associate or joint venture but to which the equity method is not applied.  </w:t>
      </w:r>
    </w:p>
    <w:p w:rsidR="00434141" w:rsidRDefault="00434141">
      <w:pPr>
        <w:pStyle w:val="ListParagraph"/>
        <w:numPr>
          <w:ilvl w:val="0"/>
          <w:numId w:val="0"/>
        </w:numPr>
        <w:spacing w:after="160" w:line="256" w:lineRule="auto"/>
        <w:ind w:left="720"/>
        <w:jc w:val="both"/>
        <w:rPr>
          <w:rFonts w:eastAsia="Verdana" w:cs="Verdana"/>
          <w:sz w:val="22"/>
        </w:rPr>
      </w:pPr>
    </w:p>
    <w:p w:rsidR="00434141" w:rsidRDefault="0009073C">
      <w:pPr>
        <w:pStyle w:val="ListParagraph"/>
        <w:numPr>
          <w:ilvl w:val="0"/>
          <w:numId w:val="24"/>
        </w:numPr>
        <w:spacing w:after="160" w:line="256" w:lineRule="auto"/>
        <w:jc w:val="both"/>
        <w:rPr>
          <w:rFonts w:eastAsia="Verdana" w:cs="Verdana"/>
          <w:sz w:val="22"/>
        </w:rPr>
      </w:pPr>
      <w:r>
        <w:rPr>
          <w:rFonts w:eastAsia="Verdana" w:cs="Verdana"/>
          <w:sz w:val="22"/>
        </w:rPr>
        <w:t>The Surrey</w:t>
      </w:r>
      <w:r w:rsidR="00434141">
        <w:rPr>
          <w:rFonts w:eastAsia="Verdana" w:cs="Verdana"/>
          <w:sz w:val="22"/>
        </w:rPr>
        <w:t xml:space="preserve"> Police group does not currently have any associates or joint ventures so will be unaffected by this change.</w:t>
      </w:r>
    </w:p>
    <w:p w:rsidR="00434141" w:rsidRDefault="00434141">
      <w:pPr>
        <w:pStyle w:val="ListParagraph"/>
        <w:numPr>
          <w:ilvl w:val="0"/>
          <w:numId w:val="0"/>
        </w:numPr>
        <w:ind w:left="2865"/>
        <w:jc w:val="both"/>
        <w:rPr>
          <w:rFonts w:eastAsia="Verdana" w:cs="Verdana"/>
          <w:sz w:val="22"/>
        </w:rPr>
      </w:pPr>
    </w:p>
    <w:p w:rsidR="00434141" w:rsidRDefault="00434141">
      <w:pPr>
        <w:pStyle w:val="ListParagraph"/>
        <w:numPr>
          <w:ilvl w:val="0"/>
          <w:numId w:val="24"/>
        </w:numPr>
        <w:spacing w:after="160" w:line="256" w:lineRule="auto"/>
        <w:jc w:val="both"/>
        <w:rPr>
          <w:rFonts w:eastAsia="Verdana" w:cs="Verdana"/>
          <w:sz w:val="22"/>
        </w:rPr>
      </w:pPr>
      <w:r>
        <w:rPr>
          <w:rFonts w:eastAsia="Verdana" w:cs="Verdana"/>
          <w:sz w:val="22"/>
        </w:rPr>
        <w:t>Annual Improvements to IFRS Standards 2015-2017 cycle.</w:t>
      </w:r>
    </w:p>
    <w:p w:rsidR="00434141" w:rsidRDefault="00434141">
      <w:pPr>
        <w:pStyle w:val="Default"/>
        <w:numPr>
          <w:ilvl w:val="0"/>
          <w:numId w:val="25"/>
        </w:numPr>
        <w:jc w:val="both"/>
        <w:rPr>
          <w:rFonts w:ascii="Verdana" w:eastAsia="Verdana" w:hAnsi="Verdana" w:cs="Verdana"/>
          <w:color w:val="auto"/>
          <w:sz w:val="22"/>
          <w:szCs w:val="22"/>
        </w:rPr>
      </w:pPr>
      <w:r>
        <w:rPr>
          <w:rFonts w:ascii="Verdana" w:eastAsia="Verdana" w:hAnsi="Verdana" w:cs="Verdana"/>
          <w:color w:val="auto"/>
          <w:sz w:val="22"/>
          <w:szCs w:val="22"/>
        </w:rPr>
        <w:t xml:space="preserve">Amendments to IAS 19 Employee Benefits will require that when a plan amendment, curtailment or settlement occurs during a reporting period, entities should use updated actuarial assumptions to determine current service cost and net interest for the remaining annual reporting period (where the treatment is material for the readers of the accounts). </w:t>
      </w:r>
    </w:p>
    <w:p w:rsidR="00434141" w:rsidRDefault="00434141">
      <w:pPr>
        <w:pStyle w:val="Default"/>
        <w:ind w:left="720"/>
        <w:jc w:val="both"/>
        <w:rPr>
          <w:rFonts w:ascii="Verdana" w:eastAsia="Verdana" w:hAnsi="Verdana" w:cs="Verdana"/>
          <w:color w:val="auto"/>
          <w:sz w:val="22"/>
          <w:szCs w:val="22"/>
        </w:rPr>
      </w:pPr>
    </w:p>
    <w:p w:rsidR="00434141" w:rsidRDefault="00434141">
      <w:pPr>
        <w:pStyle w:val="Default"/>
        <w:ind w:left="720"/>
        <w:jc w:val="both"/>
        <w:rPr>
          <w:rFonts w:ascii="Verdana" w:eastAsia="Verdana" w:hAnsi="Verdana" w:cs="Verdana"/>
          <w:color w:val="auto"/>
          <w:sz w:val="22"/>
          <w:szCs w:val="22"/>
        </w:rPr>
      </w:pPr>
      <w:r>
        <w:rPr>
          <w:rFonts w:ascii="Verdana" w:eastAsia="Verdana" w:hAnsi="Verdana" w:cs="Verdana"/>
          <w:color w:val="auto"/>
          <w:sz w:val="22"/>
          <w:szCs w:val="22"/>
        </w:rPr>
        <w:t>Previously, actuarial assumptions were generally made as at the start of the year whereas now we will be obliged to adjust those assumptions for significant changes during the year and reasons for those adjustments to assumptions would need to be disclosed.</w:t>
      </w:r>
    </w:p>
    <w:p w:rsidR="00434141" w:rsidRDefault="00434141">
      <w:pPr>
        <w:pStyle w:val="Default"/>
        <w:ind w:left="720"/>
        <w:jc w:val="both"/>
        <w:rPr>
          <w:rFonts w:ascii="Verdana" w:eastAsia="Verdana" w:hAnsi="Verdana" w:cs="Verdana"/>
          <w:color w:val="auto"/>
          <w:sz w:val="22"/>
          <w:szCs w:val="22"/>
        </w:rPr>
      </w:pPr>
      <w:r>
        <w:rPr>
          <w:rFonts w:ascii="Verdana" w:eastAsia="Verdana" w:hAnsi="Verdana" w:cs="Verdana"/>
          <w:color w:val="auto"/>
          <w:sz w:val="22"/>
          <w:szCs w:val="22"/>
        </w:rPr>
        <w:t xml:space="preserve">  </w:t>
      </w:r>
    </w:p>
    <w:p w:rsidR="00434141" w:rsidRDefault="00434141" w:rsidP="00A200D5">
      <w:pPr>
        <w:jc w:val="both"/>
      </w:pPr>
      <w:r>
        <w:t xml:space="preserve">This amendment to IAS 19 was included in the consultation for the 2019/20 Code. However, formal EU endorsement did not take place until March 2019. This was too late for the amendment to be included in the final 2019/20 Code. This amendment has been adopted in the 2020/21 Code and will therefore be applicable to authorities for the 2020/21 financial year reporting (and not for 2019/20). </w:t>
      </w:r>
    </w:p>
    <w:p w:rsidR="00F575BA" w:rsidRDefault="00F575BA" w:rsidP="00A200D5">
      <w:pPr>
        <w:jc w:val="both"/>
      </w:pPr>
    </w:p>
    <w:p w:rsidR="00434141" w:rsidRDefault="00434141">
      <w:pPr>
        <w:pStyle w:val="ListParagraph"/>
        <w:numPr>
          <w:ilvl w:val="0"/>
          <w:numId w:val="23"/>
        </w:numPr>
        <w:spacing w:after="160" w:line="256" w:lineRule="auto"/>
        <w:jc w:val="both"/>
        <w:rPr>
          <w:rFonts w:eastAsia="Verdana" w:cs="Verdana"/>
          <w:sz w:val="22"/>
        </w:rPr>
      </w:pPr>
      <w:r>
        <w:rPr>
          <w:rFonts w:eastAsia="Verdana" w:cs="Verdana"/>
          <w:sz w:val="22"/>
        </w:rPr>
        <w:t xml:space="preserve">Further proposals from CIPFA/LASAAC for 2020/21 include Amendment to IAS 1 Presentation of Financial Statements and IAS 8 Accounting Policies, Changes in Accounting Estimates and Errors. This amendment introduces a change to the definition of ‘material’ in order to support a reduction in the provision of immaterial information in the financial statements. Revised definition of materiality is ‘Information is material if omitting, misstating or obscuring it could reasonably be expected to influence decisions’. </w:t>
      </w:r>
    </w:p>
    <w:p w:rsidR="00434141" w:rsidRDefault="00434141">
      <w:pPr>
        <w:pStyle w:val="Default"/>
        <w:numPr>
          <w:ilvl w:val="0"/>
          <w:numId w:val="25"/>
        </w:numPr>
        <w:jc w:val="both"/>
        <w:rPr>
          <w:rFonts w:ascii="Verdana" w:eastAsia="Verdana" w:hAnsi="Verdana" w:cs="Verdana"/>
          <w:color w:val="auto"/>
          <w:sz w:val="22"/>
          <w:szCs w:val="22"/>
        </w:rPr>
      </w:pPr>
      <w:r>
        <w:rPr>
          <w:rFonts w:ascii="Verdana" w:eastAsia="Verdana" w:hAnsi="Verdana" w:cs="Verdana"/>
          <w:color w:val="auto"/>
          <w:sz w:val="22"/>
          <w:szCs w:val="22"/>
        </w:rPr>
        <w:t>Implementation of IFRS 16 Leases has been deferred to the 2021/22 financial year, with an effective date of 1 April 2021.</w:t>
      </w:r>
    </w:p>
    <w:p w:rsidR="00434141" w:rsidRDefault="00434141">
      <w:pPr>
        <w:pStyle w:val="Default"/>
        <w:ind w:left="720"/>
        <w:jc w:val="both"/>
        <w:rPr>
          <w:rFonts w:ascii="Verdana" w:eastAsia="Verdana" w:hAnsi="Verdana" w:cs="Verdana"/>
          <w:color w:val="auto"/>
          <w:sz w:val="22"/>
          <w:szCs w:val="22"/>
        </w:rPr>
      </w:pPr>
    </w:p>
    <w:p w:rsidR="00434141" w:rsidRDefault="00434141" w:rsidP="00A200D5">
      <w:pPr>
        <w:jc w:val="both"/>
      </w:pPr>
      <w:r>
        <w:t xml:space="preserve">This deferral led to delays in completion of the full due process to the 2021/22 Code. Appendix C of the 2020/21 Code only includes standards adopted in the Code and therefore for 2019/20 local authorities are not required to include IFRS 16 in their consideration of accounting standards that have been issued but not yet adopted, although this is subject to approval of the 2020/21 Code </w:t>
      </w:r>
    </w:p>
    <w:p w:rsidR="00434141" w:rsidRDefault="00434141" w:rsidP="00A200D5">
      <w:pPr>
        <w:jc w:val="both"/>
      </w:pPr>
    </w:p>
    <w:p w:rsidR="00434141" w:rsidRDefault="00434141">
      <w:pPr>
        <w:pStyle w:val="ListParagraph"/>
        <w:numPr>
          <w:ilvl w:val="0"/>
          <w:numId w:val="23"/>
        </w:numPr>
        <w:spacing w:after="160" w:line="256" w:lineRule="auto"/>
        <w:jc w:val="both"/>
        <w:rPr>
          <w:rFonts w:eastAsia="Verdana" w:cs="Verdana"/>
          <w:sz w:val="22"/>
        </w:rPr>
      </w:pPr>
      <w:r>
        <w:rPr>
          <w:rFonts w:eastAsia="Verdana" w:cs="Verdana"/>
          <w:sz w:val="22"/>
        </w:rPr>
        <w:t>In the event of the UK withdrawing from the remit of the EU-endorsement framework, the Code will apply standards adopted for UK application under the terms of The International Accounting Standards and European Public Limited Liability Company (Amendment EU Exit Regulations 2019.</w:t>
      </w:r>
    </w:p>
    <w:p w:rsidR="00434141" w:rsidRDefault="00434141" w:rsidP="00A200D5">
      <w:pPr>
        <w:jc w:val="both"/>
      </w:pPr>
      <w:r>
        <w:t>We expect the international accounting standards adopted for use within the United Kingdom on exit day will be the same as those it had in place immediately before exit day.</w:t>
      </w:r>
    </w:p>
    <w:p w:rsidR="00960EC4" w:rsidRDefault="00960EC4" w:rsidP="00A200D5">
      <w:pPr>
        <w:jc w:val="both"/>
      </w:pPr>
    </w:p>
    <w:p w:rsidR="00434141" w:rsidRPr="009055CC" w:rsidRDefault="00434141" w:rsidP="00A200D5">
      <w:pPr>
        <w:jc w:val="both"/>
      </w:pPr>
      <w:r w:rsidRPr="009055CC">
        <w:t xml:space="preserve">It is not expected that any of these amendments other than IFRS 16 will have a material impact on the information provided in the financial </w:t>
      </w:r>
      <w:r w:rsidR="0009073C">
        <w:t>statements for any of the Surrey</w:t>
      </w:r>
      <w:r w:rsidRPr="009055CC">
        <w:t xml:space="preserve"> Police group accounts. </w:t>
      </w:r>
    </w:p>
    <w:sdt>
      <w:sdtPr>
        <w:rPr>
          <w:rFonts w:ascii="Verdana" w:eastAsiaTheme="minorHAnsi" w:hAnsi="Verdana" w:cstheme="minorBidi"/>
          <w:color w:val="auto"/>
          <w:sz w:val="22"/>
          <w:szCs w:val="22"/>
          <w:lang w:val="en-US"/>
        </w:rPr>
        <w:id w:val="2057758427"/>
        <w:docPartObj>
          <w:docPartGallery w:val="Page Numbers (Bottom of Page)"/>
          <w:docPartUnique/>
        </w:docPartObj>
      </w:sdtPr>
      <w:sdtEndPr/>
      <w:sdtContent>
        <w:p w:rsidR="00434141" w:rsidRPr="00434141" w:rsidRDefault="00434141" w:rsidP="00A31A9E">
          <w:pPr>
            <w:pStyle w:val="Heading1"/>
          </w:pPr>
        </w:p>
        <w:p w:rsidR="00434141" w:rsidRPr="00434141" w:rsidRDefault="00434141" w:rsidP="00A31A9E">
          <w:pPr>
            <w:pStyle w:val="Heading1"/>
          </w:pPr>
          <w:r w:rsidRPr="00434141">
            <w:br w:type="page"/>
          </w:r>
        </w:p>
        <w:p w:rsidR="000D6EF8" w:rsidRDefault="00434141" w:rsidP="00A31A9E">
          <w:pPr>
            <w:pStyle w:val="Heading1"/>
          </w:pPr>
          <w:bookmarkStart w:id="53" w:name="_Toc55900443"/>
          <w:r w:rsidRPr="00434141">
            <w:t>P</w:t>
          </w:r>
          <w:r w:rsidR="000D6EF8">
            <w:t>olice P</w:t>
          </w:r>
          <w:r w:rsidRPr="00434141">
            <w:t>ension</w:t>
          </w:r>
          <w:r w:rsidR="000D6EF8">
            <w:t>s Fund Account Statements as at 31 March 2020</w:t>
          </w:r>
          <w:bookmarkEnd w:id="53"/>
        </w:p>
        <w:p w:rsidR="000D6EF8" w:rsidRPr="000D6EF8" w:rsidRDefault="000D6EF8" w:rsidP="000D6EF8"/>
        <w:p w:rsidR="000D6EF8" w:rsidRDefault="000D6EF8" w:rsidP="000D6EF8">
          <w:pPr>
            <w:rPr>
              <w:lang w:val="en-GB" w:eastAsia="en-GB"/>
            </w:rPr>
          </w:pPr>
          <w:r>
            <w:rPr>
              <w:lang w:val="en-GB" w:eastAsia="en-GB"/>
            </w:rPr>
            <w:t>These statements show the contributions and benefits payable for the year</w:t>
          </w:r>
        </w:p>
        <w:p w:rsidR="000D6EF8" w:rsidRDefault="000D6EF8" w:rsidP="000D6EF8">
          <w:pPr>
            <w:rPr>
              <w:lang w:val="en-GB" w:eastAsia="en-GB"/>
            </w:rPr>
          </w:pPr>
        </w:p>
        <w:p w:rsidR="000D6EF8" w:rsidRPr="00FC64AD" w:rsidRDefault="000D6EF8" w:rsidP="000D6EF8">
          <w:pPr>
            <w:pStyle w:val="Normal0"/>
            <w:jc w:val="both"/>
            <w:rPr>
              <w:rFonts w:ascii="Verdana" w:eastAsia="Times New Roman" w:hAnsi="Verdana"/>
              <w:sz w:val="22"/>
              <w:szCs w:val="22"/>
              <w:lang w:val="en-GB" w:eastAsia="en-GB"/>
            </w:rPr>
          </w:pPr>
          <w:r w:rsidRPr="00FC64AD">
            <w:rPr>
              <w:rFonts w:ascii="Verdana" w:eastAsia="Times New Roman" w:hAnsi="Verdana"/>
              <w:sz w:val="22"/>
              <w:szCs w:val="22"/>
              <w:lang w:val="en-GB" w:eastAsia="en-GB"/>
            </w:rPr>
            <w:t>The Chief Constable is responsible for administering the Police Pension Fund in accordance with the Police Reform and Social responsibility Act 2011.  During the year all payments and receipts are made to and from the PCC Police Fund.  This standalone statement shows income and expenditure for the police pension schemes and does not form part of the Chief Constable or the PCC Group’s statement of accounts.</w:t>
          </w:r>
        </w:p>
        <w:p w:rsidR="000D6EF8" w:rsidRDefault="000D6EF8" w:rsidP="000D6EF8">
          <w:pPr>
            <w:rPr>
              <w:lang w:val="en-GB" w:eastAsia="en-GB"/>
            </w:rPr>
          </w:pPr>
        </w:p>
        <w:p w:rsidR="000D6EF8" w:rsidRPr="00FD4B96" w:rsidRDefault="000D6EF8" w:rsidP="000D6EF8">
          <w:pPr>
            <w:rPr>
              <w:b/>
              <w:lang w:val="en-GB" w:eastAsia="en-GB"/>
            </w:rPr>
          </w:pPr>
          <w:r w:rsidRPr="00FD4B96">
            <w:rPr>
              <w:b/>
              <w:lang w:val="en-GB" w:eastAsia="en-GB"/>
            </w:rPr>
            <w:t>Surrey Police Pension Fund Account Statement</w:t>
          </w:r>
        </w:p>
        <w:p w:rsidR="000D6EF8" w:rsidRDefault="000D6EF8" w:rsidP="000D6EF8">
          <w:pPr>
            <w:rPr>
              <w:lang w:val="en-GB" w:eastAsia="en-GB"/>
            </w:rPr>
          </w:pPr>
        </w:p>
        <w:tbl>
          <w:tblPr>
            <w:tblW w:w="8642" w:type="dxa"/>
            <w:jc w:val="center"/>
            <w:tblLayout w:type="fixed"/>
            <w:tblLook w:val="01E0" w:firstRow="1" w:lastRow="1" w:firstColumn="1" w:lastColumn="1" w:noHBand="0" w:noVBand="0"/>
          </w:tblPr>
          <w:tblGrid>
            <w:gridCol w:w="1139"/>
            <w:gridCol w:w="1129"/>
            <w:gridCol w:w="4177"/>
            <w:gridCol w:w="1017"/>
            <w:gridCol w:w="1180"/>
          </w:tblGrid>
          <w:tr w:rsidR="000D6EF8" w:rsidTr="00A200D5">
            <w:trPr>
              <w:trHeight w:val="203"/>
              <w:jc w:val="center"/>
            </w:trPr>
            <w:tc>
              <w:tcPr>
                <w:tcW w:w="2268" w:type="dxa"/>
                <w:gridSpan w:val="2"/>
                <w:tcBorders>
                  <w:top w:val="single" w:sz="4" w:space="0" w:color="auto"/>
                  <w:left w:val="single" w:sz="4" w:space="0" w:color="auto"/>
                  <w:bottom w:val="single" w:sz="4" w:space="0" w:color="auto"/>
                  <w:right w:val="single" w:sz="4" w:space="0" w:color="auto"/>
                </w:tcBorders>
              </w:tcPr>
              <w:p w:rsidR="000D6EF8" w:rsidRPr="00FC64AD" w:rsidRDefault="000D6EF8" w:rsidP="000D6EF8">
                <w:pPr>
                  <w:pStyle w:val="Normal0"/>
                  <w:jc w:val="center"/>
                  <w:rPr>
                    <w:rFonts w:ascii="Verdana" w:eastAsia="Times New Roman" w:hAnsi="Verdana"/>
                    <w:b/>
                    <w:sz w:val="16"/>
                    <w:szCs w:val="16"/>
                    <w:lang w:val="en-GB" w:eastAsia="en-GB"/>
                  </w:rPr>
                </w:pPr>
                <w:r w:rsidRPr="00FC64AD">
                  <w:rPr>
                    <w:rFonts w:ascii="Verdana" w:hAnsi="Verdana"/>
                    <w:b/>
                    <w:bCs/>
                    <w:sz w:val="16"/>
                    <w:szCs w:val="16"/>
                  </w:rPr>
                  <w:t>As at March 2019</w:t>
                </w:r>
              </w:p>
            </w:tc>
            <w:tc>
              <w:tcPr>
                <w:tcW w:w="4177" w:type="dxa"/>
                <w:tcBorders>
                  <w:top w:val="single" w:sz="4" w:space="0" w:color="auto"/>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b/>
                    <w:sz w:val="16"/>
                    <w:szCs w:val="16"/>
                    <w:lang w:val="en-GB" w:eastAsia="en-GB"/>
                  </w:rPr>
                </w:pPr>
              </w:p>
            </w:tc>
            <w:tc>
              <w:tcPr>
                <w:tcW w:w="2197" w:type="dxa"/>
                <w:gridSpan w:val="2"/>
                <w:tcBorders>
                  <w:top w:val="single" w:sz="4" w:space="0" w:color="auto"/>
                  <w:left w:val="single" w:sz="4" w:space="0" w:color="auto"/>
                  <w:bottom w:val="single" w:sz="4" w:space="0" w:color="auto"/>
                  <w:right w:val="single" w:sz="4" w:space="0" w:color="auto"/>
                </w:tcBorders>
              </w:tcPr>
              <w:p w:rsidR="000D6EF8" w:rsidRPr="00FC64AD" w:rsidRDefault="000D6EF8" w:rsidP="009962A0">
                <w:pPr>
                  <w:pStyle w:val="Normal0"/>
                  <w:jc w:val="center"/>
                  <w:rPr>
                    <w:rFonts w:ascii="Verdana" w:hAnsi="Verdana"/>
                    <w:b/>
                    <w:bCs/>
                    <w:sz w:val="16"/>
                    <w:szCs w:val="16"/>
                  </w:rPr>
                </w:pPr>
                <w:r w:rsidRPr="00FC64AD">
                  <w:rPr>
                    <w:rFonts w:ascii="Verdana" w:hAnsi="Verdana"/>
                    <w:b/>
                    <w:bCs/>
                    <w:sz w:val="16"/>
                    <w:szCs w:val="16"/>
                  </w:rPr>
                  <w:t>As at March 20</w:t>
                </w:r>
                <w:r w:rsidR="009962A0">
                  <w:rPr>
                    <w:rFonts w:ascii="Verdana" w:hAnsi="Verdana"/>
                    <w:b/>
                    <w:bCs/>
                    <w:sz w:val="16"/>
                    <w:szCs w:val="16"/>
                  </w:rPr>
                  <w:t>20</w:t>
                </w: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£000</w:t>
                </w:r>
              </w:p>
            </w:tc>
            <w:tc>
              <w:tcPr>
                <w:tcW w:w="112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£000</w:t>
                </w:r>
              </w:p>
            </w:tc>
            <w:tc>
              <w:tcPr>
                <w:tcW w:w="4177" w:type="dxa"/>
                <w:tcBorders>
                  <w:top w:val="nil"/>
                  <w:left w:val="single" w:sz="4" w:space="0" w:color="auto"/>
                  <w:bottom w:val="single" w:sz="4" w:space="0" w:color="auto"/>
                  <w:right w:val="single" w:sz="4" w:space="0" w:color="auto"/>
                </w:tcBorders>
                <w:shd w:val="clear" w:color="auto" w:fill="auto"/>
                <w:vAlign w:val="center"/>
              </w:tcPr>
              <w:p w:rsidR="000D6EF8" w:rsidRPr="00FC64AD" w:rsidRDefault="000D6EF8" w:rsidP="000D6EF8">
                <w:pPr>
                  <w:pStyle w:val="Normal0"/>
                  <w:rPr>
                    <w:rFonts w:ascii="Verdana" w:eastAsia="Times New Roman" w:hAnsi="Verdana"/>
                    <w:i/>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£000</w:t>
                </w:r>
              </w:p>
            </w:tc>
            <w:tc>
              <w:tcPr>
                <w:tcW w:w="1180"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£000</w:t>
                </w:r>
              </w:p>
            </w:tc>
          </w:tr>
          <w:tr w:rsidR="000D6EF8" w:rsidTr="00A200D5">
            <w:trPr>
              <w:trHeight w:val="203"/>
              <w:jc w:val="center"/>
            </w:trPr>
            <w:tc>
              <w:tcPr>
                <w:tcW w:w="1139" w:type="dxa"/>
                <w:tcBorders>
                  <w:left w:val="single" w:sz="4" w:space="0" w:color="auto"/>
                  <w:bottom w:val="nil"/>
                  <w:right w:val="single" w:sz="4" w:space="0" w:color="auto"/>
                </w:tcBorders>
                <w:vAlign w:val="bottom"/>
              </w:tcPr>
              <w:p w:rsidR="000D6EF8" w:rsidRPr="00FC64AD" w:rsidRDefault="000D6EF8" w:rsidP="000D6EF8">
                <w:pPr>
                  <w:pStyle w:val="Normal0"/>
                  <w:jc w:val="right"/>
                  <w:rPr>
                    <w:rFonts w:ascii="Verdana" w:eastAsia="Times New Roman" w:hAnsi="Verdana"/>
                    <w:b/>
                    <w:sz w:val="16"/>
                    <w:szCs w:val="16"/>
                    <w:lang w:val="en-GB" w:eastAsia="en-GB"/>
                  </w:rPr>
                </w:pPr>
              </w:p>
            </w:tc>
            <w:tc>
              <w:tcPr>
                <w:tcW w:w="1129" w:type="dxa"/>
                <w:tcBorders>
                  <w:top w:val="single" w:sz="4" w:space="0" w:color="auto"/>
                  <w:left w:val="single" w:sz="4" w:space="0" w:color="auto"/>
                  <w:bottom w:val="nil"/>
                  <w:right w:val="single" w:sz="4" w:space="0" w:color="auto"/>
                </w:tcBorders>
                <w:vAlign w:val="bottom"/>
              </w:tcPr>
              <w:p w:rsidR="000D6EF8" w:rsidRPr="00FC64AD" w:rsidRDefault="000D6EF8" w:rsidP="000D6EF8">
                <w:pPr>
                  <w:pStyle w:val="Normal0"/>
                  <w:jc w:val="right"/>
                  <w:rPr>
                    <w:rFonts w:ascii="Verdana" w:eastAsia="Times New Roman" w:hAnsi="Verdana"/>
                    <w:b/>
                    <w:sz w:val="16"/>
                    <w:szCs w:val="16"/>
                    <w:lang w:val="en-GB" w:eastAsia="en-GB"/>
                  </w:rPr>
                </w:pPr>
              </w:p>
            </w:tc>
            <w:tc>
              <w:tcPr>
                <w:tcW w:w="4177" w:type="dxa"/>
                <w:tcBorders>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Contributions Receivable</w:t>
                </w:r>
              </w:p>
            </w:tc>
            <w:tc>
              <w:tcPr>
                <w:tcW w:w="1017" w:type="dxa"/>
                <w:tcBorders>
                  <w:top w:val="single" w:sz="4" w:space="0" w:color="auto"/>
                  <w:left w:val="single" w:sz="4" w:space="0" w:color="auto"/>
                  <w:right w:val="single" w:sz="4" w:space="0" w:color="auto"/>
                </w:tcBorders>
                <w:vAlign w:val="bottom"/>
              </w:tcPr>
              <w:p w:rsidR="000D6EF8" w:rsidRPr="00FC64AD" w:rsidRDefault="000D6EF8" w:rsidP="000D6EF8">
                <w:pPr>
                  <w:pStyle w:val="Normal0"/>
                  <w:jc w:val="right"/>
                  <w:rPr>
                    <w:rFonts w:ascii="Verdana" w:eastAsia="Times New Roman" w:hAnsi="Verdana"/>
                    <w:b/>
                    <w:sz w:val="16"/>
                    <w:szCs w:val="16"/>
                    <w:lang w:val="en-GB" w:eastAsia="en-GB"/>
                  </w:rPr>
                </w:pPr>
              </w:p>
            </w:tc>
            <w:tc>
              <w:tcPr>
                <w:tcW w:w="1180" w:type="dxa"/>
                <w:tcBorders>
                  <w:top w:val="single" w:sz="4" w:space="0" w:color="auto"/>
                  <w:left w:val="single" w:sz="4" w:space="0" w:color="auto"/>
                  <w:right w:val="single" w:sz="4" w:space="0" w:color="auto"/>
                </w:tcBorders>
                <w:vAlign w:val="bottom"/>
              </w:tcPr>
              <w:p w:rsidR="000D6EF8" w:rsidRPr="00FC64AD" w:rsidRDefault="000D6EF8" w:rsidP="000D6EF8">
                <w:pPr>
                  <w:pStyle w:val="Normal0"/>
                  <w:jc w:val="right"/>
                  <w:rPr>
                    <w:rFonts w:ascii="Verdana" w:eastAsia="Times New Roman" w:hAnsi="Verdana"/>
                    <w:b/>
                    <w:sz w:val="16"/>
                    <w:szCs w:val="16"/>
                    <w:lang w:val="en-GB" w:eastAsia="en-GB"/>
                  </w:rPr>
                </w:pPr>
              </w:p>
            </w:tc>
          </w:tr>
          <w:tr w:rsidR="000D6EF8" w:rsidTr="00A200D5">
            <w:trPr>
              <w:trHeight w:val="203"/>
              <w:jc w:val="center"/>
            </w:trPr>
            <w:tc>
              <w:tcPr>
                <w:tcW w:w="1139" w:type="dxa"/>
                <w:tcBorders>
                  <w:top w:val="nil"/>
                  <w:left w:val="single" w:sz="4" w:space="0" w:color="auto"/>
                  <w:bottom w:val="nil"/>
                  <w:right w:val="single" w:sz="4" w:space="0" w:color="auto"/>
                </w:tcBorders>
                <w:vAlign w:val="bottom"/>
              </w:tcPr>
              <w:p w:rsidR="000D6EF8" w:rsidRPr="00FC64AD" w:rsidRDefault="000D6EF8" w:rsidP="000D6EF8">
                <w:pPr>
                  <w:pStyle w:val="Normal0"/>
                  <w:jc w:val="right"/>
                  <w:rPr>
                    <w:rFonts w:ascii="Verdana" w:eastAsia="Times New Roman" w:hAnsi="Verdana"/>
                    <w:b/>
                    <w:sz w:val="16"/>
                    <w:szCs w:val="16"/>
                    <w:lang w:val="en-GB" w:eastAsia="en-GB"/>
                  </w:rPr>
                </w:pPr>
              </w:p>
            </w:tc>
            <w:tc>
              <w:tcPr>
                <w:tcW w:w="1129" w:type="dxa"/>
                <w:tcBorders>
                  <w:top w:val="nil"/>
                  <w:left w:val="single" w:sz="4" w:space="0" w:color="auto"/>
                  <w:bottom w:val="nil"/>
                  <w:right w:val="single" w:sz="4" w:space="0" w:color="auto"/>
                </w:tcBorders>
                <w:vAlign w:val="bottom"/>
              </w:tcPr>
              <w:p w:rsidR="000D6EF8" w:rsidRPr="00FC64AD" w:rsidRDefault="000D6EF8" w:rsidP="000D6EF8">
                <w:pPr>
                  <w:pStyle w:val="Normal0"/>
                  <w:jc w:val="right"/>
                  <w:rPr>
                    <w:rFonts w:ascii="Verdana" w:eastAsia="Times New Roman" w:hAnsi="Verdana"/>
                    <w:b/>
                    <w:sz w:val="16"/>
                    <w:szCs w:val="16"/>
                    <w:lang w:val="en-GB" w:eastAsia="en-GB"/>
                  </w:rPr>
                </w:pP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From Employer:</w:t>
                </w:r>
              </w:p>
            </w:tc>
            <w:tc>
              <w:tcPr>
                <w:tcW w:w="1017" w:type="dxa"/>
                <w:tcBorders>
                  <w:left w:val="single" w:sz="4" w:space="0" w:color="auto"/>
                  <w:right w:val="single" w:sz="4" w:space="0" w:color="auto"/>
                </w:tcBorders>
                <w:vAlign w:val="bottom"/>
              </w:tcPr>
              <w:p w:rsidR="000D6EF8" w:rsidRPr="00FC64AD" w:rsidRDefault="000D6EF8" w:rsidP="000D6EF8">
                <w:pPr>
                  <w:pStyle w:val="Normal0"/>
                  <w:jc w:val="right"/>
                  <w:rPr>
                    <w:rFonts w:ascii="Verdana" w:eastAsia="Times New Roman" w:hAnsi="Verdana"/>
                    <w:b/>
                    <w:sz w:val="16"/>
                    <w:szCs w:val="16"/>
                    <w:lang w:val="en-GB" w:eastAsia="en-GB"/>
                  </w:rPr>
                </w:pPr>
              </w:p>
            </w:tc>
            <w:tc>
              <w:tcPr>
                <w:tcW w:w="1180" w:type="dxa"/>
                <w:tcBorders>
                  <w:left w:val="single" w:sz="4" w:space="0" w:color="auto"/>
                  <w:right w:val="single" w:sz="4" w:space="0" w:color="auto"/>
                </w:tcBorders>
                <w:vAlign w:val="bottom"/>
              </w:tcPr>
              <w:p w:rsidR="000D6EF8" w:rsidRPr="00FC64AD" w:rsidRDefault="000D6EF8" w:rsidP="000D6EF8">
                <w:pPr>
                  <w:pStyle w:val="Normal0"/>
                  <w:jc w:val="right"/>
                  <w:rPr>
                    <w:rFonts w:ascii="Verdana" w:eastAsia="Times New Roman" w:hAnsi="Verdana"/>
                    <w:b/>
                    <w:sz w:val="16"/>
                    <w:szCs w:val="16"/>
                    <w:lang w:val="en-GB" w:eastAsia="en-GB"/>
                  </w:rPr>
                </w:pPr>
              </w:p>
            </w:tc>
          </w:tr>
          <w:tr w:rsidR="000D6EF8" w:rsidTr="00A200D5">
            <w:trPr>
              <w:trHeight w:val="203"/>
              <w:jc w:val="center"/>
            </w:trPr>
            <w:tc>
              <w:tcPr>
                <w:tcW w:w="113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r w:rsidRPr="00FC64AD">
                  <w:rPr>
                    <w:rFonts w:ascii="Verdana" w:hAnsi="Verdana"/>
                    <w:sz w:val="16"/>
                    <w:szCs w:val="16"/>
                  </w:rPr>
                  <w:t>(</w:t>
                </w:r>
                <w:r>
                  <w:rPr>
                    <w:rFonts w:ascii="Verdana" w:hAnsi="Verdana"/>
                    <w:sz w:val="16"/>
                    <w:szCs w:val="16"/>
                  </w:rPr>
                  <w:t>14,345</w:t>
                </w:r>
                <w:r w:rsidRPr="00FC64AD">
                  <w:rPr>
                    <w:rFonts w:ascii="Verdana" w:hAnsi="Verdana"/>
                    <w:sz w:val="16"/>
                    <w:szCs w:val="16"/>
                  </w:rPr>
                  <w:t>)</w:t>
                </w:r>
              </w:p>
            </w:tc>
            <w:tc>
              <w:tcPr>
                <w:tcW w:w="112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 xml:space="preserve"> - Normal</w:t>
                </w:r>
              </w:p>
            </w:tc>
            <w:tc>
              <w:tcPr>
                <w:tcW w:w="1017" w:type="dxa"/>
                <w:tcBorders>
                  <w:left w:val="single" w:sz="4" w:space="0" w:color="auto"/>
                  <w:right w:val="single" w:sz="4" w:space="0" w:color="auto"/>
                </w:tcBorders>
                <w:vAlign w:val="center"/>
              </w:tcPr>
              <w:p w:rsidR="000D6EF8" w:rsidRPr="00FC64AD" w:rsidRDefault="004E63C1">
                <w:pPr>
                  <w:pStyle w:val="Normal0"/>
                  <w:jc w:val="right"/>
                  <w:rPr>
                    <w:rFonts w:ascii="Verdana" w:hAnsi="Verdana"/>
                    <w:sz w:val="16"/>
                    <w:szCs w:val="16"/>
                  </w:rPr>
                </w:pPr>
                <w:r>
                  <w:rPr>
                    <w:rFonts w:ascii="Verdana" w:hAnsi="Verdana"/>
                    <w:sz w:val="16"/>
                    <w:szCs w:val="16"/>
                  </w:rPr>
                  <w:t>(21,</w:t>
                </w:r>
                <w:r w:rsidR="00D90E0C">
                  <w:rPr>
                    <w:rFonts w:ascii="Verdana" w:hAnsi="Verdana"/>
                    <w:sz w:val="16"/>
                    <w:szCs w:val="16"/>
                  </w:rPr>
                  <w:t>078)</w:t>
                </w:r>
              </w:p>
            </w:tc>
            <w:tc>
              <w:tcPr>
                <w:tcW w:w="1180" w:type="dxa"/>
                <w:tcBorders>
                  <w:left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r>
          <w:tr w:rsidR="000D6EF8" w:rsidTr="00A200D5">
            <w:trPr>
              <w:trHeight w:val="203"/>
              <w:jc w:val="center"/>
            </w:trPr>
            <w:tc>
              <w:tcPr>
                <w:tcW w:w="113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r>
                  <w:rPr>
                    <w:rFonts w:ascii="Verdana" w:hAnsi="Verdana"/>
                    <w:sz w:val="16"/>
                    <w:szCs w:val="16"/>
                  </w:rPr>
                  <w:t>(774</w:t>
                </w:r>
                <w:r w:rsidRPr="00FC64AD">
                  <w:rPr>
                    <w:rFonts w:ascii="Verdana" w:hAnsi="Verdana"/>
                    <w:sz w:val="16"/>
                    <w:szCs w:val="16"/>
                  </w:rPr>
                  <w:t>)</w:t>
                </w:r>
              </w:p>
            </w:tc>
            <w:tc>
              <w:tcPr>
                <w:tcW w:w="112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 xml:space="preserve"> - Early Retirements</w:t>
                </w:r>
              </w:p>
            </w:tc>
            <w:tc>
              <w:tcPr>
                <w:tcW w:w="1017" w:type="dxa"/>
                <w:tcBorders>
                  <w:left w:val="single" w:sz="4" w:space="0" w:color="auto"/>
                  <w:right w:val="single" w:sz="4" w:space="0" w:color="auto"/>
                </w:tcBorders>
                <w:vAlign w:val="center"/>
              </w:tcPr>
              <w:p w:rsidR="000D6EF8" w:rsidRPr="00FC64AD" w:rsidRDefault="004E63C1" w:rsidP="000D6EF8">
                <w:pPr>
                  <w:pStyle w:val="Normal0"/>
                  <w:jc w:val="right"/>
                  <w:rPr>
                    <w:rFonts w:ascii="Verdana" w:hAnsi="Verdana"/>
                    <w:sz w:val="16"/>
                    <w:szCs w:val="16"/>
                  </w:rPr>
                </w:pPr>
                <w:r>
                  <w:rPr>
                    <w:rFonts w:ascii="Verdana" w:hAnsi="Verdana"/>
                    <w:sz w:val="16"/>
                    <w:szCs w:val="16"/>
                  </w:rPr>
                  <w:t>(80)</w:t>
                </w:r>
              </w:p>
            </w:tc>
            <w:tc>
              <w:tcPr>
                <w:tcW w:w="1180" w:type="dxa"/>
                <w:tcBorders>
                  <w:left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r>
          <w:tr w:rsidR="000D6EF8" w:rsidTr="00A200D5">
            <w:trPr>
              <w:trHeight w:val="203"/>
              <w:jc w:val="center"/>
            </w:trPr>
            <w:tc>
              <w:tcPr>
                <w:tcW w:w="1139" w:type="dxa"/>
                <w:tcBorders>
                  <w:top w:val="nil"/>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r>
                  <w:rPr>
                    <w:rFonts w:ascii="Verdana" w:hAnsi="Verdana"/>
                    <w:sz w:val="16"/>
                    <w:szCs w:val="16"/>
                  </w:rPr>
                  <w:t>(9,003</w:t>
                </w:r>
                <w:r w:rsidRPr="00FC64AD">
                  <w:rPr>
                    <w:rFonts w:ascii="Verdana" w:hAnsi="Verdana"/>
                    <w:sz w:val="16"/>
                    <w:szCs w:val="16"/>
                  </w:rPr>
                  <w:t>)</w:t>
                </w:r>
              </w:p>
            </w:tc>
            <w:tc>
              <w:tcPr>
                <w:tcW w:w="1129" w:type="dxa"/>
                <w:tcBorders>
                  <w:top w:val="nil"/>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From Members</w:t>
                </w:r>
              </w:p>
            </w:tc>
            <w:tc>
              <w:tcPr>
                <w:tcW w:w="1017" w:type="dxa"/>
                <w:tcBorders>
                  <w:left w:val="single" w:sz="4" w:space="0" w:color="auto"/>
                  <w:bottom w:val="single" w:sz="4" w:space="0" w:color="auto"/>
                  <w:right w:val="single" w:sz="4" w:space="0" w:color="auto"/>
                </w:tcBorders>
                <w:vAlign w:val="center"/>
              </w:tcPr>
              <w:p w:rsidR="000D6EF8" w:rsidRPr="00FC64AD" w:rsidRDefault="004E63C1" w:rsidP="000D6EF8">
                <w:pPr>
                  <w:pStyle w:val="Normal0"/>
                  <w:jc w:val="right"/>
                  <w:rPr>
                    <w:rFonts w:ascii="Verdana" w:hAnsi="Verdana"/>
                    <w:sz w:val="16"/>
                    <w:szCs w:val="16"/>
                  </w:rPr>
                </w:pPr>
                <w:r>
                  <w:rPr>
                    <w:rFonts w:ascii="Verdana" w:hAnsi="Verdana"/>
                    <w:sz w:val="16"/>
                    <w:szCs w:val="16"/>
                  </w:rPr>
                  <w:t>(9,048)</w:t>
                </w:r>
              </w:p>
            </w:tc>
            <w:tc>
              <w:tcPr>
                <w:tcW w:w="1180" w:type="dxa"/>
                <w:tcBorders>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r>
                  <w:rPr>
                    <w:rFonts w:ascii="Verdana" w:hAnsi="Verdana"/>
                    <w:b/>
                    <w:bCs/>
                    <w:sz w:val="16"/>
                    <w:szCs w:val="16"/>
                  </w:rPr>
                  <w:t>(24,122</w:t>
                </w:r>
                <w:r w:rsidRPr="00FC64AD">
                  <w:rPr>
                    <w:rFonts w:ascii="Verdana" w:hAnsi="Verdana"/>
                    <w:b/>
                    <w:bCs/>
                    <w:sz w:val="16"/>
                    <w:szCs w:val="16"/>
                  </w:rPr>
                  <w:t>)</w:t>
                </w:r>
              </w:p>
            </w:tc>
            <w:tc>
              <w:tcPr>
                <w:tcW w:w="4177" w:type="dxa"/>
                <w:tcBorders>
                  <w:top w:val="nil"/>
                  <w:left w:val="single" w:sz="4" w:space="0" w:color="auto"/>
                  <w:bottom w:val="single" w:sz="4" w:space="0" w:color="auto"/>
                  <w:right w:val="single" w:sz="4" w:space="0" w:color="auto"/>
                </w:tcBorders>
                <w:shd w:val="clear" w:color="auto" w:fill="auto"/>
                <w:vAlign w:val="center"/>
              </w:tcPr>
              <w:p w:rsidR="000D6EF8" w:rsidRPr="00FC64AD" w:rsidRDefault="000D6EF8" w:rsidP="000D6EF8">
                <w:pPr>
                  <w:pStyle w:val="Normal0"/>
                  <w:rPr>
                    <w:rFonts w:ascii="Verdana" w:eastAsia="Times New Roman" w:hAnsi="Verdana"/>
                    <w:b/>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rsidR="000D6EF8" w:rsidRPr="00FC64AD" w:rsidRDefault="004E63C1">
                <w:pPr>
                  <w:pStyle w:val="Normal0"/>
                  <w:jc w:val="right"/>
                  <w:rPr>
                    <w:rFonts w:ascii="Verdana" w:hAnsi="Verdana"/>
                    <w:b/>
                    <w:bCs/>
                    <w:sz w:val="16"/>
                    <w:szCs w:val="16"/>
                  </w:rPr>
                </w:pPr>
                <w:r>
                  <w:rPr>
                    <w:rFonts w:ascii="Verdana" w:hAnsi="Verdana"/>
                    <w:b/>
                    <w:bCs/>
                    <w:sz w:val="16"/>
                    <w:szCs w:val="16"/>
                  </w:rPr>
                  <w:t>(30,2</w:t>
                </w:r>
                <w:r w:rsidR="00D90E0C">
                  <w:rPr>
                    <w:rFonts w:ascii="Verdana" w:hAnsi="Verdana"/>
                    <w:b/>
                    <w:bCs/>
                    <w:sz w:val="16"/>
                    <w:szCs w:val="16"/>
                  </w:rPr>
                  <w:t>06</w:t>
                </w:r>
                <w:r>
                  <w:rPr>
                    <w:rFonts w:ascii="Verdana" w:hAnsi="Verdana"/>
                    <w:b/>
                    <w:bCs/>
                    <w:sz w:val="16"/>
                    <w:szCs w:val="16"/>
                  </w:rPr>
                  <w:t>)</w:t>
                </w:r>
              </w:p>
            </w:tc>
          </w:tr>
          <w:tr w:rsidR="000D6EF8" w:rsidTr="00A200D5">
            <w:trPr>
              <w:trHeight w:val="203"/>
              <w:jc w:val="center"/>
            </w:trPr>
            <w:tc>
              <w:tcPr>
                <w:tcW w:w="1139" w:type="dxa"/>
                <w:tcBorders>
                  <w:top w:val="single" w:sz="4" w:space="0" w:color="auto"/>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29" w:type="dxa"/>
                <w:tcBorders>
                  <w:top w:val="single" w:sz="4" w:space="0" w:color="auto"/>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b/>
                    <w:bCs/>
                    <w:sz w:val="16"/>
                    <w:szCs w:val="16"/>
                  </w:rPr>
                </w:pPr>
                <w:r w:rsidRPr="00FC64AD">
                  <w:rPr>
                    <w:rFonts w:ascii="Verdana" w:hAnsi="Verdana"/>
                    <w:b/>
                    <w:bCs/>
                    <w:sz w:val="16"/>
                    <w:szCs w:val="16"/>
                  </w:rPr>
                  <w:t> </w:t>
                </w:r>
              </w:p>
            </w:tc>
            <w:tc>
              <w:tcPr>
                <w:tcW w:w="4177" w:type="dxa"/>
                <w:tcBorders>
                  <w:top w:val="single" w:sz="4" w:space="0" w:color="auto"/>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Transfers In</w:t>
                </w:r>
              </w:p>
            </w:tc>
            <w:tc>
              <w:tcPr>
                <w:tcW w:w="1017" w:type="dxa"/>
                <w:tcBorders>
                  <w:top w:val="single" w:sz="4" w:space="0" w:color="auto"/>
                  <w:left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r>
          <w:tr w:rsidR="000D6EF8" w:rsidTr="00A200D5">
            <w:trPr>
              <w:trHeight w:val="203"/>
              <w:jc w:val="center"/>
            </w:trPr>
            <w:tc>
              <w:tcPr>
                <w:tcW w:w="1139" w:type="dxa"/>
                <w:tcBorders>
                  <w:top w:val="nil"/>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29" w:type="dxa"/>
                <w:tcBorders>
                  <w:top w:val="nil"/>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r w:rsidRPr="00FC64AD">
                  <w:rPr>
                    <w:rFonts w:ascii="Verdana" w:hAnsi="Verdana"/>
                    <w:b/>
                    <w:bCs/>
                    <w:sz w:val="16"/>
                    <w:szCs w:val="16"/>
                  </w:rPr>
                  <w:t>(</w:t>
                </w:r>
                <w:r>
                  <w:rPr>
                    <w:rFonts w:ascii="Verdana" w:hAnsi="Verdana"/>
                    <w:b/>
                    <w:bCs/>
                    <w:sz w:val="16"/>
                    <w:szCs w:val="16"/>
                  </w:rPr>
                  <w:t>366</w:t>
                </w:r>
                <w:r w:rsidRPr="00FC64AD">
                  <w:rPr>
                    <w:rFonts w:ascii="Verdana" w:hAnsi="Verdana"/>
                    <w:b/>
                    <w:bCs/>
                    <w:sz w:val="16"/>
                    <w:szCs w:val="16"/>
                  </w:rPr>
                  <w:t>)</w:t>
                </w:r>
              </w:p>
            </w:tc>
            <w:tc>
              <w:tcPr>
                <w:tcW w:w="4177" w:type="dxa"/>
                <w:tcBorders>
                  <w:top w:val="nil"/>
                  <w:left w:val="single" w:sz="4" w:space="0" w:color="auto"/>
                  <w:bottom w:val="single" w:sz="4" w:space="0" w:color="auto"/>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Individual Transfers in From Other Schemes</w:t>
                </w:r>
              </w:p>
            </w:tc>
            <w:tc>
              <w:tcPr>
                <w:tcW w:w="1017" w:type="dxa"/>
                <w:tcBorders>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80" w:type="dxa"/>
                <w:tcBorders>
                  <w:left w:val="single" w:sz="4" w:space="0" w:color="auto"/>
                  <w:bottom w:val="single" w:sz="4" w:space="0" w:color="auto"/>
                  <w:right w:val="single" w:sz="4" w:space="0" w:color="auto"/>
                </w:tcBorders>
                <w:vAlign w:val="center"/>
              </w:tcPr>
              <w:p w:rsidR="000D6EF8" w:rsidRPr="00FC64AD" w:rsidRDefault="004E63C1" w:rsidP="000D6EF8">
                <w:pPr>
                  <w:pStyle w:val="Normal0"/>
                  <w:jc w:val="right"/>
                  <w:rPr>
                    <w:rFonts w:ascii="Verdana" w:hAnsi="Verdana"/>
                    <w:b/>
                    <w:bCs/>
                    <w:sz w:val="16"/>
                    <w:szCs w:val="16"/>
                  </w:rPr>
                </w:pPr>
                <w:r>
                  <w:rPr>
                    <w:rFonts w:ascii="Verdana" w:hAnsi="Verdana"/>
                    <w:b/>
                    <w:bCs/>
                    <w:sz w:val="16"/>
                    <w:szCs w:val="16"/>
                  </w:rPr>
                  <w:t>(460)</w:t>
                </w: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jc w:val="right"/>
                  <w:rPr>
                    <w:rFonts w:ascii="Verdana" w:hAnsi="Verdana"/>
                    <w:b/>
                    <w:bCs/>
                    <w:sz w:val="16"/>
                    <w:szCs w:val="16"/>
                  </w:rPr>
                </w:pPr>
                <w:r>
                  <w:rPr>
                    <w:rFonts w:ascii="Verdana" w:hAnsi="Verdana"/>
                    <w:b/>
                    <w:bCs/>
                    <w:sz w:val="16"/>
                    <w:szCs w:val="16"/>
                  </w:rPr>
                  <w:t>(24,488</w:t>
                </w:r>
                <w:r w:rsidRPr="00FC64AD">
                  <w:rPr>
                    <w:rFonts w:ascii="Verdana" w:hAnsi="Verdana"/>
                    <w:b/>
                    <w:bCs/>
                    <w:sz w:val="16"/>
                    <w:szCs w:val="16"/>
                  </w:rPr>
                  <w:t>)</w:t>
                </w:r>
              </w:p>
            </w:tc>
            <w:tc>
              <w:tcPr>
                <w:tcW w:w="4177"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Total Inflows</w:t>
                </w:r>
              </w:p>
            </w:tc>
            <w:tc>
              <w:tcPr>
                <w:tcW w:w="1017"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4E63C1">
                <w:pPr>
                  <w:pStyle w:val="Normal0"/>
                  <w:jc w:val="right"/>
                  <w:rPr>
                    <w:rFonts w:ascii="Verdana" w:hAnsi="Verdana"/>
                    <w:b/>
                    <w:bCs/>
                    <w:sz w:val="16"/>
                    <w:szCs w:val="16"/>
                  </w:rPr>
                </w:pPr>
                <w:r>
                  <w:rPr>
                    <w:rFonts w:ascii="Verdana" w:hAnsi="Verdana"/>
                    <w:b/>
                    <w:bCs/>
                    <w:sz w:val="16"/>
                    <w:szCs w:val="16"/>
                  </w:rPr>
                  <w:t>(30,</w:t>
                </w:r>
                <w:r w:rsidR="00D90E0C">
                  <w:rPr>
                    <w:rFonts w:ascii="Verdana" w:hAnsi="Verdana"/>
                    <w:b/>
                    <w:bCs/>
                    <w:sz w:val="16"/>
                    <w:szCs w:val="16"/>
                  </w:rPr>
                  <w:t>666</w:t>
                </w:r>
                <w:r>
                  <w:rPr>
                    <w:rFonts w:ascii="Verdana" w:hAnsi="Verdana"/>
                    <w:b/>
                    <w:bCs/>
                    <w:sz w:val="16"/>
                    <w:szCs w:val="16"/>
                  </w:rPr>
                  <w:t>)</w:t>
                </w:r>
              </w:p>
            </w:tc>
          </w:tr>
          <w:tr w:rsidR="000D6EF8" w:rsidTr="00A200D5">
            <w:trPr>
              <w:trHeight w:val="295"/>
              <w:jc w:val="center"/>
            </w:trPr>
            <w:tc>
              <w:tcPr>
                <w:tcW w:w="1139" w:type="dxa"/>
                <w:tcBorders>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29" w:type="dxa"/>
                <w:tcBorders>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4177" w:type="dxa"/>
                <w:tcBorders>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Benefits Payable</w:t>
                </w:r>
              </w:p>
            </w:tc>
            <w:tc>
              <w:tcPr>
                <w:tcW w:w="1017" w:type="dxa"/>
                <w:tcBorders>
                  <w:top w:val="single" w:sz="4" w:space="0" w:color="auto"/>
                  <w:left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r>
          <w:tr w:rsidR="000D6EF8" w:rsidTr="00A200D5">
            <w:trPr>
              <w:trHeight w:val="203"/>
              <w:jc w:val="center"/>
            </w:trPr>
            <w:tc>
              <w:tcPr>
                <w:tcW w:w="113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r>
                  <w:rPr>
                    <w:rFonts w:ascii="Verdana" w:hAnsi="Verdana"/>
                    <w:sz w:val="16"/>
                    <w:szCs w:val="16"/>
                  </w:rPr>
                  <w:t>37,150</w:t>
                </w:r>
              </w:p>
            </w:tc>
            <w:tc>
              <w:tcPr>
                <w:tcW w:w="112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Pensions</w:t>
                </w:r>
              </w:p>
            </w:tc>
            <w:tc>
              <w:tcPr>
                <w:tcW w:w="1017" w:type="dxa"/>
                <w:tcBorders>
                  <w:left w:val="single" w:sz="4" w:space="0" w:color="auto"/>
                  <w:right w:val="single" w:sz="4" w:space="0" w:color="auto"/>
                </w:tcBorders>
                <w:vAlign w:val="center"/>
              </w:tcPr>
              <w:p w:rsidR="000D6EF8" w:rsidRPr="00FC64AD" w:rsidRDefault="004E63C1">
                <w:pPr>
                  <w:pStyle w:val="Normal0"/>
                  <w:jc w:val="right"/>
                  <w:rPr>
                    <w:rFonts w:ascii="Verdana" w:hAnsi="Verdana"/>
                    <w:sz w:val="16"/>
                    <w:szCs w:val="16"/>
                  </w:rPr>
                </w:pPr>
                <w:r>
                  <w:rPr>
                    <w:rFonts w:ascii="Verdana" w:hAnsi="Verdana"/>
                    <w:sz w:val="16"/>
                    <w:szCs w:val="16"/>
                  </w:rPr>
                  <w:t>38,</w:t>
                </w:r>
                <w:r w:rsidR="00D90E0C">
                  <w:rPr>
                    <w:rFonts w:ascii="Verdana" w:hAnsi="Verdana"/>
                    <w:sz w:val="16"/>
                    <w:szCs w:val="16"/>
                  </w:rPr>
                  <w:t>889</w:t>
                </w:r>
              </w:p>
            </w:tc>
            <w:tc>
              <w:tcPr>
                <w:tcW w:w="1180" w:type="dxa"/>
                <w:tcBorders>
                  <w:left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r>
          <w:tr w:rsidR="000D6EF8" w:rsidTr="00A200D5">
            <w:trPr>
              <w:trHeight w:val="203"/>
              <w:jc w:val="center"/>
            </w:trPr>
            <w:tc>
              <w:tcPr>
                <w:tcW w:w="113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r>
                  <w:rPr>
                    <w:rFonts w:ascii="Verdana" w:hAnsi="Verdana"/>
                    <w:sz w:val="16"/>
                    <w:szCs w:val="16"/>
                  </w:rPr>
                  <w:t>6,767</w:t>
                </w:r>
              </w:p>
            </w:tc>
            <w:tc>
              <w:tcPr>
                <w:tcW w:w="112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Commutations and Lump Sums</w:t>
                </w:r>
              </w:p>
            </w:tc>
            <w:tc>
              <w:tcPr>
                <w:tcW w:w="1017" w:type="dxa"/>
                <w:tcBorders>
                  <w:left w:val="single" w:sz="4" w:space="0" w:color="auto"/>
                  <w:right w:val="single" w:sz="4" w:space="0" w:color="auto"/>
                </w:tcBorders>
                <w:vAlign w:val="center"/>
              </w:tcPr>
              <w:p w:rsidR="000D6EF8" w:rsidRPr="00FC64AD" w:rsidRDefault="00D90E0C" w:rsidP="000D6EF8">
                <w:pPr>
                  <w:pStyle w:val="Normal0"/>
                  <w:jc w:val="right"/>
                  <w:rPr>
                    <w:rFonts w:ascii="Verdana" w:hAnsi="Verdana"/>
                    <w:sz w:val="16"/>
                    <w:szCs w:val="16"/>
                  </w:rPr>
                </w:pPr>
                <w:r>
                  <w:rPr>
                    <w:rFonts w:ascii="Verdana" w:hAnsi="Verdana"/>
                    <w:sz w:val="16"/>
                    <w:szCs w:val="16"/>
                  </w:rPr>
                  <w:t>8,846</w:t>
                </w:r>
              </w:p>
            </w:tc>
            <w:tc>
              <w:tcPr>
                <w:tcW w:w="1180" w:type="dxa"/>
                <w:tcBorders>
                  <w:left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r>
          <w:tr w:rsidR="000D6EF8" w:rsidTr="00A200D5">
            <w:trPr>
              <w:trHeight w:val="203"/>
              <w:jc w:val="center"/>
            </w:trPr>
            <w:tc>
              <w:tcPr>
                <w:tcW w:w="1139" w:type="dxa"/>
                <w:tcBorders>
                  <w:top w:val="nil"/>
                  <w:left w:val="single" w:sz="4" w:space="0" w:color="auto"/>
                  <w:bottom w:val="nil"/>
                  <w:right w:val="single" w:sz="4" w:space="0" w:color="auto"/>
                </w:tcBorders>
                <w:vAlign w:val="center"/>
              </w:tcPr>
              <w:p w:rsidR="000D6EF8" w:rsidRDefault="000D6EF8" w:rsidP="000D6EF8">
                <w:pPr>
                  <w:pStyle w:val="Normal0"/>
                  <w:jc w:val="right"/>
                  <w:rPr>
                    <w:rFonts w:ascii="Verdana" w:hAnsi="Verdana"/>
                    <w:sz w:val="16"/>
                    <w:szCs w:val="16"/>
                  </w:rPr>
                </w:pPr>
                <w:r>
                  <w:rPr>
                    <w:rFonts w:ascii="Verdana" w:hAnsi="Verdana"/>
                    <w:sz w:val="16"/>
                    <w:szCs w:val="16"/>
                  </w:rPr>
                  <w:t>76</w:t>
                </w:r>
              </w:p>
            </w:tc>
            <w:tc>
              <w:tcPr>
                <w:tcW w:w="112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Lump Sum Death Benefits</w:t>
                </w:r>
              </w:p>
            </w:tc>
            <w:tc>
              <w:tcPr>
                <w:tcW w:w="1017" w:type="dxa"/>
                <w:tcBorders>
                  <w:left w:val="single" w:sz="4" w:space="0" w:color="auto"/>
                  <w:right w:val="single" w:sz="4" w:space="0" w:color="auto"/>
                </w:tcBorders>
                <w:vAlign w:val="center"/>
              </w:tcPr>
              <w:p w:rsidR="000D6EF8" w:rsidRDefault="00D90E0C" w:rsidP="000D6EF8">
                <w:pPr>
                  <w:pStyle w:val="Normal0"/>
                  <w:jc w:val="right"/>
                  <w:rPr>
                    <w:rFonts w:ascii="Verdana" w:hAnsi="Verdana"/>
                    <w:sz w:val="16"/>
                    <w:szCs w:val="16"/>
                  </w:rPr>
                </w:pPr>
                <w:r>
                  <w:rPr>
                    <w:rFonts w:ascii="Verdana" w:hAnsi="Verdana"/>
                    <w:sz w:val="16"/>
                    <w:szCs w:val="16"/>
                  </w:rPr>
                  <w:t>113</w:t>
                </w:r>
              </w:p>
            </w:tc>
            <w:tc>
              <w:tcPr>
                <w:tcW w:w="1180" w:type="dxa"/>
                <w:tcBorders>
                  <w:left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r>
          <w:tr w:rsidR="000D6EF8" w:rsidTr="00A200D5">
            <w:trPr>
              <w:trHeight w:val="203"/>
              <w:jc w:val="center"/>
            </w:trPr>
            <w:tc>
              <w:tcPr>
                <w:tcW w:w="1139" w:type="dxa"/>
                <w:tcBorders>
                  <w:top w:val="nil"/>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r>
                  <w:rPr>
                    <w:rFonts w:ascii="Verdana" w:hAnsi="Verdana"/>
                    <w:sz w:val="16"/>
                    <w:szCs w:val="16"/>
                  </w:rPr>
                  <w:t>1,517</w:t>
                </w:r>
              </w:p>
            </w:tc>
            <w:tc>
              <w:tcPr>
                <w:tcW w:w="1129" w:type="dxa"/>
                <w:tcBorders>
                  <w:top w:val="nil"/>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 xml:space="preserve">Lump Sum </w:t>
                </w:r>
                <w:r>
                  <w:rPr>
                    <w:rFonts w:ascii="Verdana" w:eastAsia="Times New Roman" w:hAnsi="Verdana"/>
                    <w:sz w:val="16"/>
                    <w:szCs w:val="16"/>
                    <w:lang w:val="en-GB" w:eastAsia="en-GB"/>
                  </w:rPr>
                  <w:t>Ill-health</w:t>
                </w:r>
                <w:r w:rsidRPr="00FC64AD">
                  <w:rPr>
                    <w:rFonts w:ascii="Verdana" w:eastAsia="Times New Roman" w:hAnsi="Verdana"/>
                    <w:sz w:val="16"/>
                    <w:szCs w:val="16"/>
                    <w:lang w:val="en-GB" w:eastAsia="en-GB"/>
                  </w:rPr>
                  <w:t xml:space="preserve"> Benefits</w:t>
                </w:r>
              </w:p>
            </w:tc>
            <w:tc>
              <w:tcPr>
                <w:tcW w:w="1017" w:type="dxa"/>
                <w:tcBorders>
                  <w:left w:val="single" w:sz="4" w:space="0" w:color="auto"/>
                  <w:bottom w:val="single" w:sz="4" w:space="0" w:color="auto"/>
                  <w:right w:val="single" w:sz="4" w:space="0" w:color="auto"/>
                </w:tcBorders>
                <w:vAlign w:val="center"/>
              </w:tcPr>
              <w:p w:rsidR="000D6EF8" w:rsidRPr="00FC64AD" w:rsidRDefault="00D90E0C" w:rsidP="000D6EF8">
                <w:pPr>
                  <w:pStyle w:val="Normal0"/>
                  <w:jc w:val="right"/>
                  <w:rPr>
                    <w:rFonts w:ascii="Verdana" w:hAnsi="Verdana"/>
                    <w:sz w:val="16"/>
                    <w:szCs w:val="16"/>
                  </w:rPr>
                </w:pPr>
                <w:r>
                  <w:rPr>
                    <w:rFonts w:ascii="Verdana" w:hAnsi="Verdana"/>
                    <w:sz w:val="16"/>
                    <w:szCs w:val="16"/>
                  </w:rPr>
                  <w:t>117</w:t>
                </w:r>
              </w:p>
            </w:tc>
            <w:tc>
              <w:tcPr>
                <w:tcW w:w="1180" w:type="dxa"/>
                <w:tcBorders>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r w:rsidRPr="00FC64AD">
                  <w:rPr>
                    <w:rFonts w:ascii="Verdana" w:hAnsi="Verdana"/>
                    <w:sz w:val="16"/>
                    <w:szCs w:val="16"/>
                  </w:rPr>
                  <w:t> </w:t>
                </w:r>
              </w:p>
            </w:tc>
            <w:tc>
              <w:tcPr>
                <w:tcW w:w="112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r>
                  <w:rPr>
                    <w:rFonts w:ascii="Verdana" w:hAnsi="Verdana"/>
                    <w:b/>
                    <w:bCs/>
                    <w:sz w:val="16"/>
                    <w:szCs w:val="16"/>
                  </w:rPr>
                  <w:t>45,510</w:t>
                </w:r>
              </w:p>
            </w:tc>
            <w:tc>
              <w:tcPr>
                <w:tcW w:w="4177" w:type="dxa"/>
                <w:tcBorders>
                  <w:top w:val="nil"/>
                  <w:left w:val="single" w:sz="4" w:space="0" w:color="auto"/>
                  <w:bottom w:val="single" w:sz="4" w:space="0" w:color="auto"/>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rsidR="000D6EF8" w:rsidRPr="00FC64AD" w:rsidRDefault="004E63C1">
                <w:pPr>
                  <w:pStyle w:val="Normal0"/>
                  <w:jc w:val="right"/>
                  <w:rPr>
                    <w:rFonts w:ascii="Verdana" w:hAnsi="Verdana"/>
                    <w:b/>
                    <w:bCs/>
                    <w:sz w:val="16"/>
                    <w:szCs w:val="16"/>
                  </w:rPr>
                </w:pPr>
                <w:r>
                  <w:rPr>
                    <w:rFonts w:ascii="Verdana" w:hAnsi="Verdana"/>
                    <w:b/>
                    <w:bCs/>
                    <w:sz w:val="16"/>
                    <w:szCs w:val="16"/>
                  </w:rPr>
                  <w:t>47,</w:t>
                </w:r>
                <w:r w:rsidR="00D90E0C">
                  <w:rPr>
                    <w:rFonts w:ascii="Verdana" w:hAnsi="Verdana"/>
                    <w:b/>
                    <w:bCs/>
                    <w:sz w:val="16"/>
                    <w:szCs w:val="16"/>
                  </w:rPr>
                  <w:t>995</w:t>
                </w:r>
              </w:p>
            </w:tc>
          </w:tr>
          <w:tr w:rsidR="000D6EF8" w:rsidTr="00A200D5">
            <w:trPr>
              <w:trHeight w:val="326"/>
              <w:jc w:val="center"/>
            </w:trPr>
            <w:tc>
              <w:tcPr>
                <w:tcW w:w="1139" w:type="dxa"/>
                <w:tcBorders>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29" w:type="dxa"/>
                <w:tcBorders>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4177" w:type="dxa"/>
                <w:tcBorders>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Payments To and On Account of Leavers</w:t>
                </w:r>
              </w:p>
            </w:tc>
            <w:tc>
              <w:tcPr>
                <w:tcW w:w="1017" w:type="dxa"/>
                <w:tcBorders>
                  <w:top w:val="single" w:sz="4" w:space="0" w:color="auto"/>
                  <w:left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r>
          <w:tr w:rsidR="000D6EF8" w:rsidTr="00A200D5">
            <w:trPr>
              <w:trHeight w:val="203"/>
              <w:jc w:val="center"/>
            </w:trPr>
            <w:tc>
              <w:tcPr>
                <w:tcW w:w="113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r>
                  <w:rPr>
                    <w:rFonts w:ascii="Verdana" w:hAnsi="Verdana"/>
                    <w:sz w:val="16"/>
                    <w:szCs w:val="16"/>
                  </w:rPr>
                  <w:t>60</w:t>
                </w:r>
              </w:p>
            </w:tc>
            <w:tc>
              <w:tcPr>
                <w:tcW w:w="1129" w:type="dxa"/>
                <w:tcBorders>
                  <w:top w:val="nil"/>
                  <w:left w:val="single" w:sz="4" w:space="0" w:color="auto"/>
                  <w:bottom w:val="nil"/>
                  <w:right w:val="single" w:sz="4" w:space="0" w:color="auto"/>
                </w:tcBorders>
                <w:vAlign w:val="center"/>
              </w:tcPr>
              <w:p w:rsidR="000D6EF8" w:rsidRPr="00FC64AD" w:rsidRDefault="000D6EF8" w:rsidP="000D6EF8">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Refund of Contributions</w:t>
                </w:r>
              </w:p>
            </w:tc>
            <w:tc>
              <w:tcPr>
                <w:tcW w:w="1017" w:type="dxa"/>
                <w:tcBorders>
                  <w:left w:val="single" w:sz="4" w:space="0" w:color="auto"/>
                  <w:right w:val="single" w:sz="4" w:space="0" w:color="auto"/>
                </w:tcBorders>
                <w:vAlign w:val="center"/>
              </w:tcPr>
              <w:p w:rsidR="000D6EF8" w:rsidRPr="00FC64AD" w:rsidRDefault="004E63C1" w:rsidP="004E63C1">
                <w:pPr>
                  <w:pStyle w:val="Normal0"/>
                  <w:jc w:val="right"/>
                  <w:rPr>
                    <w:rFonts w:ascii="Verdana" w:hAnsi="Verdana"/>
                    <w:sz w:val="16"/>
                    <w:szCs w:val="16"/>
                  </w:rPr>
                </w:pPr>
                <w:r>
                  <w:rPr>
                    <w:rFonts w:ascii="Verdana" w:hAnsi="Verdana"/>
                    <w:sz w:val="16"/>
                    <w:szCs w:val="16"/>
                  </w:rPr>
                  <w:t>49</w:t>
                </w:r>
              </w:p>
            </w:tc>
            <w:tc>
              <w:tcPr>
                <w:tcW w:w="1180" w:type="dxa"/>
                <w:tcBorders>
                  <w:left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r>
          <w:tr w:rsidR="000D6EF8" w:rsidTr="00A200D5">
            <w:trPr>
              <w:trHeight w:val="203"/>
              <w:jc w:val="center"/>
            </w:trPr>
            <w:tc>
              <w:tcPr>
                <w:tcW w:w="1139" w:type="dxa"/>
                <w:tcBorders>
                  <w:top w:val="nil"/>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r>
                  <w:rPr>
                    <w:rFonts w:ascii="Verdana" w:hAnsi="Verdana"/>
                    <w:sz w:val="16"/>
                    <w:szCs w:val="16"/>
                  </w:rPr>
                  <w:t>0</w:t>
                </w:r>
              </w:p>
            </w:tc>
            <w:tc>
              <w:tcPr>
                <w:tcW w:w="1129" w:type="dxa"/>
                <w:tcBorders>
                  <w:top w:val="nil"/>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r w:rsidRPr="00FC64AD">
                  <w:rPr>
                    <w:rFonts w:ascii="Verdana" w:hAnsi="Verdana"/>
                    <w:sz w:val="16"/>
                    <w:szCs w:val="16"/>
                  </w:rPr>
                  <w:t> </w:t>
                </w:r>
              </w:p>
            </w:tc>
            <w:tc>
              <w:tcPr>
                <w:tcW w:w="4177" w:type="dxa"/>
                <w:tcBorders>
                  <w:top w:val="nil"/>
                  <w:left w:val="single" w:sz="4" w:space="0" w:color="auto"/>
                  <w:bottom w:val="nil"/>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Individual Transfers Out To Other Schemes</w:t>
                </w:r>
              </w:p>
            </w:tc>
            <w:tc>
              <w:tcPr>
                <w:tcW w:w="1017" w:type="dxa"/>
                <w:tcBorders>
                  <w:left w:val="single" w:sz="4" w:space="0" w:color="auto"/>
                  <w:bottom w:val="single" w:sz="4" w:space="0" w:color="auto"/>
                  <w:right w:val="single" w:sz="4" w:space="0" w:color="auto"/>
                </w:tcBorders>
                <w:vAlign w:val="center"/>
              </w:tcPr>
              <w:p w:rsidR="000D6EF8" w:rsidRPr="00FC64AD" w:rsidRDefault="004E63C1" w:rsidP="000D6EF8">
                <w:pPr>
                  <w:pStyle w:val="Normal0"/>
                  <w:jc w:val="right"/>
                  <w:rPr>
                    <w:rFonts w:ascii="Verdana" w:hAnsi="Verdana"/>
                    <w:sz w:val="16"/>
                    <w:szCs w:val="16"/>
                  </w:rPr>
                </w:pPr>
                <w:r>
                  <w:rPr>
                    <w:rFonts w:ascii="Verdana" w:hAnsi="Verdana"/>
                    <w:sz w:val="16"/>
                    <w:szCs w:val="16"/>
                  </w:rPr>
                  <w:t>0</w:t>
                </w:r>
              </w:p>
            </w:tc>
            <w:tc>
              <w:tcPr>
                <w:tcW w:w="1180" w:type="dxa"/>
                <w:tcBorders>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r w:rsidRPr="00FC64AD">
                  <w:rPr>
                    <w:rFonts w:ascii="Verdana" w:hAnsi="Verdana"/>
                    <w:sz w:val="16"/>
                    <w:szCs w:val="16"/>
                  </w:rPr>
                  <w:t> </w:t>
                </w:r>
              </w:p>
            </w:tc>
            <w:tc>
              <w:tcPr>
                <w:tcW w:w="112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r>
                  <w:rPr>
                    <w:rFonts w:ascii="Verdana" w:hAnsi="Verdana"/>
                    <w:b/>
                    <w:bCs/>
                    <w:sz w:val="16"/>
                    <w:szCs w:val="16"/>
                  </w:rPr>
                  <w:t>60</w:t>
                </w:r>
              </w:p>
            </w:tc>
            <w:tc>
              <w:tcPr>
                <w:tcW w:w="4177" w:type="dxa"/>
                <w:tcBorders>
                  <w:top w:val="nil"/>
                  <w:left w:val="single" w:sz="4" w:space="0" w:color="auto"/>
                  <w:bottom w:val="single" w:sz="4" w:space="0" w:color="auto"/>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rsidR="000D6EF8" w:rsidRPr="00FC64AD" w:rsidRDefault="004E63C1" w:rsidP="004E63C1">
                <w:pPr>
                  <w:pStyle w:val="Normal0"/>
                  <w:jc w:val="right"/>
                  <w:rPr>
                    <w:rFonts w:ascii="Verdana" w:hAnsi="Verdana"/>
                    <w:b/>
                    <w:bCs/>
                    <w:sz w:val="16"/>
                    <w:szCs w:val="16"/>
                  </w:rPr>
                </w:pPr>
                <w:r>
                  <w:rPr>
                    <w:rFonts w:ascii="Verdana" w:hAnsi="Verdana"/>
                    <w:b/>
                    <w:bCs/>
                    <w:sz w:val="16"/>
                    <w:szCs w:val="16"/>
                  </w:rPr>
                  <w:t>49</w:t>
                </w: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jc w:val="right"/>
                  <w:rPr>
                    <w:rFonts w:ascii="Verdana" w:hAnsi="Verdana"/>
                    <w:b/>
                    <w:bCs/>
                    <w:sz w:val="16"/>
                    <w:szCs w:val="16"/>
                  </w:rPr>
                </w:pPr>
                <w:r w:rsidRPr="00FC64AD">
                  <w:rPr>
                    <w:rFonts w:ascii="Verdana" w:hAnsi="Verdana"/>
                    <w:b/>
                    <w:bCs/>
                    <w:sz w:val="16"/>
                    <w:szCs w:val="16"/>
                  </w:rPr>
                  <w:t> </w:t>
                </w: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4E63C1" w:rsidP="004E63C1">
                <w:pPr>
                  <w:pStyle w:val="Normal0"/>
                  <w:jc w:val="right"/>
                  <w:rPr>
                    <w:rFonts w:ascii="Verdana" w:hAnsi="Verdana"/>
                    <w:b/>
                    <w:bCs/>
                    <w:sz w:val="16"/>
                    <w:szCs w:val="16"/>
                  </w:rPr>
                </w:pPr>
                <w:r>
                  <w:rPr>
                    <w:rFonts w:ascii="Verdana" w:hAnsi="Verdana"/>
                    <w:b/>
                    <w:bCs/>
                    <w:sz w:val="16"/>
                    <w:szCs w:val="16"/>
                  </w:rPr>
                  <w:t>45,570</w:t>
                </w:r>
              </w:p>
            </w:tc>
            <w:tc>
              <w:tcPr>
                <w:tcW w:w="4177"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Total Outflows</w:t>
                </w:r>
              </w:p>
            </w:tc>
            <w:tc>
              <w:tcPr>
                <w:tcW w:w="1017"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4E63C1">
                <w:pPr>
                  <w:pStyle w:val="Normal0"/>
                  <w:jc w:val="right"/>
                  <w:rPr>
                    <w:rFonts w:ascii="Verdana" w:hAnsi="Verdana"/>
                    <w:b/>
                    <w:bCs/>
                    <w:sz w:val="16"/>
                    <w:szCs w:val="16"/>
                  </w:rPr>
                </w:pPr>
                <w:r>
                  <w:rPr>
                    <w:rFonts w:ascii="Verdana" w:hAnsi="Verdana"/>
                    <w:b/>
                    <w:bCs/>
                    <w:sz w:val="16"/>
                    <w:szCs w:val="16"/>
                  </w:rPr>
                  <w:t>4</w:t>
                </w:r>
                <w:r w:rsidR="00D90E0C">
                  <w:rPr>
                    <w:rFonts w:ascii="Verdana" w:hAnsi="Verdana"/>
                    <w:b/>
                    <w:bCs/>
                    <w:sz w:val="16"/>
                    <w:szCs w:val="16"/>
                  </w:rPr>
                  <w:t>8</w:t>
                </w:r>
                <w:r>
                  <w:rPr>
                    <w:rFonts w:ascii="Verdana" w:hAnsi="Verdana"/>
                    <w:b/>
                    <w:bCs/>
                    <w:sz w:val="16"/>
                    <w:szCs w:val="16"/>
                  </w:rPr>
                  <w:t>,</w:t>
                </w:r>
                <w:r w:rsidR="00D90E0C">
                  <w:rPr>
                    <w:rFonts w:ascii="Verdana" w:hAnsi="Verdana"/>
                    <w:b/>
                    <w:bCs/>
                    <w:sz w:val="16"/>
                    <w:szCs w:val="16"/>
                  </w:rPr>
                  <w:t>044</w:t>
                </w:r>
              </w:p>
            </w:tc>
          </w:tr>
          <w:tr w:rsidR="000D6EF8" w:rsidTr="00A200D5">
            <w:trPr>
              <w:trHeight w:val="97"/>
              <w:jc w:val="center"/>
            </w:trPr>
            <w:tc>
              <w:tcPr>
                <w:tcW w:w="113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4"/>
                    <w:szCs w:val="4"/>
                  </w:rPr>
                </w:pPr>
              </w:p>
            </w:tc>
            <w:tc>
              <w:tcPr>
                <w:tcW w:w="112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4"/>
                    <w:szCs w:val="4"/>
                  </w:rPr>
                </w:pP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4"/>
                    <w:szCs w:val="4"/>
                    <w:lang w:val="en-GB" w:eastAsia="en-GB"/>
                  </w:rPr>
                </w:pPr>
              </w:p>
            </w:tc>
            <w:tc>
              <w:tcPr>
                <w:tcW w:w="1017"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4"/>
                    <w:szCs w:val="4"/>
                  </w:rPr>
                </w:pPr>
              </w:p>
            </w:tc>
            <w:tc>
              <w:tcPr>
                <w:tcW w:w="1180"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sz w:val="4"/>
                    <w:szCs w:val="4"/>
                  </w:rPr>
                </w:pP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4E63C1">
                <w:pPr>
                  <w:pStyle w:val="Normal0"/>
                  <w:jc w:val="right"/>
                  <w:rPr>
                    <w:rFonts w:ascii="Verdana" w:hAnsi="Verdana"/>
                    <w:b/>
                    <w:bCs/>
                    <w:sz w:val="16"/>
                    <w:szCs w:val="16"/>
                  </w:rPr>
                </w:pPr>
                <w:r>
                  <w:rPr>
                    <w:rFonts w:ascii="Verdana" w:hAnsi="Verdana"/>
                    <w:b/>
                    <w:bCs/>
                    <w:sz w:val="16"/>
                    <w:szCs w:val="16"/>
                  </w:rPr>
                  <w:t>21,082</w:t>
                </w:r>
              </w:p>
            </w:tc>
            <w:tc>
              <w:tcPr>
                <w:tcW w:w="4177"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 xml:space="preserve">Net amount payable for the year from the Group </w:t>
                </w:r>
                <w:r>
                  <w:rPr>
                    <w:rFonts w:ascii="Verdana" w:eastAsia="Times New Roman" w:hAnsi="Verdana"/>
                    <w:b/>
                    <w:sz w:val="16"/>
                    <w:szCs w:val="16"/>
                    <w:lang w:val="en-GB" w:eastAsia="en-GB"/>
                  </w:rPr>
                  <w:t>(</w:t>
                </w:r>
                <w:r w:rsidRPr="00FC64AD">
                  <w:rPr>
                    <w:rFonts w:ascii="Verdana" w:eastAsia="Times New Roman" w:hAnsi="Verdana"/>
                    <w:b/>
                    <w:sz w:val="16"/>
                    <w:szCs w:val="16"/>
                    <w:lang w:val="en-GB" w:eastAsia="en-GB"/>
                  </w:rPr>
                  <w:t>equal to deficit</w:t>
                </w:r>
                <w:r>
                  <w:rPr>
                    <w:rFonts w:ascii="Verdana" w:eastAsia="Times New Roman" w:hAnsi="Verdana"/>
                    <w:b/>
                    <w:sz w:val="16"/>
                    <w:szCs w:val="16"/>
                    <w:lang w:val="en-GB" w:eastAsia="en-GB"/>
                  </w:rPr>
                  <w:t xml:space="preserve"> amount)</w:t>
                </w:r>
                <w:r w:rsidRPr="00FC64AD">
                  <w:rPr>
                    <w:rFonts w:ascii="Verdana" w:eastAsia="Times New Roman" w:hAnsi="Verdana"/>
                    <w:b/>
                    <w:sz w:val="16"/>
                    <w:szCs w:val="16"/>
                    <w:lang w:val="en-GB" w:eastAsia="en-GB"/>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shd w:val="clear" w:color="auto" w:fill="FFFFCC"/>
                <w:vAlign w:val="center"/>
              </w:tcPr>
              <w:p w:rsidR="000D6EF8" w:rsidRPr="00FC64AD" w:rsidRDefault="004E63C1">
                <w:pPr>
                  <w:pStyle w:val="Normal0"/>
                  <w:jc w:val="right"/>
                  <w:rPr>
                    <w:rFonts w:ascii="Verdana" w:hAnsi="Verdana"/>
                    <w:b/>
                    <w:bCs/>
                    <w:sz w:val="16"/>
                    <w:szCs w:val="16"/>
                  </w:rPr>
                </w:pPr>
                <w:r>
                  <w:rPr>
                    <w:rFonts w:ascii="Verdana" w:hAnsi="Verdana"/>
                    <w:b/>
                    <w:bCs/>
                    <w:sz w:val="16"/>
                    <w:szCs w:val="16"/>
                  </w:rPr>
                  <w:t>17,</w:t>
                </w:r>
                <w:r w:rsidR="00D90E0C">
                  <w:rPr>
                    <w:rFonts w:ascii="Verdana" w:hAnsi="Verdana"/>
                    <w:b/>
                    <w:bCs/>
                    <w:sz w:val="16"/>
                    <w:szCs w:val="16"/>
                  </w:rPr>
                  <w:t>378</w:t>
                </w: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r>
                  <w:rPr>
                    <w:rFonts w:ascii="Verdana" w:hAnsi="Verdana"/>
                    <w:b/>
                    <w:bCs/>
                    <w:sz w:val="16"/>
                    <w:szCs w:val="16"/>
                  </w:rPr>
                  <w:t>(19,129</w:t>
                </w:r>
                <w:r w:rsidRPr="00FC64AD">
                  <w:rPr>
                    <w:rFonts w:ascii="Verdana" w:hAnsi="Verdana"/>
                    <w:b/>
                    <w:bCs/>
                    <w:sz w:val="16"/>
                    <w:szCs w:val="16"/>
                  </w:rPr>
                  <w:t>)</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Additional contribution from the Group to fund the deficit for the year *</w:t>
                </w:r>
              </w:p>
            </w:tc>
            <w:tc>
              <w:tcPr>
                <w:tcW w:w="1017"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rsidR="000D6EF8" w:rsidRPr="00FC64AD" w:rsidRDefault="004E63C1">
                <w:pPr>
                  <w:pStyle w:val="Normal0"/>
                  <w:jc w:val="right"/>
                  <w:rPr>
                    <w:rFonts w:ascii="Verdana" w:hAnsi="Verdana"/>
                    <w:b/>
                    <w:bCs/>
                    <w:sz w:val="16"/>
                    <w:szCs w:val="16"/>
                  </w:rPr>
                </w:pPr>
                <w:r>
                  <w:rPr>
                    <w:rFonts w:ascii="Verdana" w:hAnsi="Verdana"/>
                    <w:b/>
                    <w:bCs/>
                    <w:sz w:val="16"/>
                    <w:szCs w:val="16"/>
                  </w:rPr>
                  <w:t>(17,</w:t>
                </w:r>
                <w:r w:rsidR="00D90E0C" w:rsidDel="00D90E0C">
                  <w:rPr>
                    <w:rFonts w:ascii="Verdana" w:hAnsi="Verdana"/>
                    <w:b/>
                    <w:bCs/>
                    <w:sz w:val="16"/>
                    <w:szCs w:val="16"/>
                  </w:rPr>
                  <w:t xml:space="preserve"> </w:t>
                </w:r>
                <w:r w:rsidR="00D90E0C">
                  <w:rPr>
                    <w:rFonts w:ascii="Verdana" w:hAnsi="Verdana"/>
                    <w:b/>
                    <w:bCs/>
                    <w:sz w:val="16"/>
                    <w:szCs w:val="16"/>
                  </w:rPr>
                  <w:t>378</w:t>
                </w:r>
                <w:r>
                  <w:rPr>
                    <w:rFonts w:ascii="Verdana" w:hAnsi="Verdana"/>
                    <w:b/>
                    <w:bCs/>
                    <w:sz w:val="16"/>
                    <w:szCs w:val="16"/>
                  </w:rPr>
                  <w:t>)</w:t>
                </w: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r w:rsidRPr="00FC64AD">
                  <w:rPr>
                    <w:rFonts w:ascii="Verdana" w:hAnsi="Verdana"/>
                    <w:b/>
                    <w:bCs/>
                    <w:sz w:val="16"/>
                    <w:szCs w:val="16"/>
                  </w:rPr>
                  <w:t>(</w:t>
                </w:r>
                <w:r>
                  <w:rPr>
                    <w:rFonts w:ascii="Verdana" w:hAnsi="Verdana"/>
                    <w:b/>
                    <w:bCs/>
                    <w:sz w:val="16"/>
                    <w:szCs w:val="16"/>
                  </w:rPr>
                  <w:t>1,953</w:t>
                </w:r>
                <w:r w:rsidRPr="00FC64AD">
                  <w:rPr>
                    <w:rFonts w:ascii="Verdana" w:hAnsi="Verdana"/>
                    <w:b/>
                    <w:bCs/>
                    <w:sz w:val="16"/>
                    <w:szCs w:val="16"/>
                  </w:rPr>
                  <w:t>)</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 xml:space="preserve">Additional funding payable </w:t>
                </w:r>
              </w:p>
              <w:p w:rsidR="000D6EF8" w:rsidRPr="00FC64AD" w:rsidRDefault="000D6EF8" w:rsidP="000D6EF8">
                <w:pPr>
                  <w:pStyle w:val="Normal0"/>
                  <w:rPr>
                    <w:rFonts w:ascii="Verdana" w:eastAsia="Times New Roman" w:hAnsi="Verdana"/>
                    <w:sz w:val="16"/>
                    <w:szCs w:val="16"/>
                    <w:lang w:val="en-GB" w:eastAsia="en-GB"/>
                  </w:rPr>
                </w:pPr>
                <w:r w:rsidRPr="00FC64AD">
                  <w:rPr>
                    <w:rFonts w:ascii="Verdana" w:eastAsia="Times New Roman" w:hAnsi="Verdana"/>
                    <w:sz w:val="16"/>
                    <w:szCs w:val="16"/>
                    <w:lang w:val="en-GB" w:eastAsia="en-GB"/>
                  </w:rPr>
                  <w:t>by the Police Operating Account to meet deficit for the year @ 2.9%**</w:t>
                </w:r>
              </w:p>
            </w:tc>
            <w:tc>
              <w:tcPr>
                <w:tcW w:w="1017"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rsidR="000D6EF8" w:rsidRPr="00FC64AD" w:rsidRDefault="004E63C1" w:rsidP="000D6EF8">
                <w:pPr>
                  <w:pStyle w:val="Normal0"/>
                  <w:jc w:val="right"/>
                  <w:rPr>
                    <w:rFonts w:ascii="Verdana" w:hAnsi="Verdana"/>
                    <w:b/>
                    <w:bCs/>
                    <w:sz w:val="16"/>
                    <w:szCs w:val="16"/>
                  </w:rPr>
                </w:pPr>
                <w:r>
                  <w:rPr>
                    <w:rFonts w:ascii="Verdana" w:hAnsi="Verdana"/>
                    <w:b/>
                    <w:bCs/>
                    <w:sz w:val="16"/>
                    <w:szCs w:val="16"/>
                  </w:rPr>
                  <w:t>0</w:t>
                </w:r>
              </w:p>
            </w:tc>
          </w:tr>
          <w:tr w:rsidR="000D6EF8" w:rsidTr="00A200D5">
            <w:trPr>
              <w:trHeight w:val="203"/>
              <w:jc w:val="center"/>
            </w:trPr>
            <w:tc>
              <w:tcPr>
                <w:tcW w:w="113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r w:rsidRPr="00FC64AD">
                  <w:rPr>
                    <w:rFonts w:ascii="Verdana" w:hAnsi="Verdana"/>
                    <w:b/>
                    <w:bCs/>
                    <w:sz w:val="16"/>
                    <w:szCs w:val="16"/>
                  </w:rPr>
                  <w:t>0</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rsidR="000D6EF8" w:rsidRPr="00FC64AD" w:rsidRDefault="000D6EF8" w:rsidP="000D6EF8">
                <w:pPr>
                  <w:pStyle w:val="Normal0"/>
                  <w:rPr>
                    <w:rFonts w:ascii="Verdana" w:eastAsia="Times New Roman" w:hAnsi="Verdana"/>
                    <w:b/>
                    <w:sz w:val="16"/>
                    <w:szCs w:val="16"/>
                    <w:lang w:val="en-GB" w:eastAsia="en-GB"/>
                  </w:rPr>
                </w:pPr>
                <w:r w:rsidRPr="00FC64AD">
                  <w:rPr>
                    <w:rFonts w:ascii="Verdana" w:eastAsia="Times New Roman" w:hAnsi="Verdana"/>
                    <w:b/>
                    <w:sz w:val="16"/>
                    <w:szCs w:val="16"/>
                    <w:lang w:val="en-GB" w:eastAsia="en-GB"/>
                  </w:rPr>
                  <w:t>Net Amount Payable for the Year</w:t>
                </w:r>
              </w:p>
            </w:tc>
            <w:tc>
              <w:tcPr>
                <w:tcW w:w="1017"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p>
            </w:tc>
            <w:tc>
              <w:tcPr>
                <w:tcW w:w="1180" w:type="dxa"/>
                <w:tcBorders>
                  <w:top w:val="single" w:sz="4" w:space="0" w:color="auto"/>
                  <w:left w:val="single" w:sz="4" w:space="0" w:color="auto"/>
                  <w:bottom w:val="single" w:sz="4" w:space="0" w:color="auto"/>
                  <w:right w:val="single" w:sz="4" w:space="0" w:color="auto"/>
                </w:tcBorders>
                <w:vAlign w:val="center"/>
              </w:tcPr>
              <w:p w:rsidR="000D6EF8" w:rsidRPr="00FC64AD" w:rsidRDefault="000D6EF8" w:rsidP="000D6EF8">
                <w:pPr>
                  <w:pStyle w:val="Normal0"/>
                  <w:jc w:val="right"/>
                  <w:rPr>
                    <w:rFonts w:ascii="Verdana" w:hAnsi="Verdana"/>
                    <w:b/>
                    <w:bCs/>
                    <w:sz w:val="16"/>
                    <w:szCs w:val="16"/>
                  </w:rPr>
                </w:pPr>
                <w:r w:rsidRPr="00FC64AD">
                  <w:rPr>
                    <w:rFonts w:ascii="Verdana" w:hAnsi="Verdana"/>
                    <w:b/>
                    <w:bCs/>
                    <w:sz w:val="16"/>
                    <w:szCs w:val="16"/>
                  </w:rPr>
                  <w:t>0</w:t>
                </w:r>
              </w:p>
            </w:tc>
          </w:tr>
        </w:tbl>
        <w:p w:rsidR="000D6EF8" w:rsidRPr="00D56A15" w:rsidRDefault="000D6EF8" w:rsidP="000D6EF8">
          <w:pPr>
            <w:rPr>
              <w:sz w:val="8"/>
              <w:szCs w:val="8"/>
              <w:lang w:val="en-GB" w:eastAsia="en-GB"/>
            </w:rPr>
          </w:pPr>
        </w:p>
        <w:p w:rsidR="000D6EF8" w:rsidRDefault="000D6EF8" w:rsidP="000D6EF8">
          <w:pPr>
            <w:pStyle w:val="Normal0"/>
            <w:rPr>
              <w:rFonts w:eastAsia="Times New Roman"/>
              <w:sz w:val="22"/>
              <w:szCs w:val="22"/>
              <w:lang w:val="en-GB" w:eastAsia="en-GB"/>
            </w:rPr>
          </w:pPr>
          <w:r w:rsidRPr="000C28D1">
            <w:rPr>
              <w:rFonts w:eastAsia="Times New Roman"/>
              <w:sz w:val="22"/>
              <w:szCs w:val="22"/>
              <w:lang w:val="en-GB" w:eastAsia="en-GB"/>
            </w:rPr>
            <w:t>* The annual deficit on the Police Pensions Account is funded by the Home Office Pension’s Top-up grant.  This income is shown in the PCC and Group Income and Expenditure account.</w:t>
          </w:r>
        </w:p>
        <w:p w:rsidR="000D6EF8" w:rsidRPr="00D56A15" w:rsidRDefault="000D6EF8" w:rsidP="000D6EF8">
          <w:pPr>
            <w:pStyle w:val="Normal0"/>
            <w:rPr>
              <w:rFonts w:eastAsia="Times New Roman"/>
              <w:sz w:val="8"/>
              <w:szCs w:val="8"/>
              <w:lang w:val="en-GB" w:eastAsia="en-GB"/>
            </w:rPr>
          </w:pPr>
        </w:p>
        <w:p w:rsidR="000D6EF8" w:rsidRDefault="000D6EF8" w:rsidP="000D6EF8">
          <w:pPr>
            <w:pStyle w:val="Normal0"/>
            <w:rPr>
              <w:rFonts w:eastAsia="Times New Roman"/>
              <w:sz w:val="22"/>
              <w:szCs w:val="22"/>
              <w:lang w:val="en-GB" w:eastAsia="en-GB"/>
            </w:rPr>
          </w:pPr>
          <w:r w:rsidRPr="000C28D1">
            <w:rPr>
              <w:rFonts w:eastAsia="Times New Roman"/>
              <w:sz w:val="22"/>
              <w:szCs w:val="22"/>
              <w:lang w:val="en-GB" w:eastAsia="en-GB"/>
            </w:rPr>
            <w:t>** The difference between the deficit on the Pension Account and the amount funded by the Pensions Top-up Grant is met from the Police Operating Account.</w:t>
          </w:r>
        </w:p>
        <w:p w:rsidR="000D6EF8" w:rsidRDefault="000D6EF8" w:rsidP="000D6EF8">
          <w:pPr>
            <w:rPr>
              <w:lang w:val="en-GB" w:eastAsia="en-GB"/>
            </w:rPr>
          </w:pPr>
        </w:p>
        <w:p w:rsidR="000D6EF8" w:rsidRDefault="000D6EF8" w:rsidP="009962A0">
          <w:pPr>
            <w:jc w:val="center"/>
            <w:rPr>
              <w:rFonts w:eastAsia="Times New Roman" w:cs="Arial"/>
              <w:b/>
              <w:lang w:val="en-GB" w:eastAsia="en-GB"/>
            </w:rPr>
          </w:pPr>
          <w:r>
            <w:rPr>
              <w:rFonts w:eastAsia="Times New Roman" w:cs="Arial"/>
              <w:b/>
              <w:lang w:val="en-GB" w:eastAsia="en-GB"/>
            </w:rPr>
            <w:t xml:space="preserve">Police Pension Fund </w:t>
          </w:r>
          <w:r w:rsidRPr="000C28D1">
            <w:rPr>
              <w:rFonts w:eastAsia="Times New Roman" w:cs="Arial"/>
              <w:b/>
              <w:lang w:val="en-GB" w:eastAsia="en-GB"/>
            </w:rPr>
            <w:t>Net Assets Statement</w:t>
          </w:r>
        </w:p>
        <w:p w:rsidR="009962A0" w:rsidRPr="009962A0" w:rsidRDefault="009962A0" w:rsidP="009962A0">
          <w:pPr>
            <w:jc w:val="center"/>
            <w:rPr>
              <w:rFonts w:eastAsia="Times New Roman" w:cs="Arial"/>
              <w:b/>
              <w:sz w:val="4"/>
              <w:szCs w:val="4"/>
              <w:lang w:val="en-GB" w:eastAsia="en-GB"/>
            </w:rPr>
          </w:pP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380"/>
            <w:gridCol w:w="3780"/>
            <w:gridCol w:w="1440"/>
          </w:tblGrid>
          <w:tr w:rsidR="009962A0" w:rsidRPr="009962A0" w:rsidTr="004E63C1">
            <w:trPr>
              <w:trHeight w:val="284"/>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9962A0" w:rsidRPr="009962A0" w:rsidRDefault="009962A0" w:rsidP="009962A0">
                <w:pPr>
                  <w:jc w:val="center"/>
                  <w:rPr>
                    <w:rFonts w:eastAsia="Calibri" w:cs="Arial"/>
                    <w:b/>
                    <w:bCs/>
                    <w:sz w:val="16"/>
                    <w:szCs w:val="16"/>
                    <w:lang w:val="en-GB"/>
                  </w:rPr>
                </w:pPr>
                <w:r w:rsidRPr="009962A0">
                  <w:rPr>
                    <w:rFonts w:eastAsia="Calibri" w:cs="Arial"/>
                    <w:b/>
                    <w:bCs/>
                    <w:sz w:val="16"/>
                    <w:szCs w:val="16"/>
                  </w:rPr>
                  <w:t>2018/19</w:t>
                </w:r>
              </w:p>
            </w:tc>
            <w:tc>
              <w:tcPr>
                <w:tcW w:w="3780" w:type="dxa"/>
                <w:tcBorders>
                  <w:top w:val="single" w:sz="4" w:space="0" w:color="auto"/>
                  <w:left w:val="single" w:sz="4" w:space="0" w:color="auto"/>
                  <w:bottom w:val="single" w:sz="4" w:space="0" w:color="auto"/>
                  <w:right w:val="single" w:sz="4" w:space="0" w:color="auto"/>
                </w:tcBorders>
                <w:vAlign w:val="center"/>
                <w:hideMark/>
              </w:tcPr>
              <w:p w:rsidR="009962A0" w:rsidRPr="009962A0" w:rsidRDefault="009962A0" w:rsidP="009962A0">
                <w:pPr>
                  <w:jc w:val="both"/>
                  <w:rPr>
                    <w:rFonts w:eastAsia="Times New Roman" w:cs="Arial"/>
                    <w:b/>
                    <w:sz w:val="16"/>
                    <w:szCs w:val="16"/>
                    <w:lang w:val="en-GB" w:eastAsia="en-GB"/>
                  </w:rPr>
                </w:pPr>
                <w:r w:rsidRPr="009962A0">
                  <w:rPr>
                    <w:rFonts w:eastAsia="Times New Roman" w:cs="Arial"/>
                    <w:b/>
                    <w:sz w:val="16"/>
                    <w:szCs w:val="16"/>
                    <w:lang w:val="en-GB" w:eastAsia="en-GB"/>
                  </w:rPr>
                  <w:t>Net Current Assets And Liabilities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62A0" w:rsidRPr="009962A0" w:rsidRDefault="009962A0" w:rsidP="009962A0">
                <w:pPr>
                  <w:jc w:val="center"/>
                  <w:rPr>
                    <w:rFonts w:eastAsia="Calibri" w:cs="Arial"/>
                    <w:b/>
                    <w:bCs/>
                    <w:sz w:val="16"/>
                    <w:szCs w:val="16"/>
                  </w:rPr>
                </w:pPr>
                <w:r w:rsidRPr="009962A0">
                  <w:rPr>
                    <w:rFonts w:eastAsia="Calibri" w:cs="Arial"/>
                    <w:b/>
                    <w:bCs/>
                    <w:sz w:val="16"/>
                    <w:szCs w:val="16"/>
                  </w:rPr>
                  <w:t>2019/20</w:t>
                </w:r>
              </w:p>
            </w:tc>
          </w:tr>
          <w:tr w:rsidR="009962A0" w:rsidRPr="009962A0" w:rsidTr="004E63C1">
            <w:trPr>
              <w:trHeight w:val="158"/>
              <w:jc w:val="center"/>
            </w:trPr>
            <w:tc>
              <w:tcPr>
                <w:tcW w:w="1380" w:type="dxa"/>
                <w:tcBorders>
                  <w:top w:val="single" w:sz="4" w:space="0" w:color="auto"/>
                  <w:left w:val="single" w:sz="4" w:space="0" w:color="auto"/>
                  <w:bottom w:val="nil"/>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£000</w:t>
                </w:r>
              </w:p>
            </w:tc>
            <w:tc>
              <w:tcPr>
                <w:tcW w:w="3780" w:type="dxa"/>
                <w:tcBorders>
                  <w:top w:val="single" w:sz="4" w:space="0" w:color="auto"/>
                  <w:left w:val="single" w:sz="4" w:space="0" w:color="auto"/>
                  <w:bottom w:val="nil"/>
                  <w:right w:val="single" w:sz="4" w:space="0" w:color="auto"/>
                </w:tcBorders>
                <w:vAlign w:val="center"/>
              </w:tcPr>
              <w:p w:rsidR="009962A0" w:rsidRPr="009962A0" w:rsidRDefault="009962A0" w:rsidP="009962A0">
                <w:pPr>
                  <w:jc w:val="both"/>
                  <w:rPr>
                    <w:rFonts w:eastAsia="Times New Roman" w:cs="Arial"/>
                    <w:sz w:val="16"/>
                    <w:szCs w:val="16"/>
                    <w:lang w:val="en-GB" w:eastAsia="en-GB"/>
                  </w:rPr>
                </w:pPr>
              </w:p>
            </w:tc>
            <w:tc>
              <w:tcPr>
                <w:tcW w:w="1440" w:type="dxa"/>
                <w:tcBorders>
                  <w:top w:val="single" w:sz="4" w:space="0" w:color="auto"/>
                  <w:left w:val="single" w:sz="4" w:space="0" w:color="auto"/>
                  <w:bottom w:val="nil"/>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£000</w:t>
                </w:r>
              </w:p>
            </w:tc>
          </w:tr>
          <w:tr w:rsidR="009962A0" w:rsidRPr="009962A0" w:rsidTr="009962A0">
            <w:trPr>
              <w:trHeight w:val="285"/>
              <w:jc w:val="center"/>
            </w:trPr>
            <w:tc>
              <w:tcPr>
                <w:tcW w:w="1380" w:type="dxa"/>
                <w:tcBorders>
                  <w:top w:val="nil"/>
                  <w:left w:val="single" w:sz="4" w:space="0" w:color="auto"/>
                  <w:bottom w:val="nil"/>
                  <w:right w:val="single" w:sz="4" w:space="0" w:color="auto"/>
                </w:tcBorders>
                <w:vAlign w:val="center"/>
              </w:tcPr>
              <w:p w:rsidR="009962A0" w:rsidRPr="009962A0" w:rsidRDefault="009962A0" w:rsidP="009962A0">
                <w:pPr>
                  <w:jc w:val="center"/>
                  <w:rPr>
                    <w:rFonts w:eastAsia="Times New Roman" w:cs="Arial"/>
                    <w:sz w:val="16"/>
                    <w:szCs w:val="16"/>
                    <w:lang w:val="en-GB" w:eastAsia="en-GB"/>
                  </w:rPr>
                </w:pPr>
              </w:p>
            </w:tc>
            <w:tc>
              <w:tcPr>
                <w:tcW w:w="3780" w:type="dxa"/>
                <w:tcBorders>
                  <w:top w:val="nil"/>
                  <w:left w:val="single" w:sz="4" w:space="0" w:color="auto"/>
                  <w:bottom w:val="nil"/>
                  <w:right w:val="single" w:sz="4" w:space="0" w:color="auto"/>
                </w:tcBorders>
                <w:vAlign w:val="center"/>
                <w:hideMark/>
              </w:tcPr>
              <w:p w:rsidR="009962A0" w:rsidRPr="009962A0" w:rsidRDefault="009962A0" w:rsidP="009962A0">
                <w:pPr>
                  <w:jc w:val="both"/>
                  <w:rPr>
                    <w:rFonts w:eastAsia="Times New Roman" w:cs="Arial"/>
                    <w:b/>
                    <w:sz w:val="16"/>
                    <w:szCs w:val="16"/>
                    <w:lang w:val="en-GB" w:eastAsia="en-GB"/>
                  </w:rPr>
                </w:pPr>
                <w:r w:rsidRPr="009962A0">
                  <w:rPr>
                    <w:rFonts w:eastAsia="Times New Roman" w:cs="Arial"/>
                    <w:b/>
                    <w:sz w:val="16"/>
                    <w:szCs w:val="16"/>
                    <w:lang w:val="en-GB" w:eastAsia="en-GB"/>
                  </w:rPr>
                  <w:t>Current Assets:</w:t>
                </w:r>
              </w:p>
            </w:tc>
            <w:tc>
              <w:tcPr>
                <w:tcW w:w="1440" w:type="dxa"/>
                <w:tcBorders>
                  <w:top w:val="nil"/>
                  <w:left w:val="single" w:sz="4" w:space="0" w:color="auto"/>
                  <w:bottom w:val="nil"/>
                  <w:right w:val="single" w:sz="4" w:space="0" w:color="auto"/>
                </w:tcBorders>
                <w:vAlign w:val="center"/>
              </w:tcPr>
              <w:p w:rsidR="009962A0" w:rsidRPr="009962A0" w:rsidRDefault="009962A0" w:rsidP="009962A0">
                <w:pPr>
                  <w:jc w:val="center"/>
                  <w:rPr>
                    <w:rFonts w:eastAsia="Times New Roman" w:cs="Arial"/>
                    <w:sz w:val="16"/>
                    <w:szCs w:val="16"/>
                    <w:lang w:val="en-GB" w:eastAsia="en-GB"/>
                  </w:rPr>
                </w:pPr>
              </w:p>
            </w:tc>
          </w:tr>
          <w:tr w:rsidR="009962A0" w:rsidRPr="009962A0" w:rsidTr="009962A0">
            <w:trPr>
              <w:trHeight w:val="285"/>
              <w:jc w:val="center"/>
            </w:trPr>
            <w:tc>
              <w:tcPr>
                <w:tcW w:w="1380" w:type="dxa"/>
                <w:tcBorders>
                  <w:top w:val="nil"/>
                  <w:left w:val="single" w:sz="4" w:space="0" w:color="auto"/>
                  <w:bottom w:val="nil"/>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w:t>
                </w:r>
              </w:p>
            </w:tc>
            <w:tc>
              <w:tcPr>
                <w:tcW w:w="3780" w:type="dxa"/>
                <w:tcBorders>
                  <w:top w:val="nil"/>
                  <w:left w:val="single" w:sz="4" w:space="0" w:color="auto"/>
                  <w:bottom w:val="nil"/>
                  <w:right w:val="single" w:sz="4" w:space="0" w:color="auto"/>
                </w:tcBorders>
                <w:vAlign w:val="center"/>
                <w:hideMark/>
              </w:tcPr>
              <w:p w:rsidR="009962A0" w:rsidRPr="009962A0" w:rsidRDefault="009962A0" w:rsidP="009962A0">
                <w:pPr>
                  <w:jc w:val="both"/>
                  <w:rPr>
                    <w:rFonts w:eastAsia="Times New Roman" w:cs="Arial"/>
                    <w:sz w:val="16"/>
                    <w:szCs w:val="16"/>
                    <w:lang w:val="en-GB" w:eastAsia="en-GB"/>
                  </w:rPr>
                </w:pPr>
                <w:r w:rsidRPr="009962A0">
                  <w:rPr>
                    <w:rFonts w:eastAsia="Times New Roman" w:cs="Arial"/>
                    <w:sz w:val="16"/>
                    <w:szCs w:val="16"/>
                    <w:lang w:val="en-GB" w:eastAsia="en-GB"/>
                  </w:rPr>
                  <w:t xml:space="preserve">Contributions due from the </w:t>
                </w:r>
                <w:smartTag w:uri="urn:schemas-microsoft-com:office:smarttags" w:element="stockticker">
                  <w:r w:rsidRPr="009962A0">
                    <w:rPr>
                      <w:rFonts w:eastAsia="Times New Roman" w:cs="Arial"/>
                      <w:sz w:val="16"/>
                      <w:szCs w:val="16"/>
                      <w:lang w:val="en-GB" w:eastAsia="en-GB"/>
                    </w:rPr>
                    <w:t>PCC</w:t>
                  </w:r>
                </w:smartTag>
              </w:p>
            </w:tc>
            <w:tc>
              <w:tcPr>
                <w:tcW w:w="1440" w:type="dxa"/>
                <w:tcBorders>
                  <w:top w:val="nil"/>
                  <w:left w:val="single" w:sz="4" w:space="0" w:color="auto"/>
                  <w:bottom w:val="nil"/>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w:t>
                </w:r>
              </w:p>
            </w:tc>
          </w:tr>
          <w:tr w:rsidR="009962A0" w:rsidRPr="009962A0" w:rsidTr="009962A0">
            <w:trPr>
              <w:trHeight w:val="285"/>
              <w:jc w:val="center"/>
            </w:trPr>
            <w:tc>
              <w:tcPr>
                <w:tcW w:w="1380" w:type="dxa"/>
                <w:tcBorders>
                  <w:top w:val="nil"/>
                  <w:left w:val="single" w:sz="4" w:space="0" w:color="auto"/>
                  <w:bottom w:val="nil"/>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w:t>
                </w:r>
              </w:p>
            </w:tc>
            <w:tc>
              <w:tcPr>
                <w:tcW w:w="3780" w:type="dxa"/>
                <w:tcBorders>
                  <w:top w:val="nil"/>
                  <w:left w:val="single" w:sz="4" w:space="0" w:color="auto"/>
                  <w:bottom w:val="nil"/>
                  <w:right w:val="single" w:sz="4" w:space="0" w:color="auto"/>
                </w:tcBorders>
                <w:vAlign w:val="center"/>
                <w:hideMark/>
              </w:tcPr>
              <w:p w:rsidR="009962A0" w:rsidRPr="009962A0" w:rsidRDefault="009962A0" w:rsidP="009962A0">
                <w:pPr>
                  <w:jc w:val="both"/>
                  <w:rPr>
                    <w:rFonts w:eastAsia="Times New Roman" w:cs="Arial"/>
                    <w:sz w:val="16"/>
                    <w:szCs w:val="16"/>
                    <w:lang w:val="en-GB" w:eastAsia="en-GB"/>
                  </w:rPr>
                </w:pPr>
                <w:r w:rsidRPr="009962A0">
                  <w:rPr>
                    <w:rFonts w:eastAsia="Times New Roman" w:cs="Arial"/>
                    <w:sz w:val="16"/>
                    <w:szCs w:val="16"/>
                    <w:lang w:val="en-GB" w:eastAsia="en-GB"/>
                  </w:rPr>
                  <w:t>Recoverable overpayments of pensions</w:t>
                </w:r>
              </w:p>
            </w:tc>
            <w:tc>
              <w:tcPr>
                <w:tcW w:w="1440" w:type="dxa"/>
                <w:tcBorders>
                  <w:top w:val="nil"/>
                  <w:left w:val="single" w:sz="4" w:space="0" w:color="auto"/>
                  <w:bottom w:val="nil"/>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w:t>
                </w:r>
              </w:p>
            </w:tc>
          </w:tr>
          <w:tr w:rsidR="009962A0" w:rsidRPr="009962A0" w:rsidTr="009962A0">
            <w:trPr>
              <w:trHeight w:val="285"/>
              <w:jc w:val="center"/>
            </w:trPr>
            <w:tc>
              <w:tcPr>
                <w:tcW w:w="1380" w:type="dxa"/>
                <w:tcBorders>
                  <w:top w:val="nil"/>
                  <w:left w:val="single" w:sz="4" w:space="0" w:color="auto"/>
                  <w:bottom w:val="nil"/>
                  <w:right w:val="single" w:sz="4" w:space="0" w:color="auto"/>
                </w:tcBorders>
                <w:vAlign w:val="center"/>
              </w:tcPr>
              <w:p w:rsidR="009962A0" w:rsidRPr="009962A0" w:rsidRDefault="009962A0" w:rsidP="009962A0">
                <w:pPr>
                  <w:jc w:val="center"/>
                  <w:rPr>
                    <w:rFonts w:eastAsia="Times New Roman" w:cs="Arial"/>
                    <w:sz w:val="16"/>
                    <w:szCs w:val="16"/>
                    <w:lang w:val="en-GB" w:eastAsia="en-GB"/>
                  </w:rPr>
                </w:pPr>
              </w:p>
            </w:tc>
            <w:tc>
              <w:tcPr>
                <w:tcW w:w="3780" w:type="dxa"/>
                <w:tcBorders>
                  <w:top w:val="nil"/>
                  <w:left w:val="single" w:sz="4" w:space="0" w:color="auto"/>
                  <w:bottom w:val="nil"/>
                  <w:right w:val="single" w:sz="4" w:space="0" w:color="auto"/>
                </w:tcBorders>
                <w:vAlign w:val="center"/>
                <w:hideMark/>
              </w:tcPr>
              <w:p w:rsidR="009962A0" w:rsidRPr="009962A0" w:rsidRDefault="009962A0" w:rsidP="009962A0">
                <w:pPr>
                  <w:jc w:val="both"/>
                  <w:rPr>
                    <w:rFonts w:eastAsia="Times New Roman" w:cs="Arial"/>
                    <w:b/>
                    <w:sz w:val="16"/>
                    <w:szCs w:val="16"/>
                    <w:lang w:val="en-GB" w:eastAsia="en-GB"/>
                  </w:rPr>
                </w:pPr>
                <w:r w:rsidRPr="009962A0">
                  <w:rPr>
                    <w:rFonts w:eastAsia="Times New Roman" w:cs="Arial"/>
                    <w:b/>
                    <w:sz w:val="16"/>
                    <w:szCs w:val="16"/>
                    <w:lang w:val="en-GB" w:eastAsia="en-GB"/>
                  </w:rPr>
                  <w:t>Current Liabilities:</w:t>
                </w:r>
              </w:p>
            </w:tc>
            <w:tc>
              <w:tcPr>
                <w:tcW w:w="1440" w:type="dxa"/>
                <w:tcBorders>
                  <w:top w:val="nil"/>
                  <w:left w:val="single" w:sz="4" w:space="0" w:color="auto"/>
                  <w:bottom w:val="nil"/>
                  <w:right w:val="single" w:sz="4" w:space="0" w:color="auto"/>
                </w:tcBorders>
                <w:vAlign w:val="center"/>
              </w:tcPr>
              <w:p w:rsidR="009962A0" w:rsidRPr="009962A0" w:rsidRDefault="009962A0" w:rsidP="009962A0">
                <w:pPr>
                  <w:jc w:val="center"/>
                  <w:rPr>
                    <w:rFonts w:eastAsia="Times New Roman" w:cs="Arial"/>
                    <w:sz w:val="16"/>
                    <w:szCs w:val="16"/>
                    <w:lang w:val="en-GB" w:eastAsia="en-GB"/>
                  </w:rPr>
                </w:pPr>
              </w:p>
            </w:tc>
          </w:tr>
          <w:tr w:rsidR="009962A0" w:rsidRPr="009962A0" w:rsidTr="009962A0">
            <w:trPr>
              <w:trHeight w:val="285"/>
              <w:jc w:val="center"/>
            </w:trPr>
            <w:tc>
              <w:tcPr>
                <w:tcW w:w="1380" w:type="dxa"/>
                <w:tcBorders>
                  <w:top w:val="nil"/>
                  <w:left w:val="single" w:sz="4" w:space="0" w:color="auto"/>
                  <w:bottom w:val="nil"/>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w:t>
                </w:r>
              </w:p>
            </w:tc>
            <w:tc>
              <w:tcPr>
                <w:tcW w:w="3780" w:type="dxa"/>
                <w:tcBorders>
                  <w:top w:val="nil"/>
                  <w:left w:val="single" w:sz="4" w:space="0" w:color="auto"/>
                  <w:bottom w:val="nil"/>
                  <w:right w:val="single" w:sz="4" w:space="0" w:color="auto"/>
                </w:tcBorders>
                <w:vAlign w:val="center"/>
                <w:hideMark/>
              </w:tcPr>
              <w:p w:rsidR="009962A0" w:rsidRPr="009962A0" w:rsidRDefault="009962A0" w:rsidP="009962A0">
                <w:pPr>
                  <w:jc w:val="both"/>
                  <w:rPr>
                    <w:rFonts w:eastAsia="Times New Roman" w:cs="Arial"/>
                    <w:sz w:val="16"/>
                    <w:szCs w:val="16"/>
                    <w:lang w:val="en-GB" w:eastAsia="en-GB"/>
                  </w:rPr>
                </w:pPr>
                <w:r w:rsidRPr="009962A0">
                  <w:rPr>
                    <w:rFonts w:eastAsia="Times New Roman" w:cs="Arial"/>
                    <w:sz w:val="16"/>
                    <w:szCs w:val="16"/>
                    <w:lang w:val="en-GB" w:eastAsia="en-GB"/>
                  </w:rPr>
                  <w:t>Unpaid pensions benefits</w:t>
                </w:r>
              </w:p>
            </w:tc>
            <w:tc>
              <w:tcPr>
                <w:tcW w:w="1440" w:type="dxa"/>
                <w:tcBorders>
                  <w:top w:val="nil"/>
                  <w:left w:val="single" w:sz="4" w:space="0" w:color="auto"/>
                  <w:bottom w:val="nil"/>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w:t>
                </w:r>
              </w:p>
            </w:tc>
          </w:tr>
          <w:tr w:rsidR="009962A0" w:rsidRPr="009962A0" w:rsidTr="009962A0">
            <w:trPr>
              <w:trHeight w:val="285"/>
              <w:jc w:val="center"/>
            </w:trPr>
            <w:tc>
              <w:tcPr>
                <w:tcW w:w="1380" w:type="dxa"/>
                <w:tcBorders>
                  <w:top w:val="nil"/>
                  <w:left w:val="single" w:sz="4" w:space="0" w:color="auto"/>
                  <w:bottom w:val="single" w:sz="4" w:space="0" w:color="auto"/>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w:t>
                </w:r>
              </w:p>
            </w:tc>
            <w:tc>
              <w:tcPr>
                <w:tcW w:w="3780" w:type="dxa"/>
                <w:tcBorders>
                  <w:top w:val="nil"/>
                  <w:left w:val="single" w:sz="4" w:space="0" w:color="auto"/>
                  <w:bottom w:val="single" w:sz="4" w:space="0" w:color="auto"/>
                  <w:right w:val="single" w:sz="4" w:space="0" w:color="auto"/>
                </w:tcBorders>
                <w:vAlign w:val="center"/>
                <w:hideMark/>
              </w:tcPr>
              <w:p w:rsidR="009962A0" w:rsidRPr="009962A0" w:rsidRDefault="009962A0" w:rsidP="009962A0">
                <w:pPr>
                  <w:jc w:val="both"/>
                  <w:rPr>
                    <w:rFonts w:eastAsia="Times New Roman" w:cs="Arial"/>
                    <w:sz w:val="16"/>
                    <w:szCs w:val="16"/>
                    <w:lang w:val="en-GB" w:eastAsia="en-GB"/>
                  </w:rPr>
                </w:pPr>
                <w:r w:rsidRPr="009962A0">
                  <w:rPr>
                    <w:rFonts w:eastAsia="Times New Roman" w:cs="Arial"/>
                    <w:sz w:val="16"/>
                    <w:szCs w:val="16"/>
                    <w:lang w:val="en-GB" w:eastAsia="en-GB"/>
                  </w:rPr>
                  <w:t xml:space="preserve">Surplus for the year owing to the </w:t>
                </w:r>
                <w:smartTag w:uri="urn:schemas-microsoft-com:office:smarttags" w:element="stockticker">
                  <w:r w:rsidRPr="009962A0">
                    <w:rPr>
                      <w:rFonts w:eastAsia="Times New Roman" w:cs="Arial"/>
                      <w:sz w:val="16"/>
                      <w:szCs w:val="16"/>
                      <w:lang w:val="en-GB" w:eastAsia="en-GB"/>
                    </w:rPr>
                    <w:t>PCC</w:t>
                  </w:r>
                </w:smartTag>
              </w:p>
            </w:tc>
            <w:tc>
              <w:tcPr>
                <w:tcW w:w="1440" w:type="dxa"/>
                <w:tcBorders>
                  <w:top w:val="nil"/>
                  <w:left w:val="single" w:sz="4" w:space="0" w:color="auto"/>
                  <w:bottom w:val="single" w:sz="4" w:space="0" w:color="auto"/>
                  <w:right w:val="single" w:sz="4" w:space="0" w:color="auto"/>
                </w:tcBorders>
                <w:vAlign w:val="center"/>
                <w:hideMark/>
              </w:tcPr>
              <w:p w:rsidR="009962A0" w:rsidRPr="009962A0" w:rsidRDefault="009962A0" w:rsidP="009962A0">
                <w:pPr>
                  <w:jc w:val="center"/>
                  <w:rPr>
                    <w:rFonts w:eastAsia="Times New Roman" w:cs="Arial"/>
                    <w:sz w:val="16"/>
                    <w:szCs w:val="16"/>
                    <w:lang w:val="en-GB" w:eastAsia="en-GB"/>
                  </w:rPr>
                </w:pPr>
                <w:r w:rsidRPr="009962A0">
                  <w:rPr>
                    <w:rFonts w:eastAsia="Times New Roman" w:cs="Arial"/>
                    <w:sz w:val="16"/>
                    <w:szCs w:val="16"/>
                    <w:lang w:val="en-GB" w:eastAsia="en-GB"/>
                  </w:rPr>
                  <w:t>0</w:t>
                </w:r>
              </w:p>
            </w:tc>
          </w:tr>
          <w:tr w:rsidR="009962A0" w:rsidRPr="009962A0" w:rsidTr="009962A0">
            <w:trPr>
              <w:trHeight w:val="285"/>
              <w:jc w:val="center"/>
            </w:trPr>
            <w:tc>
              <w:tcPr>
                <w:tcW w:w="1380" w:type="dxa"/>
                <w:tcBorders>
                  <w:top w:val="single" w:sz="4" w:space="0" w:color="auto"/>
                  <w:left w:val="single" w:sz="4" w:space="0" w:color="auto"/>
                  <w:bottom w:val="single" w:sz="4" w:space="0" w:color="auto"/>
                  <w:right w:val="single" w:sz="4" w:space="0" w:color="auto"/>
                </w:tcBorders>
                <w:vAlign w:val="center"/>
                <w:hideMark/>
              </w:tcPr>
              <w:p w:rsidR="009962A0" w:rsidRPr="009962A0" w:rsidRDefault="009962A0" w:rsidP="009962A0">
                <w:pPr>
                  <w:jc w:val="center"/>
                  <w:rPr>
                    <w:rFonts w:eastAsia="Times New Roman" w:cs="Arial"/>
                    <w:b/>
                    <w:sz w:val="16"/>
                    <w:szCs w:val="16"/>
                    <w:lang w:val="en-GB" w:eastAsia="en-GB"/>
                  </w:rPr>
                </w:pPr>
                <w:r w:rsidRPr="009962A0">
                  <w:rPr>
                    <w:rFonts w:eastAsia="Times New Roman" w:cs="Arial"/>
                    <w:b/>
                    <w:sz w:val="16"/>
                    <w:szCs w:val="16"/>
                    <w:lang w:val="en-GB" w:eastAsia="en-GB"/>
                  </w:rPr>
                  <w:t>0</w:t>
                </w:r>
              </w:p>
            </w:tc>
            <w:tc>
              <w:tcPr>
                <w:tcW w:w="3780" w:type="dxa"/>
                <w:tcBorders>
                  <w:top w:val="single" w:sz="4" w:space="0" w:color="auto"/>
                  <w:left w:val="single" w:sz="4" w:space="0" w:color="auto"/>
                  <w:bottom w:val="single" w:sz="4" w:space="0" w:color="auto"/>
                  <w:right w:val="single" w:sz="4" w:space="0" w:color="auto"/>
                </w:tcBorders>
                <w:vAlign w:val="center"/>
                <w:hideMark/>
              </w:tcPr>
              <w:p w:rsidR="009962A0" w:rsidRPr="009962A0" w:rsidRDefault="009962A0" w:rsidP="009962A0">
                <w:pPr>
                  <w:jc w:val="both"/>
                  <w:rPr>
                    <w:rFonts w:eastAsia="Times New Roman" w:cs="Arial"/>
                    <w:b/>
                    <w:sz w:val="16"/>
                    <w:szCs w:val="16"/>
                    <w:lang w:val="en-GB" w:eastAsia="en-GB"/>
                  </w:rPr>
                </w:pPr>
                <w:r w:rsidRPr="009962A0">
                  <w:rPr>
                    <w:rFonts w:eastAsia="Times New Roman" w:cs="Arial"/>
                    <w:b/>
                    <w:sz w:val="16"/>
                    <w:szCs w:val="16"/>
                    <w:lang w:val="en-GB" w:eastAsia="en-GB"/>
                  </w:rPr>
                  <w:t>Net Assets / (Liabilities)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62A0" w:rsidRPr="009962A0" w:rsidRDefault="009962A0" w:rsidP="009962A0">
                <w:pPr>
                  <w:jc w:val="center"/>
                  <w:rPr>
                    <w:rFonts w:eastAsia="Times New Roman" w:cs="Arial"/>
                    <w:b/>
                    <w:sz w:val="16"/>
                    <w:szCs w:val="16"/>
                    <w:lang w:val="en-GB" w:eastAsia="en-GB"/>
                  </w:rPr>
                </w:pPr>
                <w:r w:rsidRPr="009962A0">
                  <w:rPr>
                    <w:rFonts w:eastAsia="Times New Roman" w:cs="Arial"/>
                    <w:b/>
                    <w:sz w:val="16"/>
                    <w:szCs w:val="16"/>
                    <w:lang w:val="en-GB" w:eastAsia="en-GB"/>
                  </w:rPr>
                  <w:t>0</w:t>
                </w:r>
              </w:p>
            </w:tc>
          </w:tr>
        </w:tbl>
        <w:p w:rsidR="000D6EF8" w:rsidRPr="00D56A15" w:rsidRDefault="000D6EF8" w:rsidP="00A31A9E">
          <w:pPr>
            <w:pStyle w:val="Heading1"/>
            <w:rPr>
              <w:lang w:eastAsia="en-GB"/>
            </w:rPr>
          </w:pPr>
          <w:bookmarkStart w:id="54" w:name="_Toc15152187"/>
          <w:bookmarkStart w:id="55" w:name="_Toc55900444"/>
          <w:r w:rsidRPr="00D56A15">
            <w:rPr>
              <w:lang w:eastAsia="en-GB"/>
            </w:rPr>
            <w:t>Police Pension Funds - Notes</w:t>
          </w:r>
          <w:bookmarkEnd w:id="54"/>
          <w:bookmarkEnd w:id="55"/>
        </w:p>
        <w:p w:rsidR="000D6EF8" w:rsidRPr="00915848" w:rsidRDefault="000D6EF8" w:rsidP="000D6EF8">
          <w:pPr>
            <w:pStyle w:val="Normal0"/>
            <w:rPr>
              <w:sz w:val="22"/>
              <w:lang w:val="en-GB" w:eastAsia="en-GB"/>
            </w:rPr>
          </w:pPr>
        </w:p>
        <w:p w:rsidR="000D6EF8" w:rsidRPr="00FC64AD" w:rsidRDefault="000D6EF8" w:rsidP="000D6EF8">
          <w:pPr>
            <w:pStyle w:val="Normal0"/>
            <w:rPr>
              <w:rFonts w:ascii="Verdana" w:hAnsi="Verdana"/>
              <w:b/>
              <w:sz w:val="22"/>
              <w:szCs w:val="22"/>
              <w:lang w:val="en-GB" w:eastAsia="en-GB"/>
            </w:rPr>
          </w:pPr>
          <w:r w:rsidRPr="00FC64AD">
            <w:rPr>
              <w:rFonts w:ascii="Verdana" w:hAnsi="Verdana"/>
              <w:b/>
              <w:sz w:val="22"/>
              <w:szCs w:val="22"/>
              <w:lang w:val="en-GB" w:eastAsia="en-GB"/>
            </w:rPr>
            <w:t>Accounting Policies</w:t>
          </w:r>
        </w:p>
        <w:p w:rsidR="000D6EF8" w:rsidRPr="00FC64AD" w:rsidRDefault="000D6EF8" w:rsidP="000D6EF8">
          <w:pPr>
            <w:pStyle w:val="Normal0"/>
            <w:rPr>
              <w:rFonts w:ascii="Verdana" w:hAnsi="Verdana"/>
              <w:sz w:val="22"/>
              <w:szCs w:val="22"/>
              <w:lang w:val="en-GB" w:eastAsia="en-GB"/>
            </w:rPr>
          </w:pPr>
        </w:p>
        <w:p w:rsidR="000D6EF8" w:rsidRPr="00FC64AD" w:rsidRDefault="000D6EF8" w:rsidP="000D6EF8">
          <w:pPr>
            <w:pStyle w:val="Normal0"/>
            <w:jc w:val="both"/>
            <w:rPr>
              <w:rFonts w:ascii="Verdana" w:hAnsi="Verdana"/>
              <w:sz w:val="22"/>
              <w:szCs w:val="22"/>
              <w:lang w:val="en-GB" w:eastAsia="en-GB"/>
            </w:rPr>
          </w:pPr>
          <w:r w:rsidRPr="00FC64AD">
            <w:rPr>
              <w:rFonts w:ascii="Verdana" w:hAnsi="Verdana"/>
              <w:sz w:val="22"/>
              <w:szCs w:val="22"/>
              <w:lang w:val="en-GB" w:eastAsia="en-GB"/>
            </w:rPr>
            <w:t>The Police Pension Account Statements have been prepared to meet the requirements of Regulation 7(1) (d) of the Accounts and Audit Regulations 2003, which states that Chief Constables are obliged to include the police pensions account in their statement of accounts.  They also meet the requirements of the Code of Practice on Local Authority Accounting in the United Kingdom 2018/19 based on International Financial Reporting Standards IAS19, as last amended on 16 June 2011.  The Accounts have been prepared on an accruals basis.  The statements do not take account of liabilities to pay pensions and other benefits in the future.  This is reported upon separately in the Actuary’s statement.</w:t>
          </w:r>
        </w:p>
        <w:p w:rsidR="000D6EF8" w:rsidRPr="00FC64AD" w:rsidRDefault="000D6EF8" w:rsidP="000D6EF8">
          <w:pPr>
            <w:pStyle w:val="Normal0"/>
            <w:jc w:val="both"/>
            <w:rPr>
              <w:rFonts w:ascii="Verdana" w:hAnsi="Verdana"/>
              <w:sz w:val="22"/>
              <w:szCs w:val="22"/>
              <w:lang w:val="en-GB" w:eastAsia="en-GB"/>
            </w:rPr>
          </w:pPr>
        </w:p>
        <w:p w:rsidR="000D6EF8" w:rsidRPr="00FC64AD" w:rsidRDefault="000D6EF8" w:rsidP="000D6EF8">
          <w:pPr>
            <w:jc w:val="both"/>
            <w:rPr>
              <w:rFonts w:cs="Arial"/>
              <w:b/>
              <w:lang w:val="en-GB" w:eastAsia="en-GB"/>
            </w:rPr>
          </w:pPr>
          <w:r w:rsidRPr="00FC64AD">
            <w:rPr>
              <w:rFonts w:cs="Arial"/>
              <w:b/>
              <w:lang w:val="en-GB" w:eastAsia="en-GB"/>
            </w:rPr>
            <w:t>Explanatory Notes to the Police Pension Fund Account Statements</w:t>
          </w:r>
        </w:p>
        <w:p w:rsidR="000D6EF8" w:rsidRPr="00FC64AD" w:rsidRDefault="000D6EF8" w:rsidP="000D6EF8">
          <w:pPr>
            <w:pStyle w:val="Normal0"/>
            <w:jc w:val="both"/>
            <w:rPr>
              <w:rFonts w:ascii="Verdana" w:hAnsi="Verdana"/>
              <w:sz w:val="22"/>
              <w:szCs w:val="22"/>
              <w:lang w:val="en-GB" w:eastAsia="en-GB"/>
            </w:rPr>
          </w:pPr>
        </w:p>
        <w:p w:rsidR="000D6EF8" w:rsidRPr="00FC64AD" w:rsidRDefault="000D6EF8" w:rsidP="000D6EF8">
          <w:pPr>
            <w:pStyle w:val="Normal0"/>
            <w:jc w:val="both"/>
            <w:rPr>
              <w:rFonts w:ascii="Verdana" w:hAnsi="Verdana"/>
              <w:sz w:val="22"/>
              <w:szCs w:val="22"/>
              <w:lang w:val="en-GB" w:eastAsia="en-GB"/>
            </w:rPr>
          </w:pPr>
          <w:r w:rsidRPr="00FC64AD">
            <w:rPr>
              <w:rFonts w:ascii="Verdana" w:hAnsi="Verdana"/>
              <w:sz w:val="22"/>
              <w:szCs w:val="22"/>
              <w:lang w:val="en-GB" w:eastAsia="en-GB"/>
            </w:rPr>
            <w:t>The Chief Constable is required to include a separate police pension account in their Statement of Accounts and is responsible for paying the pension of its former police officers.  The Pension Fund is administered by the Chief Constable in accordance with the Police Pension Fund Regulations 2007 (SI 2007 No 1932).</w:t>
          </w:r>
        </w:p>
        <w:p w:rsidR="000D6EF8" w:rsidRPr="00FC64AD" w:rsidRDefault="000D6EF8" w:rsidP="000D6EF8">
          <w:pPr>
            <w:pStyle w:val="Normal0"/>
            <w:jc w:val="both"/>
            <w:rPr>
              <w:rFonts w:ascii="Verdana" w:hAnsi="Verdana"/>
              <w:sz w:val="22"/>
              <w:szCs w:val="22"/>
              <w:lang w:val="en-GB" w:eastAsia="en-GB"/>
            </w:rPr>
          </w:pPr>
        </w:p>
        <w:p w:rsidR="000D6EF8" w:rsidRPr="00FC64AD" w:rsidRDefault="000D6EF8" w:rsidP="000D6EF8">
          <w:pPr>
            <w:pStyle w:val="Normal0"/>
            <w:jc w:val="both"/>
            <w:rPr>
              <w:rFonts w:ascii="Verdana" w:hAnsi="Verdana"/>
              <w:sz w:val="22"/>
              <w:szCs w:val="22"/>
              <w:lang w:val="en-GB" w:eastAsia="en-GB"/>
            </w:rPr>
          </w:pPr>
          <w:r w:rsidRPr="00FC64AD">
            <w:rPr>
              <w:rFonts w:ascii="Verdana" w:hAnsi="Verdana"/>
              <w:sz w:val="22"/>
              <w:szCs w:val="22"/>
              <w:lang w:val="en-GB" w:eastAsia="en-GB"/>
            </w:rPr>
            <w:t xml:space="preserve">On 1 April 2006 new arrangements came into being for funding and accounting for the Police Pension Schemes.  Before 1 April 2006 these pensions were paid from the Revenue Account and the Authority (preceding the Police Reform and Social Responsibility Act 2011 creating the two corporation sole bodies; the Police and Crime Commissioner for </w:t>
          </w:r>
          <w:r>
            <w:rPr>
              <w:rFonts w:ascii="Verdana" w:hAnsi="Verdana"/>
              <w:sz w:val="22"/>
              <w:szCs w:val="22"/>
              <w:lang w:val="en-GB" w:eastAsia="en-GB"/>
            </w:rPr>
            <w:t>Surrey</w:t>
          </w:r>
          <w:r w:rsidRPr="00FC64AD">
            <w:rPr>
              <w:rFonts w:ascii="Verdana" w:hAnsi="Verdana"/>
              <w:sz w:val="22"/>
              <w:szCs w:val="22"/>
              <w:lang w:val="en-GB" w:eastAsia="en-GB"/>
            </w:rPr>
            <w:t xml:space="preserve"> a</w:t>
          </w:r>
          <w:r>
            <w:rPr>
              <w:rFonts w:ascii="Verdana" w:hAnsi="Verdana"/>
              <w:sz w:val="22"/>
              <w:szCs w:val="22"/>
              <w:lang w:val="en-GB" w:eastAsia="en-GB"/>
            </w:rPr>
            <w:t>nd the Chief Constable of Surrey</w:t>
          </w:r>
          <w:r w:rsidRPr="00FC64AD">
            <w:rPr>
              <w:rFonts w:ascii="Verdana" w:hAnsi="Verdana"/>
              <w:sz w:val="22"/>
              <w:szCs w:val="22"/>
              <w:lang w:val="en-GB" w:eastAsia="en-GB"/>
            </w:rPr>
            <w:t>) received funding from central government as part of the general funding formula to support payments of pensions.  Prior to 1 April 2006, there were no employer contributions based on pensionable pay and no top-up grants.</w:t>
          </w:r>
        </w:p>
        <w:p w:rsidR="000D6EF8" w:rsidRPr="00FC64AD" w:rsidRDefault="000D6EF8" w:rsidP="000D6EF8">
          <w:pPr>
            <w:pStyle w:val="Normal0"/>
            <w:jc w:val="both"/>
            <w:rPr>
              <w:rFonts w:ascii="Verdana" w:hAnsi="Verdana"/>
              <w:sz w:val="22"/>
              <w:szCs w:val="22"/>
              <w:lang w:val="en-GB" w:eastAsia="en-GB"/>
            </w:rPr>
          </w:pPr>
        </w:p>
        <w:p w:rsidR="000D6EF8" w:rsidRPr="00FC64AD" w:rsidRDefault="000D6EF8" w:rsidP="000D6EF8">
          <w:pPr>
            <w:pStyle w:val="Normal0"/>
            <w:jc w:val="both"/>
            <w:rPr>
              <w:rFonts w:ascii="Verdana" w:hAnsi="Verdana"/>
              <w:sz w:val="22"/>
              <w:szCs w:val="22"/>
              <w:lang w:val="en-GB" w:eastAsia="en-GB"/>
            </w:rPr>
          </w:pPr>
          <w:r w:rsidRPr="00FC64AD">
            <w:rPr>
              <w:rFonts w:ascii="Verdana" w:hAnsi="Verdana"/>
              <w:sz w:val="22"/>
              <w:szCs w:val="22"/>
              <w:lang w:val="en-GB" w:eastAsia="en-GB"/>
            </w:rPr>
            <w:t>From 1 April 2006 pensions are paid from a separate local police pensions account, rather than direct from the Income and Expenditure Account.  Overall the change to the financial arrangements for police officer pensions is intended to be ‘cost neutral’ with no impact on either the national or local council tax payer.</w:t>
          </w:r>
        </w:p>
        <w:p w:rsidR="000D6EF8" w:rsidRPr="00FC64AD" w:rsidRDefault="000D6EF8" w:rsidP="000D6EF8">
          <w:pPr>
            <w:pStyle w:val="Normal0"/>
            <w:jc w:val="both"/>
            <w:rPr>
              <w:rFonts w:ascii="Verdana" w:hAnsi="Verdana"/>
              <w:sz w:val="22"/>
              <w:szCs w:val="22"/>
              <w:lang w:val="en-GB" w:eastAsia="en-GB"/>
            </w:rPr>
          </w:pPr>
        </w:p>
        <w:p w:rsidR="000D6EF8" w:rsidRPr="00A31703" w:rsidRDefault="000D6EF8" w:rsidP="000D6EF8">
          <w:pPr>
            <w:pStyle w:val="Normal0"/>
            <w:jc w:val="both"/>
            <w:rPr>
              <w:rFonts w:ascii="Verdana" w:hAnsi="Verdana"/>
              <w:sz w:val="22"/>
              <w:lang w:val="en-GB" w:eastAsia="en-GB"/>
            </w:rPr>
          </w:pPr>
          <w:r w:rsidRPr="00FC64AD">
            <w:rPr>
              <w:rFonts w:ascii="Verdana" w:hAnsi="Verdana"/>
              <w:sz w:val="22"/>
              <w:lang w:val="en-GB" w:eastAsia="en-GB"/>
            </w:rPr>
            <w:t>There are currently three Police Officer pension schemes. Officers in the ‘old scheme’ currently contribute between 14.25% and 15.05% depending upon level of basic annual salary (prior to 1 April 2012 officers in the ‘old scheme’ contributed 11% of pensionable pay).  Officers in the ‘new scheme’ currently contribute between 11.0% and 12.75% depending upon level of basic annual salary (prior to 1 April 2012 officers in the ‘new scheme’ contributed 9.5% of earnings or 6% if ineligible for ill-health benefits).  From 1 April 2015 the Police Pensions Scheme 2015 came into effect and all current active members were transferred to this scheme – with the exception of those qualifying for protections allowing them to remain in their current scheme.  Officers contribute between 12.44% and 13.78% depending on their basic salary.  The Chief Constable makes an</w:t>
          </w:r>
          <w:r w:rsidR="009055CC">
            <w:rPr>
              <w:rFonts w:ascii="Verdana" w:hAnsi="Verdana"/>
              <w:sz w:val="22"/>
              <w:lang w:val="en-GB" w:eastAsia="en-GB"/>
            </w:rPr>
            <w:t xml:space="preserve"> employer’s contribution of 31</w:t>
          </w:r>
          <w:r w:rsidRPr="00FC64AD">
            <w:rPr>
              <w:rFonts w:ascii="Verdana" w:hAnsi="Verdana"/>
              <w:sz w:val="22"/>
              <w:lang w:val="en-GB" w:eastAsia="en-GB"/>
            </w:rPr>
            <w:t xml:space="preserve">% of pensionable pay.  Employee’s and Employer’s contribution levels are based on percentages of pensionable pay set nationally by the Home Office and are subject to triennial revaluation by the Government Actuary’s Department.  The Police Pension scheme has no assets to cover it liabilities, therefore the total payments to pensioners in any year must be paid for by current officer </w:t>
          </w:r>
          <w:r w:rsidRPr="00A31703">
            <w:rPr>
              <w:rFonts w:ascii="Verdana" w:hAnsi="Verdana"/>
              <w:sz w:val="22"/>
              <w:lang w:val="en-GB" w:eastAsia="en-GB"/>
            </w:rPr>
            <w:t>and employer contributions.</w:t>
          </w:r>
        </w:p>
        <w:p w:rsidR="000D6EF8" w:rsidRPr="00A31703" w:rsidRDefault="000D6EF8" w:rsidP="000D6EF8">
          <w:pPr>
            <w:pStyle w:val="Normal0"/>
            <w:jc w:val="both"/>
            <w:rPr>
              <w:rFonts w:ascii="Verdana" w:eastAsia="Times New Roman" w:hAnsi="Verdana"/>
              <w:sz w:val="22"/>
              <w:lang w:val="en-GB" w:eastAsia="en-GB"/>
            </w:rPr>
          </w:pPr>
        </w:p>
        <w:p w:rsidR="000D6EF8" w:rsidRPr="00FC64AD" w:rsidRDefault="000D6EF8" w:rsidP="000D6EF8">
          <w:pPr>
            <w:pStyle w:val="Normal0"/>
            <w:jc w:val="both"/>
            <w:rPr>
              <w:rFonts w:ascii="Verdana" w:eastAsia="Times New Roman" w:hAnsi="Verdana"/>
              <w:sz w:val="22"/>
              <w:lang w:val="en-GB" w:eastAsia="en-GB"/>
            </w:rPr>
          </w:pPr>
          <w:r w:rsidRPr="00A31703">
            <w:rPr>
              <w:rFonts w:ascii="Verdana" w:eastAsia="Times New Roman" w:hAnsi="Verdana"/>
              <w:sz w:val="22"/>
              <w:lang w:val="en-GB" w:eastAsia="en-GB"/>
            </w:rPr>
            <w:t>Under the current financing arrangements the Pension Account is balanced to nil at the end of the year.  In the event that the Pension Account is in deficit, the Home Office partially reimburse the Police and Crime Commissioner</w:t>
          </w:r>
          <w:r>
            <w:rPr>
              <w:rFonts w:ascii="Verdana" w:eastAsia="Times New Roman" w:hAnsi="Verdana"/>
              <w:sz w:val="22"/>
              <w:lang w:val="en-GB" w:eastAsia="en-GB"/>
            </w:rPr>
            <w:t xml:space="preserve"> and</w:t>
          </w:r>
          <w:r w:rsidRPr="00A31703">
            <w:rPr>
              <w:rFonts w:ascii="Verdana" w:eastAsia="Times New Roman" w:hAnsi="Verdana"/>
              <w:sz w:val="22"/>
              <w:lang w:val="en-GB" w:eastAsia="en-GB"/>
            </w:rPr>
            <w:t xml:space="preserve"> </w:t>
          </w:r>
          <w:r>
            <w:rPr>
              <w:rFonts w:ascii="Verdana" w:eastAsia="Times New Roman" w:hAnsi="Verdana"/>
              <w:sz w:val="22"/>
              <w:lang w:val="en-GB" w:eastAsia="en-GB"/>
            </w:rPr>
            <w:t>t</w:t>
          </w:r>
          <w:r w:rsidRPr="00A31703">
            <w:rPr>
              <w:rFonts w:ascii="Verdana" w:eastAsia="Times New Roman" w:hAnsi="Verdana"/>
              <w:sz w:val="22"/>
              <w:lang w:val="en-GB" w:eastAsia="en-GB"/>
            </w:rPr>
            <w:t xml:space="preserve">he </w:t>
          </w:r>
          <w:r>
            <w:rPr>
              <w:rFonts w:ascii="Verdana" w:eastAsia="Times New Roman" w:hAnsi="Verdana"/>
              <w:sz w:val="22"/>
              <w:lang w:val="en-GB" w:eastAsia="en-GB"/>
            </w:rPr>
            <w:t xml:space="preserve">remaining </w:t>
          </w:r>
          <w:r w:rsidRPr="00A31703">
            <w:rPr>
              <w:rFonts w:ascii="Verdana" w:eastAsia="Times New Roman" w:hAnsi="Verdana"/>
              <w:sz w:val="22"/>
              <w:lang w:val="en-GB" w:eastAsia="en-GB"/>
            </w:rPr>
            <w:t>amount required to balance it to nil is met from the Police Operating Account.</w:t>
          </w:r>
          <w:r w:rsidRPr="00FC64AD">
            <w:rPr>
              <w:rFonts w:ascii="Verdana" w:eastAsia="Times New Roman" w:hAnsi="Verdana"/>
              <w:sz w:val="22"/>
              <w:lang w:val="en-GB" w:eastAsia="en-GB"/>
            </w:rPr>
            <w:t xml:space="preserve">  </w:t>
          </w:r>
        </w:p>
        <w:p w:rsidR="000D6EF8" w:rsidRPr="00FC64AD" w:rsidRDefault="000D6EF8" w:rsidP="000D6EF8">
          <w:pPr>
            <w:pStyle w:val="Normal0"/>
            <w:jc w:val="both"/>
            <w:rPr>
              <w:rFonts w:ascii="Verdana" w:eastAsia="Times New Roman" w:hAnsi="Verdana"/>
              <w:sz w:val="22"/>
              <w:lang w:val="en-GB" w:eastAsia="en-GB"/>
            </w:rPr>
          </w:pPr>
        </w:p>
        <w:p w:rsidR="000D6EF8" w:rsidRPr="00FC64AD" w:rsidRDefault="000D6EF8" w:rsidP="000D6EF8">
          <w:pPr>
            <w:pStyle w:val="Normal0"/>
            <w:jc w:val="both"/>
            <w:rPr>
              <w:rFonts w:ascii="Verdana" w:eastAsia="Times New Roman" w:hAnsi="Verdana"/>
              <w:sz w:val="22"/>
              <w:lang w:val="en-GB" w:eastAsia="en-GB"/>
            </w:rPr>
          </w:pPr>
          <w:r w:rsidRPr="00FC64AD">
            <w:rPr>
              <w:rFonts w:ascii="Verdana" w:eastAsia="Times New Roman" w:hAnsi="Verdana"/>
              <w:sz w:val="22"/>
              <w:lang w:val="en-GB" w:eastAsia="en-GB"/>
            </w:rPr>
            <w:t xml:space="preserve">The Net Asset Statement does not include liabilities to pay pensions and other benefits after the balance sheet date.  </w:t>
          </w:r>
        </w:p>
        <w:p w:rsidR="000D6EF8" w:rsidRPr="00FC64AD" w:rsidRDefault="000D6EF8" w:rsidP="000D6EF8">
          <w:pPr>
            <w:pStyle w:val="Normal0"/>
            <w:jc w:val="both"/>
            <w:rPr>
              <w:rFonts w:ascii="Verdana" w:eastAsia="Times New Roman" w:hAnsi="Verdana"/>
              <w:sz w:val="22"/>
              <w:lang w:val="en-GB" w:eastAsia="en-GB"/>
            </w:rPr>
          </w:pPr>
        </w:p>
        <w:p w:rsidR="000D6EF8" w:rsidRPr="00FC64AD" w:rsidRDefault="000D6EF8" w:rsidP="000D6EF8">
          <w:pPr>
            <w:pStyle w:val="Normal0"/>
            <w:jc w:val="both"/>
            <w:rPr>
              <w:rFonts w:ascii="Verdana" w:eastAsia="Times New Roman" w:hAnsi="Verdana"/>
              <w:sz w:val="22"/>
              <w:lang w:val="en-GB" w:eastAsia="en-GB"/>
            </w:rPr>
          </w:pPr>
          <w:r w:rsidRPr="00FC64AD">
            <w:rPr>
              <w:rFonts w:ascii="Verdana" w:eastAsia="Times New Roman" w:hAnsi="Verdana"/>
              <w:sz w:val="22"/>
              <w:lang w:val="en-GB" w:eastAsia="en-GB"/>
            </w:rPr>
            <w:t xml:space="preserve">Liabilities to pay future pension benefits have been disclosed separately </w:t>
          </w:r>
          <w:r w:rsidRPr="00297720">
            <w:rPr>
              <w:rFonts w:ascii="Verdana" w:eastAsia="Times New Roman" w:hAnsi="Verdana"/>
              <w:sz w:val="22"/>
              <w:lang w:val="en-GB" w:eastAsia="en-GB"/>
            </w:rPr>
            <w:t>at Note 1</w:t>
          </w:r>
          <w:r w:rsidR="00297720" w:rsidRPr="00297720">
            <w:rPr>
              <w:rFonts w:ascii="Verdana" w:eastAsia="Times New Roman" w:hAnsi="Verdana"/>
              <w:sz w:val="22"/>
              <w:lang w:val="en-GB" w:eastAsia="en-GB"/>
            </w:rPr>
            <w:t>7</w:t>
          </w:r>
          <w:r w:rsidRPr="00297720">
            <w:rPr>
              <w:rFonts w:ascii="Verdana" w:eastAsia="Times New Roman" w:hAnsi="Verdana"/>
              <w:sz w:val="22"/>
              <w:lang w:val="en-GB" w:eastAsia="en-GB"/>
            </w:rPr>
            <w:t xml:space="preserve"> in</w:t>
          </w:r>
          <w:r w:rsidRPr="00FC64AD">
            <w:rPr>
              <w:rFonts w:ascii="Verdana" w:eastAsia="Times New Roman" w:hAnsi="Verdana"/>
              <w:sz w:val="22"/>
              <w:lang w:val="en-GB" w:eastAsia="en-GB"/>
            </w:rPr>
            <w:t xml:space="preserve"> accordance with IAS 19 ‘Employee Benefits’.</w:t>
          </w:r>
        </w:p>
        <w:p w:rsidR="000D6EF8" w:rsidRPr="00FC64AD" w:rsidRDefault="000D6EF8" w:rsidP="000D6EF8">
          <w:pPr>
            <w:pStyle w:val="Normal0"/>
            <w:jc w:val="both"/>
            <w:rPr>
              <w:rFonts w:ascii="Verdana" w:eastAsia="Times New Roman" w:hAnsi="Verdana"/>
              <w:sz w:val="22"/>
              <w:lang w:val="en-GB" w:eastAsia="en-GB"/>
            </w:rPr>
          </w:pPr>
        </w:p>
        <w:p w:rsidR="000D6EF8" w:rsidRPr="00FC64AD" w:rsidRDefault="000D6EF8" w:rsidP="000D6EF8">
          <w:pPr>
            <w:pStyle w:val="Normal0"/>
            <w:jc w:val="both"/>
            <w:rPr>
              <w:rFonts w:ascii="Verdana" w:eastAsia="Times New Roman" w:hAnsi="Verdana"/>
              <w:sz w:val="22"/>
              <w:lang w:val="en-GB" w:eastAsia="en-GB"/>
            </w:rPr>
          </w:pPr>
          <w:r w:rsidRPr="00FC64AD">
            <w:rPr>
              <w:rFonts w:ascii="Verdana" w:eastAsia="Times New Roman" w:hAnsi="Verdana"/>
              <w:sz w:val="22"/>
              <w:lang w:val="en-GB" w:eastAsia="en-GB"/>
            </w:rPr>
            <w:t>The New Police Pension Scheme (NPPS) applies to police entrants who joined the service on or after 6 April 2006 up to 31 March 2015, or who chose to transfer from the previous Police Pension Scheme (</w:t>
          </w:r>
          <w:smartTag w:uri="urn:schemas-microsoft-com:office:smarttags" w:element="stockticker">
            <w:r w:rsidRPr="00FC64AD">
              <w:rPr>
                <w:rFonts w:ascii="Verdana" w:eastAsia="Times New Roman" w:hAnsi="Verdana"/>
                <w:sz w:val="22"/>
                <w:lang w:val="en-GB" w:eastAsia="en-GB"/>
              </w:rPr>
              <w:t>PPS</w:t>
            </w:r>
          </w:smartTag>
          <w:r w:rsidRPr="00FC64AD">
            <w:rPr>
              <w:rFonts w:ascii="Verdana" w:eastAsia="Times New Roman" w:hAnsi="Verdana"/>
              <w:sz w:val="22"/>
              <w:lang w:val="en-GB" w:eastAsia="en-GB"/>
            </w:rPr>
            <w:t>) to the NPPS.  The Police Pensions Scheme 2015 applies to all current active members who do not qualify for any protections allowing them to remain in their original scheme.  Benefits payable under all three schemes are shown in tabular form below:</w:t>
          </w:r>
        </w:p>
        <w:p w:rsidR="000D6EF8" w:rsidRPr="00915848" w:rsidRDefault="000D6EF8" w:rsidP="000D6EF8">
          <w:pPr>
            <w:pStyle w:val="Normal00"/>
            <w:ind w:left="500"/>
            <w:rPr>
              <w:rFonts w:eastAsia="Times New Roman" w:cs="Arial"/>
              <w:sz w:val="22"/>
              <w:lang w:val="en-GB" w:eastAsia="en-GB"/>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3013"/>
            <w:gridCol w:w="2697"/>
            <w:gridCol w:w="2983"/>
          </w:tblGrid>
          <w:tr w:rsidR="000D6EF8" w:rsidTr="000D6EF8">
            <w:trPr>
              <w:trHeight w:val="392"/>
              <w:jc w:val="center"/>
            </w:trPr>
            <w:tc>
              <w:tcPr>
                <w:tcW w:w="1935"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b/>
                    <w:sz w:val="16"/>
                    <w:szCs w:val="16"/>
                    <w:lang w:val="en-GB" w:eastAsia="en-GB"/>
                  </w:rPr>
                </w:pPr>
              </w:p>
            </w:tc>
            <w:tc>
              <w:tcPr>
                <w:tcW w:w="3013" w:type="dxa"/>
                <w:shd w:val="clear" w:color="auto" w:fill="auto"/>
                <w:vAlign w:val="center"/>
              </w:tcPr>
              <w:p w:rsidR="000D6EF8" w:rsidRPr="00267D4A" w:rsidRDefault="000D6EF8" w:rsidP="000D6EF8">
                <w:pPr>
                  <w:pStyle w:val="Normal00"/>
                  <w:tabs>
                    <w:tab w:val="center" w:pos="4153"/>
                    <w:tab w:val="right" w:pos="8306"/>
                  </w:tabs>
                  <w:rPr>
                    <w:rFonts w:ascii="Verdana" w:eastAsia="Times New Roman" w:hAnsi="Verdana" w:cs="Arial"/>
                    <w:b/>
                    <w:sz w:val="16"/>
                    <w:szCs w:val="16"/>
                    <w:lang w:val="en-GB" w:eastAsia="en-GB"/>
                  </w:rPr>
                </w:pPr>
                <w:r w:rsidRPr="00267D4A">
                  <w:rPr>
                    <w:rFonts w:ascii="Verdana" w:eastAsia="Times New Roman" w:hAnsi="Verdana" w:cs="Arial"/>
                    <w:b/>
                    <w:sz w:val="16"/>
                    <w:szCs w:val="16"/>
                    <w:lang w:val="en-GB" w:eastAsia="en-GB"/>
                  </w:rPr>
                  <w:t>Police Pension Scheme (</w:t>
                </w:r>
                <w:smartTag w:uri="urn:schemas-microsoft-com:office:smarttags" w:element="stockticker">
                  <w:r w:rsidRPr="00267D4A">
                    <w:rPr>
                      <w:rFonts w:ascii="Verdana" w:eastAsia="Times New Roman" w:hAnsi="Verdana" w:cs="Arial"/>
                      <w:b/>
                      <w:sz w:val="16"/>
                      <w:szCs w:val="16"/>
                      <w:lang w:val="en-GB" w:eastAsia="en-GB"/>
                    </w:rPr>
                    <w:t>PPS</w:t>
                  </w:r>
                </w:smartTag>
                <w:r w:rsidRPr="00267D4A">
                  <w:rPr>
                    <w:rFonts w:ascii="Verdana" w:eastAsia="Times New Roman" w:hAnsi="Verdana" w:cs="Arial"/>
                    <w:b/>
                    <w:sz w:val="16"/>
                    <w:szCs w:val="16"/>
                    <w:lang w:val="en-GB" w:eastAsia="en-GB"/>
                  </w:rPr>
                  <w:t>) (1987)</w:t>
                </w:r>
              </w:p>
            </w:tc>
            <w:tc>
              <w:tcPr>
                <w:tcW w:w="2697" w:type="dxa"/>
                <w:shd w:val="clear" w:color="auto" w:fill="auto"/>
                <w:vAlign w:val="center"/>
              </w:tcPr>
              <w:p w:rsidR="000D6EF8" w:rsidRPr="00267D4A" w:rsidRDefault="000D6EF8" w:rsidP="000D6EF8">
                <w:pPr>
                  <w:pStyle w:val="Normal00"/>
                  <w:tabs>
                    <w:tab w:val="left" w:pos="1667"/>
                    <w:tab w:val="center" w:pos="4153"/>
                    <w:tab w:val="right" w:pos="8306"/>
                  </w:tabs>
                  <w:jc w:val="center"/>
                  <w:rPr>
                    <w:rFonts w:ascii="Verdana" w:eastAsia="Times New Roman" w:hAnsi="Verdana" w:cs="Arial"/>
                    <w:b/>
                    <w:sz w:val="16"/>
                    <w:szCs w:val="16"/>
                    <w:lang w:val="en-GB" w:eastAsia="en-GB"/>
                  </w:rPr>
                </w:pPr>
                <w:r w:rsidRPr="00267D4A">
                  <w:rPr>
                    <w:rFonts w:ascii="Verdana" w:eastAsia="Times New Roman" w:hAnsi="Verdana" w:cs="Arial"/>
                    <w:b/>
                    <w:sz w:val="16"/>
                    <w:szCs w:val="16"/>
                    <w:lang w:val="en-GB" w:eastAsia="en-GB"/>
                  </w:rPr>
                  <w:t>New Police Pension Scheme (NPP) (2006)</w:t>
                </w:r>
              </w:p>
            </w:tc>
            <w:tc>
              <w:tcPr>
                <w:tcW w:w="2983" w:type="dxa"/>
                <w:shd w:val="clear" w:color="auto" w:fill="auto"/>
              </w:tcPr>
              <w:p w:rsidR="000D6EF8" w:rsidRPr="00267D4A" w:rsidRDefault="000D6EF8" w:rsidP="000D6EF8">
                <w:pPr>
                  <w:pStyle w:val="Normal00"/>
                  <w:tabs>
                    <w:tab w:val="left" w:pos="1667"/>
                    <w:tab w:val="center" w:pos="4153"/>
                    <w:tab w:val="right" w:pos="8306"/>
                  </w:tabs>
                  <w:jc w:val="center"/>
                  <w:rPr>
                    <w:rFonts w:ascii="Verdana" w:eastAsia="Times New Roman" w:hAnsi="Verdana" w:cs="Arial"/>
                    <w:b/>
                    <w:sz w:val="16"/>
                    <w:szCs w:val="16"/>
                    <w:lang w:val="en-GB" w:eastAsia="en-GB"/>
                  </w:rPr>
                </w:pPr>
                <w:r w:rsidRPr="00267D4A">
                  <w:rPr>
                    <w:rFonts w:ascii="Verdana" w:eastAsia="Times New Roman" w:hAnsi="Verdana" w:cs="Arial"/>
                    <w:b/>
                    <w:sz w:val="16"/>
                    <w:szCs w:val="16"/>
                    <w:lang w:val="en-GB" w:eastAsia="en-GB"/>
                  </w:rPr>
                  <w:t>Police Pensions Scheme 2015</w:t>
                </w:r>
              </w:p>
            </w:tc>
          </w:tr>
          <w:tr w:rsidR="000D6EF8" w:rsidTr="000D6EF8">
            <w:trPr>
              <w:trHeight w:val="799"/>
              <w:jc w:val="center"/>
            </w:trPr>
            <w:tc>
              <w:tcPr>
                <w:tcW w:w="1935"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What is maximum pension</w:t>
                </w:r>
              </w:p>
            </w:tc>
            <w:tc>
              <w:tcPr>
                <w:tcW w:w="301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2/3 final salary, with option to exchange part of the pension for a lump sum</w:t>
                </w:r>
              </w:p>
            </w:tc>
            <w:tc>
              <w:tcPr>
                <w:tcW w:w="2697"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½ final salary plus fixed lump sum of 4 times the pension, with option to exchange part or all of lump sum for extra pension</w:t>
                </w:r>
              </w:p>
            </w:tc>
            <w:tc>
              <w:tcPr>
                <w:tcW w:w="298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Pension at retirement is the sum of each of the accrued pension pots, subject to revaluation at a rate of CPI +1.25% per year</w:t>
                </w:r>
              </w:p>
            </w:tc>
          </w:tr>
          <w:tr w:rsidR="000D6EF8" w:rsidTr="000D6EF8">
            <w:trPr>
              <w:trHeight w:val="467"/>
              <w:jc w:val="center"/>
            </w:trPr>
            <w:tc>
              <w:tcPr>
                <w:tcW w:w="1935"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Final salary basis</w:t>
                </w:r>
              </w:p>
            </w:tc>
            <w:tc>
              <w:tcPr>
                <w:tcW w:w="301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Pensionable remuneration is normally the average remuneration in the employee’s final year</w:t>
                </w:r>
              </w:p>
            </w:tc>
            <w:tc>
              <w:tcPr>
                <w:tcW w:w="2697" w:type="dxa"/>
                <w:shd w:val="clear" w:color="auto" w:fill="auto"/>
                <w:vAlign w:val="center"/>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Earnings over the last ten years are taken into account via best average over 3 consecutive years</w:t>
                </w:r>
              </w:p>
            </w:tc>
            <w:tc>
              <w:tcPr>
                <w:tcW w:w="298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Scheme is a Career Average Revalued Earnings scheme</w:t>
                </w:r>
              </w:p>
            </w:tc>
          </w:tr>
          <w:tr w:rsidR="000D6EF8" w:rsidTr="000D6EF8">
            <w:trPr>
              <w:trHeight w:val="464"/>
              <w:jc w:val="center"/>
            </w:trPr>
            <w:tc>
              <w:tcPr>
                <w:tcW w:w="1935"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Length of service for maximum pension</w:t>
                </w:r>
              </w:p>
            </w:tc>
            <w:tc>
              <w:tcPr>
                <w:tcW w:w="3013" w:type="dxa"/>
                <w:shd w:val="clear" w:color="auto" w:fill="auto"/>
                <w:vAlign w:val="center"/>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30 years</w:t>
                </w:r>
              </w:p>
            </w:tc>
            <w:tc>
              <w:tcPr>
                <w:tcW w:w="2697" w:type="dxa"/>
                <w:shd w:val="clear" w:color="auto" w:fill="auto"/>
                <w:vAlign w:val="center"/>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35 years</w:t>
                </w:r>
              </w:p>
            </w:tc>
            <w:tc>
              <w:tcPr>
                <w:tcW w:w="2983" w:type="dxa"/>
                <w:shd w:val="clear" w:color="auto" w:fill="auto"/>
                <w:vAlign w:val="center"/>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No maximum length of membership</w:t>
                </w:r>
              </w:p>
            </w:tc>
          </w:tr>
          <w:tr w:rsidR="000D6EF8" w:rsidTr="000D6EF8">
            <w:trPr>
              <w:trHeight w:val="630"/>
              <w:jc w:val="center"/>
            </w:trPr>
            <w:tc>
              <w:tcPr>
                <w:tcW w:w="1935"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Earliest age to receive pension</w:t>
                </w:r>
              </w:p>
            </w:tc>
            <w:tc>
              <w:tcPr>
                <w:tcW w:w="301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50 after 25 years of service</w:t>
                </w:r>
              </w:p>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Any age after 30 years of service</w:t>
                </w:r>
              </w:p>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55 for less than 25 years of service</w:t>
                </w:r>
              </w:p>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60 if leave service before compulsory retirement age with less than 25 years of service</w:t>
                </w:r>
              </w:p>
            </w:tc>
            <w:tc>
              <w:tcPr>
                <w:tcW w:w="2697" w:type="dxa"/>
                <w:shd w:val="clear" w:color="auto" w:fill="auto"/>
                <w:vAlign w:val="center"/>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55 if remain in police service until that age</w:t>
                </w:r>
              </w:p>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p>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65 if leave police service before age 55 or opting out of the scheme</w:t>
                </w:r>
              </w:p>
            </w:tc>
            <w:tc>
              <w:tcPr>
                <w:tcW w:w="298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Age 60 if remain in police service until that age.</w:t>
                </w:r>
              </w:p>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p>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State pension age if leave police service before age 60.</w:t>
                </w:r>
              </w:p>
            </w:tc>
          </w:tr>
          <w:tr w:rsidR="000D6EF8" w:rsidTr="000D6EF8">
            <w:trPr>
              <w:trHeight w:val="560"/>
              <w:jc w:val="center"/>
            </w:trPr>
            <w:tc>
              <w:tcPr>
                <w:tcW w:w="1935"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Pension increases</w:t>
                </w:r>
              </w:p>
            </w:tc>
            <w:tc>
              <w:tcPr>
                <w:tcW w:w="301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All pensions in payment, deferred pensions and children’s pensions are increased annually in line with the Consumer Price Index.</w:t>
                </w:r>
              </w:p>
            </w:tc>
            <w:tc>
              <w:tcPr>
                <w:tcW w:w="2697"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All pensions in payment, deferred pensions and children’s pensions are increased annually in line with the Consumer Price Index.</w:t>
                </w:r>
              </w:p>
            </w:tc>
            <w:tc>
              <w:tcPr>
                <w:tcW w:w="298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All pensions in payment, deferred pensions and children’s pensions are increased annually in line with the Consumer Price Index.</w:t>
                </w:r>
              </w:p>
            </w:tc>
          </w:tr>
          <w:tr w:rsidR="000D6EF8" w:rsidTr="000D6EF8">
            <w:trPr>
              <w:trHeight w:val="549"/>
              <w:jc w:val="center"/>
            </w:trPr>
            <w:tc>
              <w:tcPr>
                <w:tcW w:w="1935"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How is pension accumulated</w:t>
                </w:r>
              </w:p>
            </w:tc>
            <w:tc>
              <w:tcPr>
                <w:tcW w:w="301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1/60 of final salary for first 20 years of service, plus 1/30 for final 10 years of service up to a maximum pension entitlement of 40/60.</w:t>
                </w:r>
              </w:p>
            </w:tc>
            <w:tc>
              <w:tcPr>
                <w:tcW w:w="2697"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 xml:space="preserve">1/70 of final salary for each year of service up to a maximum 50% of final pensionable after 35 years of service. </w:t>
                </w:r>
              </w:p>
            </w:tc>
            <w:tc>
              <w:tcPr>
                <w:tcW w:w="2983" w:type="dxa"/>
                <w:shd w:val="clear" w:color="auto" w:fill="auto"/>
              </w:tcPr>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r w:rsidRPr="00267D4A">
                  <w:rPr>
                    <w:rFonts w:ascii="Verdana" w:eastAsia="Times New Roman" w:hAnsi="Verdana" w:cs="Arial"/>
                    <w:sz w:val="16"/>
                    <w:szCs w:val="16"/>
                    <w:lang w:val="en-GB" w:eastAsia="en-GB"/>
                  </w:rPr>
                  <w:t>1/55.3th of pensionable earnings each year is added to the members’ pension pot for each year of membership.</w:t>
                </w:r>
              </w:p>
              <w:p w:rsidR="000D6EF8" w:rsidRPr="00267D4A" w:rsidRDefault="000D6EF8" w:rsidP="000D6EF8">
                <w:pPr>
                  <w:pStyle w:val="Normal00"/>
                  <w:tabs>
                    <w:tab w:val="center" w:pos="4153"/>
                    <w:tab w:val="right" w:pos="8306"/>
                  </w:tabs>
                  <w:rPr>
                    <w:rFonts w:ascii="Verdana" w:eastAsia="Times New Roman" w:hAnsi="Verdana" w:cs="Arial"/>
                    <w:sz w:val="16"/>
                    <w:szCs w:val="16"/>
                    <w:lang w:val="en-GB" w:eastAsia="en-GB"/>
                  </w:rPr>
                </w:pPr>
              </w:p>
            </w:tc>
          </w:tr>
        </w:tbl>
        <w:p w:rsidR="000D6EF8" w:rsidRDefault="000D6EF8" w:rsidP="000D6EF8">
          <w:pPr>
            <w:rPr>
              <w:rFonts w:eastAsia="Times New Roman" w:cs="Arial"/>
              <w:b/>
              <w:lang w:val="en-GB" w:eastAsia="en-GB"/>
            </w:rPr>
          </w:pPr>
        </w:p>
        <w:p w:rsidR="000D6EF8" w:rsidRPr="000D6EF8" w:rsidRDefault="000D6EF8" w:rsidP="000D6EF8"/>
        <w:p w:rsidR="00CA6653" w:rsidRPr="000D6EF8" w:rsidRDefault="00A200D5" w:rsidP="000D6EF8"/>
      </w:sdtContent>
    </w:sdt>
    <w:p w:rsidR="00CA6653" w:rsidRDefault="00CA6653" w:rsidP="000D6EF8">
      <w:pPr>
        <w:pStyle w:val="Footer"/>
        <w:sectPr w:rsidR="00CA6653" w:rsidSect="00CA6653">
          <w:pgSz w:w="11900" w:h="16840"/>
          <w:pgMar w:top="720" w:right="720" w:bottom="720" w:left="720" w:header="708" w:footer="708" w:gutter="0"/>
          <w:cols w:space="708"/>
          <w:docGrid w:linePitch="360"/>
        </w:sectPr>
      </w:pPr>
    </w:p>
    <w:p w:rsidR="00CA6653" w:rsidRPr="00B53516" w:rsidRDefault="00CA6653" w:rsidP="00A31A9E">
      <w:pPr>
        <w:pStyle w:val="Heading1"/>
        <w:rPr>
          <w:lang w:eastAsia="en-GB"/>
        </w:rPr>
      </w:pPr>
      <w:bookmarkStart w:id="56" w:name="_Toc55900445"/>
      <w:r w:rsidRPr="00B53516">
        <w:rPr>
          <w:lang w:eastAsia="en-GB"/>
        </w:rPr>
        <w:t>Glossary of Accounting Terms</w:t>
      </w:r>
      <w:bookmarkEnd w:id="56"/>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ACCRUALS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Expenditure or income for goods or services that have been received or supplied, but are not invoiced until the following financial year.</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ACTUARIAL GAINS AND LOSSES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For a defined benefit pension scheme, the changes in actuarial deficits or surpluses that arise because, either events have not coincided with the actuarial assumptions made for the last valuation (experience gains and losses), or the actuarial assumptions have changed.</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AMORTISATION</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An annual charge made to the overall PCC budget, reducing the value of an asset to zero, over a period of time.</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CAPITAL EXPENDITURE</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Expenditure spent on the acquisition of a non-current asset or expenditure which adds to, and not merely maintains, the value of an existing non-current asset.</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CAPITAL PROGRAMME</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 statement of proposed capital projects for current and future years.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CAPITAL RECEIPTS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Proceeds of not less than £10,000 received from the disposal of buildings or other assets.  They cannot be used to finance normal day to day revenue spending.</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COMPREHENSIVE INCOME AND EXPENDITURE STATEMENT</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main revenue fund of the PCC receiving the precept, government grants and other income receipts, and from which the costs of providing services are met.</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CREDITORS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Individuals or organisations, to whom the PCC owes money at the end of the financial year.</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CURRENT SERVICE COST (PENSIONS)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increase in the present value of a defined benefit scheme’s liabilities expected to arise from employee service in the current period.</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CURTAILMENT (PENSIONS)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For a defined benefit scheme, an event that reduces the expected years of future service of present employees or reduces for a number of employees the accrual of defined benefits for some or all of their future service. Curtailments include:-</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w:t>
      </w:r>
      <w:r w:rsidRPr="0058457F">
        <w:rPr>
          <w:rFonts w:ascii="Verdana" w:eastAsia="Times New Roman" w:hAnsi="Verdana" w:cs="Arial"/>
          <w:sz w:val="22"/>
          <w:szCs w:val="22"/>
          <w:lang w:val="en-GB" w:eastAsia="en-GB"/>
        </w:rPr>
        <w:tab/>
        <w:t>Termination of employees’ services earlier than expected, and</w:t>
      </w:r>
    </w:p>
    <w:p w:rsidR="00CA6653" w:rsidRPr="0058457F" w:rsidRDefault="00CA6653" w:rsidP="00CA6653">
      <w:pPr>
        <w:pStyle w:val="Normal0"/>
        <w:ind w:left="720" w:hanging="72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w:t>
      </w:r>
      <w:r w:rsidRPr="0058457F">
        <w:rPr>
          <w:rFonts w:ascii="Verdana" w:eastAsia="Times New Roman" w:hAnsi="Verdana" w:cs="Arial"/>
          <w:sz w:val="22"/>
          <w:szCs w:val="22"/>
          <w:lang w:val="en-GB" w:eastAsia="en-GB"/>
        </w:rPr>
        <w:tab/>
        <w:t>Termination of or amendment to the terms, of a defined benefit scheme so that some or all future service by current employees will no longer qualify for benefits or will qualify only for reduced benefits.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DEBTORS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Individuals or organisations, who owe the PCC money at the end of the financial year.</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DEFINED BENEFIT SCHEME</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 defined benefit scheme is 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DEFINED CONTRIBUTION SCHEME</w:t>
      </w:r>
    </w:p>
    <w:p w:rsidR="00CA6653"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 pension or other retirement benefit scheme into which an employer pays regular contributions fixed as an amount or as a percentage of pay and will have no legal or constructive obligation to pay further contributions if the scheme does not have sufficient assets to pay all employee benefits relating to employee service in the current and prior periods.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DEPRECIATION</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measure of the cost, or re-valued amount of the benefit, of a non-current asset, that has been consumed during the period. Consumption includes the wearing out, using up or other reduction in the useful life of a non-current asset, whether arising from the use, passage of time or obsolescence through either changes in technology or demand for the goods and services produced by the asset.</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EXPECTED RATE OF RETURN ON PENSION ASSETS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For a funded defined benefit scheme, the average rate of return, including both income and changes in fair value but net of scheme expenses, expected over the remaining life of the related obligation on the actual assets held by the scheme.</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FAIR VALUE</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fair value of an asset is the price at which it could be exchanged in an arm’s length transaction less, where applicable, any grants receivable towards the purchase or use of the asset. For land and buildings, fair value is the amount that would be paid for the asset in its existing use.</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FINANCE LEASE</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 finance lease is one that transfers substantially all of the risks and rewards of ownership of a non-current asset to a lessee.</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GENERAL FUND BALANCES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Accumulated surpluses maintained to meet expenditure, pending the receipt of income, and to provide a cushion against expenditure being higher, or income lower, than expected.</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GOING CONCERN</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concept that the PCC will remain in operational existence for the foreseeable future, in particular that the revenue accounts and Balance Sheet assume no intention to curtail significantly the scale of the operations.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GOVERNMENT GRANTS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Assistance by government and inter-government agencies and similar bodies, whether local, national or international, in the form of cash or transfers of assets in return for past or future compliance with certain conditions relating to the activities of the PCC.</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IMPAIRMENT</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 reduction in the value of a non-current asset below its carrying amount on the Balance Sheet due to a significant decline in its market value during the period, evidence of obsolescence or significant physical damage to the non-current asset or a significant adverse change in the statutory or regulatory environment in which the PCC operates.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INTANGIBLE ASSETS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Intangible assets occur when capital expenditure does not result in the acquisition of a non-current asset, for example software licenses and training for development purposes etc.</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INTEREST COSTS (PENSIONS)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For a defined benefit scheme, the expected increase during the period in the present value of the scheme liabilities because the benefits are one period closer to settlement.</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INVESTMENTS (PENSION FUND)</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investments of the pensions fund will be accounted for in the statement of that fund. However, authorities are also required to disclose, as part of the disclosures relating to retirement benefits, the attributable share of pension scheme assets associated with their underlying obligations.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LIQUID RESOURCES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Current asset investments that are readily disposable by the PCC without disrupting its business and are either readily convertible to known amounts of cash at or close to the carrying amount or traded in an active market.</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MINIMUM REVENUE PROVISION (MRP)</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statutory minimum amount set aside on an annual basis, as a provision to redeem debt.</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NET BOOK VALUE</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amount at which non-current assets are included in the Balance Sheet, i.e. their historic cost or current value less the cumulative amounts provided for depreciation.</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NET CURRENT REPLACEMENT COST</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cost of replacing an asset or the nearest equivalent asset, adjusted to reflect the current condition of the existing asset.</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NON-CURRENT ASSETS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Tangible assets that yield benefits to the PCC and the services it provides for a period of more than one year.</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OPERATING LEASE</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An operating lease is a lease other than a finance lease.</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PAST SERVICE COSTS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For a defined benefit scheme, the increase in the present value of the scheme liabilities related to employee service in prior periods arising in the current period as a result of the introduction of, or improvement to, retirement benefits.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POLICE GRANT</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 specific grant paid to the PCC by the Home Office to support its revenue expenditure.  It is a fixed sum calculated by the Government on an assumed needs basis.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PRECEPT</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An amount determined by the PCC (the preceptor) which is collected on its behalf by the local District Councils (the billing authorities) as part of the Council Tax.</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PROJECTED UNIT METHOD</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 Projected Unit Method is an accrued benefits valuation method in which the scheme liabilities make allowance for projected earnings. An accrued benefits valuation method is a valuation method in which the scheme liabilities at the valuation date relate to:</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ind w:left="720" w:hanging="72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w:t>
      </w:r>
      <w:r w:rsidRPr="0058457F">
        <w:rPr>
          <w:rFonts w:ascii="Verdana" w:eastAsia="Times New Roman" w:hAnsi="Verdana" w:cs="Arial"/>
          <w:sz w:val="22"/>
          <w:szCs w:val="22"/>
          <w:lang w:val="en-GB" w:eastAsia="en-GB"/>
        </w:rPr>
        <w:tab/>
        <w:t>The benefits for pensioners and deferred pensioners (i.e. individuals who have ceased to be active members but are entitled to benefits payable at a later date) and their dependants, allowing where appropriate for future increases; and</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b)</w:t>
      </w:r>
      <w:r w:rsidRPr="0058457F">
        <w:rPr>
          <w:rFonts w:ascii="Verdana" w:eastAsia="Times New Roman" w:hAnsi="Verdana" w:cs="Arial"/>
          <w:sz w:val="22"/>
          <w:szCs w:val="22"/>
          <w:lang w:val="en-GB" w:eastAsia="en-GB"/>
        </w:rPr>
        <w:tab/>
        <w:t>The accrued benefits for member in service on the valuation date.</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PROVISION</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An amount set aside to provide for a liability which is likely to be incurred but the exact amount and the date on which it will arise is uncertain.</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RELATED PARTIES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Two or more parties are related parties when at any time during the financial period:</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(i) one party has direct or indirect control of the other party, or</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(ii) the parties are subject to common control from the same source, or</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(iii) one party has influence over the financial and operational policies of the other party to an extent that the other party might be inhibited from pursuing at all times its own separate interests, or</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(iv) the parties, in entering a transaction, are subject to influence from the same source to such an extent that one of the parties to the transaction has subordinated its own separate interests.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 xml:space="preserve">RELATED PARTY TRANSACTION </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 xml:space="preserve">A related party transaction is the transfer of assets or liabilities or the performance of services by, to or for a related party irrespective of whether a charge is made. </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RESIDUAL VALUE</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residual value is the net realisable value of an asset at the end of its useful life. Residual values are based on prices prevailing at the date of acquisition (or revaluation) of the asset and do not take account of expected future price changes.</w:t>
      </w: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ab/>
      </w: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REVENUE SUPPORT GRANT</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Central Government grant supporting the cost of public services.</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SCHEME LIABILITIES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The liabilities of a defined benefit scheme for outgoings due after the valuation date. Scheme liabilities measured using the projected unit method reflects the benefits that the employer is committed to provide for service up to the valuation date.</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SETTLEMENT (PENSIONS)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An irrevocable action that relieves the employer (or the defined benefit scheme) of the primary responsibility for a pension obligation and eliminates significant risks relating to the obligation and the assets used to effect the settlement.   Settlements include:-</w:t>
      </w:r>
    </w:p>
    <w:p w:rsidR="00CA6653" w:rsidRPr="0058457F" w:rsidRDefault="00CA6653" w:rsidP="00CA6653">
      <w:pPr>
        <w:pStyle w:val="Normal0"/>
        <w:jc w:val="both"/>
        <w:rPr>
          <w:rFonts w:ascii="Verdana" w:eastAsia="Times New Roman" w:hAnsi="Verdana"/>
          <w:sz w:val="22"/>
          <w:szCs w:val="22"/>
          <w:lang w:val="en-GB" w:eastAsia="en-GB"/>
        </w:rPr>
      </w:pPr>
    </w:p>
    <w:p w:rsidR="00CA6653" w:rsidRPr="0058457F" w:rsidRDefault="00CA6653" w:rsidP="00CA6653">
      <w:pPr>
        <w:pStyle w:val="Normal0"/>
        <w:ind w:left="720" w:hanging="72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w:t>
      </w:r>
      <w:r w:rsidRPr="0058457F">
        <w:rPr>
          <w:rFonts w:ascii="Verdana" w:eastAsia="Times New Roman" w:hAnsi="Verdana" w:cs="Arial"/>
          <w:sz w:val="22"/>
          <w:szCs w:val="22"/>
          <w:lang w:val="en-GB" w:eastAsia="en-GB"/>
        </w:rPr>
        <w:tab/>
        <w:t>a lump sum cash payment to scheme members in exchange for their rights to receive specified pension benefits</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w:t>
      </w:r>
      <w:r w:rsidRPr="0058457F">
        <w:rPr>
          <w:rFonts w:ascii="Verdana" w:eastAsia="Times New Roman" w:hAnsi="Verdana" w:cs="Arial"/>
          <w:sz w:val="22"/>
          <w:szCs w:val="22"/>
          <w:lang w:val="en-GB" w:eastAsia="en-GB"/>
        </w:rPr>
        <w:tab/>
        <w:t>the purchase of an irrevocable annuity contract sufficient to cover vested benefits, and</w:t>
      </w:r>
    </w:p>
    <w:p w:rsidR="00CA6653" w:rsidRPr="0058457F" w:rsidRDefault="00CA6653" w:rsidP="00CA6653">
      <w:pPr>
        <w:pStyle w:val="Normal0"/>
        <w:ind w:left="720" w:hanging="72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w:t>
      </w:r>
      <w:r w:rsidRPr="0058457F">
        <w:rPr>
          <w:rFonts w:ascii="Verdana" w:eastAsia="Times New Roman" w:hAnsi="Verdana" w:cs="Arial"/>
          <w:sz w:val="22"/>
          <w:szCs w:val="22"/>
          <w:lang w:val="en-GB" w:eastAsia="en-GB"/>
        </w:rPr>
        <w:tab/>
        <w:t>the transfer of scheme assets and liabilities relating to a group of employees leaving the scheme.</w:t>
      </w:r>
    </w:p>
    <w:p w:rsidR="00CA6653" w:rsidRPr="0058457F" w:rsidRDefault="00CA6653" w:rsidP="00CA6653">
      <w:pPr>
        <w:pStyle w:val="Normal0"/>
        <w:jc w:val="both"/>
        <w:rPr>
          <w:rFonts w:ascii="Verdana" w:eastAsia="Times New Roman" w:hAnsi="Verdana"/>
          <w:b/>
          <w:sz w:val="22"/>
          <w:szCs w:val="22"/>
          <w:lang w:val="en-GB" w:eastAsia="en-GB"/>
        </w:rPr>
      </w:pPr>
    </w:p>
    <w:p w:rsidR="00CA6653" w:rsidRPr="0058457F" w:rsidRDefault="00CA6653" w:rsidP="00CA6653">
      <w:pPr>
        <w:pStyle w:val="Normal0"/>
        <w:jc w:val="both"/>
        <w:rPr>
          <w:rFonts w:ascii="Verdana" w:eastAsia="Times New Roman" w:hAnsi="Verdana"/>
          <w:b/>
          <w:sz w:val="22"/>
          <w:szCs w:val="22"/>
          <w:lang w:val="en-GB" w:eastAsia="en-GB"/>
        </w:rPr>
      </w:pPr>
      <w:r w:rsidRPr="0058457F">
        <w:rPr>
          <w:rFonts w:ascii="Verdana" w:eastAsia="Times New Roman" w:hAnsi="Verdana" w:cs="Arial"/>
          <w:b/>
          <w:sz w:val="22"/>
          <w:szCs w:val="22"/>
          <w:lang w:val="en-GB" w:eastAsia="en-GB"/>
        </w:rPr>
        <w:t>WORK IN PROGRESS/ASSETS UNDER CONSTRUCTION</w:t>
      </w:r>
    </w:p>
    <w:p w:rsidR="00CA6653" w:rsidRPr="0058457F" w:rsidRDefault="00CA6653" w:rsidP="00CA6653">
      <w:pPr>
        <w:pStyle w:val="Normal0"/>
        <w:jc w:val="both"/>
        <w:rPr>
          <w:rFonts w:ascii="Verdana" w:eastAsia="Times New Roman" w:hAnsi="Verdana"/>
          <w:sz w:val="22"/>
          <w:szCs w:val="22"/>
          <w:lang w:val="en-GB" w:eastAsia="en-GB"/>
        </w:rPr>
      </w:pPr>
      <w:r w:rsidRPr="0058457F">
        <w:rPr>
          <w:rFonts w:ascii="Verdana" w:eastAsia="Times New Roman" w:hAnsi="Verdana" w:cs="Arial"/>
          <w:sz w:val="22"/>
          <w:szCs w:val="22"/>
          <w:lang w:val="en-GB" w:eastAsia="en-GB"/>
        </w:rPr>
        <w:t>Completed and continuing work required on an incomplete project.</w:t>
      </w:r>
    </w:p>
    <w:p w:rsidR="00CA6653" w:rsidRPr="0058457F" w:rsidRDefault="00CA6653" w:rsidP="00CA6653">
      <w:pPr>
        <w:pStyle w:val="Normal0"/>
        <w:jc w:val="both"/>
        <w:rPr>
          <w:rFonts w:ascii="Verdana" w:eastAsia="Times New Roman" w:hAnsi="Verdana"/>
          <w:sz w:val="22"/>
          <w:szCs w:val="22"/>
          <w:lang w:val="en-GB" w:eastAsia="en-GB"/>
        </w:rPr>
      </w:pPr>
    </w:p>
    <w:sectPr w:rsidR="00CA6653" w:rsidRPr="0058457F" w:rsidSect="00CA665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942" w:rsidRDefault="002A3942" w:rsidP="000D6EF8">
      <w:r>
        <w:separator/>
      </w:r>
    </w:p>
  </w:endnote>
  <w:endnote w:type="continuationSeparator" w:id="0">
    <w:p w:rsidR="002A3942" w:rsidRDefault="002A3942" w:rsidP="000D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S Lola">
    <w:altName w:val="FS Lola"/>
    <w:panose1 w:val="00000000000000000000"/>
    <w:charset w:val="00"/>
    <w:family w:val="roman"/>
    <w:notTrueType/>
    <w:pitch w:val="default"/>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42" w:rsidRDefault="002A3942" w:rsidP="000D6EF8">
    <w:pPr>
      <w:pStyle w:val="Footer"/>
    </w:pPr>
  </w:p>
  <w:p w:rsidR="002A3942" w:rsidRDefault="002A3942" w:rsidP="000D6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42" w:rsidRPr="004D1896" w:rsidRDefault="00A200D5" w:rsidP="000D6EF8">
    <w:pPr>
      <w:pStyle w:val="Footer"/>
    </w:pPr>
    <w:sdt>
      <w:sdtPr>
        <w:id w:val="-1252808656"/>
        <w:docPartObj>
          <w:docPartGallery w:val="Page Numbers (Bottom of Page)"/>
          <w:docPartUnique/>
        </w:docPartObj>
      </w:sdtPr>
      <w:sdtEndPr>
        <w:rPr>
          <w:noProof/>
        </w:rPr>
      </w:sdtEndPr>
      <w:sdtContent>
        <w:r w:rsidR="002A3942" w:rsidRPr="004D1896">
          <w:fldChar w:fldCharType="begin"/>
        </w:r>
        <w:r w:rsidR="002A3942" w:rsidRPr="004D1896">
          <w:instrText xml:space="preserve"> PAGE   \* MERGEFORMAT </w:instrText>
        </w:r>
        <w:r w:rsidR="002A3942" w:rsidRPr="004D1896">
          <w:fldChar w:fldCharType="separate"/>
        </w:r>
        <w:r>
          <w:rPr>
            <w:noProof/>
          </w:rPr>
          <w:t>5</w:t>
        </w:r>
        <w:r w:rsidR="002A3942" w:rsidRPr="004D1896">
          <w:rPr>
            <w:noProof/>
          </w:rPr>
          <w:fldChar w:fldCharType="end"/>
        </w:r>
      </w:sdtContent>
    </w:sdt>
  </w:p>
  <w:p w:rsidR="002A3942" w:rsidRDefault="002A3942" w:rsidP="000D6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942" w:rsidRDefault="002A3942" w:rsidP="000D6EF8">
      <w:r>
        <w:separator/>
      </w:r>
    </w:p>
  </w:footnote>
  <w:footnote w:type="continuationSeparator" w:id="0">
    <w:p w:rsidR="002A3942" w:rsidRDefault="002A3942" w:rsidP="000D6EF8">
      <w:r>
        <w:continuationSeparator/>
      </w:r>
    </w:p>
  </w:footnote>
  <w:footnote w:id="1">
    <w:p w:rsidR="002A3942" w:rsidRPr="00B75DDA" w:rsidRDefault="002A3942" w:rsidP="00360A13">
      <w:pPr>
        <w:pStyle w:val="FootnoteText"/>
        <w:rPr>
          <w:rFonts w:asciiTheme="minorHAnsi" w:hAnsiTheme="minorHAnsi"/>
          <w:sz w:val="18"/>
          <w:szCs w:val="18"/>
        </w:rPr>
      </w:pPr>
      <w:r w:rsidRPr="00B75DDA">
        <w:rPr>
          <w:rStyle w:val="FootnoteReference"/>
          <w:rFonts w:ascii="Calibri" w:hAnsi="Calibri"/>
          <w:sz w:val="18"/>
          <w:szCs w:val="18"/>
        </w:rPr>
        <w:footnoteRef/>
      </w:r>
      <w:r w:rsidRPr="00B75DDA">
        <w:rPr>
          <w:rFonts w:ascii="Calibri" w:hAnsi="Calibri"/>
          <w:sz w:val="18"/>
          <w:szCs w:val="18"/>
        </w:rPr>
        <w:t xml:space="preserve"> Annual Internal Audit Opin</w:t>
      </w:r>
      <w:r w:rsidRPr="00B75DDA">
        <w:rPr>
          <w:rFonts w:asciiTheme="minorHAnsi" w:hAnsiTheme="minorHAnsi"/>
          <w:sz w:val="18"/>
          <w:szCs w:val="18"/>
        </w:rPr>
        <w:t xml:space="preserve">ion 2019-20: </w:t>
      </w:r>
      <w:hyperlink r:id="rId1" w:history="1">
        <w:r w:rsidRPr="00B75DDA">
          <w:rPr>
            <w:rStyle w:val="Hyperlink"/>
            <w:rFonts w:asciiTheme="minorHAnsi" w:hAnsiTheme="minorHAnsi"/>
            <w:sz w:val="18"/>
            <w:szCs w:val="18"/>
          </w:rPr>
          <w:t>https://surrey-pcc.gov.uk/wp-content/uploads/2020/07/10a.pdf</w:t>
        </w:r>
      </w:hyperlink>
    </w:p>
    <w:p w:rsidR="002A3942" w:rsidRPr="00B75DDA" w:rsidRDefault="002A3942" w:rsidP="00360A13">
      <w:pPr>
        <w:pStyle w:val="FootnoteText"/>
        <w:rPr>
          <w:rFonts w:asciiTheme="minorHAnsi" w:hAnsiTheme="minorHAnsi"/>
          <w:color w:val="FF0000"/>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41C3752"/>
    <w:lvl w:ilvl="0" w:tplc="E834C760">
      <w:start w:val="1"/>
      <w:numFmt w:val="bullet"/>
      <w:pStyle w:val="ListParagraph"/>
      <w:lvlText w:val=""/>
      <w:lvlJc w:val="left"/>
      <w:pPr>
        <w:ind w:left="720" w:hanging="360"/>
      </w:pPr>
      <w:rPr>
        <w:rFonts w:ascii="Symbol" w:hAnsi="Symbol" w:hint="default"/>
      </w:rPr>
    </w:lvl>
    <w:lvl w:ilvl="1" w:tplc="5D8C4C9C">
      <w:start w:val="1"/>
      <w:numFmt w:val="bullet"/>
      <w:lvlText w:val="o"/>
      <w:lvlJc w:val="left"/>
      <w:pPr>
        <w:ind w:left="1440" w:hanging="360"/>
      </w:pPr>
      <w:rPr>
        <w:rFonts w:ascii="Courier New" w:hAnsi="Courier New" w:cs="Courier New" w:hint="default"/>
      </w:rPr>
    </w:lvl>
    <w:lvl w:ilvl="2" w:tplc="8298683E" w:tentative="1">
      <w:start w:val="1"/>
      <w:numFmt w:val="bullet"/>
      <w:lvlText w:val=""/>
      <w:lvlJc w:val="left"/>
      <w:pPr>
        <w:ind w:left="2160" w:hanging="360"/>
      </w:pPr>
      <w:rPr>
        <w:rFonts w:ascii="Wingdings" w:hAnsi="Wingdings" w:hint="default"/>
      </w:rPr>
    </w:lvl>
    <w:lvl w:ilvl="3" w:tplc="A9E8B50C" w:tentative="1">
      <w:start w:val="1"/>
      <w:numFmt w:val="bullet"/>
      <w:lvlText w:val=""/>
      <w:lvlJc w:val="left"/>
      <w:pPr>
        <w:ind w:left="2880" w:hanging="360"/>
      </w:pPr>
      <w:rPr>
        <w:rFonts w:ascii="Symbol" w:hAnsi="Symbol" w:hint="default"/>
      </w:rPr>
    </w:lvl>
    <w:lvl w:ilvl="4" w:tplc="3D986F54" w:tentative="1">
      <w:start w:val="1"/>
      <w:numFmt w:val="bullet"/>
      <w:lvlText w:val="o"/>
      <w:lvlJc w:val="left"/>
      <w:pPr>
        <w:ind w:left="3600" w:hanging="360"/>
      </w:pPr>
      <w:rPr>
        <w:rFonts w:ascii="Courier New" w:hAnsi="Courier New" w:cs="Courier New" w:hint="default"/>
      </w:rPr>
    </w:lvl>
    <w:lvl w:ilvl="5" w:tplc="7E68FF86" w:tentative="1">
      <w:start w:val="1"/>
      <w:numFmt w:val="bullet"/>
      <w:lvlText w:val=""/>
      <w:lvlJc w:val="left"/>
      <w:pPr>
        <w:ind w:left="4320" w:hanging="360"/>
      </w:pPr>
      <w:rPr>
        <w:rFonts w:ascii="Wingdings" w:hAnsi="Wingdings" w:hint="default"/>
      </w:rPr>
    </w:lvl>
    <w:lvl w:ilvl="6" w:tplc="45A2E5A8" w:tentative="1">
      <w:start w:val="1"/>
      <w:numFmt w:val="bullet"/>
      <w:lvlText w:val=""/>
      <w:lvlJc w:val="left"/>
      <w:pPr>
        <w:ind w:left="5040" w:hanging="360"/>
      </w:pPr>
      <w:rPr>
        <w:rFonts w:ascii="Symbol" w:hAnsi="Symbol" w:hint="default"/>
      </w:rPr>
    </w:lvl>
    <w:lvl w:ilvl="7" w:tplc="E66EB238" w:tentative="1">
      <w:start w:val="1"/>
      <w:numFmt w:val="bullet"/>
      <w:lvlText w:val="o"/>
      <w:lvlJc w:val="left"/>
      <w:pPr>
        <w:ind w:left="5760" w:hanging="360"/>
      </w:pPr>
      <w:rPr>
        <w:rFonts w:ascii="Courier New" w:hAnsi="Courier New" w:cs="Courier New" w:hint="default"/>
      </w:rPr>
    </w:lvl>
    <w:lvl w:ilvl="8" w:tplc="80AEF0C8"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41C3752"/>
    <w:lvl w:ilvl="0" w:tplc="EA38180A">
      <w:start w:val="1"/>
      <w:numFmt w:val="bullet"/>
      <w:lvlText w:val=""/>
      <w:lvlJc w:val="left"/>
      <w:pPr>
        <w:ind w:left="720" w:hanging="360"/>
      </w:pPr>
      <w:rPr>
        <w:rFonts w:ascii="Symbol" w:hAnsi="Symbol" w:hint="default"/>
      </w:rPr>
    </w:lvl>
    <w:lvl w:ilvl="1" w:tplc="A7C82B2E">
      <w:start w:val="1"/>
      <w:numFmt w:val="bullet"/>
      <w:lvlText w:val="o"/>
      <w:lvlJc w:val="left"/>
      <w:pPr>
        <w:ind w:left="1440" w:hanging="360"/>
      </w:pPr>
      <w:rPr>
        <w:rFonts w:ascii="Courier New" w:hAnsi="Courier New" w:cs="Courier New" w:hint="default"/>
      </w:rPr>
    </w:lvl>
    <w:lvl w:ilvl="2" w:tplc="10F60650" w:tentative="1">
      <w:start w:val="1"/>
      <w:numFmt w:val="bullet"/>
      <w:lvlText w:val=""/>
      <w:lvlJc w:val="left"/>
      <w:pPr>
        <w:ind w:left="2160" w:hanging="360"/>
      </w:pPr>
      <w:rPr>
        <w:rFonts w:ascii="Wingdings" w:hAnsi="Wingdings" w:hint="default"/>
      </w:rPr>
    </w:lvl>
    <w:lvl w:ilvl="3" w:tplc="8F486732" w:tentative="1">
      <w:start w:val="1"/>
      <w:numFmt w:val="bullet"/>
      <w:lvlText w:val=""/>
      <w:lvlJc w:val="left"/>
      <w:pPr>
        <w:ind w:left="2880" w:hanging="360"/>
      </w:pPr>
      <w:rPr>
        <w:rFonts w:ascii="Symbol" w:hAnsi="Symbol" w:hint="default"/>
      </w:rPr>
    </w:lvl>
    <w:lvl w:ilvl="4" w:tplc="42203708" w:tentative="1">
      <w:start w:val="1"/>
      <w:numFmt w:val="bullet"/>
      <w:lvlText w:val="o"/>
      <w:lvlJc w:val="left"/>
      <w:pPr>
        <w:ind w:left="3600" w:hanging="360"/>
      </w:pPr>
      <w:rPr>
        <w:rFonts w:ascii="Courier New" w:hAnsi="Courier New" w:cs="Courier New" w:hint="default"/>
      </w:rPr>
    </w:lvl>
    <w:lvl w:ilvl="5" w:tplc="7828FCE4" w:tentative="1">
      <w:start w:val="1"/>
      <w:numFmt w:val="bullet"/>
      <w:lvlText w:val=""/>
      <w:lvlJc w:val="left"/>
      <w:pPr>
        <w:ind w:left="4320" w:hanging="360"/>
      </w:pPr>
      <w:rPr>
        <w:rFonts w:ascii="Wingdings" w:hAnsi="Wingdings" w:hint="default"/>
      </w:rPr>
    </w:lvl>
    <w:lvl w:ilvl="6" w:tplc="51720F18" w:tentative="1">
      <w:start w:val="1"/>
      <w:numFmt w:val="bullet"/>
      <w:lvlText w:val=""/>
      <w:lvlJc w:val="left"/>
      <w:pPr>
        <w:ind w:left="5040" w:hanging="360"/>
      </w:pPr>
      <w:rPr>
        <w:rFonts w:ascii="Symbol" w:hAnsi="Symbol" w:hint="default"/>
      </w:rPr>
    </w:lvl>
    <w:lvl w:ilvl="7" w:tplc="85AC7C1A" w:tentative="1">
      <w:start w:val="1"/>
      <w:numFmt w:val="bullet"/>
      <w:lvlText w:val="o"/>
      <w:lvlJc w:val="left"/>
      <w:pPr>
        <w:ind w:left="5760" w:hanging="360"/>
      </w:pPr>
      <w:rPr>
        <w:rFonts w:ascii="Courier New" w:hAnsi="Courier New" w:cs="Courier New" w:hint="default"/>
      </w:rPr>
    </w:lvl>
    <w:lvl w:ilvl="8" w:tplc="6E4851F8"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46C030E"/>
    <w:lvl w:ilvl="0" w:tplc="647C6FC8">
      <w:start w:val="1"/>
      <w:numFmt w:val="bullet"/>
      <w:lvlText w:val=""/>
      <w:lvlJc w:val="left"/>
      <w:pPr>
        <w:ind w:left="720" w:hanging="360"/>
      </w:pPr>
      <w:rPr>
        <w:rFonts w:ascii="Symbol" w:hAnsi="Symbol" w:hint="default"/>
      </w:rPr>
    </w:lvl>
    <w:lvl w:ilvl="1" w:tplc="E3444ADE" w:tentative="1">
      <w:start w:val="1"/>
      <w:numFmt w:val="bullet"/>
      <w:lvlText w:val="o"/>
      <w:lvlJc w:val="left"/>
      <w:pPr>
        <w:ind w:left="1440" w:hanging="360"/>
      </w:pPr>
      <w:rPr>
        <w:rFonts w:ascii="Courier New" w:hAnsi="Courier New" w:cs="Courier New" w:hint="default"/>
      </w:rPr>
    </w:lvl>
    <w:lvl w:ilvl="2" w:tplc="8D9AEC1A" w:tentative="1">
      <w:start w:val="1"/>
      <w:numFmt w:val="bullet"/>
      <w:lvlText w:val=""/>
      <w:lvlJc w:val="left"/>
      <w:pPr>
        <w:ind w:left="2160" w:hanging="360"/>
      </w:pPr>
      <w:rPr>
        <w:rFonts w:ascii="Wingdings" w:hAnsi="Wingdings" w:hint="default"/>
      </w:rPr>
    </w:lvl>
    <w:lvl w:ilvl="3" w:tplc="6588888C" w:tentative="1">
      <w:start w:val="1"/>
      <w:numFmt w:val="bullet"/>
      <w:lvlText w:val=""/>
      <w:lvlJc w:val="left"/>
      <w:pPr>
        <w:ind w:left="2880" w:hanging="360"/>
      </w:pPr>
      <w:rPr>
        <w:rFonts w:ascii="Symbol" w:hAnsi="Symbol" w:hint="default"/>
      </w:rPr>
    </w:lvl>
    <w:lvl w:ilvl="4" w:tplc="E0943854" w:tentative="1">
      <w:start w:val="1"/>
      <w:numFmt w:val="bullet"/>
      <w:lvlText w:val="o"/>
      <w:lvlJc w:val="left"/>
      <w:pPr>
        <w:ind w:left="3600" w:hanging="360"/>
      </w:pPr>
      <w:rPr>
        <w:rFonts w:ascii="Courier New" w:hAnsi="Courier New" w:cs="Courier New" w:hint="default"/>
      </w:rPr>
    </w:lvl>
    <w:lvl w:ilvl="5" w:tplc="6B1C89A4" w:tentative="1">
      <w:start w:val="1"/>
      <w:numFmt w:val="bullet"/>
      <w:lvlText w:val=""/>
      <w:lvlJc w:val="left"/>
      <w:pPr>
        <w:ind w:left="4320" w:hanging="360"/>
      </w:pPr>
      <w:rPr>
        <w:rFonts w:ascii="Wingdings" w:hAnsi="Wingdings" w:hint="default"/>
      </w:rPr>
    </w:lvl>
    <w:lvl w:ilvl="6" w:tplc="EBD03888" w:tentative="1">
      <w:start w:val="1"/>
      <w:numFmt w:val="bullet"/>
      <w:lvlText w:val=""/>
      <w:lvlJc w:val="left"/>
      <w:pPr>
        <w:ind w:left="5040" w:hanging="360"/>
      </w:pPr>
      <w:rPr>
        <w:rFonts w:ascii="Symbol" w:hAnsi="Symbol" w:hint="default"/>
      </w:rPr>
    </w:lvl>
    <w:lvl w:ilvl="7" w:tplc="2EE4330A" w:tentative="1">
      <w:start w:val="1"/>
      <w:numFmt w:val="bullet"/>
      <w:lvlText w:val="o"/>
      <w:lvlJc w:val="left"/>
      <w:pPr>
        <w:ind w:left="5760" w:hanging="360"/>
      </w:pPr>
      <w:rPr>
        <w:rFonts w:ascii="Courier New" w:hAnsi="Courier New" w:cs="Courier New" w:hint="default"/>
      </w:rPr>
    </w:lvl>
    <w:lvl w:ilvl="8" w:tplc="87F2F18A"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6107CD2"/>
    <w:lvl w:ilvl="0" w:tplc="F102613C">
      <w:start w:val="1"/>
      <w:numFmt w:val="bullet"/>
      <w:lvlText w:val=""/>
      <w:lvlJc w:val="left"/>
      <w:pPr>
        <w:ind w:left="720" w:hanging="360"/>
      </w:pPr>
      <w:rPr>
        <w:rFonts w:ascii="Symbol" w:hAnsi="Symbol" w:hint="default"/>
      </w:rPr>
    </w:lvl>
    <w:lvl w:ilvl="1" w:tplc="AC388C06" w:tentative="1">
      <w:start w:val="1"/>
      <w:numFmt w:val="bullet"/>
      <w:lvlText w:val="o"/>
      <w:lvlJc w:val="left"/>
      <w:pPr>
        <w:ind w:left="1440" w:hanging="360"/>
      </w:pPr>
      <w:rPr>
        <w:rFonts w:ascii="Courier New" w:hAnsi="Courier New" w:cs="Courier New" w:hint="default"/>
      </w:rPr>
    </w:lvl>
    <w:lvl w:ilvl="2" w:tplc="6A3CD806" w:tentative="1">
      <w:start w:val="1"/>
      <w:numFmt w:val="bullet"/>
      <w:lvlText w:val=""/>
      <w:lvlJc w:val="left"/>
      <w:pPr>
        <w:ind w:left="2160" w:hanging="360"/>
      </w:pPr>
      <w:rPr>
        <w:rFonts w:ascii="Wingdings" w:hAnsi="Wingdings" w:hint="default"/>
      </w:rPr>
    </w:lvl>
    <w:lvl w:ilvl="3" w:tplc="F2706CE8" w:tentative="1">
      <w:start w:val="1"/>
      <w:numFmt w:val="bullet"/>
      <w:lvlText w:val=""/>
      <w:lvlJc w:val="left"/>
      <w:pPr>
        <w:ind w:left="2880" w:hanging="360"/>
      </w:pPr>
      <w:rPr>
        <w:rFonts w:ascii="Symbol" w:hAnsi="Symbol" w:hint="default"/>
      </w:rPr>
    </w:lvl>
    <w:lvl w:ilvl="4" w:tplc="5890EBA4" w:tentative="1">
      <w:start w:val="1"/>
      <w:numFmt w:val="bullet"/>
      <w:lvlText w:val="o"/>
      <w:lvlJc w:val="left"/>
      <w:pPr>
        <w:ind w:left="3600" w:hanging="360"/>
      </w:pPr>
      <w:rPr>
        <w:rFonts w:ascii="Courier New" w:hAnsi="Courier New" w:cs="Courier New" w:hint="default"/>
      </w:rPr>
    </w:lvl>
    <w:lvl w:ilvl="5" w:tplc="72023A62" w:tentative="1">
      <w:start w:val="1"/>
      <w:numFmt w:val="bullet"/>
      <w:lvlText w:val=""/>
      <w:lvlJc w:val="left"/>
      <w:pPr>
        <w:ind w:left="4320" w:hanging="360"/>
      </w:pPr>
      <w:rPr>
        <w:rFonts w:ascii="Wingdings" w:hAnsi="Wingdings" w:hint="default"/>
      </w:rPr>
    </w:lvl>
    <w:lvl w:ilvl="6" w:tplc="3EC6A60E" w:tentative="1">
      <w:start w:val="1"/>
      <w:numFmt w:val="bullet"/>
      <w:lvlText w:val=""/>
      <w:lvlJc w:val="left"/>
      <w:pPr>
        <w:ind w:left="5040" w:hanging="360"/>
      </w:pPr>
      <w:rPr>
        <w:rFonts w:ascii="Symbol" w:hAnsi="Symbol" w:hint="default"/>
      </w:rPr>
    </w:lvl>
    <w:lvl w:ilvl="7" w:tplc="FA400658" w:tentative="1">
      <w:start w:val="1"/>
      <w:numFmt w:val="bullet"/>
      <w:lvlText w:val="o"/>
      <w:lvlJc w:val="left"/>
      <w:pPr>
        <w:ind w:left="5760" w:hanging="360"/>
      </w:pPr>
      <w:rPr>
        <w:rFonts w:ascii="Courier New" w:hAnsi="Courier New" w:cs="Courier New" w:hint="default"/>
      </w:rPr>
    </w:lvl>
    <w:lvl w:ilvl="8" w:tplc="B00C60BC"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4D8A9E0"/>
    <w:lvl w:ilvl="0" w:tplc="022CB0C4">
      <w:start w:val="1"/>
      <w:numFmt w:val="bullet"/>
      <w:lvlText w:val=""/>
      <w:lvlJc w:val="left"/>
      <w:pPr>
        <w:ind w:left="720" w:hanging="360"/>
      </w:pPr>
      <w:rPr>
        <w:rFonts w:ascii="Symbol" w:hAnsi="Symbol" w:hint="default"/>
      </w:rPr>
    </w:lvl>
    <w:lvl w:ilvl="1" w:tplc="F216FE78" w:tentative="1">
      <w:start w:val="1"/>
      <w:numFmt w:val="bullet"/>
      <w:lvlText w:val="o"/>
      <w:lvlJc w:val="left"/>
      <w:pPr>
        <w:ind w:left="1440" w:hanging="360"/>
      </w:pPr>
      <w:rPr>
        <w:rFonts w:ascii="Courier New" w:hAnsi="Courier New" w:cs="Courier New" w:hint="default"/>
      </w:rPr>
    </w:lvl>
    <w:lvl w:ilvl="2" w:tplc="D6224EDE" w:tentative="1">
      <w:start w:val="1"/>
      <w:numFmt w:val="bullet"/>
      <w:lvlText w:val=""/>
      <w:lvlJc w:val="left"/>
      <w:pPr>
        <w:ind w:left="2160" w:hanging="360"/>
      </w:pPr>
      <w:rPr>
        <w:rFonts w:ascii="Wingdings" w:hAnsi="Wingdings" w:hint="default"/>
      </w:rPr>
    </w:lvl>
    <w:lvl w:ilvl="3" w:tplc="0D2EFF58" w:tentative="1">
      <w:start w:val="1"/>
      <w:numFmt w:val="bullet"/>
      <w:lvlText w:val=""/>
      <w:lvlJc w:val="left"/>
      <w:pPr>
        <w:ind w:left="2880" w:hanging="360"/>
      </w:pPr>
      <w:rPr>
        <w:rFonts w:ascii="Symbol" w:hAnsi="Symbol" w:hint="default"/>
      </w:rPr>
    </w:lvl>
    <w:lvl w:ilvl="4" w:tplc="80BAD30E" w:tentative="1">
      <w:start w:val="1"/>
      <w:numFmt w:val="bullet"/>
      <w:lvlText w:val="o"/>
      <w:lvlJc w:val="left"/>
      <w:pPr>
        <w:ind w:left="3600" w:hanging="360"/>
      </w:pPr>
      <w:rPr>
        <w:rFonts w:ascii="Courier New" w:hAnsi="Courier New" w:cs="Courier New" w:hint="default"/>
      </w:rPr>
    </w:lvl>
    <w:lvl w:ilvl="5" w:tplc="4D7C2456" w:tentative="1">
      <w:start w:val="1"/>
      <w:numFmt w:val="bullet"/>
      <w:lvlText w:val=""/>
      <w:lvlJc w:val="left"/>
      <w:pPr>
        <w:ind w:left="4320" w:hanging="360"/>
      </w:pPr>
      <w:rPr>
        <w:rFonts w:ascii="Wingdings" w:hAnsi="Wingdings" w:hint="default"/>
      </w:rPr>
    </w:lvl>
    <w:lvl w:ilvl="6" w:tplc="57B89A0C" w:tentative="1">
      <w:start w:val="1"/>
      <w:numFmt w:val="bullet"/>
      <w:lvlText w:val=""/>
      <w:lvlJc w:val="left"/>
      <w:pPr>
        <w:ind w:left="5040" w:hanging="360"/>
      </w:pPr>
      <w:rPr>
        <w:rFonts w:ascii="Symbol" w:hAnsi="Symbol" w:hint="default"/>
      </w:rPr>
    </w:lvl>
    <w:lvl w:ilvl="7" w:tplc="2BDC2156" w:tentative="1">
      <w:start w:val="1"/>
      <w:numFmt w:val="bullet"/>
      <w:lvlText w:val="o"/>
      <w:lvlJc w:val="left"/>
      <w:pPr>
        <w:ind w:left="5760" w:hanging="360"/>
      </w:pPr>
      <w:rPr>
        <w:rFonts w:ascii="Courier New" w:hAnsi="Courier New" w:cs="Courier New" w:hint="default"/>
      </w:rPr>
    </w:lvl>
    <w:lvl w:ilvl="8" w:tplc="412EEE1A"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6068FA72"/>
    <w:lvl w:ilvl="0" w:tplc="6820FF2A">
      <w:start w:val="1"/>
      <w:numFmt w:val="bullet"/>
      <w:lvlText w:val=""/>
      <w:lvlJc w:val="left"/>
      <w:pPr>
        <w:ind w:left="720" w:hanging="360"/>
      </w:pPr>
      <w:rPr>
        <w:rFonts w:ascii="Symbol" w:hAnsi="Symbol" w:hint="default"/>
      </w:rPr>
    </w:lvl>
    <w:lvl w:ilvl="1" w:tplc="ACCEEAFC">
      <w:start w:val="1"/>
      <w:numFmt w:val="decimal"/>
      <w:lvlText w:val="%2."/>
      <w:lvlJc w:val="left"/>
      <w:pPr>
        <w:ind w:left="1440" w:hanging="360"/>
      </w:pPr>
      <w:rPr>
        <w:rFonts w:hint="default"/>
      </w:rPr>
    </w:lvl>
    <w:lvl w:ilvl="2" w:tplc="461C05B4">
      <w:start w:val="1"/>
      <w:numFmt w:val="bullet"/>
      <w:lvlText w:val=""/>
      <w:lvlJc w:val="left"/>
      <w:pPr>
        <w:ind w:left="2160" w:hanging="360"/>
      </w:pPr>
      <w:rPr>
        <w:rFonts w:ascii="Wingdings" w:hAnsi="Wingdings" w:hint="default"/>
      </w:rPr>
    </w:lvl>
    <w:lvl w:ilvl="3" w:tplc="3DEE2D18">
      <w:start w:val="1"/>
      <w:numFmt w:val="bullet"/>
      <w:lvlText w:val=""/>
      <w:lvlJc w:val="left"/>
      <w:pPr>
        <w:ind w:left="2880" w:hanging="360"/>
      </w:pPr>
      <w:rPr>
        <w:rFonts w:ascii="Symbol" w:hAnsi="Symbol" w:hint="default"/>
      </w:rPr>
    </w:lvl>
    <w:lvl w:ilvl="4" w:tplc="71925B24">
      <w:start w:val="1"/>
      <w:numFmt w:val="bullet"/>
      <w:lvlText w:val="o"/>
      <w:lvlJc w:val="left"/>
      <w:pPr>
        <w:ind w:left="3600" w:hanging="360"/>
      </w:pPr>
      <w:rPr>
        <w:rFonts w:ascii="Courier New" w:hAnsi="Courier New" w:cs="Courier New" w:hint="default"/>
      </w:rPr>
    </w:lvl>
    <w:lvl w:ilvl="5" w:tplc="E228D2B2">
      <w:start w:val="1"/>
      <w:numFmt w:val="bullet"/>
      <w:lvlText w:val=""/>
      <w:lvlJc w:val="left"/>
      <w:pPr>
        <w:ind w:left="4320" w:hanging="360"/>
      </w:pPr>
      <w:rPr>
        <w:rFonts w:ascii="Wingdings" w:hAnsi="Wingdings" w:hint="default"/>
      </w:rPr>
    </w:lvl>
    <w:lvl w:ilvl="6" w:tplc="970E804E">
      <w:start w:val="1"/>
      <w:numFmt w:val="bullet"/>
      <w:lvlText w:val=""/>
      <w:lvlJc w:val="left"/>
      <w:pPr>
        <w:ind w:left="5040" w:hanging="360"/>
      </w:pPr>
      <w:rPr>
        <w:rFonts w:ascii="Symbol" w:hAnsi="Symbol" w:hint="default"/>
      </w:rPr>
    </w:lvl>
    <w:lvl w:ilvl="7" w:tplc="8D8220FE">
      <w:start w:val="1"/>
      <w:numFmt w:val="bullet"/>
      <w:lvlText w:val="o"/>
      <w:lvlJc w:val="left"/>
      <w:pPr>
        <w:ind w:left="5760" w:hanging="360"/>
      </w:pPr>
      <w:rPr>
        <w:rFonts w:ascii="Courier New" w:hAnsi="Courier New" w:cs="Courier New" w:hint="default"/>
      </w:rPr>
    </w:lvl>
    <w:lvl w:ilvl="8" w:tplc="076879D4">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FDA51FC"/>
    <w:lvl w:ilvl="0" w:tplc="E2487FFA">
      <w:start w:val="1"/>
      <w:numFmt w:val="bullet"/>
      <w:lvlText w:val=""/>
      <w:lvlJc w:val="left"/>
      <w:pPr>
        <w:ind w:left="720" w:hanging="360"/>
      </w:pPr>
      <w:rPr>
        <w:rFonts w:ascii="Symbol" w:hAnsi="Symbol" w:hint="default"/>
      </w:rPr>
    </w:lvl>
    <w:lvl w:ilvl="1" w:tplc="F9E8F288">
      <w:start w:val="1"/>
      <w:numFmt w:val="bullet"/>
      <w:lvlText w:val="o"/>
      <w:lvlJc w:val="left"/>
      <w:pPr>
        <w:ind w:left="1440" w:hanging="360"/>
      </w:pPr>
      <w:rPr>
        <w:rFonts w:ascii="Courier New" w:hAnsi="Courier New" w:cs="Courier New" w:hint="default"/>
      </w:rPr>
    </w:lvl>
    <w:lvl w:ilvl="2" w:tplc="DAC8A962">
      <w:start w:val="1"/>
      <w:numFmt w:val="bullet"/>
      <w:lvlText w:val=""/>
      <w:lvlJc w:val="left"/>
      <w:pPr>
        <w:ind w:left="2160" w:hanging="360"/>
      </w:pPr>
      <w:rPr>
        <w:rFonts w:ascii="Wingdings" w:hAnsi="Wingdings" w:hint="default"/>
      </w:rPr>
    </w:lvl>
    <w:lvl w:ilvl="3" w:tplc="C024B102">
      <w:start w:val="1"/>
      <w:numFmt w:val="bullet"/>
      <w:lvlText w:val=""/>
      <w:lvlJc w:val="left"/>
      <w:pPr>
        <w:ind w:left="2880" w:hanging="360"/>
      </w:pPr>
      <w:rPr>
        <w:rFonts w:ascii="Symbol" w:hAnsi="Symbol" w:hint="default"/>
      </w:rPr>
    </w:lvl>
    <w:lvl w:ilvl="4" w:tplc="1E1EA9BC">
      <w:start w:val="1"/>
      <w:numFmt w:val="bullet"/>
      <w:lvlText w:val="o"/>
      <w:lvlJc w:val="left"/>
      <w:pPr>
        <w:ind w:left="3600" w:hanging="360"/>
      </w:pPr>
      <w:rPr>
        <w:rFonts w:ascii="Courier New" w:hAnsi="Courier New" w:cs="Courier New" w:hint="default"/>
      </w:rPr>
    </w:lvl>
    <w:lvl w:ilvl="5" w:tplc="2D9AECCE">
      <w:start w:val="1"/>
      <w:numFmt w:val="bullet"/>
      <w:lvlText w:val=""/>
      <w:lvlJc w:val="left"/>
      <w:pPr>
        <w:ind w:left="4320" w:hanging="360"/>
      </w:pPr>
      <w:rPr>
        <w:rFonts w:ascii="Wingdings" w:hAnsi="Wingdings" w:hint="default"/>
      </w:rPr>
    </w:lvl>
    <w:lvl w:ilvl="6" w:tplc="42B20780">
      <w:start w:val="1"/>
      <w:numFmt w:val="bullet"/>
      <w:lvlText w:val=""/>
      <w:lvlJc w:val="left"/>
      <w:pPr>
        <w:ind w:left="5040" w:hanging="360"/>
      </w:pPr>
      <w:rPr>
        <w:rFonts w:ascii="Symbol" w:hAnsi="Symbol" w:hint="default"/>
      </w:rPr>
    </w:lvl>
    <w:lvl w:ilvl="7" w:tplc="FDB6CCDC">
      <w:start w:val="1"/>
      <w:numFmt w:val="bullet"/>
      <w:lvlText w:val="o"/>
      <w:lvlJc w:val="left"/>
      <w:pPr>
        <w:ind w:left="5760" w:hanging="360"/>
      </w:pPr>
      <w:rPr>
        <w:rFonts w:ascii="Courier New" w:hAnsi="Courier New" w:cs="Courier New" w:hint="default"/>
      </w:rPr>
    </w:lvl>
    <w:lvl w:ilvl="8" w:tplc="976A3262">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1E3E9DA2"/>
    <w:lvl w:ilvl="0">
      <w:start w:val="1"/>
      <w:numFmt w:val="decimal"/>
      <w:lvlText w:val="%1"/>
      <w:lvlJc w:val="left"/>
      <w:pPr>
        <w:tabs>
          <w:tab w:val="num" w:pos="360"/>
        </w:tabs>
        <w:ind w:left="360" w:hanging="360"/>
      </w:pPr>
      <w:rPr>
        <w:rFonts w:ascii="Symbol" w:hAnsi="Symbol" w:cs="Symbol" w:hint="default"/>
        <w:sz w:val="22"/>
        <w:szCs w:val="22"/>
      </w:rPr>
    </w:lvl>
    <w:lvl w:ilvl="1">
      <w:start w:val="1"/>
      <w:numFmt w:val="decimal"/>
      <w:lvlText w:val="%1.%2"/>
      <w:lvlJc w:val="left"/>
      <w:pPr>
        <w:tabs>
          <w:tab w:val="num" w:pos="720"/>
        </w:tabs>
        <w:ind w:left="720" w:hanging="720"/>
      </w:pPr>
      <w:rPr>
        <w:rFonts w:ascii="Calibri" w:hAnsi="Calibri" w:cs="Arial" w:hint="default"/>
        <w:sz w:val="22"/>
        <w:szCs w:val="22"/>
      </w:rPr>
    </w:lvl>
    <w:lvl w:ilvl="2">
      <w:start w:val="1"/>
      <w:numFmt w:val="decimal"/>
      <w:lvlText w:val="%1.%2.%3"/>
      <w:lvlJc w:val="left"/>
      <w:pPr>
        <w:tabs>
          <w:tab w:val="num" w:pos="720"/>
        </w:tabs>
        <w:ind w:left="720" w:hanging="720"/>
      </w:pPr>
      <w:rPr>
        <w:rFonts w:ascii="Symbol" w:hAnsi="Symbol" w:cs="Symbol" w:hint="default"/>
        <w:sz w:val="22"/>
        <w:szCs w:val="22"/>
      </w:rPr>
    </w:lvl>
    <w:lvl w:ilvl="3">
      <w:start w:val="1"/>
      <w:numFmt w:val="decimal"/>
      <w:lvlText w:val="%1.%2.%3.%4"/>
      <w:lvlJc w:val="left"/>
      <w:pPr>
        <w:tabs>
          <w:tab w:val="num" w:pos="1080"/>
        </w:tabs>
        <w:ind w:left="1080" w:hanging="1080"/>
      </w:pPr>
      <w:rPr>
        <w:rFonts w:ascii="Symbol" w:hAnsi="Symbol" w:cs="Symbol" w:hint="default"/>
        <w:sz w:val="22"/>
        <w:szCs w:val="22"/>
      </w:rPr>
    </w:lvl>
    <w:lvl w:ilvl="4">
      <w:start w:val="1"/>
      <w:numFmt w:val="decimal"/>
      <w:lvlText w:val="%1.%2.%3.%4.%5"/>
      <w:lvlJc w:val="left"/>
      <w:pPr>
        <w:tabs>
          <w:tab w:val="num" w:pos="1440"/>
        </w:tabs>
        <w:ind w:left="1440" w:hanging="1440"/>
      </w:pPr>
      <w:rPr>
        <w:rFonts w:ascii="Symbol" w:hAnsi="Symbol" w:cs="Symbol" w:hint="default"/>
        <w:sz w:val="22"/>
        <w:szCs w:val="22"/>
      </w:rPr>
    </w:lvl>
    <w:lvl w:ilvl="5">
      <w:start w:val="1"/>
      <w:numFmt w:val="decimal"/>
      <w:lvlText w:val="%1.%2.%3.%4.%5.%6"/>
      <w:lvlJc w:val="left"/>
      <w:pPr>
        <w:tabs>
          <w:tab w:val="num" w:pos="1800"/>
        </w:tabs>
        <w:ind w:left="1800" w:hanging="1800"/>
      </w:pPr>
      <w:rPr>
        <w:rFonts w:ascii="Symbol" w:hAnsi="Symbol" w:cs="Symbol" w:hint="default"/>
        <w:sz w:val="22"/>
        <w:szCs w:val="22"/>
      </w:rPr>
    </w:lvl>
    <w:lvl w:ilvl="6">
      <w:start w:val="1"/>
      <w:numFmt w:val="decimal"/>
      <w:lvlText w:val="%1.%2.%3.%4.%5.%6.%7"/>
      <w:lvlJc w:val="left"/>
      <w:pPr>
        <w:tabs>
          <w:tab w:val="num" w:pos="1800"/>
        </w:tabs>
        <w:ind w:left="1800" w:hanging="1800"/>
      </w:pPr>
      <w:rPr>
        <w:rFonts w:ascii="Symbol" w:hAnsi="Symbol" w:cs="Symbol" w:hint="default"/>
        <w:sz w:val="22"/>
        <w:szCs w:val="22"/>
      </w:rPr>
    </w:lvl>
    <w:lvl w:ilvl="7">
      <w:start w:val="1"/>
      <w:numFmt w:val="decimal"/>
      <w:lvlText w:val="%1.%2.%3.%4.%5.%6.%7.%8"/>
      <w:lvlJc w:val="left"/>
      <w:pPr>
        <w:tabs>
          <w:tab w:val="num" w:pos="2160"/>
        </w:tabs>
        <w:ind w:left="2160" w:hanging="2160"/>
      </w:pPr>
      <w:rPr>
        <w:rFonts w:ascii="Symbol" w:hAnsi="Symbol" w:cs="Symbol" w:hint="default"/>
        <w:sz w:val="22"/>
        <w:szCs w:val="22"/>
      </w:rPr>
    </w:lvl>
    <w:lvl w:ilvl="8">
      <w:start w:val="1"/>
      <w:numFmt w:val="decimal"/>
      <w:lvlText w:val="%1.%2.%3.%4.%5.%6.%7.%8.%9"/>
      <w:lvlJc w:val="left"/>
      <w:pPr>
        <w:tabs>
          <w:tab w:val="num" w:pos="2520"/>
        </w:tabs>
        <w:ind w:left="2520" w:hanging="2520"/>
      </w:pPr>
      <w:rPr>
        <w:rFonts w:ascii="Symbol" w:hAnsi="Symbol" w:cs="Symbol" w:hint="default"/>
        <w:sz w:val="22"/>
        <w:szCs w:val="22"/>
      </w:rPr>
    </w:lvl>
  </w:abstractNum>
  <w:abstractNum w:abstractNumId="8" w15:restartNumberingAfterBreak="0">
    <w:nsid w:val="00000009"/>
    <w:multiLevelType w:val="hybridMultilevel"/>
    <w:tmpl w:val="410A7910"/>
    <w:lvl w:ilvl="0" w:tplc="8B40A8E2">
      <w:start w:val="1"/>
      <w:numFmt w:val="bullet"/>
      <w:lvlText w:val=""/>
      <w:lvlJc w:val="left"/>
      <w:pPr>
        <w:ind w:left="720" w:hanging="360"/>
      </w:pPr>
      <w:rPr>
        <w:rFonts w:ascii="Symbol" w:hAnsi="Symbol" w:hint="default"/>
      </w:rPr>
    </w:lvl>
    <w:lvl w:ilvl="1" w:tplc="63E82608" w:tentative="1">
      <w:start w:val="1"/>
      <w:numFmt w:val="bullet"/>
      <w:lvlText w:val="o"/>
      <w:lvlJc w:val="left"/>
      <w:pPr>
        <w:ind w:left="1440" w:hanging="360"/>
      </w:pPr>
      <w:rPr>
        <w:rFonts w:ascii="Courier New" w:hAnsi="Courier New" w:cs="Courier New" w:hint="default"/>
      </w:rPr>
    </w:lvl>
    <w:lvl w:ilvl="2" w:tplc="700AB054" w:tentative="1">
      <w:start w:val="1"/>
      <w:numFmt w:val="bullet"/>
      <w:lvlText w:val=""/>
      <w:lvlJc w:val="left"/>
      <w:pPr>
        <w:ind w:left="2160" w:hanging="360"/>
      </w:pPr>
      <w:rPr>
        <w:rFonts w:ascii="Wingdings" w:hAnsi="Wingdings" w:hint="default"/>
      </w:rPr>
    </w:lvl>
    <w:lvl w:ilvl="3" w:tplc="297A7580" w:tentative="1">
      <w:start w:val="1"/>
      <w:numFmt w:val="bullet"/>
      <w:lvlText w:val=""/>
      <w:lvlJc w:val="left"/>
      <w:pPr>
        <w:ind w:left="2880" w:hanging="360"/>
      </w:pPr>
      <w:rPr>
        <w:rFonts w:ascii="Symbol" w:hAnsi="Symbol" w:hint="default"/>
      </w:rPr>
    </w:lvl>
    <w:lvl w:ilvl="4" w:tplc="40B034D4" w:tentative="1">
      <w:start w:val="1"/>
      <w:numFmt w:val="bullet"/>
      <w:lvlText w:val="o"/>
      <w:lvlJc w:val="left"/>
      <w:pPr>
        <w:ind w:left="3600" w:hanging="360"/>
      </w:pPr>
      <w:rPr>
        <w:rFonts w:ascii="Courier New" w:hAnsi="Courier New" w:cs="Courier New" w:hint="default"/>
      </w:rPr>
    </w:lvl>
    <w:lvl w:ilvl="5" w:tplc="2068B9F8" w:tentative="1">
      <w:start w:val="1"/>
      <w:numFmt w:val="bullet"/>
      <w:lvlText w:val=""/>
      <w:lvlJc w:val="left"/>
      <w:pPr>
        <w:ind w:left="4320" w:hanging="360"/>
      </w:pPr>
      <w:rPr>
        <w:rFonts w:ascii="Wingdings" w:hAnsi="Wingdings" w:hint="default"/>
      </w:rPr>
    </w:lvl>
    <w:lvl w:ilvl="6" w:tplc="F24602DC" w:tentative="1">
      <w:start w:val="1"/>
      <w:numFmt w:val="bullet"/>
      <w:lvlText w:val=""/>
      <w:lvlJc w:val="left"/>
      <w:pPr>
        <w:ind w:left="5040" w:hanging="360"/>
      </w:pPr>
      <w:rPr>
        <w:rFonts w:ascii="Symbol" w:hAnsi="Symbol" w:hint="default"/>
      </w:rPr>
    </w:lvl>
    <w:lvl w:ilvl="7" w:tplc="EDCAF072" w:tentative="1">
      <w:start w:val="1"/>
      <w:numFmt w:val="bullet"/>
      <w:lvlText w:val="o"/>
      <w:lvlJc w:val="left"/>
      <w:pPr>
        <w:ind w:left="5760" w:hanging="360"/>
      </w:pPr>
      <w:rPr>
        <w:rFonts w:ascii="Courier New" w:hAnsi="Courier New" w:cs="Courier New" w:hint="default"/>
      </w:rPr>
    </w:lvl>
    <w:lvl w:ilvl="8" w:tplc="02804938"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40D6B02E"/>
    <w:lvl w:ilvl="0" w:tplc="3C68F330">
      <w:start w:val="1"/>
      <w:numFmt w:val="bullet"/>
      <w:lvlText w:val=""/>
      <w:lvlJc w:val="left"/>
      <w:pPr>
        <w:tabs>
          <w:tab w:val="num" w:pos="720"/>
        </w:tabs>
        <w:ind w:left="720" w:hanging="360"/>
      </w:pPr>
      <w:rPr>
        <w:rFonts w:ascii="Symbol" w:hAnsi="Symbol" w:hint="default"/>
      </w:rPr>
    </w:lvl>
    <w:lvl w:ilvl="1" w:tplc="20B29312">
      <w:start w:val="1"/>
      <w:numFmt w:val="bullet"/>
      <w:lvlText w:val="o"/>
      <w:lvlJc w:val="left"/>
      <w:pPr>
        <w:tabs>
          <w:tab w:val="num" w:pos="1440"/>
        </w:tabs>
        <w:ind w:left="1440" w:hanging="360"/>
      </w:pPr>
      <w:rPr>
        <w:rFonts w:ascii="Courier New" w:hAnsi="Courier New" w:hint="default"/>
      </w:rPr>
    </w:lvl>
    <w:lvl w:ilvl="2" w:tplc="9C90D4C8">
      <w:start w:val="1"/>
      <w:numFmt w:val="bullet"/>
      <w:lvlText w:val=""/>
      <w:lvlJc w:val="left"/>
      <w:pPr>
        <w:tabs>
          <w:tab w:val="num" w:pos="2160"/>
        </w:tabs>
        <w:ind w:left="2160" w:hanging="360"/>
      </w:pPr>
      <w:rPr>
        <w:rFonts w:ascii="Wingdings" w:hAnsi="Wingdings" w:hint="default"/>
      </w:rPr>
    </w:lvl>
    <w:lvl w:ilvl="3" w:tplc="A3266E78">
      <w:start w:val="1"/>
      <w:numFmt w:val="bullet"/>
      <w:lvlText w:val=""/>
      <w:lvlJc w:val="left"/>
      <w:pPr>
        <w:tabs>
          <w:tab w:val="num" w:pos="2880"/>
        </w:tabs>
        <w:ind w:left="2880" w:hanging="360"/>
      </w:pPr>
      <w:rPr>
        <w:rFonts w:ascii="Symbol" w:hAnsi="Symbol" w:hint="default"/>
      </w:rPr>
    </w:lvl>
    <w:lvl w:ilvl="4" w:tplc="504E4FA8">
      <w:start w:val="1"/>
      <w:numFmt w:val="bullet"/>
      <w:lvlText w:val="o"/>
      <w:lvlJc w:val="left"/>
      <w:pPr>
        <w:tabs>
          <w:tab w:val="num" w:pos="3600"/>
        </w:tabs>
        <w:ind w:left="3600" w:hanging="360"/>
      </w:pPr>
      <w:rPr>
        <w:rFonts w:ascii="Courier New" w:hAnsi="Courier New" w:hint="default"/>
      </w:rPr>
    </w:lvl>
    <w:lvl w:ilvl="5" w:tplc="3D0A0E62">
      <w:start w:val="1"/>
      <w:numFmt w:val="bullet"/>
      <w:lvlText w:val=""/>
      <w:lvlJc w:val="left"/>
      <w:pPr>
        <w:tabs>
          <w:tab w:val="num" w:pos="4320"/>
        </w:tabs>
        <w:ind w:left="4320" w:hanging="360"/>
      </w:pPr>
      <w:rPr>
        <w:rFonts w:ascii="Wingdings" w:hAnsi="Wingdings" w:hint="default"/>
      </w:rPr>
    </w:lvl>
    <w:lvl w:ilvl="6" w:tplc="1EF037B6">
      <w:start w:val="1"/>
      <w:numFmt w:val="bullet"/>
      <w:lvlText w:val=""/>
      <w:lvlJc w:val="left"/>
      <w:pPr>
        <w:tabs>
          <w:tab w:val="num" w:pos="5040"/>
        </w:tabs>
        <w:ind w:left="5040" w:hanging="360"/>
      </w:pPr>
      <w:rPr>
        <w:rFonts w:ascii="Symbol" w:hAnsi="Symbol" w:hint="default"/>
      </w:rPr>
    </w:lvl>
    <w:lvl w:ilvl="7" w:tplc="AB5A262C">
      <w:start w:val="1"/>
      <w:numFmt w:val="bullet"/>
      <w:lvlText w:val="o"/>
      <w:lvlJc w:val="left"/>
      <w:pPr>
        <w:tabs>
          <w:tab w:val="num" w:pos="5760"/>
        </w:tabs>
        <w:ind w:left="5760" w:hanging="360"/>
      </w:pPr>
      <w:rPr>
        <w:rFonts w:ascii="Courier New" w:hAnsi="Courier New" w:hint="default"/>
      </w:rPr>
    </w:lvl>
    <w:lvl w:ilvl="8" w:tplc="EA9020A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B"/>
    <w:multiLevelType w:val="hybridMultilevel"/>
    <w:tmpl w:val="16C264C0"/>
    <w:lvl w:ilvl="0" w:tplc="D8A6FD6A">
      <w:start w:val="96"/>
      <w:numFmt w:val="bullet"/>
      <w:lvlText w:val="-"/>
      <w:lvlJc w:val="left"/>
      <w:pPr>
        <w:ind w:left="720" w:hanging="360"/>
      </w:pPr>
      <w:rPr>
        <w:rFonts w:ascii="Calibri" w:eastAsia="Calibri" w:hAnsi="Calibri" w:cs="Times New Roman" w:hint="default"/>
      </w:rPr>
    </w:lvl>
    <w:lvl w:ilvl="1" w:tplc="8E2A8A54" w:tentative="1">
      <w:start w:val="1"/>
      <w:numFmt w:val="bullet"/>
      <w:lvlText w:val="o"/>
      <w:lvlJc w:val="left"/>
      <w:pPr>
        <w:ind w:left="1440" w:hanging="360"/>
      </w:pPr>
      <w:rPr>
        <w:rFonts w:ascii="Courier New" w:hAnsi="Courier New" w:cs="Courier New" w:hint="default"/>
      </w:rPr>
    </w:lvl>
    <w:lvl w:ilvl="2" w:tplc="3348D96C" w:tentative="1">
      <w:start w:val="1"/>
      <w:numFmt w:val="bullet"/>
      <w:lvlText w:val=""/>
      <w:lvlJc w:val="left"/>
      <w:pPr>
        <w:ind w:left="2160" w:hanging="360"/>
      </w:pPr>
      <w:rPr>
        <w:rFonts w:ascii="Wingdings" w:hAnsi="Wingdings" w:hint="default"/>
      </w:rPr>
    </w:lvl>
    <w:lvl w:ilvl="3" w:tplc="A32C7538" w:tentative="1">
      <w:start w:val="1"/>
      <w:numFmt w:val="bullet"/>
      <w:lvlText w:val=""/>
      <w:lvlJc w:val="left"/>
      <w:pPr>
        <w:ind w:left="2880" w:hanging="360"/>
      </w:pPr>
      <w:rPr>
        <w:rFonts w:ascii="Symbol" w:hAnsi="Symbol" w:hint="default"/>
      </w:rPr>
    </w:lvl>
    <w:lvl w:ilvl="4" w:tplc="6EAACE84" w:tentative="1">
      <w:start w:val="1"/>
      <w:numFmt w:val="bullet"/>
      <w:lvlText w:val="o"/>
      <w:lvlJc w:val="left"/>
      <w:pPr>
        <w:ind w:left="3600" w:hanging="360"/>
      </w:pPr>
      <w:rPr>
        <w:rFonts w:ascii="Courier New" w:hAnsi="Courier New" w:cs="Courier New" w:hint="default"/>
      </w:rPr>
    </w:lvl>
    <w:lvl w:ilvl="5" w:tplc="2264B464" w:tentative="1">
      <w:start w:val="1"/>
      <w:numFmt w:val="bullet"/>
      <w:lvlText w:val=""/>
      <w:lvlJc w:val="left"/>
      <w:pPr>
        <w:ind w:left="4320" w:hanging="360"/>
      </w:pPr>
      <w:rPr>
        <w:rFonts w:ascii="Wingdings" w:hAnsi="Wingdings" w:hint="default"/>
      </w:rPr>
    </w:lvl>
    <w:lvl w:ilvl="6" w:tplc="0C187786" w:tentative="1">
      <w:start w:val="1"/>
      <w:numFmt w:val="bullet"/>
      <w:lvlText w:val=""/>
      <w:lvlJc w:val="left"/>
      <w:pPr>
        <w:ind w:left="5040" w:hanging="360"/>
      </w:pPr>
      <w:rPr>
        <w:rFonts w:ascii="Symbol" w:hAnsi="Symbol" w:hint="default"/>
      </w:rPr>
    </w:lvl>
    <w:lvl w:ilvl="7" w:tplc="C2E8F42A" w:tentative="1">
      <w:start w:val="1"/>
      <w:numFmt w:val="bullet"/>
      <w:lvlText w:val="o"/>
      <w:lvlJc w:val="left"/>
      <w:pPr>
        <w:ind w:left="5760" w:hanging="360"/>
      </w:pPr>
      <w:rPr>
        <w:rFonts w:ascii="Courier New" w:hAnsi="Courier New" w:cs="Courier New" w:hint="default"/>
      </w:rPr>
    </w:lvl>
    <w:lvl w:ilvl="8" w:tplc="92C04120"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DD0D8CE"/>
    <w:lvl w:ilvl="0" w:tplc="E982C924">
      <w:start w:val="96"/>
      <w:numFmt w:val="bullet"/>
      <w:lvlText w:val="-"/>
      <w:lvlJc w:val="left"/>
      <w:pPr>
        <w:ind w:left="720" w:hanging="360"/>
      </w:pPr>
      <w:rPr>
        <w:rFonts w:ascii="Calibri" w:eastAsia="Calibri" w:hAnsi="Calibri" w:cs="Times New Roman" w:hint="default"/>
      </w:rPr>
    </w:lvl>
    <w:lvl w:ilvl="1" w:tplc="F98C0F7E" w:tentative="1">
      <w:start w:val="1"/>
      <w:numFmt w:val="bullet"/>
      <w:lvlText w:val="o"/>
      <w:lvlJc w:val="left"/>
      <w:pPr>
        <w:ind w:left="1440" w:hanging="360"/>
      </w:pPr>
      <w:rPr>
        <w:rFonts w:ascii="Courier New" w:hAnsi="Courier New" w:cs="Courier New" w:hint="default"/>
      </w:rPr>
    </w:lvl>
    <w:lvl w:ilvl="2" w:tplc="90E4F2C6" w:tentative="1">
      <w:start w:val="1"/>
      <w:numFmt w:val="bullet"/>
      <w:lvlText w:val=""/>
      <w:lvlJc w:val="left"/>
      <w:pPr>
        <w:ind w:left="2160" w:hanging="360"/>
      </w:pPr>
      <w:rPr>
        <w:rFonts w:ascii="Wingdings" w:hAnsi="Wingdings" w:hint="default"/>
      </w:rPr>
    </w:lvl>
    <w:lvl w:ilvl="3" w:tplc="2196DD84" w:tentative="1">
      <w:start w:val="1"/>
      <w:numFmt w:val="bullet"/>
      <w:lvlText w:val=""/>
      <w:lvlJc w:val="left"/>
      <w:pPr>
        <w:ind w:left="2880" w:hanging="360"/>
      </w:pPr>
      <w:rPr>
        <w:rFonts w:ascii="Symbol" w:hAnsi="Symbol" w:hint="default"/>
      </w:rPr>
    </w:lvl>
    <w:lvl w:ilvl="4" w:tplc="8CE48C72" w:tentative="1">
      <w:start w:val="1"/>
      <w:numFmt w:val="bullet"/>
      <w:lvlText w:val="o"/>
      <w:lvlJc w:val="left"/>
      <w:pPr>
        <w:ind w:left="3600" w:hanging="360"/>
      </w:pPr>
      <w:rPr>
        <w:rFonts w:ascii="Courier New" w:hAnsi="Courier New" w:cs="Courier New" w:hint="default"/>
      </w:rPr>
    </w:lvl>
    <w:lvl w:ilvl="5" w:tplc="764CAA5C" w:tentative="1">
      <w:start w:val="1"/>
      <w:numFmt w:val="bullet"/>
      <w:lvlText w:val=""/>
      <w:lvlJc w:val="left"/>
      <w:pPr>
        <w:ind w:left="4320" w:hanging="360"/>
      </w:pPr>
      <w:rPr>
        <w:rFonts w:ascii="Wingdings" w:hAnsi="Wingdings" w:hint="default"/>
      </w:rPr>
    </w:lvl>
    <w:lvl w:ilvl="6" w:tplc="1AA473B6" w:tentative="1">
      <w:start w:val="1"/>
      <w:numFmt w:val="bullet"/>
      <w:lvlText w:val=""/>
      <w:lvlJc w:val="left"/>
      <w:pPr>
        <w:ind w:left="5040" w:hanging="360"/>
      </w:pPr>
      <w:rPr>
        <w:rFonts w:ascii="Symbol" w:hAnsi="Symbol" w:hint="default"/>
      </w:rPr>
    </w:lvl>
    <w:lvl w:ilvl="7" w:tplc="A6DA7E8C" w:tentative="1">
      <w:start w:val="1"/>
      <w:numFmt w:val="bullet"/>
      <w:lvlText w:val="o"/>
      <w:lvlJc w:val="left"/>
      <w:pPr>
        <w:ind w:left="5760" w:hanging="360"/>
      </w:pPr>
      <w:rPr>
        <w:rFonts w:ascii="Courier New" w:hAnsi="Courier New" w:cs="Courier New" w:hint="default"/>
      </w:rPr>
    </w:lvl>
    <w:lvl w:ilvl="8" w:tplc="5D82CB9A"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9BA8EE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000000E"/>
    <w:multiLevelType w:val="hybridMultilevel"/>
    <w:tmpl w:val="376C9D4E"/>
    <w:lvl w:ilvl="0" w:tplc="44CCD50E">
      <w:start w:val="1"/>
      <w:numFmt w:val="bullet"/>
      <w:lvlText w:val=""/>
      <w:lvlJc w:val="left"/>
      <w:pPr>
        <w:ind w:left="1069" w:hanging="360"/>
      </w:pPr>
      <w:rPr>
        <w:rFonts w:ascii="Symbol" w:hAnsi="Symbol" w:hint="default"/>
      </w:rPr>
    </w:lvl>
    <w:lvl w:ilvl="1" w:tplc="2B0E2DDE" w:tentative="1">
      <w:start w:val="1"/>
      <w:numFmt w:val="bullet"/>
      <w:lvlText w:val="o"/>
      <w:lvlJc w:val="left"/>
      <w:pPr>
        <w:ind w:left="1789" w:hanging="360"/>
      </w:pPr>
      <w:rPr>
        <w:rFonts w:ascii="Courier New" w:hAnsi="Courier New" w:cs="Courier New" w:hint="default"/>
      </w:rPr>
    </w:lvl>
    <w:lvl w:ilvl="2" w:tplc="265E608E" w:tentative="1">
      <w:start w:val="1"/>
      <w:numFmt w:val="bullet"/>
      <w:lvlText w:val=""/>
      <w:lvlJc w:val="left"/>
      <w:pPr>
        <w:ind w:left="2509" w:hanging="360"/>
      </w:pPr>
      <w:rPr>
        <w:rFonts w:ascii="Wingdings" w:hAnsi="Wingdings" w:hint="default"/>
      </w:rPr>
    </w:lvl>
    <w:lvl w:ilvl="3" w:tplc="AAD8AE6E" w:tentative="1">
      <w:start w:val="1"/>
      <w:numFmt w:val="bullet"/>
      <w:lvlText w:val=""/>
      <w:lvlJc w:val="left"/>
      <w:pPr>
        <w:ind w:left="3229" w:hanging="360"/>
      </w:pPr>
      <w:rPr>
        <w:rFonts w:ascii="Symbol" w:hAnsi="Symbol" w:hint="default"/>
      </w:rPr>
    </w:lvl>
    <w:lvl w:ilvl="4" w:tplc="27DC9CDC" w:tentative="1">
      <w:start w:val="1"/>
      <w:numFmt w:val="bullet"/>
      <w:lvlText w:val="o"/>
      <w:lvlJc w:val="left"/>
      <w:pPr>
        <w:ind w:left="3949" w:hanging="360"/>
      </w:pPr>
      <w:rPr>
        <w:rFonts w:ascii="Courier New" w:hAnsi="Courier New" w:cs="Courier New" w:hint="default"/>
      </w:rPr>
    </w:lvl>
    <w:lvl w:ilvl="5" w:tplc="4BDE1874" w:tentative="1">
      <w:start w:val="1"/>
      <w:numFmt w:val="bullet"/>
      <w:lvlText w:val=""/>
      <w:lvlJc w:val="left"/>
      <w:pPr>
        <w:ind w:left="4669" w:hanging="360"/>
      </w:pPr>
      <w:rPr>
        <w:rFonts w:ascii="Wingdings" w:hAnsi="Wingdings" w:hint="default"/>
      </w:rPr>
    </w:lvl>
    <w:lvl w:ilvl="6" w:tplc="95904E3C" w:tentative="1">
      <w:start w:val="1"/>
      <w:numFmt w:val="bullet"/>
      <w:lvlText w:val=""/>
      <w:lvlJc w:val="left"/>
      <w:pPr>
        <w:ind w:left="5389" w:hanging="360"/>
      </w:pPr>
      <w:rPr>
        <w:rFonts w:ascii="Symbol" w:hAnsi="Symbol" w:hint="default"/>
      </w:rPr>
    </w:lvl>
    <w:lvl w:ilvl="7" w:tplc="D74048DC" w:tentative="1">
      <w:start w:val="1"/>
      <w:numFmt w:val="bullet"/>
      <w:lvlText w:val="o"/>
      <w:lvlJc w:val="left"/>
      <w:pPr>
        <w:ind w:left="6109" w:hanging="360"/>
      </w:pPr>
      <w:rPr>
        <w:rFonts w:ascii="Courier New" w:hAnsi="Courier New" w:cs="Courier New" w:hint="default"/>
      </w:rPr>
    </w:lvl>
    <w:lvl w:ilvl="8" w:tplc="7B666BB2" w:tentative="1">
      <w:start w:val="1"/>
      <w:numFmt w:val="bullet"/>
      <w:lvlText w:val=""/>
      <w:lvlJc w:val="left"/>
      <w:pPr>
        <w:ind w:left="6829" w:hanging="360"/>
      </w:pPr>
      <w:rPr>
        <w:rFonts w:ascii="Wingdings" w:hAnsi="Wingdings" w:hint="default"/>
      </w:rPr>
    </w:lvl>
  </w:abstractNum>
  <w:abstractNum w:abstractNumId="14" w15:restartNumberingAfterBreak="0">
    <w:nsid w:val="0000000F"/>
    <w:multiLevelType w:val="hybridMultilevel"/>
    <w:tmpl w:val="D9C60B0C"/>
    <w:lvl w:ilvl="0" w:tplc="997CA4EE">
      <w:start w:val="1"/>
      <w:numFmt w:val="bullet"/>
      <w:lvlText w:val=""/>
      <w:lvlJc w:val="left"/>
      <w:pPr>
        <w:ind w:left="720" w:hanging="360"/>
      </w:pPr>
      <w:rPr>
        <w:rFonts w:ascii="Symbol" w:hAnsi="Symbol" w:hint="default"/>
      </w:rPr>
    </w:lvl>
    <w:lvl w:ilvl="1" w:tplc="EE2A415A" w:tentative="1">
      <w:start w:val="1"/>
      <w:numFmt w:val="bullet"/>
      <w:lvlText w:val="o"/>
      <w:lvlJc w:val="left"/>
      <w:pPr>
        <w:ind w:left="1440" w:hanging="360"/>
      </w:pPr>
      <w:rPr>
        <w:rFonts w:ascii="Courier New" w:hAnsi="Courier New" w:cs="Courier New" w:hint="default"/>
      </w:rPr>
    </w:lvl>
    <w:lvl w:ilvl="2" w:tplc="AC549F4C" w:tentative="1">
      <w:start w:val="1"/>
      <w:numFmt w:val="bullet"/>
      <w:lvlText w:val=""/>
      <w:lvlJc w:val="left"/>
      <w:pPr>
        <w:ind w:left="2160" w:hanging="360"/>
      </w:pPr>
      <w:rPr>
        <w:rFonts w:ascii="Wingdings" w:hAnsi="Wingdings" w:hint="default"/>
      </w:rPr>
    </w:lvl>
    <w:lvl w:ilvl="3" w:tplc="A774C0EE" w:tentative="1">
      <w:start w:val="1"/>
      <w:numFmt w:val="bullet"/>
      <w:lvlText w:val=""/>
      <w:lvlJc w:val="left"/>
      <w:pPr>
        <w:ind w:left="2880" w:hanging="360"/>
      </w:pPr>
      <w:rPr>
        <w:rFonts w:ascii="Symbol" w:hAnsi="Symbol" w:hint="default"/>
      </w:rPr>
    </w:lvl>
    <w:lvl w:ilvl="4" w:tplc="E88856E4" w:tentative="1">
      <w:start w:val="1"/>
      <w:numFmt w:val="bullet"/>
      <w:lvlText w:val="o"/>
      <w:lvlJc w:val="left"/>
      <w:pPr>
        <w:ind w:left="3600" w:hanging="360"/>
      </w:pPr>
      <w:rPr>
        <w:rFonts w:ascii="Courier New" w:hAnsi="Courier New" w:cs="Courier New" w:hint="default"/>
      </w:rPr>
    </w:lvl>
    <w:lvl w:ilvl="5" w:tplc="C9C4DAC4" w:tentative="1">
      <w:start w:val="1"/>
      <w:numFmt w:val="bullet"/>
      <w:lvlText w:val=""/>
      <w:lvlJc w:val="left"/>
      <w:pPr>
        <w:ind w:left="4320" w:hanging="360"/>
      </w:pPr>
      <w:rPr>
        <w:rFonts w:ascii="Wingdings" w:hAnsi="Wingdings" w:hint="default"/>
      </w:rPr>
    </w:lvl>
    <w:lvl w:ilvl="6" w:tplc="3CB6679E" w:tentative="1">
      <w:start w:val="1"/>
      <w:numFmt w:val="bullet"/>
      <w:lvlText w:val=""/>
      <w:lvlJc w:val="left"/>
      <w:pPr>
        <w:ind w:left="5040" w:hanging="360"/>
      </w:pPr>
      <w:rPr>
        <w:rFonts w:ascii="Symbol" w:hAnsi="Symbol" w:hint="default"/>
      </w:rPr>
    </w:lvl>
    <w:lvl w:ilvl="7" w:tplc="B9D4B07A" w:tentative="1">
      <w:start w:val="1"/>
      <w:numFmt w:val="bullet"/>
      <w:lvlText w:val="o"/>
      <w:lvlJc w:val="left"/>
      <w:pPr>
        <w:ind w:left="5760" w:hanging="360"/>
      </w:pPr>
      <w:rPr>
        <w:rFonts w:ascii="Courier New" w:hAnsi="Courier New" w:cs="Courier New" w:hint="default"/>
      </w:rPr>
    </w:lvl>
    <w:lvl w:ilvl="8" w:tplc="B1AC9610"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868E76EE"/>
    <w:lvl w:ilvl="0" w:tplc="6324DED8">
      <w:start w:val="1"/>
      <w:numFmt w:val="bullet"/>
      <w:lvlText w:val=""/>
      <w:lvlJc w:val="left"/>
      <w:pPr>
        <w:ind w:left="720" w:hanging="360"/>
      </w:pPr>
      <w:rPr>
        <w:rFonts w:ascii="Symbol" w:hAnsi="Symbol" w:hint="default"/>
      </w:rPr>
    </w:lvl>
    <w:lvl w:ilvl="1" w:tplc="7F22C804" w:tentative="1">
      <w:start w:val="1"/>
      <w:numFmt w:val="bullet"/>
      <w:lvlText w:val="o"/>
      <w:lvlJc w:val="left"/>
      <w:pPr>
        <w:ind w:left="1440" w:hanging="360"/>
      </w:pPr>
      <w:rPr>
        <w:rFonts w:ascii="Courier New" w:hAnsi="Courier New" w:cs="Courier New" w:hint="default"/>
      </w:rPr>
    </w:lvl>
    <w:lvl w:ilvl="2" w:tplc="D40A2D22" w:tentative="1">
      <w:start w:val="1"/>
      <w:numFmt w:val="bullet"/>
      <w:lvlText w:val=""/>
      <w:lvlJc w:val="left"/>
      <w:pPr>
        <w:ind w:left="2160" w:hanging="360"/>
      </w:pPr>
      <w:rPr>
        <w:rFonts w:ascii="Wingdings" w:hAnsi="Wingdings" w:hint="default"/>
      </w:rPr>
    </w:lvl>
    <w:lvl w:ilvl="3" w:tplc="BF2ED634" w:tentative="1">
      <w:start w:val="1"/>
      <w:numFmt w:val="bullet"/>
      <w:lvlText w:val=""/>
      <w:lvlJc w:val="left"/>
      <w:pPr>
        <w:ind w:left="2880" w:hanging="360"/>
      </w:pPr>
      <w:rPr>
        <w:rFonts w:ascii="Symbol" w:hAnsi="Symbol" w:hint="default"/>
      </w:rPr>
    </w:lvl>
    <w:lvl w:ilvl="4" w:tplc="1758D182" w:tentative="1">
      <w:start w:val="1"/>
      <w:numFmt w:val="bullet"/>
      <w:lvlText w:val="o"/>
      <w:lvlJc w:val="left"/>
      <w:pPr>
        <w:ind w:left="3600" w:hanging="360"/>
      </w:pPr>
      <w:rPr>
        <w:rFonts w:ascii="Courier New" w:hAnsi="Courier New" w:cs="Courier New" w:hint="default"/>
      </w:rPr>
    </w:lvl>
    <w:lvl w:ilvl="5" w:tplc="F1C234D8" w:tentative="1">
      <w:start w:val="1"/>
      <w:numFmt w:val="bullet"/>
      <w:lvlText w:val=""/>
      <w:lvlJc w:val="left"/>
      <w:pPr>
        <w:ind w:left="4320" w:hanging="360"/>
      </w:pPr>
      <w:rPr>
        <w:rFonts w:ascii="Wingdings" w:hAnsi="Wingdings" w:hint="default"/>
      </w:rPr>
    </w:lvl>
    <w:lvl w:ilvl="6" w:tplc="D3EA62D2" w:tentative="1">
      <w:start w:val="1"/>
      <w:numFmt w:val="bullet"/>
      <w:lvlText w:val=""/>
      <w:lvlJc w:val="left"/>
      <w:pPr>
        <w:ind w:left="5040" w:hanging="360"/>
      </w:pPr>
      <w:rPr>
        <w:rFonts w:ascii="Symbol" w:hAnsi="Symbol" w:hint="default"/>
      </w:rPr>
    </w:lvl>
    <w:lvl w:ilvl="7" w:tplc="8D709ACA" w:tentative="1">
      <w:start w:val="1"/>
      <w:numFmt w:val="bullet"/>
      <w:lvlText w:val="o"/>
      <w:lvlJc w:val="left"/>
      <w:pPr>
        <w:ind w:left="5760" w:hanging="360"/>
      </w:pPr>
      <w:rPr>
        <w:rFonts w:ascii="Courier New" w:hAnsi="Courier New" w:cs="Courier New" w:hint="default"/>
      </w:rPr>
    </w:lvl>
    <w:lvl w:ilvl="8" w:tplc="BD32DA76" w:tentative="1">
      <w:start w:val="1"/>
      <w:numFmt w:val="bullet"/>
      <w:lvlText w:val=""/>
      <w:lvlJc w:val="left"/>
      <w:pPr>
        <w:ind w:left="6480" w:hanging="360"/>
      </w:pPr>
      <w:rPr>
        <w:rFonts w:ascii="Wingdings" w:hAnsi="Wingdings" w:hint="default"/>
      </w:rPr>
    </w:lvl>
  </w:abstractNum>
  <w:abstractNum w:abstractNumId="16" w15:restartNumberingAfterBreak="0">
    <w:nsid w:val="02372D0B"/>
    <w:multiLevelType w:val="multilevel"/>
    <w:tmpl w:val="03507B0E"/>
    <w:lvl w:ilvl="0">
      <w:start w:val="1"/>
      <w:numFmt w:val="decimal"/>
      <w:lvlText w:val="%1"/>
      <w:lvlJc w:val="left"/>
      <w:pPr>
        <w:tabs>
          <w:tab w:val="num" w:pos="360"/>
        </w:tabs>
        <w:ind w:left="360" w:hanging="360"/>
      </w:pPr>
      <w:rPr>
        <w:rFonts w:ascii="Symbol" w:hAnsi="Symbol" w:cs="Symbol" w:hint="default"/>
        <w:sz w:val="22"/>
        <w:szCs w:val="22"/>
      </w:rPr>
    </w:lvl>
    <w:lvl w:ilvl="1">
      <w:start w:val="1"/>
      <w:numFmt w:val="decimal"/>
      <w:lvlText w:val="%1.%2"/>
      <w:lvlJc w:val="left"/>
      <w:pPr>
        <w:tabs>
          <w:tab w:val="num" w:pos="720"/>
        </w:tabs>
        <w:ind w:left="720" w:hanging="720"/>
      </w:pPr>
      <w:rPr>
        <w:rFonts w:ascii="Calibri" w:hAnsi="Calibri" w:cs="Arial" w:hint="default"/>
        <w:color w:val="auto"/>
        <w:sz w:val="22"/>
        <w:szCs w:val="22"/>
      </w:rPr>
    </w:lvl>
    <w:lvl w:ilvl="2">
      <w:start w:val="1"/>
      <w:numFmt w:val="decimal"/>
      <w:lvlText w:val="%1.%2.%3"/>
      <w:lvlJc w:val="left"/>
      <w:pPr>
        <w:tabs>
          <w:tab w:val="num" w:pos="720"/>
        </w:tabs>
        <w:ind w:left="720" w:hanging="720"/>
      </w:pPr>
      <w:rPr>
        <w:rFonts w:ascii="Symbol" w:hAnsi="Symbol" w:cs="Symbol" w:hint="default"/>
        <w:sz w:val="22"/>
        <w:szCs w:val="22"/>
      </w:rPr>
    </w:lvl>
    <w:lvl w:ilvl="3">
      <w:start w:val="1"/>
      <w:numFmt w:val="decimal"/>
      <w:lvlText w:val="%1.%2.%3.%4"/>
      <w:lvlJc w:val="left"/>
      <w:pPr>
        <w:tabs>
          <w:tab w:val="num" w:pos="1080"/>
        </w:tabs>
        <w:ind w:left="1080" w:hanging="1080"/>
      </w:pPr>
      <w:rPr>
        <w:rFonts w:ascii="Symbol" w:hAnsi="Symbol" w:cs="Symbol" w:hint="default"/>
        <w:sz w:val="22"/>
        <w:szCs w:val="22"/>
      </w:rPr>
    </w:lvl>
    <w:lvl w:ilvl="4">
      <w:start w:val="1"/>
      <w:numFmt w:val="decimal"/>
      <w:lvlText w:val="%1.%2.%3.%4.%5"/>
      <w:lvlJc w:val="left"/>
      <w:pPr>
        <w:tabs>
          <w:tab w:val="num" w:pos="1440"/>
        </w:tabs>
        <w:ind w:left="1440" w:hanging="1440"/>
      </w:pPr>
      <w:rPr>
        <w:rFonts w:ascii="Symbol" w:hAnsi="Symbol" w:cs="Symbol" w:hint="default"/>
        <w:sz w:val="22"/>
        <w:szCs w:val="22"/>
      </w:rPr>
    </w:lvl>
    <w:lvl w:ilvl="5">
      <w:start w:val="1"/>
      <w:numFmt w:val="decimal"/>
      <w:lvlText w:val="%1.%2.%3.%4.%5.%6"/>
      <w:lvlJc w:val="left"/>
      <w:pPr>
        <w:tabs>
          <w:tab w:val="num" w:pos="1800"/>
        </w:tabs>
        <w:ind w:left="1800" w:hanging="1800"/>
      </w:pPr>
      <w:rPr>
        <w:rFonts w:ascii="Symbol" w:hAnsi="Symbol" w:cs="Symbol" w:hint="default"/>
        <w:sz w:val="22"/>
        <w:szCs w:val="22"/>
      </w:rPr>
    </w:lvl>
    <w:lvl w:ilvl="6">
      <w:start w:val="1"/>
      <w:numFmt w:val="decimal"/>
      <w:lvlText w:val="%1.%2.%3.%4.%5.%6.%7"/>
      <w:lvlJc w:val="left"/>
      <w:pPr>
        <w:tabs>
          <w:tab w:val="num" w:pos="1800"/>
        </w:tabs>
        <w:ind w:left="1800" w:hanging="1800"/>
      </w:pPr>
      <w:rPr>
        <w:rFonts w:ascii="Symbol" w:hAnsi="Symbol" w:cs="Symbol" w:hint="default"/>
        <w:sz w:val="22"/>
        <w:szCs w:val="22"/>
      </w:rPr>
    </w:lvl>
    <w:lvl w:ilvl="7">
      <w:start w:val="1"/>
      <w:numFmt w:val="decimal"/>
      <w:lvlText w:val="%1.%2.%3.%4.%5.%6.%7.%8"/>
      <w:lvlJc w:val="left"/>
      <w:pPr>
        <w:tabs>
          <w:tab w:val="num" w:pos="2160"/>
        </w:tabs>
        <w:ind w:left="2160" w:hanging="2160"/>
      </w:pPr>
      <w:rPr>
        <w:rFonts w:ascii="Symbol" w:hAnsi="Symbol" w:cs="Symbol" w:hint="default"/>
        <w:sz w:val="22"/>
        <w:szCs w:val="22"/>
      </w:rPr>
    </w:lvl>
    <w:lvl w:ilvl="8">
      <w:start w:val="1"/>
      <w:numFmt w:val="decimal"/>
      <w:lvlText w:val="%1.%2.%3.%4.%5.%6.%7.%8.%9"/>
      <w:lvlJc w:val="left"/>
      <w:pPr>
        <w:tabs>
          <w:tab w:val="num" w:pos="2520"/>
        </w:tabs>
        <w:ind w:left="2520" w:hanging="2520"/>
      </w:pPr>
      <w:rPr>
        <w:rFonts w:ascii="Symbol" w:hAnsi="Symbol" w:cs="Symbol" w:hint="default"/>
        <w:sz w:val="22"/>
        <w:szCs w:val="22"/>
      </w:rPr>
    </w:lvl>
  </w:abstractNum>
  <w:abstractNum w:abstractNumId="17" w15:restartNumberingAfterBreak="0">
    <w:nsid w:val="0AD6575C"/>
    <w:multiLevelType w:val="hybridMultilevel"/>
    <w:tmpl w:val="C8E6C922"/>
    <w:lvl w:ilvl="0" w:tplc="C264F1D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9549C5"/>
    <w:multiLevelType w:val="multilevel"/>
    <w:tmpl w:val="97F882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14A7911"/>
    <w:multiLevelType w:val="multilevel"/>
    <w:tmpl w:val="B31601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7D7F08"/>
    <w:multiLevelType w:val="hybridMultilevel"/>
    <w:tmpl w:val="3CBA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205752"/>
    <w:multiLevelType w:val="hybridMultilevel"/>
    <w:tmpl w:val="3E1635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8262983"/>
    <w:multiLevelType w:val="hybridMultilevel"/>
    <w:tmpl w:val="64C8A14C"/>
    <w:lvl w:ilvl="0" w:tplc="852C5790">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20A91897"/>
    <w:multiLevelType w:val="hybridMultilevel"/>
    <w:tmpl w:val="D1E6F26E"/>
    <w:lvl w:ilvl="0" w:tplc="351A84D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99F798D"/>
    <w:multiLevelType w:val="hybridMultilevel"/>
    <w:tmpl w:val="4DB69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E650BD6"/>
    <w:multiLevelType w:val="hybridMultilevel"/>
    <w:tmpl w:val="2AD81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6A0B33"/>
    <w:multiLevelType w:val="hybridMultilevel"/>
    <w:tmpl w:val="964A2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ADB7DF3"/>
    <w:multiLevelType w:val="multilevel"/>
    <w:tmpl w:val="482E79F2"/>
    <w:lvl w:ilvl="0">
      <w:start w:val="1"/>
      <w:numFmt w:val="decimal"/>
      <w:lvlText w:val="%1."/>
      <w:lvlJc w:val="left"/>
      <w:pPr>
        <w:ind w:left="3337" w:hanging="360"/>
      </w:pPr>
      <w:rPr>
        <w:b/>
      </w:rPr>
    </w:lvl>
    <w:lvl w:ilvl="1">
      <w:start w:val="1"/>
      <w:numFmt w:val="decimal"/>
      <w:isLgl/>
      <w:lvlText w:val="%1.%2"/>
      <w:lvlJc w:val="left"/>
      <w:pPr>
        <w:ind w:left="-8905" w:hanging="375"/>
      </w:pPr>
      <w:rPr>
        <w:rFonts w:hint="default"/>
      </w:rPr>
    </w:lvl>
    <w:lvl w:ilvl="2">
      <w:start w:val="1"/>
      <w:numFmt w:val="decimal"/>
      <w:isLgl/>
      <w:lvlText w:val="%1.%2.%3"/>
      <w:lvlJc w:val="left"/>
      <w:pPr>
        <w:ind w:left="-8560" w:hanging="720"/>
      </w:pPr>
      <w:rPr>
        <w:rFonts w:hint="default"/>
      </w:rPr>
    </w:lvl>
    <w:lvl w:ilvl="3">
      <w:start w:val="1"/>
      <w:numFmt w:val="decimal"/>
      <w:isLgl/>
      <w:lvlText w:val="%1.%2.%3.%4"/>
      <w:lvlJc w:val="left"/>
      <w:pPr>
        <w:ind w:left="-8560" w:hanging="720"/>
      </w:pPr>
      <w:rPr>
        <w:rFonts w:hint="default"/>
      </w:rPr>
    </w:lvl>
    <w:lvl w:ilvl="4">
      <w:start w:val="1"/>
      <w:numFmt w:val="decimal"/>
      <w:isLgl/>
      <w:lvlText w:val="%1.%2.%3.%4.%5"/>
      <w:lvlJc w:val="left"/>
      <w:pPr>
        <w:ind w:left="-8200" w:hanging="1080"/>
      </w:pPr>
      <w:rPr>
        <w:rFonts w:hint="default"/>
      </w:rPr>
    </w:lvl>
    <w:lvl w:ilvl="5">
      <w:start w:val="1"/>
      <w:numFmt w:val="decimal"/>
      <w:isLgl/>
      <w:lvlText w:val="%1.%2.%3.%4.%5.%6"/>
      <w:lvlJc w:val="left"/>
      <w:pPr>
        <w:ind w:left="-8200" w:hanging="1080"/>
      </w:pPr>
      <w:rPr>
        <w:rFonts w:hint="default"/>
      </w:rPr>
    </w:lvl>
    <w:lvl w:ilvl="6">
      <w:start w:val="1"/>
      <w:numFmt w:val="decimal"/>
      <w:isLgl/>
      <w:lvlText w:val="%1.%2.%3.%4.%5.%6.%7"/>
      <w:lvlJc w:val="left"/>
      <w:pPr>
        <w:ind w:left="-7840" w:hanging="1440"/>
      </w:pPr>
      <w:rPr>
        <w:rFonts w:hint="default"/>
      </w:rPr>
    </w:lvl>
    <w:lvl w:ilvl="7">
      <w:start w:val="1"/>
      <w:numFmt w:val="decimal"/>
      <w:isLgl/>
      <w:lvlText w:val="%1.%2.%3.%4.%5.%6.%7.%8"/>
      <w:lvlJc w:val="left"/>
      <w:pPr>
        <w:ind w:left="-7840" w:hanging="1440"/>
      </w:pPr>
      <w:rPr>
        <w:rFonts w:hint="default"/>
      </w:rPr>
    </w:lvl>
    <w:lvl w:ilvl="8">
      <w:start w:val="1"/>
      <w:numFmt w:val="decimal"/>
      <w:isLgl/>
      <w:lvlText w:val="%1.%2.%3.%4.%5.%6.%7.%8.%9"/>
      <w:lvlJc w:val="left"/>
      <w:pPr>
        <w:ind w:left="-7480" w:hanging="1800"/>
      </w:pPr>
      <w:rPr>
        <w:rFonts w:hint="default"/>
      </w:rPr>
    </w:lvl>
  </w:abstractNum>
  <w:abstractNum w:abstractNumId="28" w15:restartNumberingAfterBreak="0">
    <w:nsid w:val="51781D82"/>
    <w:multiLevelType w:val="multilevel"/>
    <w:tmpl w:val="9620BF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F23E10"/>
    <w:multiLevelType w:val="hybridMultilevel"/>
    <w:tmpl w:val="693A3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E51BA0"/>
    <w:multiLevelType w:val="hybridMultilevel"/>
    <w:tmpl w:val="F954C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9918D4"/>
    <w:multiLevelType w:val="hybridMultilevel"/>
    <w:tmpl w:val="58EAA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BAE36FE"/>
    <w:multiLevelType w:val="hybridMultilevel"/>
    <w:tmpl w:val="C07AA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B5105E"/>
    <w:multiLevelType w:val="hybridMultilevel"/>
    <w:tmpl w:val="457CF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0E58FA"/>
    <w:multiLevelType w:val="hybridMultilevel"/>
    <w:tmpl w:val="8532694A"/>
    <w:lvl w:ilvl="0" w:tplc="81A61E82">
      <w:start w:val="1"/>
      <w:numFmt w:val="bullet"/>
      <w:lvlText w:val=""/>
      <w:lvlJc w:val="left"/>
      <w:pPr>
        <w:ind w:left="1162" w:hanging="357"/>
      </w:pPr>
      <w:rPr>
        <w:rFonts w:ascii="Symbol" w:hAnsi="Symbol" w:hint="default"/>
      </w:rPr>
    </w:lvl>
    <w:lvl w:ilvl="1" w:tplc="49D4DF80">
      <w:start w:val="1"/>
      <w:numFmt w:val="bullet"/>
      <w:lvlText w:val="o"/>
      <w:lvlJc w:val="left"/>
      <w:pPr>
        <w:ind w:left="3585" w:hanging="360"/>
      </w:pPr>
      <w:rPr>
        <w:rFonts w:ascii="Courier New" w:hAnsi="Courier New" w:cs="Courier New" w:hint="default"/>
      </w:rPr>
    </w:lvl>
    <w:lvl w:ilvl="2" w:tplc="AECE9E1C">
      <w:start w:val="1"/>
      <w:numFmt w:val="bullet"/>
      <w:lvlText w:val=""/>
      <w:lvlJc w:val="left"/>
      <w:pPr>
        <w:ind w:left="4305" w:hanging="360"/>
      </w:pPr>
      <w:rPr>
        <w:rFonts w:ascii="Wingdings" w:hAnsi="Wingdings" w:hint="default"/>
      </w:rPr>
    </w:lvl>
    <w:lvl w:ilvl="3" w:tplc="3954BBCC">
      <w:start w:val="1"/>
      <w:numFmt w:val="bullet"/>
      <w:lvlText w:val=""/>
      <w:lvlJc w:val="left"/>
      <w:pPr>
        <w:ind w:left="5025" w:hanging="360"/>
      </w:pPr>
      <w:rPr>
        <w:rFonts w:ascii="Symbol" w:hAnsi="Symbol" w:hint="default"/>
      </w:rPr>
    </w:lvl>
    <w:lvl w:ilvl="4" w:tplc="0CC413EA">
      <w:start w:val="1"/>
      <w:numFmt w:val="bullet"/>
      <w:lvlText w:val="o"/>
      <w:lvlJc w:val="left"/>
      <w:pPr>
        <w:ind w:left="5745" w:hanging="360"/>
      </w:pPr>
      <w:rPr>
        <w:rFonts w:ascii="Courier New" w:hAnsi="Courier New" w:cs="Courier New" w:hint="default"/>
      </w:rPr>
    </w:lvl>
    <w:lvl w:ilvl="5" w:tplc="47C6F03E">
      <w:start w:val="1"/>
      <w:numFmt w:val="bullet"/>
      <w:lvlText w:val=""/>
      <w:lvlJc w:val="left"/>
      <w:pPr>
        <w:ind w:left="6465" w:hanging="360"/>
      </w:pPr>
      <w:rPr>
        <w:rFonts w:ascii="Wingdings" w:hAnsi="Wingdings" w:hint="default"/>
      </w:rPr>
    </w:lvl>
    <w:lvl w:ilvl="6" w:tplc="3D1CB4EE">
      <w:start w:val="1"/>
      <w:numFmt w:val="bullet"/>
      <w:lvlText w:val=""/>
      <w:lvlJc w:val="left"/>
      <w:pPr>
        <w:ind w:left="7185" w:hanging="360"/>
      </w:pPr>
      <w:rPr>
        <w:rFonts w:ascii="Symbol" w:hAnsi="Symbol" w:hint="default"/>
      </w:rPr>
    </w:lvl>
    <w:lvl w:ilvl="7" w:tplc="AB323BB4">
      <w:start w:val="1"/>
      <w:numFmt w:val="bullet"/>
      <w:lvlText w:val="o"/>
      <w:lvlJc w:val="left"/>
      <w:pPr>
        <w:ind w:left="7905" w:hanging="360"/>
      </w:pPr>
      <w:rPr>
        <w:rFonts w:ascii="Courier New" w:hAnsi="Courier New" w:cs="Courier New" w:hint="default"/>
      </w:rPr>
    </w:lvl>
    <w:lvl w:ilvl="8" w:tplc="EA485300">
      <w:start w:val="1"/>
      <w:numFmt w:val="bullet"/>
      <w:lvlText w:val=""/>
      <w:lvlJc w:val="left"/>
      <w:pPr>
        <w:ind w:left="8625" w:hanging="360"/>
      </w:pPr>
      <w:rPr>
        <w:rFonts w:ascii="Wingdings" w:hAnsi="Wingdings" w:hint="default"/>
      </w:rPr>
    </w:lvl>
  </w:abstractNum>
  <w:abstractNum w:abstractNumId="35" w15:restartNumberingAfterBreak="0">
    <w:nsid w:val="7BA40EE9"/>
    <w:multiLevelType w:val="hybridMultilevel"/>
    <w:tmpl w:val="7A36C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2"/>
  </w:num>
  <w:num w:numId="19">
    <w:abstractNumId w:val="27"/>
  </w:num>
  <w:num w:numId="20">
    <w:abstractNumId w:val="28"/>
  </w:num>
  <w:num w:numId="21">
    <w:abstractNumId w:val="19"/>
  </w:num>
  <w:num w:numId="22">
    <w:abstractNumId w:val="34"/>
  </w:num>
  <w:num w:numId="23">
    <w:abstractNumId w:val="23"/>
  </w:num>
  <w:num w:numId="24">
    <w:abstractNumId w:val="29"/>
  </w:num>
  <w:num w:numId="25">
    <w:abstractNumId w:val="25"/>
  </w:num>
  <w:num w:numId="26">
    <w:abstractNumId w:val="23"/>
  </w:num>
  <w:num w:numId="27">
    <w:abstractNumId w:val="20"/>
  </w:num>
  <w:num w:numId="28">
    <w:abstractNumId w:val="17"/>
  </w:num>
  <w:num w:numId="29">
    <w:abstractNumId w:val="18"/>
  </w:num>
  <w:num w:numId="30">
    <w:abstractNumId w:val="33"/>
  </w:num>
  <w:num w:numId="31">
    <w:abstractNumId w:val="3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4"/>
  </w:num>
  <w:num w:numId="35">
    <w:abstractNumId w:val="26"/>
  </w:num>
  <w:num w:numId="36">
    <w:abstractNumId w:val="30"/>
  </w:num>
  <w:num w:numId="37">
    <w:abstractNumId w:val="22"/>
  </w:num>
  <w:num w:numId="38">
    <w:abstractNumId w:val="2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7B"/>
    <w:rsid w:val="00000B3B"/>
    <w:rsid w:val="00012485"/>
    <w:rsid w:val="00013A0C"/>
    <w:rsid w:val="00013F19"/>
    <w:rsid w:val="0001677A"/>
    <w:rsid w:val="0001692B"/>
    <w:rsid w:val="00017322"/>
    <w:rsid w:val="000258B1"/>
    <w:rsid w:val="00035E7C"/>
    <w:rsid w:val="0003753C"/>
    <w:rsid w:val="00043A44"/>
    <w:rsid w:val="00054BB1"/>
    <w:rsid w:val="0005625B"/>
    <w:rsid w:val="0005653B"/>
    <w:rsid w:val="00061733"/>
    <w:rsid w:val="000708DB"/>
    <w:rsid w:val="0007336A"/>
    <w:rsid w:val="000775C0"/>
    <w:rsid w:val="0008633A"/>
    <w:rsid w:val="00087DB7"/>
    <w:rsid w:val="000902BA"/>
    <w:rsid w:val="0009043D"/>
    <w:rsid w:val="0009073C"/>
    <w:rsid w:val="00096BEA"/>
    <w:rsid w:val="000976D1"/>
    <w:rsid w:val="000A215C"/>
    <w:rsid w:val="000A5040"/>
    <w:rsid w:val="000A6EDC"/>
    <w:rsid w:val="000C39B8"/>
    <w:rsid w:val="000D0ED6"/>
    <w:rsid w:val="000D25CC"/>
    <w:rsid w:val="000D6EF8"/>
    <w:rsid w:val="000D750D"/>
    <w:rsid w:val="000E05B4"/>
    <w:rsid w:val="000E0F8A"/>
    <w:rsid w:val="000E55F0"/>
    <w:rsid w:val="000E5C76"/>
    <w:rsid w:val="000E660E"/>
    <w:rsid w:val="000E6693"/>
    <w:rsid w:val="000E6C5C"/>
    <w:rsid w:val="000F2868"/>
    <w:rsid w:val="00104357"/>
    <w:rsid w:val="00105BE5"/>
    <w:rsid w:val="001125BF"/>
    <w:rsid w:val="00114798"/>
    <w:rsid w:val="0011704F"/>
    <w:rsid w:val="00120358"/>
    <w:rsid w:val="00124B86"/>
    <w:rsid w:val="0013122F"/>
    <w:rsid w:val="0014478F"/>
    <w:rsid w:val="001520C3"/>
    <w:rsid w:val="00152DD8"/>
    <w:rsid w:val="0016302C"/>
    <w:rsid w:val="0017093A"/>
    <w:rsid w:val="0017753F"/>
    <w:rsid w:val="00177DED"/>
    <w:rsid w:val="001826ED"/>
    <w:rsid w:val="00183D2B"/>
    <w:rsid w:val="001845FF"/>
    <w:rsid w:val="00185102"/>
    <w:rsid w:val="001905E5"/>
    <w:rsid w:val="0019417B"/>
    <w:rsid w:val="00195811"/>
    <w:rsid w:val="00195D6A"/>
    <w:rsid w:val="001A4055"/>
    <w:rsid w:val="001A4A46"/>
    <w:rsid w:val="001B120B"/>
    <w:rsid w:val="001B1732"/>
    <w:rsid w:val="001B61EC"/>
    <w:rsid w:val="001B70F1"/>
    <w:rsid w:val="001C1E63"/>
    <w:rsid w:val="001D03D1"/>
    <w:rsid w:val="001D244E"/>
    <w:rsid w:val="001D2A48"/>
    <w:rsid w:val="001E1A1C"/>
    <w:rsid w:val="001E266A"/>
    <w:rsid w:val="001E4ED1"/>
    <w:rsid w:val="001F13B5"/>
    <w:rsid w:val="001F204A"/>
    <w:rsid w:val="001F32D3"/>
    <w:rsid w:val="002027A0"/>
    <w:rsid w:val="00206DFF"/>
    <w:rsid w:val="00212849"/>
    <w:rsid w:val="00221488"/>
    <w:rsid w:val="002226D2"/>
    <w:rsid w:val="00222933"/>
    <w:rsid w:val="00223589"/>
    <w:rsid w:val="00223A32"/>
    <w:rsid w:val="00223F80"/>
    <w:rsid w:val="00226863"/>
    <w:rsid w:val="0023131F"/>
    <w:rsid w:val="00233980"/>
    <w:rsid w:val="00234F2E"/>
    <w:rsid w:val="002436D5"/>
    <w:rsid w:val="00253A2C"/>
    <w:rsid w:val="00256CEC"/>
    <w:rsid w:val="00261050"/>
    <w:rsid w:val="0026663B"/>
    <w:rsid w:val="00270273"/>
    <w:rsid w:val="00270F67"/>
    <w:rsid w:val="002864B1"/>
    <w:rsid w:val="00287959"/>
    <w:rsid w:val="00287B41"/>
    <w:rsid w:val="00297720"/>
    <w:rsid w:val="002A0E78"/>
    <w:rsid w:val="002A1DF9"/>
    <w:rsid w:val="002A30E1"/>
    <w:rsid w:val="002A3942"/>
    <w:rsid w:val="002B193A"/>
    <w:rsid w:val="002B3AFB"/>
    <w:rsid w:val="002B4537"/>
    <w:rsid w:val="002C0D0D"/>
    <w:rsid w:val="002C1805"/>
    <w:rsid w:val="002C3B9D"/>
    <w:rsid w:val="002D2F0A"/>
    <w:rsid w:val="002D370F"/>
    <w:rsid w:val="002D7A26"/>
    <w:rsid w:val="002E67D1"/>
    <w:rsid w:val="002E7072"/>
    <w:rsid w:val="00303CEA"/>
    <w:rsid w:val="0030507D"/>
    <w:rsid w:val="00311F48"/>
    <w:rsid w:val="00322FBD"/>
    <w:rsid w:val="00323F36"/>
    <w:rsid w:val="0032689D"/>
    <w:rsid w:val="00327E6A"/>
    <w:rsid w:val="003352C9"/>
    <w:rsid w:val="00340785"/>
    <w:rsid w:val="0034693A"/>
    <w:rsid w:val="00350248"/>
    <w:rsid w:val="00351A1C"/>
    <w:rsid w:val="003521A8"/>
    <w:rsid w:val="00360A13"/>
    <w:rsid w:val="003654CB"/>
    <w:rsid w:val="00376C97"/>
    <w:rsid w:val="00384945"/>
    <w:rsid w:val="00386BAD"/>
    <w:rsid w:val="00395DBB"/>
    <w:rsid w:val="00396247"/>
    <w:rsid w:val="003A034A"/>
    <w:rsid w:val="003A05A7"/>
    <w:rsid w:val="003A3D7A"/>
    <w:rsid w:val="003A7354"/>
    <w:rsid w:val="003B59E4"/>
    <w:rsid w:val="003B61E9"/>
    <w:rsid w:val="003B63F8"/>
    <w:rsid w:val="003C2AC2"/>
    <w:rsid w:val="003C336A"/>
    <w:rsid w:val="003C69C8"/>
    <w:rsid w:val="003C7163"/>
    <w:rsid w:val="003D28D4"/>
    <w:rsid w:val="003D2B8F"/>
    <w:rsid w:val="003D6873"/>
    <w:rsid w:val="003E15DC"/>
    <w:rsid w:val="003E2C79"/>
    <w:rsid w:val="003F2AC3"/>
    <w:rsid w:val="003F4361"/>
    <w:rsid w:val="003F7813"/>
    <w:rsid w:val="004036C0"/>
    <w:rsid w:val="00406E27"/>
    <w:rsid w:val="004106FF"/>
    <w:rsid w:val="00410AF8"/>
    <w:rsid w:val="00410ED2"/>
    <w:rsid w:val="00412EE1"/>
    <w:rsid w:val="00417212"/>
    <w:rsid w:val="004212CA"/>
    <w:rsid w:val="004218FA"/>
    <w:rsid w:val="00423539"/>
    <w:rsid w:val="004239BB"/>
    <w:rsid w:val="0042520C"/>
    <w:rsid w:val="00427CCE"/>
    <w:rsid w:val="00427F9B"/>
    <w:rsid w:val="00430754"/>
    <w:rsid w:val="00434141"/>
    <w:rsid w:val="00436699"/>
    <w:rsid w:val="00442446"/>
    <w:rsid w:val="0044571C"/>
    <w:rsid w:val="004458EE"/>
    <w:rsid w:val="00451BDC"/>
    <w:rsid w:val="00453EAE"/>
    <w:rsid w:val="00454D9C"/>
    <w:rsid w:val="00462CC2"/>
    <w:rsid w:val="00462E6D"/>
    <w:rsid w:val="004736CD"/>
    <w:rsid w:val="00475E99"/>
    <w:rsid w:val="00485158"/>
    <w:rsid w:val="00491740"/>
    <w:rsid w:val="00495838"/>
    <w:rsid w:val="00497146"/>
    <w:rsid w:val="004A0F04"/>
    <w:rsid w:val="004A190F"/>
    <w:rsid w:val="004A404D"/>
    <w:rsid w:val="004A4E51"/>
    <w:rsid w:val="004B18F9"/>
    <w:rsid w:val="004B42BD"/>
    <w:rsid w:val="004C0C98"/>
    <w:rsid w:val="004C2A00"/>
    <w:rsid w:val="004C5BF8"/>
    <w:rsid w:val="004C5F0F"/>
    <w:rsid w:val="004D0409"/>
    <w:rsid w:val="004D0657"/>
    <w:rsid w:val="004D2548"/>
    <w:rsid w:val="004D2F8C"/>
    <w:rsid w:val="004D417B"/>
    <w:rsid w:val="004D5337"/>
    <w:rsid w:val="004D70DB"/>
    <w:rsid w:val="004E5F32"/>
    <w:rsid w:val="004E63C1"/>
    <w:rsid w:val="004E6D30"/>
    <w:rsid w:val="004F3050"/>
    <w:rsid w:val="004F78A0"/>
    <w:rsid w:val="00502D6C"/>
    <w:rsid w:val="00522941"/>
    <w:rsid w:val="00526ADB"/>
    <w:rsid w:val="005272A1"/>
    <w:rsid w:val="00531C08"/>
    <w:rsid w:val="00531EBE"/>
    <w:rsid w:val="005355FE"/>
    <w:rsid w:val="00537879"/>
    <w:rsid w:val="00537E5E"/>
    <w:rsid w:val="00543AB1"/>
    <w:rsid w:val="00543E1F"/>
    <w:rsid w:val="00544E5F"/>
    <w:rsid w:val="00545CF1"/>
    <w:rsid w:val="005469C8"/>
    <w:rsid w:val="00551525"/>
    <w:rsid w:val="005555A5"/>
    <w:rsid w:val="00560063"/>
    <w:rsid w:val="00565394"/>
    <w:rsid w:val="0058340D"/>
    <w:rsid w:val="00594C6D"/>
    <w:rsid w:val="005962D5"/>
    <w:rsid w:val="005B2272"/>
    <w:rsid w:val="005C3887"/>
    <w:rsid w:val="005C7260"/>
    <w:rsid w:val="005D3E17"/>
    <w:rsid w:val="005D4AC6"/>
    <w:rsid w:val="005D7202"/>
    <w:rsid w:val="005D7460"/>
    <w:rsid w:val="005E11E1"/>
    <w:rsid w:val="005E1F15"/>
    <w:rsid w:val="005E24D5"/>
    <w:rsid w:val="005E24E3"/>
    <w:rsid w:val="005E3D39"/>
    <w:rsid w:val="005F41D5"/>
    <w:rsid w:val="005F4D04"/>
    <w:rsid w:val="006016A8"/>
    <w:rsid w:val="00604A9A"/>
    <w:rsid w:val="00605685"/>
    <w:rsid w:val="00605700"/>
    <w:rsid w:val="00610F28"/>
    <w:rsid w:val="006127EB"/>
    <w:rsid w:val="00612FC4"/>
    <w:rsid w:val="00614FDF"/>
    <w:rsid w:val="00620D38"/>
    <w:rsid w:val="00623E53"/>
    <w:rsid w:val="006309CE"/>
    <w:rsid w:val="00631EEF"/>
    <w:rsid w:val="00633566"/>
    <w:rsid w:val="00640CB7"/>
    <w:rsid w:val="00641224"/>
    <w:rsid w:val="00655256"/>
    <w:rsid w:val="00655C89"/>
    <w:rsid w:val="00660323"/>
    <w:rsid w:val="006625E6"/>
    <w:rsid w:val="00666C43"/>
    <w:rsid w:val="00670F48"/>
    <w:rsid w:val="00671334"/>
    <w:rsid w:val="00681635"/>
    <w:rsid w:val="0068501B"/>
    <w:rsid w:val="00685469"/>
    <w:rsid w:val="00686E4A"/>
    <w:rsid w:val="006906A3"/>
    <w:rsid w:val="00691368"/>
    <w:rsid w:val="00691635"/>
    <w:rsid w:val="0069214E"/>
    <w:rsid w:val="0069772D"/>
    <w:rsid w:val="006A1C02"/>
    <w:rsid w:val="006A3811"/>
    <w:rsid w:val="006B0907"/>
    <w:rsid w:val="006B1B97"/>
    <w:rsid w:val="006B3B97"/>
    <w:rsid w:val="006B3E21"/>
    <w:rsid w:val="006B3FF3"/>
    <w:rsid w:val="006B5F1F"/>
    <w:rsid w:val="006B744E"/>
    <w:rsid w:val="006C0341"/>
    <w:rsid w:val="006C3848"/>
    <w:rsid w:val="006C3861"/>
    <w:rsid w:val="006C3973"/>
    <w:rsid w:val="006C43EA"/>
    <w:rsid w:val="006C7C43"/>
    <w:rsid w:val="006D0834"/>
    <w:rsid w:val="006D0A3D"/>
    <w:rsid w:val="006D740C"/>
    <w:rsid w:val="006E047D"/>
    <w:rsid w:val="006E5554"/>
    <w:rsid w:val="006F1D51"/>
    <w:rsid w:val="006F238B"/>
    <w:rsid w:val="006F39E5"/>
    <w:rsid w:val="006F4F0F"/>
    <w:rsid w:val="00701513"/>
    <w:rsid w:val="0070458A"/>
    <w:rsid w:val="00704E22"/>
    <w:rsid w:val="00705322"/>
    <w:rsid w:val="0070638D"/>
    <w:rsid w:val="00706ED6"/>
    <w:rsid w:val="00711005"/>
    <w:rsid w:val="00712A6D"/>
    <w:rsid w:val="00720D53"/>
    <w:rsid w:val="00727F1B"/>
    <w:rsid w:val="0073313A"/>
    <w:rsid w:val="00734D30"/>
    <w:rsid w:val="00735FC4"/>
    <w:rsid w:val="007368EB"/>
    <w:rsid w:val="00744AD3"/>
    <w:rsid w:val="00753C7F"/>
    <w:rsid w:val="00754811"/>
    <w:rsid w:val="0075550F"/>
    <w:rsid w:val="00756AFF"/>
    <w:rsid w:val="007575AE"/>
    <w:rsid w:val="00760CA2"/>
    <w:rsid w:val="0076103D"/>
    <w:rsid w:val="00763097"/>
    <w:rsid w:val="007632EB"/>
    <w:rsid w:val="00772C21"/>
    <w:rsid w:val="007764B7"/>
    <w:rsid w:val="00781162"/>
    <w:rsid w:val="0078659E"/>
    <w:rsid w:val="007906D3"/>
    <w:rsid w:val="007A2967"/>
    <w:rsid w:val="007A50B0"/>
    <w:rsid w:val="007C358B"/>
    <w:rsid w:val="007C58B6"/>
    <w:rsid w:val="007E0EF6"/>
    <w:rsid w:val="007F5523"/>
    <w:rsid w:val="007F5EEB"/>
    <w:rsid w:val="00800618"/>
    <w:rsid w:val="008008BA"/>
    <w:rsid w:val="00801FD8"/>
    <w:rsid w:val="00803B57"/>
    <w:rsid w:val="00804DF0"/>
    <w:rsid w:val="00813C9F"/>
    <w:rsid w:val="008154B1"/>
    <w:rsid w:val="00817B9D"/>
    <w:rsid w:val="0082218D"/>
    <w:rsid w:val="00827814"/>
    <w:rsid w:val="00833938"/>
    <w:rsid w:val="00836B27"/>
    <w:rsid w:val="00836BA0"/>
    <w:rsid w:val="00836C05"/>
    <w:rsid w:val="00845A79"/>
    <w:rsid w:val="008518B5"/>
    <w:rsid w:val="00851B3C"/>
    <w:rsid w:val="00851B65"/>
    <w:rsid w:val="00855213"/>
    <w:rsid w:val="00857445"/>
    <w:rsid w:val="0086109C"/>
    <w:rsid w:val="00863C1C"/>
    <w:rsid w:val="00870C01"/>
    <w:rsid w:val="00870EA6"/>
    <w:rsid w:val="00875438"/>
    <w:rsid w:val="00882B45"/>
    <w:rsid w:val="008901BA"/>
    <w:rsid w:val="00891171"/>
    <w:rsid w:val="00894722"/>
    <w:rsid w:val="00895878"/>
    <w:rsid w:val="008A237E"/>
    <w:rsid w:val="008A24D0"/>
    <w:rsid w:val="008A3E1C"/>
    <w:rsid w:val="008A794D"/>
    <w:rsid w:val="008B097F"/>
    <w:rsid w:val="008B1E08"/>
    <w:rsid w:val="008B23DA"/>
    <w:rsid w:val="008B5874"/>
    <w:rsid w:val="008B6300"/>
    <w:rsid w:val="008B681E"/>
    <w:rsid w:val="008C3F5F"/>
    <w:rsid w:val="008C4680"/>
    <w:rsid w:val="008C6E2B"/>
    <w:rsid w:val="008D1AD4"/>
    <w:rsid w:val="008D30CF"/>
    <w:rsid w:val="008E17CB"/>
    <w:rsid w:val="008E2816"/>
    <w:rsid w:val="008E37BB"/>
    <w:rsid w:val="008E6F5A"/>
    <w:rsid w:val="008F1ECD"/>
    <w:rsid w:val="008F2D1A"/>
    <w:rsid w:val="008F358E"/>
    <w:rsid w:val="008F7844"/>
    <w:rsid w:val="00900264"/>
    <w:rsid w:val="00903517"/>
    <w:rsid w:val="0090362D"/>
    <w:rsid w:val="009055CC"/>
    <w:rsid w:val="00911F93"/>
    <w:rsid w:val="0091482D"/>
    <w:rsid w:val="00914B4D"/>
    <w:rsid w:val="00917559"/>
    <w:rsid w:val="0092331C"/>
    <w:rsid w:val="00932E28"/>
    <w:rsid w:val="009346F0"/>
    <w:rsid w:val="009379CF"/>
    <w:rsid w:val="00937DD9"/>
    <w:rsid w:val="00942DCE"/>
    <w:rsid w:val="009439C7"/>
    <w:rsid w:val="00944C4E"/>
    <w:rsid w:val="00944D0C"/>
    <w:rsid w:val="00951A1C"/>
    <w:rsid w:val="00951DED"/>
    <w:rsid w:val="009524C2"/>
    <w:rsid w:val="0095267E"/>
    <w:rsid w:val="00960EC4"/>
    <w:rsid w:val="00974234"/>
    <w:rsid w:val="009802BD"/>
    <w:rsid w:val="00980CB3"/>
    <w:rsid w:val="00980F0A"/>
    <w:rsid w:val="00987B3A"/>
    <w:rsid w:val="009940E0"/>
    <w:rsid w:val="009944C6"/>
    <w:rsid w:val="009962A0"/>
    <w:rsid w:val="0099657E"/>
    <w:rsid w:val="009968F0"/>
    <w:rsid w:val="009A1E2C"/>
    <w:rsid w:val="009A7F64"/>
    <w:rsid w:val="009B1515"/>
    <w:rsid w:val="009B7ED3"/>
    <w:rsid w:val="009C5070"/>
    <w:rsid w:val="009C625F"/>
    <w:rsid w:val="009D46DE"/>
    <w:rsid w:val="009E19C5"/>
    <w:rsid w:val="009F02D7"/>
    <w:rsid w:val="009F3B64"/>
    <w:rsid w:val="009F7C92"/>
    <w:rsid w:val="00A02D19"/>
    <w:rsid w:val="00A066A5"/>
    <w:rsid w:val="00A07996"/>
    <w:rsid w:val="00A200D5"/>
    <w:rsid w:val="00A22700"/>
    <w:rsid w:val="00A239E1"/>
    <w:rsid w:val="00A24354"/>
    <w:rsid w:val="00A26E34"/>
    <w:rsid w:val="00A31224"/>
    <w:rsid w:val="00A31A9E"/>
    <w:rsid w:val="00A35608"/>
    <w:rsid w:val="00A44DFD"/>
    <w:rsid w:val="00A50424"/>
    <w:rsid w:val="00A51472"/>
    <w:rsid w:val="00A571E1"/>
    <w:rsid w:val="00A5730E"/>
    <w:rsid w:val="00A606DE"/>
    <w:rsid w:val="00A6176E"/>
    <w:rsid w:val="00A64070"/>
    <w:rsid w:val="00A64344"/>
    <w:rsid w:val="00A669A8"/>
    <w:rsid w:val="00A714AB"/>
    <w:rsid w:val="00A73ECE"/>
    <w:rsid w:val="00A7403F"/>
    <w:rsid w:val="00A840F1"/>
    <w:rsid w:val="00A85636"/>
    <w:rsid w:val="00A90A6B"/>
    <w:rsid w:val="00A95F85"/>
    <w:rsid w:val="00A96BF3"/>
    <w:rsid w:val="00AA1614"/>
    <w:rsid w:val="00AA7B09"/>
    <w:rsid w:val="00AB39E1"/>
    <w:rsid w:val="00AB5C55"/>
    <w:rsid w:val="00AB60B0"/>
    <w:rsid w:val="00AC6A1A"/>
    <w:rsid w:val="00AD0DD2"/>
    <w:rsid w:val="00AD506B"/>
    <w:rsid w:val="00AE068F"/>
    <w:rsid w:val="00AE3EC0"/>
    <w:rsid w:val="00AE5166"/>
    <w:rsid w:val="00AE6A1E"/>
    <w:rsid w:val="00AF5246"/>
    <w:rsid w:val="00B21D88"/>
    <w:rsid w:val="00B30BC5"/>
    <w:rsid w:val="00B32030"/>
    <w:rsid w:val="00B35647"/>
    <w:rsid w:val="00B47955"/>
    <w:rsid w:val="00B52D20"/>
    <w:rsid w:val="00B5353E"/>
    <w:rsid w:val="00B56CE4"/>
    <w:rsid w:val="00B57D1B"/>
    <w:rsid w:val="00B63E01"/>
    <w:rsid w:val="00B65816"/>
    <w:rsid w:val="00B70D3E"/>
    <w:rsid w:val="00B75F2F"/>
    <w:rsid w:val="00B77367"/>
    <w:rsid w:val="00B80AF2"/>
    <w:rsid w:val="00B80B12"/>
    <w:rsid w:val="00B8593F"/>
    <w:rsid w:val="00B90E92"/>
    <w:rsid w:val="00B935AA"/>
    <w:rsid w:val="00B96200"/>
    <w:rsid w:val="00BA521C"/>
    <w:rsid w:val="00BB5F9E"/>
    <w:rsid w:val="00BB7797"/>
    <w:rsid w:val="00BC2BA6"/>
    <w:rsid w:val="00BC4763"/>
    <w:rsid w:val="00BE3EC3"/>
    <w:rsid w:val="00BE65D1"/>
    <w:rsid w:val="00BF10E8"/>
    <w:rsid w:val="00BF1530"/>
    <w:rsid w:val="00BF4518"/>
    <w:rsid w:val="00C031BC"/>
    <w:rsid w:val="00C04153"/>
    <w:rsid w:val="00C04F26"/>
    <w:rsid w:val="00C05224"/>
    <w:rsid w:val="00C05F4B"/>
    <w:rsid w:val="00C101AC"/>
    <w:rsid w:val="00C158CD"/>
    <w:rsid w:val="00C20477"/>
    <w:rsid w:val="00C22F3B"/>
    <w:rsid w:val="00C36694"/>
    <w:rsid w:val="00C40905"/>
    <w:rsid w:val="00C41F9C"/>
    <w:rsid w:val="00C457D7"/>
    <w:rsid w:val="00C57F7D"/>
    <w:rsid w:val="00C65203"/>
    <w:rsid w:val="00C8026A"/>
    <w:rsid w:val="00C80C35"/>
    <w:rsid w:val="00C86C86"/>
    <w:rsid w:val="00C878D2"/>
    <w:rsid w:val="00CA3B69"/>
    <w:rsid w:val="00CA4917"/>
    <w:rsid w:val="00CA6653"/>
    <w:rsid w:val="00CB0819"/>
    <w:rsid w:val="00CB1E4C"/>
    <w:rsid w:val="00CB4CAC"/>
    <w:rsid w:val="00CC06D3"/>
    <w:rsid w:val="00CC5A31"/>
    <w:rsid w:val="00CC5F3E"/>
    <w:rsid w:val="00CD05D2"/>
    <w:rsid w:val="00CD21B2"/>
    <w:rsid w:val="00CD54E5"/>
    <w:rsid w:val="00CD6D5E"/>
    <w:rsid w:val="00D04B12"/>
    <w:rsid w:val="00D05296"/>
    <w:rsid w:val="00D12FDA"/>
    <w:rsid w:val="00D152B5"/>
    <w:rsid w:val="00D17434"/>
    <w:rsid w:val="00D20166"/>
    <w:rsid w:val="00D213FD"/>
    <w:rsid w:val="00D23013"/>
    <w:rsid w:val="00D32B34"/>
    <w:rsid w:val="00D33B2A"/>
    <w:rsid w:val="00D33DEF"/>
    <w:rsid w:val="00D40F36"/>
    <w:rsid w:val="00D4323C"/>
    <w:rsid w:val="00D46ACF"/>
    <w:rsid w:val="00D5192E"/>
    <w:rsid w:val="00D51E99"/>
    <w:rsid w:val="00D52C08"/>
    <w:rsid w:val="00D54C7D"/>
    <w:rsid w:val="00D6719E"/>
    <w:rsid w:val="00D674E8"/>
    <w:rsid w:val="00D729CD"/>
    <w:rsid w:val="00D74161"/>
    <w:rsid w:val="00D75AD3"/>
    <w:rsid w:val="00D84BE5"/>
    <w:rsid w:val="00D85151"/>
    <w:rsid w:val="00D85F84"/>
    <w:rsid w:val="00D90E0C"/>
    <w:rsid w:val="00D94E2D"/>
    <w:rsid w:val="00DA083F"/>
    <w:rsid w:val="00DB1190"/>
    <w:rsid w:val="00DB3301"/>
    <w:rsid w:val="00DB5A11"/>
    <w:rsid w:val="00DC1299"/>
    <w:rsid w:val="00DC597A"/>
    <w:rsid w:val="00DC5E2A"/>
    <w:rsid w:val="00DC7072"/>
    <w:rsid w:val="00DD2511"/>
    <w:rsid w:val="00DD3E49"/>
    <w:rsid w:val="00DD4E75"/>
    <w:rsid w:val="00DD546C"/>
    <w:rsid w:val="00DE2BBC"/>
    <w:rsid w:val="00DE2F8D"/>
    <w:rsid w:val="00DE3276"/>
    <w:rsid w:val="00DE629F"/>
    <w:rsid w:val="00DE6437"/>
    <w:rsid w:val="00DE6941"/>
    <w:rsid w:val="00DF1610"/>
    <w:rsid w:val="00DF2050"/>
    <w:rsid w:val="00E00656"/>
    <w:rsid w:val="00E012F8"/>
    <w:rsid w:val="00E01B21"/>
    <w:rsid w:val="00E01B32"/>
    <w:rsid w:val="00E03648"/>
    <w:rsid w:val="00E12C9E"/>
    <w:rsid w:val="00E14E34"/>
    <w:rsid w:val="00E153C2"/>
    <w:rsid w:val="00E162AC"/>
    <w:rsid w:val="00E236C2"/>
    <w:rsid w:val="00E34C94"/>
    <w:rsid w:val="00E3522B"/>
    <w:rsid w:val="00E372FC"/>
    <w:rsid w:val="00E4069E"/>
    <w:rsid w:val="00E41B36"/>
    <w:rsid w:val="00E439B9"/>
    <w:rsid w:val="00E43DAF"/>
    <w:rsid w:val="00E460B1"/>
    <w:rsid w:val="00E52826"/>
    <w:rsid w:val="00E539E1"/>
    <w:rsid w:val="00E54A77"/>
    <w:rsid w:val="00E57F47"/>
    <w:rsid w:val="00E61494"/>
    <w:rsid w:val="00E67C97"/>
    <w:rsid w:val="00E704E9"/>
    <w:rsid w:val="00E75FC1"/>
    <w:rsid w:val="00E77128"/>
    <w:rsid w:val="00E84101"/>
    <w:rsid w:val="00E93ACB"/>
    <w:rsid w:val="00E966E2"/>
    <w:rsid w:val="00E977FD"/>
    <w:rsid w:val="00E97CF6"/>
    <w:rsid w:val="00EA029E"/>
    <w:rsid w:val="00EA1EDF"/>
    <w:rsid w:val="00EA30F0"/>
    <w:rsid w:val="00EB075B"/>
    <w:rsid w:val="00EC04D2"/>
    <w:rsid w:val="00EC0993"/>
    <w:rsid w:val="00EC3A72"/>
    <w:rsid w:val="00EC43CF"/>
    <w:rsid w:val="00EC46FA"/>
    <w:rsid w:val="00EE23E3"/>
    <w:rsid w:val="00EE4E28"/>
    <w:rsid w:val="00EE6015"/>
    <w:rsid w:val="00EE7B4F"/>
    <w:rsid w:val="00EF27E0"/>
    <w:rsid w:val="00EF542B"/>
    <w:rsid w:val="00F02926"/>
    <w:rsid w:val="00F03FF2"/>
    <w:rsid w:val="00F05454"/>
    <w:rsid w:val="00F05DB0"/>
    <w:rsid w:val="00F10514"/>
    <w:rsid w:val="00F13F94"/>
    <w:rsid w:val="00F142F2"/>
    <w:rsid w:val="00F211F2"/>
    <w:rsid w:val="00F228C3"/>
    <w:rsid w:val="00F234DF"/>
    <w:rsid w:val="00F23BF6"/>
    <w:rsid w:val="00F2623E"/>
    <w:rsid w:val="00F32EC6"/>
    <w:rsid w:val="00F331E1"/>
    <w:rsid w:val="00F336F7"/>
    <w:rsid w:val="00F34D33"/>
    <w:rsid w:val="00F352A1"/>
    <w:rsid w:val="00F363FD"/>
    <w:rsid w:val="00F42947"/>
    <w:rsid w:val="00F4323E"/>
    <w:rsid w:val="00F43C93"/>
    <w:rsid w:val="00F44547"/>
    <w:rsid w:val="00F50D36"/>
    <w:rsid w:val="00F54E6C"/>
    <w:rsid w:val="00F55922"/>
    <w:rsid w:val="00F575BA"/>
    <w:rsid w:val="00F57D9D"/>
    <w:rsid w:val="00F61F1C"/>
    <w:rsid w:val="00F74B84"/>
    <w:rsid w:val="00F81FC1"/>
    <w:rsid w:val="00F866F9"/>
    <w:rsid w:val="00F91AD4"/>
    <w:rsid w:val="00F96EB6"/>
    <w:rsid w:val="00FA037C"/>
    <w:rsid w:val="00FA2D56"/>
    <w:rsid w:val="00FA4173"/>
    <w:rsid w:val="00FA542D"/>
    <w:rsid w:val="00FC01C4"/>
    <w:rsid w:val="00FC17A0"/>
    <w:rsid w:val="00FC3042"/>
    <w:rsid w:val="00FC4B33"/>
    <w:rsid w:val="00FD0535"/>
    <w:rsid w:val="00FD4076"/>
    <w:rsid w:val="00FD4304"/>
    <w:rsid w:val="00FD44D5"/>
    <w:rsid w:val="00FD5814"/>
    <w:rsid w:val="00FE1C28"/>
    <w:rsid w:val="00FF1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EF8"/>
    <w:rPr>
      <w:rFonts w:ascii="Verdana" w:hAnsi="Verdana"/>
      <w:sz w:val="22"/>
      <w:szCs w:val="22"/>
    </w:rPr>
  </w:style>
  <w:style w:type="paragraph" w:styleId="Heading1">
    <w:name w:val="heading 1"/>
    <w:basedOn w:val="Normal"/>
    <w:next w:val="Normal"/>
    <w:link w:val="Heading1Char"/>
    <w:uiPriority w:val="9"/>
    <w:qFormat/>
    <w:rsid w:val="00A31A9E"/>
    <w:pPr>
      <w:keepNext/>
      <w:keepLines/>
      <w:spacing w:before="240" w:after="240"/>
      <w:outlineLvl w:val="0"/>
    </w:pPr>
    <w:rPr>
      <w:rFonts w:asciiTheme="majorHAnsi" w:eastAsiaTheme="majorEastAsia" w:hAnsiTheme="majorHAnsi" w:cstheme="majorBidi"/>
      <w:color w:val="2E74B5" w:themeColor="accent1" w:themeShade="BF"/>
      <w:sz w:val="32"/>
      <w:szCs w:val="3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B63"/>
    <w:pPr>
      <w:tabs>
        <w:tab w:val="center" w:pos="4513"/>
        <w:tab w:val="right" w:pos="9026"/>
      </w:tabs>
    </w:pPr>
  </w:style>
  <w:style w:type="character" w:customStyle="1" w:styleId="HeaderChar">
    <w:name w:val="Header Char"/>
    <w:basedOn w:val="DefaultParagraphFont"/>
    <w:link w:val="Header"/>
    <w:uiPriority w:val="99"/>
    <w:rsid w:val="00ED4B63"/>
  </w:style>
  <w:style w:type="paragraph" w:styleId="Footer">
    <w:name w:val="footer"/>
    <w:basedOn w:val="Normal"/>
    <w:link w:val="FooterChar"/>
    <w:uiPriority w:val="99"/>
    <w:unhideWhenUsed/>
    <w:rsid w:val="00ED4B63"/>
    <w:pPr>
      <w:tabs>
        <w:tab w:val="center" w:pos="4513"/>
        <w:tab w:val="right" w:pos="9026"/>
      </w:tabs>
    </w:pPr>
  </w:style>
  <w:style w:type="character" w:customStyle="1" w:styleId="FooterChar">
    <w:name w:val="Footer Char"/>
    <w:basedOn w:val="DefaultParagraphFont"/>
    <w:link w:val="Footer"/>
    <w:uiPriority w:val="99"/>
    <w:rsid w:val="00ED4B63"/>
  </w:style>
  <w:style w:type="character" w:customStyle="1" w:styleId="Heading1Char">
    <w:name w:val="Heading 1 Char"/>
    <w:basedOn w:val="DefaultParagraphFont"/>
    <w:link w:val="Heading1"/>
    <w:uiPriority w:val="9"/>
    <w:rsid w:val="00A31A9E"/>
    <w:rPr>
      <w:rFonts w:asciiTheme="majorHAnsi" w:eastAsiaTheme="majorEastAsia" w:hAnsiTheme="majorHAnsi" w:cstheme="majorBidi"/>
      <w:color w:val="2E74B5" w:themeColor="accent1" w:themeShade="BF"/>
      <w:sz w:val="32"/>
      <w:szCs w:val="32"/>
      <w:lang w:val="pt-BR"/>
    </w:rPr>
  </w:style>
  <w:style w:type="paragraph" w:styleId="TOCHeading">
    <w:name w:val="TOC Heading"/>
    <w:basedOn w:val="Heading1"/>
    <w:next w:val="Normal"/>
    <w:uiPriority w:val="39"/>
    <w:unhideWhenUsed/>
    <w:qFormat/>
    <w:rsid w:val="008615E5"/>
    <w:pPr>
      <w:spacing w:line="259" w:lineRule="auto"/>
      <w:outlineLvl w:val="9"/>
    </w:pPr>
    <w:rPr>
      <w:rFonts w:ascii="Arial" w:hAnsi="Arial"/>
      <w:b/>
      <w:color w:val="800080"/>
      <w:sz w:val="22"/>
    </w:rPr>
  </w:style>
  <w:style w:type="paragraph" w:styleId="BalloonText">
    <w:name w:val="Balloon Text"/>
    <w:basedOn w:val="Normal"/>
    <w:link w:val="BalloonTextChar"/>
    <w:uiPriority w:val="99"/>
    <w:semiHidden/>
    <w:unhideWhenUsed/>
    <w:rsid w:val="00257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D9C"/>
    <w:rPr>
      <w:rFonts w:ascii="Segoe UI" w:hAnsi="Segoe UI" w:cs="Segoe UI"/>
      <w:sz w:val="18"/>
      <w:szCs w:val="18"/>
    </w:rPr>
  </w:style>
  <w:style w:type="paragraph" w:customStyle="1" w:styleId="T1TableStyle">
    <w:name w:val="T1TableStyle"/>
    <w:rPr>
      <w:rFonts w:ascii="Times New Roman" w:eastAsia="Times New Roman" w:hAnsi="Times New Roman"/>
      <w:sz w:val="20"/>
      <w:szCs w:val="20"/>
    </w:rPr>
  </w:style>
  <w:style w:type="paragraph" w:customStyle="1" w:styleId="Normal0">
    <w:name w:val="Normal_0"/>
    <w:qFormat/>
    <w:rsid w:val="004C79D8"/>
    <w:pPr>
      <w:spacing w:line="256" w:lineRule="auto"/>
    </w:pPr>
    <w:rPr>
      <w:sz w:val="20"/>
      <w:szCs w:val="20"/>
    </w:rPr>
  </w:style>
  <w:style w:type="paragraph" w:styleId="TOC1">
    <w:name w:val="toc 1"/>
    <w:basedOn w:val="Normal"/>
    <w:next w:val="Normal"/>
    <w:autoRedefine/>
    <w:uiPriority w:val="39"/>
    <w:rsid w:val="00805BCE"/>
  </w:style>
  <w:style w:type="character" w:styleId="Hyperlink">
    <w:name w:val="Hyperlink"/>
    <w:basedOn w:val="DefaultParagraphFont"/>
    <w:uiPriority w:val="99"/>
    <w:rsid w:val="00EF7B96"/>
    <w:rPr>
      <w:color w:val="0000FF"/>
      <w:u w:val="single"/>
    </w:rPr>
  </w:style>
  <w:style w:type="paragraph" w:customStyle="1" w:styleId="Style1">
    <w:name w:val="Style1"/>
    <w:basedOn w:val="ListParagraph"/>
    <w:link w:val="Style1Char"/>
    <w:qFormat/>
    <w:rsid w:val="00193E9D"/>
    <w:pPr>
      <w:numPr>
        <w:numId w:val="0"/>
      </w:numPr>
      <w:ind w:left="4645" w:hanging="360"/>
      <w:jc w:val="both"/>
    </w:pPr>
    <w:rPr>
      <w:rFonts w:ascii="Arial" w:hAnsi="Arial"/>
      <w:b/>
      <w:szCs w:val="20"/>
      <w:lang w:val="en-US"/>
    </w:rPr>
  </w:style>
  <w:style w:type="paragraph" w:styleId="ListParagraph">
    <w:name w:val="List Paragraph"/>
    <w:basedOn w:val="Normal00"/>
    <w:link w:val="ListParagraphChar"/>
    <w:uiPriority w:val="34"/>
    <w:qFormat/>
    <w:rsid w:val="00747620"/>
    <w:pPr>
      <w:numPr>
        <w:numId w:val="1"/>
      </w:numPr>
      <w:spacing w:line="240" w:lineRule="auto"/>
      <w:ind w:left="357" w:hanging="357"/>
      <w:contextualSpacing/>
    </w:pPr>
    <w:rPr>
      <w:rFonts w:ascii="Verdana" w:eastAsia="Times New Roman" w:hAnsi="Verdana" w:cs="Arial"/>
      <w:szCs w:val="22"/>
      <w:lang w:val="en-GB" w:eastAsia="en-GB"/>
    </w:rPr>
  </w:style>
  <w:style w:type="paragraph" w:customStyle="1" w:styleId="Normal00">
    <w:name w:val="Normal_0_0"/>
    <w:qFormat/>
    <w:rsid w:val="00BA7DA1"/>
    <w:pPr>
      <w:spacing w:line="256" w:lineRule="auto"/>
    </w:pPr>
    <w:rPr>
      <w:sz w:val="20"/>
      <w:szCs w:val="20"/>
    </w:rPr>
  </w:style>
  <w:style w:type="character" w:customStyle="1" w:styleId="Style1Char">
    <w:name w:val="Style1 Char"/>
    <w:link w:val="Style1"/>
    <w:rsid w:val="00193E9D"/>
    <w:rPr>
      <w:rFonts w:ascii="Arial" w:eastAsia="Times New Roman" w:hAnsi="Arial" w:cs="Arial"/>
      <w:b/>
      <w:sz w:val="20"/>
      <w:szCs w:val="20"/>
      <w:lang w:eastAsia="en-GB"/>
    </w:rPr>
  </w:style>
  <w:style w:type="paragraph" w:customStyle="1" w:styleId="Normal000">
    <w:name w:val="Normal_0_0_0"/>
    <w:basedOn w:val="Normal00"/>
    <w:next w:val="Normal00"/>
    <w:qFormat/>
    <w:rsid w:val="002D236E"/>
    <w:pPr>
      <w:spacing w:line="240" w:lineRule="auto"/>
      <w:jc w:val="both"/>
    </w:pPr>
    <w:rPr>
      <w:rFonts w:ascii="Verdana" w:hAnsi="Verdana"/>
      <w:sz w:val="22"/>
      <w:szCs w:val="24"/>
    </w:rPr>
  </w:style>
  <w:style w:type="character" w:styleId="Strong">
    <w:name w:val="Strong"/>
    <w:qFormat/>
    <w:rsid w:val="002D236E"/>
    <w:rPr>
      <w:rFonts w:ascii="Arial" w:eastAsiaTheme="minorHAnsi" w:hAnsi="Arial" w:cstheme="minorBidi"/>
      <w:b/>
      <w:bCs/>
    </w:rPr>
  </w:style>
  <w:style w:type="paragraph" w:customStyle="1" w:styleId="Pa12">
    <w:name w:val="Pa12"/>
    <w:basedOn w:val="Default"/>
    <w:next w:val="Default"/>
    <w:uiPriority w:val="99"/>
    <w:rsid w:val="004B73EC"/>
    <w:pPr>
      <w:spacing w:line="231" w:lineRule="atLeast"/>
    </w:pPr>
    <w:rPr>
      <w:rFonts w:cstheme="minorBidi"/>
      <w:color w:val="auto"/>
    </w:rPr>
  </w:style>
  <w:style w:type="paragraph" w:customStyle="1" w:styleId="Default">
    <w:name w:val="Default"/>
    <w:rsid w:val="004B73EC"/>
    <w:pPr>
      <w:autoSpaceDE w:val="0"/>
      <w:autoSpaceDN w:val="0"/>
      <w:adjustRightInd w:val="0"/>
    </w:pPr>
    <w:rPr>
      <w:rFonts w:ascii="FS Lola" w:hAnsi="FS Lola" w:cs="FS Lola"/>
      <w:color w:val="000000"/>
      <w:sz w:val="20"/>
      <w:szCs w:val="20"/>
    </w:rPr>
  </w:style>
  <w:style w:type="paragraph" w:customStyle="1" w:styleId="Pa28">
    <w:name w:val="Pa28"/>
    <w:basedOn w:val="Default"/>
    <w:next w:val="Default"/>
    <w:uiPriority w:val="99"/>
    <w:rsid w:val="004B73EC"/>
    <w:pPr>
      <w:spacing w:line="231" w:lineRule="atLeast"/>
    </w:pPr>
    <w:rPr>
      <w:rFonts w:cstheme="minorBidi"/>
      <w:color w:val="auto"/>
    </w:rPr>
  </w:style>
  <w:style w:type="table" w:styleId="TableGrid">
    <w:name w:val="Table Grid"/>
    <w:basedOn w:val="TableNormal"/>
    <w:uiPriority w:val="39"/>
    <w:rsid w:val="00D110C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6F4F0F"/>
    <w:pPr>
      <w:suppressAutoHyphens/>
    </w:pPr>
    <w:rPr>
      <w:rFonts w:ascii="Times New Roman" w:eastAsia="Times New Roman" w:hAnsi="Times New Roman" w:cs="Times New Roman"/>
      <w:lang w:val="en-GB" w:eastAsia="ar-SA"/>
    </w:rPr>
  </w:style>
  <w:style w:type="paragraph" w:styleId="NoSpacing">
    <w:name w:val="No Spacing"/>
    <w:basedOn w:val="Normal0"/>
    <w:next w:val="Normal0"/>
    <w:uiPriority w:val="1"/>
    <w:qFormat/>
    <w:rsid w:val="00980F0A"/>
    <w:pPr>
      <w:spacing w:line="240" w:lineRule="auto"/>
    </w:pPr>
    <w:rPr>
      <w:rFonts w:ascii="Verdana" w:eastAsia="Calibri" w:hAnsi="Verdana"/>
      <w:sz w:val="16"/>
      <w:szCs w:val="22"/>
    </w:rPr>
  </w:style>
  <w:style w:type="character" w:styleId="FootnoteReference">
    <w:name w:val="footnote reference"/>
    <w:rsid w:val="00360A13"/>
    <w:rPr>
      <w:vertAlign w:val="superscript"/>
    </w:rPr>
  </w:style>
  <w:style w:type="paragraph" w:styleId="FootnoteText">
    <w:name w:val="footnote text"/>
    <w:basedOn w:val="Normal"/>
    <w:link w:val="FootnoteTextChar"/>
    <w:rsid w:val="00360A13"/>
    <w:pPr>
      <w:suppressAutoHyphens/>
    </w:pPr>
    <w:rPr>
      <w:rFonts w:ascii="Arial" w:eastAsia="Times New Roman" w:hAnsi="Arial" w:cs="Arial"/>
      <w:sz w:val="20"/>
      <w:szCs w:val="20"/>
      <w:lang w:val="en-GB" w:eastAsia="ar-SA"/>
    </w:rPr>
  </w:style>
  <w:style w:type="character" w:customStyle="1" w:styleId="FootnoteTextChar">
    <w:name w:val="Footnote Text Char"/>
    <w:basedOn w:val="DefaultParagraphFont"/>
    <w:link w:val="FootnoteText"/>
    <w:rsid w:val="00360A13"/>
    <w:rPr>
      <w:rFonts w:ascii="Arial" w:eastAsia="Times New Roman" w:hAnsi="Arial" w:cs="Arial"/>
      <w:sz w:val="20"/>
      <w:szCs w:val="20"/>
      <w:lang w:val="en-GB" w:eastAsia="ar-SA"/>
    </w:rPr>
  </w:style>
  <w:style w:type="character" w:customStyle="1" w:styleId="ListParagraphChar">
    <w:name w:val="List Paragraph Char"/>
    <w:basedOn w:val="DefaultParagraphFont"/>
    <w:link w:val="ListParagraph"/>
    <w:uiPriority w:val="34"/>
    <w:rsid w:val="00360A13"/>
    <w:rPr>
      <w:rFonts w:ascii="Verdana" w:eastAsia="Times New Roman" w:hAnsi="Verdana" w:cs="Arial"/>
      <w:sz w:val="20"/>
      <w:szCs w:val="22"/>
      <w:lang w:val="en-GB" w:eastAsia="en-GB"/>
    </w:rPr>
  </w:style>
  <w:style w:type="character" w:styleId="CommentReference">
    <w:name w:val="annotation reference"/>
    <w:basedOn w:val="DefaultParagraphFont"/>
    <w:uiPriority w:val="99"/>
    <w:semiHidden/>
    <w:unhideWhenUsed/>
    <w:rsid w:val="008E6F5A"/>
    <w:rPr>
      <w:sz w:val="16"/>
      <w:szCs w:val="16"/>
    </w:rPr>
  </w:style>
  <w:style w:type="paragraph" w:styleId="CommentText">
    <w:name w:val="annotation text"/>
    <w:basedOn w:val="Normal"/>
    <w:link w:val="CommentTextChar"/>
    <w:uiPriority w:val="99"/>
    <w:semiHidden/>
    <w:unhideWhenUsed/>
    <w:rsid w:val="008E6F5A"/>
    <w:rPr>
      <w:sz w:val="20"/>
      <w:szCs w:val="20"/>
    </w:rPr>
  </w:style>
  <w:style w:type="character" w:customStyle="1" w:styleId="CommentTextChar">
    <w:name w:val="Comment Text Char"/>
    <w:basedOn w:val="DefaultParagraphFont"/>
    <w:link w:val="CommentText"/>
    <w:uiPriority w:val="99"/>
    <w:semiHidden/>
    <w:rsid w:val="008E6F5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E6F5A"/>
    <w:rPr>
      <w:b/>
      <w:bCs/>
    </w:rPr>
  </w:style>
  <w:style w:type="character" w:customStyle="1" w:styleId="CommentSubjectChar">
    <w:name w:val="Comment Subject Char"/>
    <w:basedOn w:val="CommentTextChar"/>
    <w:link w:val="CommentSubject"/>
    <w:uiPriority w:val="99"/>
    <w:semiHidden/>
    <w:rsid w:val="008E6F5A"/>
    <w:rPr>
      <w:rFonts w:ascii="Verdana" w:hAnsi="Verdana"/>
      <w:b/>
      <w:bCs/>
      <w:sz w:val="20"/>
      <w:szCs w:val="20"/>
    </w:rPr>
  </w:style>
  <w:style w:type="paragraph" w:styleId="Revision">
    <w:name w:val="Revision"/>
    <w:hidden/>
    <w:uiPriority w:val="99"/>
    <w:semiHidden/>
    <w:rsid w:val="008E6F5A"/>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7140">
      <w:bodyDiv w:val="1"/>
      <w:marLeft w:val="0"/>
      <w:marRight w:val="0"/>
      <w:marTop w:val="0"/>
      <w:marBottom w:val="0"/>
      <w:divBdr>
        <w:top w:val="none" w:sz="0" w:space="0" w:color="auto"/>
        <w:left w:val="none" w:sz="0" w:space="0" w:color="auto"/>
        <w:bottom w:val="none" w:sz="0" w:space="0" w:color="auto"/>
        <w:right w:val="none" w:sz="0" w:space="0" w:color="auto"/>
      </w:divBdr>
    </w:div>
    <w:div w:id="29455927">
      <w:bodyDiv w:val="1"/>
      <w:marLeft w:val="0"/>
      <w:marRight w:val="0"/>
      <w:marTop w:val="0"/>
      <w:marBottom w:val="0"/>
      <w:divBdr>
        <w:top w:val="none" w:sz="0" w:space="0" w:color="auto"/>
        <w:left w:val="none" w:sz="0" w:space="0" w:color="auto"/>
        <w:bottom w:val="none" w:sz="0" w:space="0" w:color="auto"/>
        <w:right w:val="none" w:sz="0" w:space="0" w:color="auto"/>
      </w:divBdr>
    </w:div>
    <w:div w:id="104084492">
      <w:bodyDiv w:val="1"/>
      <w:marLeft w:val="0"/>
      <w:marRight w:val="0"/>
      <w:marTop w:val="0"/>
      <w:marBottom w:val="0"/>
      <w:divBdr>
        <w:top w:val="none" w:sz="0" w:space="0" w:color="auto"/>
        <w:left w:val="none" w:sz="0" w:space="0" w:color="auto"/>
        <w:bottom w:val="none" w:sz="0" w:space="0" w:color="auto"/>
        <w:right w:val="none" w:sz="0" w:space="0" w:color="auto"/>
      </w:divBdr>
    </w:div>
    <w:div w:id="155997724">
      <w:bodyDiv w:val="1"/>
      <w:marLeft w:val="0"/>
      <w:marRight w:val="0"/>
      <w:marTop w:val="0"/>
      <w:marBottom w:val="0"/>
      <w:divBdr>
        <w:top w:val="none" w:sz="0" w:space="0" w:color="auto"/>
        <w:left w:val="none" w:sz="0" w:space="0" w:color="auto"/>
        <w:bottom w:val="none" w:sz="0" w:space="0" w:color="auto"/>
        <w:right w:val="none" w:sz="0" w:space="0" w:color="auto"/>
      </w:divBdr>
    </w:div>
    <w:div w:id="208422095">
      <w:bodyDiv w:val="1"/>
      <w:marLeft w:val="0"/>
      <w:marRight w:val="0"/>
      <w:marTop w:val="0"/>
      <w:marBottom w:val="0"/>
      <w:divBdr>
        <w:top w:val="none" w:sz="0" w:space="0" w:color="auto"/>
        <w:left w:val="none" w:sz="0" w:space="0" w:color="auto"/>
        <w:bottom w:val="none" w:sz="0" w:space="0" w:color="auto"/>
        <w:right w:val="none" w:sz="0" w:space="0" w:color="auto"/>
      </w:divBdr>
    </w:div>
    <w:div w:id="209923906">
      <w:bodyDiv w:val="1"/>
      <w:marLeft w:val="0"/>
      <w:marRight w:val="0"/>
      <w:marTop w:val="0"/>
      <w:marBottom w:val="0"/>
      <w:divBdr>
        <w:top w:val="none" w:sz="0" w:space="0" w:color="auto"/>
        <w:left w:val="none" w:sz="0" w:space="0" w:color="auto"/>
        <w:bottom w:val="none" w:sz="0" w:space="0" w:color="auto"/>
        <w:right w:val="none" w:sz="0" w:space="0" w:color="auto"/>
      </w:divBdr>
    </w:div>
    <w:div w:id="239950442">
      <w:bodyDiv w:val="1"/>
      <w:marLeft w:val="0"/>
      <w:marRight w:val="0"/>
      <w:marTop w:val="0"/>
      <w:marBottom w:val="0"/>
      <w:divBdr>
        <w:top w:val="none" w:sz="0" w:space="0" w:color="auto"/>
        <w:left w:val="none" w:sz="0" w:space="0" w:color="auto"/>
        <w:bottom w:val="none" w:sz="0" w:space="0" w:color="auto"/>
        <w:right w:val="none" w:sz="0" w:space="0" w:color="auto"/>
      </w:divBdr>
    </w:div>
    <w:div w:id="262804777">
      <w:bodyDiv w:val="1"/>
      <w:marLeft w:val="0"/>
      <w:marRight w:val="0"/>
      <w:marTop w:val="0"/>
      <w:marBottom w:val="0"/>
      <w:divBdr>
        <w:top w:val="none" w:sz="0" w:space="0" w:color="auto"/>
        <w:left w:val="none" w:sz="0" w:space="0" w:color="auto"/>
        <w:bottom w:val="none" w:sz="0" w:space="0" w:color="auto"/>
        <w:right w:val="none" w:sz="0" w:space="0" w:color="auto"/>
      </w:divBdr>
    </w:div>
    <w:div w:id="385565036">
      <w:bodyDiv w:val="1"/>
      <w:marLeft w:val="0"/>
      <w:marRight w:val="0"/>
      <w:marTop w:val="0"/>
      <w:marBottom w:val="0"/>
      <w:divBdr>
        <w:top w:val="none" w:sz="0" w:space="0" w:color="auto"/>
        <w:left w:val="none" w:sz="0" w:space="0" w:color="auto"/>
        <w:bottom w:val="none" w:sz="0" w:space="0" w:color="auto"/>
        <w:right w:val="none" w:sz="0" w:space="0" w:color="auto"/>
      </w:divBdr>
    </w:div>
    <w:div w:id="393164362">
      <w:bodyDiv w:val="1"/>
      <w:marLeft w:val="0"/>
      <w:marRight w:val="0"/>
      <w:marTop w:val="0"/>
      <w:marBottom w:val="0"/>
      <w:divBdr>
        <w:top w:val="none" w:sz="0" w:space="0" w:color="auto"/>
        <w:left w:val="none" w:sz="0" w:space="0" w:color="auto"/>
        <w:bottom w:val="none" w:sz="0" w:space="0" w:color="auto"/>
        <w:right w:val="none" w:sz="0" w:space="0" w:color="auto"/>
      </w:divBdr>
    </w:div>
    <w:div w:id="393309726">
      <w:bodyDiv w:val="1"/>
      <w:marLeft w:val="0"/>
      <w:marRight w:val="0"/>
      <w:marTop w:val="0"/>
      <w:marBottom w:val="0"/>
      <w:divBdr>
        <w:top w:val="none" w:sz="0" w:space="0" w:color="auto"/>
        <w:left w:val="none" w:sz="0" w:space="0" w:color="auto"/>
        <w:bottom w:val="none" w:sz="0" w:space="0" w:color="auto"/>
        <w:right w:val="none" w:sz="0" w:space="0" w:color="auto"/>
      </w:divBdr>
    </w:div>
    <w:div w:id="401369073">
      <w:bodyDiv w:val="1"/>
      <w:marLeft w:val="0"/>
      <w:marRight w:val="0"/>
      <w:marTop w:val="0"/>
      <w:marBottom w:val="0"/>
      <w:divBdr>
        <w:top w:val="none" w:sz="0" w:space="0" w:color="auto"/>
        <w:left w:val="none" w:sz="0" w:space="0" w:color="auto"/>
        <w:bottom w:val="none" w:sz="0" w:space="0" w:color="auto"/>
        <w:right w:val="none" w:sz="0" w:space="0" w:color="auto"/>
      </w:divBdr>
    </w:div>
    <w:div w:id="429161700">
      <w:bodyDiv w:val="1"/>
      <w:marLeft w:val="0"/>
      <w:marRight w:val="0"/>
      <w:marTop w:val="0"/>
      <w:marBottom w:val="0"/>
      <w:divBdr>
        <w:top w:val="none" w:sz="0" w:space="0" w:color="auto"/>
        <w:left w:val="none" w:sz="0" w:space="0" w:color="auto"/>
        <w:bottom w:val="none" w:sz="0" w:space="0" w:color="auto"/>
        <w:right w:val="none" w:sz="0" w:space="0" w:color="auto"/>
      </w:divBdr>
    </w:div>
    <w:div w:id="436948929">
      <w:bodyDiv w:val="1"/>
      <w:marLeft w:val="0"/>
      <w:marRight w:val="0"/>
      <w:marTop w:val="0"/>
      <w:marBottom w:val="0"/>
      <w:divBdr>
        <w:top w:val="none" w:sz="0" w:space="0" w:color="auto"/>
        <w:left w:val="none" w:sz="0" w:space="0" w:color="auto"/>
        <w:bottom w:val="none" w:sz="0" w:space="0" w:color="auto"/>
        <w:right w:val="none" w:sz="0" w:space="0" w:color="auto"/>
      </w:divBdr>
    </w:div>
    <w:div w:id="438909394">
      <w:bodyDiv w:val="1"/>
      <w:marLeft w:val="0"/>
      <w:marRight w:val="0"/>
      <w:marTop w:val="0"/>
      <w:marBottom w:val="0"/>
      <w:divBdr>
        <w:top w:val="none" w:sz="0" w:space="0" w:color="auto"/>
        <w:left w:val="none" w:sz="0" w:space="0" w:color="auto"/>
        <w:bottom w:val="none" w:sz="0" w:space="0" w:color="auto"/>
        <w:right w:val="none" w:sz="0" w:space="0" w:color="auto"/>
      </w:divBdr>
    </w:div>
    <w:div w:id="450326887">
      <w:bodyDiv w:val="1"/>
      <w:marLeft w:val="0"/>
      <w:marRight w:val="0"/>
      <w:marTop w:val="0"/>
      <w:marBottom w:val="0"/>
      <w:divBdr>
        <w:top w:val="none" w:sz="0" w:space="0" w:color="auto"/>
        <w:left w:val="none" w:sz="0" w:space="0" w:color="auto"/>
        <w:bottom w:val="none" w:sz="0" w:space="0" w:color="auto"/>
        <w:right w:val="none" w:sz="0" w:space="0" w:color="auto"/>
      </w:divBdr>
    </w:div>
    <w:div w:id="456995814">
      <w:bodyDiv w:val="1"/>
      <w:marLeft w:val="0"/>
      <w:marRight w:val="0"/>
      <w:marTop w:val="0"/>
      <w:marBottom w:val="0"/>
      <w:divBdr>
        <w:top w:val="none" w:sz="0" w:space="0" w:color="auto"/>
        <w:left w:val="none" w:sz="0" w:space="0" w:color="auto"/>
        <w:bottom w:val="none" w:sz="0" w:space="0" w:color="auto"/>
        <w:right w:val="none" w:sz="0" w:space="0" w:color="auto"/>
      </w:divBdr>
    </w:div>
    <w:div w:id="468938666">
      <w:bodyDiv w:val="1"/>
      <w:marLeft w:val="0"/>
      <w:marRight w:val="0"/>
      <w:marTop w:val="0"/>
      <w:marBottom w:val="0"/>
      <w:divBdr>
        <w:top w:val="none" w:sz="0" w:space="0" w:color="auto"/>
        <w:left w:val="none" w:sz="0" w:space="0" w:color="auto"/>
        <w:bottom w:val="none" w:sz="0" w:space="0" w:color="auto"/>
        <w:right w:val="none" w:sz="0" w:space="0" w:color="auto"/>
      </w:divBdr>
    </w:div>
    <w:div w:id="477961406">
      <w:bodyDiv w:val="1"/>
      <w:marLeft w:val="0"/>
      <w:marRight w:val="0"/>
      <w:marTop w:val="0"/>
      <w:marBottom w:val="0"/>
      <w:divBdr>
        <w:top w:val="none" w:sz="0" w:space="0" w:color="auto"/>
        <w:left w:val="none" w:sz="0" w:space="0" w:color="auto"/>
        <w:bottom w:val="none" w:sz="0" w:space="0" w:color="auto"/>
        <w:right w:val="none" w:sz="0" w:space="0" w:color="auto"/>
      </w:divBdr>
    </w:div>
    <w:div w:id="511802699">
      <w:bodyDiv w:val="1"/>
      <w:marLeft w:val="0"/>
      <w:marRight w:val="0"/>
      <w:marTop w:val="0"/>
      <w:marBottom w:val="0"/>
      <w:divBdr>
        <w:top w:val="none" w:sz="0" w:space="0" w:color="auto"/>
        <w:left w:val="none" w:sz="0" w:space="0" w:color="auto"/>
        <w:bottom w:val="none" w:sz="0" w:space="0" w:color="auto"/>
        <w:right w:val="none" w:sz="0" w:space="0" w:color="auto"/>
      </w:divBdr>
    </w:div>
    <w:div w:id="562714021">
      <w:bodyDiv w:val="1"/>
      <w:marLeft w:val="0"/>
      <w:marRight w:val="0"/>
      <w:marTop w:val="0"/>
      <w:marBottom w:val="0"/>
      <w:divBdr>
        <w:top w:val="none" w:sz="0" w:space="0" w:color="auto"/>
        <w:left w:val="none" w:sz="0" w:space="0" w:color="auto"/>
        <w:bottom w:val="none" w:sz="0" w:space="0" w:color="auto"/>
        <w:right w:val="none" w:sz="0" w:space="0" w:color="auto"/>
      </w:divBdr>
    </w:div>
    <w:div w:id="588581202">
      <w:bodyDiv w:val="1"/>
      <w:marLeft w:val="0"/>
      <w:marRight w:val="0"/>
      <w:marTop w:val="0"/>
      <w:marBottom w:val="0"/>
      <w:divBdr>
        <w:top w:val="none" w:sz="0" w:space="0" w:color="auto"/>
        <w:left w:val="none" w:sz="0" w:space="0" w:color="auto"/>
        <w:bottom w:val="none" w:sz="0" w:space="0" w:color="auto"/>
        <w:right w:val="none" w:sz="0" w:space="0" w:color="auto"/>
      </w:divBdr>
    </w:div>
    <w:div w:id="591740299">
      <w:bodyDiv w:val="1"/>
      <w:marLeft w:val="0"/>
      <w:marRight w:val="0"/>
      <w:marTop w:val="0"/>
      <w:marBottom w:val="0"/>
      <w:divBdr>
        <w:top w:val="none" w:sz="0" w:space="0" w:color="auto"/>
        <w:left w:val="none" w:sz="0" w:space="0" w:color="auto"/>
        <w:bottom w:val="none" w:sz="0" w:space="0" w:color="auto"/>
        <w:right w:val="none" w:sz="0" w:space="0" w:color="auto"/>
      </w:divBdr>
    </w:div>
    <w:div w:id="603801436">
      <w:bodyDiv w:val="1"/>
      <w:marLeft w:val="0"/>
      <w:marRight w:val="0"/>
      <w:marTop w:val="0"/>
      <w:marBottom w:val="0"/>
      <w:divBdr>
        <w:top w:val="none" w:sz="0" w:space="0" w:color="auto"/>
        <w:left w:val="none" w:sz="0" w:space="0" w:color="auto"/>
        <w:bottom w:val="none" w:sz="0" w:space="0" w:color="auto"/>
        <w:right w:val="none" w:sz="0" w:space="0" w:color="auto"/>
      </w:divBdr>
    </w:div>
    <w:div w:id="650642102">
      <w:bodyDiv w:val="1"/>
      <w:marLeft w:val="0"/>
      <w:marRight w:val="0"/>
      <w:marTop w:val="0"/>
      <w:marBottom w:val="0"/>
      <w:divBdr>
        <w:top w:val="none" w:sz="0" w:space="0" w:color="auto"/>
        <w:left w:val="none" w:sz="0" w:space="0" w:color="auto"/>
        <w:bottom w:val="none" w:sz="0" w:space="0" w:color="auto"/>
        <w:right w:val="none" w:sz="0" w:space="0" w:color="auto"/>
      </w:divBdr>
    </w:div>
    <w:div w:id="657340059">
      <w:bodyDiv w:val="1"/>
      <w:marLeft w:val="0"/>
      <w:marRight w:val="0"/>
      <w:marTop w:val="0"/>
      <w:marBottom w:val="0"/>
      <w:divBdr>
        <w:top w:val="none" w:sz="0" w:space="0" w:color="auto"/>
        <w:left w:val="none" w:sz="0" w:space="0" w:color="auto"/>
        <w:bottom w:val="none" w:sz="0" w:space="0" w:color="auto"/>
        <w:right w:val="none" w:sz="0" w:space="0" w:color="auto"/>
      </w:divBdr>
    </w:div>
    <w:div w:id="687832501">
      <w:bodyDiv w:val="1"/>
      <w:marLeft w:val="0"/>
      <w:marRight w:val="0"/>
      <w:marTop w:val="0"/>
      <w:marBottom w:val="0"/>
      <w:divBdr>
        <w:top w:val="none" w:sz="0" w:space="0" w:color="auto"/>
        <w:left w:val="none" w:sz="0" w:space="0" w:color="auto"/>
        <w:bottom w:val="none" w:sz="0" w:space="0" w:color="auto"/>
        <w:right w:val="none" w:sz="0" w:space="0" w:color="auto"/>
      </w:divBdr>
    </w:div>
    <w:div w:id="693649031">
      <w:bodyDiv w:val="1"/>
      <w:marLeft w:val="0"/>
      <w:marRight w:val="0"/>
      <w:marTop w:val="0"/>
      <w:marBottom w:val="0"/>
      <w:divBdr>
        <w:top w:val="none" w:sz="0" w:space="0" w:color="auto"/>
        <w:left w:val="none" w:sz="0" w:space="0" w:color="auto"/>
        <w:bottom w:val="none" w:sz="0" w:space="0" w:color="auto"/>
        <w:right w:val="none" w:sz="0" w:space="0" w:color="auto"/>
      </w:divBdr>
    </w:div>
    <w:div w:id="694311140">
      <w:bodyDiv w:val="1"/>
      <w:marLeft w:val="0"/>
      <w:marRight w:val="0"/>
      <w:marTop w:val="0"/>
      <w:marBottom w:val="0"/>
      <w:divBdr>
        <w:top w:val="none" w:sz="0" w:space="0" w:color="auto"/>
        <w:left w:val="none" w:sz="0" w:space="0" w:color="auto"/>
        <w:bottom w:val="none" w:sz="0" w:space="0" w:color="auto"/>
        <w:right w:val="none" w:sz="0" w:space="0" w:color="auto"/>
      </w:divBdr>
    </w:div>
    <w:div w:id="765078050">
      <w:bodyDiv w:val="1"/>
      <w:marLeft w:val="0"/>
      <w:marRight w:val="0"/>
      <w:marTop w:val="0"/>
      <w:marBottom w:val="0"/>
      <w:divBdr>
        <w:top w:val="none" w:sz="0" w:space="0" w:color="auto"/>
        <w:left w:val="none" w:sz="0" w:space="0" w:color="auto"/>
        <w:bottom w:val="none" w:sz="0" w:space="0" w:color="auto"/>
        <w:right w:val="none" w:sz="0" w:space="0" w:color="auto"/>
      </w:divBdr>
    </w:div>
    <w:div w:id="777992075">
      <w:bodyDiv w:val="1"/>
      <w:marLeft w:val="0"/>
      <w:marRight w:val="0"/>
      <w:marTop w:val="0"/>
      <w:marBottom w:val="0"/>
      <w:divBdr>
        <w:top w:val="none" w:sz="0" w:space="0" w:color="auto"/>
        <w:left w:val="none" w:sz="0" w:space="0" w:color="auto"/>
        <w:bottom w:val="none" w:sz="0" w:space="0" w:color="auto"/>
        <w:right w:val="none" w:sz="0" w:space="0" w:color="auto"/>
      </w:divBdr>
    </w:div>
    <w:div w:id="792986494">
      <w:bodyDiv w:val="1"/>
      <w:marLeft w:val="0"/>
      <w:marRight w:val="0"/>
      <w:marTop w:val="0"/>
      <w:marBottom w:val="0"/>
      <w:divBdr>
        <w:top w:val="none" w:sz="0" w:space="0" w:color="auto"/>
        <w:left w:val="none" w:sz="0" w:space="0" w:color="auto"/>
        <w:bottom w:val="none" w:sz="0" w:space="0" w:color="auto"/>
        <w:right w:val="none" w:sz="0" w:space="0" w:color="auto"/>
      </w:divBdr>
    </w:div>
    <w:div w:id="845704991">
      <w:bodyDiv w:val="1"/>
      <w:marLeft w:val="0"/>
      <w:marRight w:val="0"/>
      <w:marTop w:val="0"/>
      <w:marBottom w:val="0"/>
      <w:divBdr>
        <w:top w:val="none" w:sz="0" w:space="0" w:color="auto"/>
        <w:left w:val="none" w:sz="0" w:space="0" w:color="auto"/>
        <w:bottom w:val="none" w:sz="0" w:space="0" w:color="auto"/>
        <w:right w:val="none" w:sz="0" w:space="0" w:color="auto"/>
      </w:divBdr>
    </w:div>
    <w:div w:id="943877642">
      <w:bodyDiv w:val="1"/>
      <w:marLeft w:val="0"/>
      <w:marRight w:val="0"/>
      <w:marTop w:val="0"/>
      <w:marBottom w:val="0"/>
      <w:divBdr>
        <w:top w:val="none" w:sz="0" w:space="0" w:color="auto"/>
        <w:left w:val="none" w:sz="0" w:space="0" w:color="auto"/>
        <w:bottom w:val="none" w:sz="0" w:space="0" w:color="auto"/>
        <w:right w:val="none" w:sz="0" w:space="0" w:color="auto"/>
      </w:divBdr>
    </w:div>
    <w:div w:id="958948912">
      <w:bodyDiv w:val="1"/>
      <w:marLeft w:val="0"/>
      <w:marRight w:val="0"/>
      <w:marTop w:val="0"/>
      <w:marBottom w:val="0"/>
      <w:divBdr>
        <w:top w:val="none" w:sz="0" w:space="0" w:color="auto"/>
        <w:left w:val="none" w:sz="0" w:space="0" w:color="auto"/>
        <w:bottom w:val="none" w:sz="0" w:space="0" w:color="auto"/>
        <w:right w:val="none" w:sz="0" w:space="0" w:color="auto"/>
      </w:divBdr>
    </w:div>
    <w:div w:id="978924273">
      <w:bodyDiv w:val="1"/>
      <w:marLeft w:val="0"/>
      <w:marRight w:val="0"/>
      <w:marTop w:val="0"/>
      <w:marBottom w:val="0"/>
      <w:divBdr>
        <w:top w:val="none" w:sz="0" w:space="0" w:color="auto"/>
        <w:left w:val="none" w:sz="0" w:space="0" w:color="auto"/>
        <w:bottom w:val="none" w:sz="0" w:space="0" w:color="auto"/>
        <w:right w:val="none" w:sz="0" w:space="0" w:color="auto"/>
      </w:divBdr>
    </w:div>
    <w:div w:id="981350882">
      <w:bodyDiv w:val="1"/>
      <w:marLeft w:val="0"/>
      <w:marRight w:val="0"/>
      <w:marTop w:val="0"/>
      <w:marBottom w:val="0"/>
      <w:divBdr>
        <w:top w:val="none" w:sz="0" w:space="0" w:color="auto"/>
        <w:left w:val="none" w:sz="0" w:space="0" w:color="auto"/>
        <w:bottom w:val="none" w:sz="0" w:space="0" w:color="auto"/>
        <w:right w:val="none" w:sz="0" w:space="0" w:color="auto"/>
      </w:divBdr>
    </w:div>
    <w:div w:id="988366394">
      <w:bodyDiv w:val="1"/>
      <w:marLeft w:val="0"/>
      <w:marRight w:val="0"/>
      <w:marTop w:val="0"/>
      <w:marBottom w:val="0"/>
      <w:divBdr>
        <w:top w:val="none" w:sz="0" w:space="0" w:color="auto"/>
        <w:left w:val="none" w:sz="0" w:space="0" w:color="auto"/>
        <w:bottom w:val="none" w:sz="0" w:space="0" w:color="auto"/>
        <w:right w:val="none" w:sz="0" w:space="0" w:color="auto"/>
      </w:divBdr>
    </w:div>
    <w:div w:id="991642170">
      <w:bodyDiv w:val="1"/>
      <w:marLeft w:val="0"/>
      <w:marRight w:val="0"/>
      <w:marTop w:val="0"/>
      <w:marBottom w:val="0"/>
      <w:divBdr>
        <w:top w:val="none" w:sz="0" w:space="0" w:color="auto"/>
        <w:left w:val="none" w:sz="0" w:space="0" w:color="auto"/>
        <w:bottom w:val="none" w:sz="0" w:space="0" w:color="auto"/>
        <w:right w:val="none" w:sz="0" w:space="0" w:color="auto"/>
      </w:divBdr>
    </w:div>
    <w:div w:id="1027833460">
      <w:bodyDiv w:val="1"/>
      <w:marLeft w:val="0"/>
      <w:marRight w:val="0"/>
      <w:marTop w:val="0"/>
      <w:marBottom w:val="0"/>
      <w:divBdr>
        <w:top w:val="none" w:sz="0" w:space="0" w:color="auto"/>
        <w:left w:val="none" w:sz="0" w:space="0" w:color="auto"/>
        <w:bottom w:val="none" w:sz="0" w:space="0" w:color="auto"/>
        <w:right w:val="none" w:sz="0" w:space="0" w:color="auto"/>
      </w:divBdr>
    </w:div>
    <w:div w:id="1046180558">
      <w:bodyDiv w:val="1"/>
      <w:marLeft w:val="0"/>
      <w:marRight w:val="0"/>
      <w:marTop w:val="0"/>
      <w:marBottom w:val="0"/>
      <w:divBdr>
        <w:top w:val="none" w:sz="0" w:space="0" w:color="auto"/>
        <w:left w:val="none" w:sz="0" w:space="0" w:color="auto"/>
        <w:bottom w:val="none" w:sz="0" w:space="0" w:color="auto"/>
        <w:right w:val="none" w:sz="0" w:space="0" w:color="auto"/>
      </w:divBdr>
    </w:div>
    <w:div w:id="1070155800">
      <w:bodyDiv w:val="1"/>
      <w:marLeft w:val="0"/>
      <w:marRight w:val="0"/>
      <w:marTop w:val="0"/>
      <w:marBottom w:val="0"/>
      <w:divBdr>
        <w:top w:val="none" w:sz="0" w:space="0" w:color="auto"/>
        <w:left w:val="none" w:sz="0" w:space="0" w:color="auto"/>
        <w:bottom w:val="none" w:sz="0" w:space="0" w:color="auto"/>
        <w:right w:val="none" w:sz="0" w:space="0" w:color="auto"/>
      </w:divBdr>
    </w:div>
    <w:div w:id="1082752978">
      <w:bodyDiv w:val="1"/>
      <w:marLeft w:val="0"/>
      <w:marRight w:val="0"/>
      <w:marTop w:val="0"/>
      <w:marBottom w:val="0"/>
      <w:divBdr>
        <w:top w:val="none" w:sz="0" w:space="0" w:color="auto"/>
        <w:left w:val="none" w:sz="0" w:space="0" w:color="auto"/>
        <w:bottom w:val="none" w:sz="0" w:space="0" w:color="auto"/>
        <w:right w:val="none" w:sz="0" w:space="0" w:color="auto"/>
      </w:divBdr>
    </w:div>
    <w:div w:id="1086146366">
      <w:bodyDiv w:val="1"/>
      <w:marLeft w:val="0"/>
      <w:marRight w:val="0"/>
      <w:marTop w:val="0"/>
      <w:marBottom w:val="0"/>
      <w:divBdr>
        <w:top w:val="none" w:sz="0" w:space="0" w:color="auto"/>
        <w:left w:val="none" w:sz="0" w:space="0" w:color="auto"/>
        <w:bottom w:val="none" w:sz="0" w:space="0" w:color="auto"/>
        <w:right w:val="none" w:sz="0" w:space="0" w:color="auto"/>
      </w:divBdr>
    </w:div>
    <w:div w:id="1116293842">
      <w:bodyDiv w:val="1"/>
      <w:marLeft w:val="0"/>
      <w:marRight w:val="0"/>
      <w:marTop w:val="0"/>
      <w:marBottom w:val="0"/>
      <w:divBdr>
        <w:top w:val="none" w:sz="0" w:space="0" w:color="auto"/>
        <w:left w:val="none" w:sz="0" w:space="0" w:color="auto"/>
        <w:bottom w:val="none" w:sz="0" w:space="0" w:color="auto"/>
        <w:right w:val="none" w:sz="0" w:space="0" w:color="auto"/>
      </w:divBdr>
    </w:div>
    <w:div w:id="1120340070">
      <w:bodyDiv w:val="1"/>
      <w:marLeft w:val="0"/>
      <w:marRight w:val="0"/>
      <w:marTop w:val="0"/>
      <w:marBottom w:val="0"/>
      <w:divBdr>
        <w:top w:val="none" w:sz="0" w:space="0" w:color="auto"/>
        <w:left w:val="none" w:sz="0" w:space="0" w:color="auto"/>
        <w:bottom w:val="none" w:sz="0" w:space="0" w:color="auto"/>
        <w:right w:val="none" w:sz="0" w:space="0" w:color="auto"/>
      </w:divBdr>
    </w:div>
    <w:div w:id="1122266285">
      <w:bodyDiv w:val="1"/>
      <w:marLeft w:val="0"/>
      <w:marRight w:val="0"/>
      <w:marTop w:val="0"/>
      <w:marBottom w:val="0"/>
      <w:divBdr>
        <w:top w:val="none" w:sz="0" w:space="0" w:color="auto"/>
        <w:left w:val="none" w:sz="0" w:space="0" w:color="auto"/>
        <w:bottom w:val="none" w:sz="0" w:space="0" w:color="auto"/>
        <w:right w:val="none" w:sz="0" w:space="0" w:color="auto"/>
      </w:divBdr>
    </w:div>
    <w:div w:id="1142041777">
      <w:bodyDiv w:val="1"/>
      <w:marLeft w:val="0"/>
      <w:marRight w:val="0"/>
      <w:marTop w:val="0"/>
      <w:marBottom w:val="0"/>
      <w:divBdr>
        <w:top w:val="none" w:sz="0" w:space="0" w:color="auto"/>
        <w:left w:val="none" w:sz="0" w:space="0" w:color="auto"/>
        <w:bottom w:val="none" w:sz="0" w:space="0" w:color="auto"/>
        <w:right w:val="none" w:sz="0" w:space="0" w:color="auto"/>
      </w:divBdr>
    </w:div>
    <w:div w:id="1191451895">
      <w:bodyDiv w:val="1"/>
      <w:marLeft w:val="0"/>
      <w:marRight w:val="0"/>
      <w:marTop w:val="0"/>
      <w:marBottom w:val="0"/>
      <w:divBdr>
        <w:top w:val="none" w:sz="0" w:space="0" w:color="auto"/>
        <w:left w:val="none" w:sz="0" w:space="0" w:color="auto"/>
        <w:bottom w:val="none" w:sz="0" w:space="0" w:color="auto"/>
        <w:right w:val="none" w:sz="0" w:space="0" w:color="auto"/>
      </w:divBdr>
    </w:div>
    <w:div w:id="1218202938">
      <w:bodyDiv w:val="1"/>
      <w:marLeft w:val="0"/>
      <w:marRight w:val="0"/>
      <w:marTop w:val="0"/>
      <w:marBottom w:val="0"/>
      <w:divBdr>
        <w:top w:val="none" w:sz="0" w:space="0" w:color="auto"/>
        <w:left w:val="none" w:sz="0" w:space="0" w:color="auto"/>
        <w:bottom w:val="none" w:sz="0" w:space="0" w:color="auto"/>
        <w:right w:val="none" w:sz="0" w:space="0" w:color="auto"/>
      </w:divBdr>
    </w:div>
    <w:div w:id="1264072238">
      <w:bodyDiv w:val="1"/>
      <w:marLeft w:val="0"/>
      <w:marRight w:val="0"/>
      <w:marTop w:val="0"/>
      <w:marBottom w:val="0"/>
      <w:divBdr>
        <w:top w:val="none" w:sz="0" w:space="0" w:color="auto"/>
        <w:left w:val="none" w:sz="0" w:space="0" w:color="auto"/>
        <w:bottom w:val="none" w:sz="0" w:space="0" w:color="auto"/>
        <w:right w:val="none" w:sz="0" w:space="0" w:color="auto"/>
      </w:divBdr>
    </w:div>
    <w:div w:id="1279491251">
      <w:bodyDiv w:val="1"/>
      <w:marLeft w:val="0"/>
      <w:marRight w:val="0"/>
      <w:marTop w:val="0"/>
      <w:marBottom w:val="0"/>
      <w:divBdr>
        <w:top w:val="none" w:sz="0" w:space="0" w:color="auto"/>
        <w:left w:val="none" w:sz="0" w:space="0" w:color="auto"/>
        <w:bottom w:val="none" w:sz="0" w:space="0" w:color="auto"/>
        <w:right w:val="none" w:sz="0" w:space="0" w:color="auto"/>
      </w:divBdr>
    </w:div>
    <w:div w:id="1380133403">
      <w:bodyDiv w:val="1"/>
      <w:marLeft w:val="0"/>
      <w:marRight w:val="0"/>
      <w:marTop w:val="0"/>
      <w:marBottom w:val="0"/>
      <w:divBdr>
        <w:top w:val="none" w:sz="0" w:space="0" w:color="auto"/>
        <w:left w:val="none" w:sz="0" w:space="0" w:color="auto"/>
        <w:bottom w:val="none" w:sz="0" w:space="0" w:color="auto"/>
        <w:right w:val="none" w:sz="0" w:space="0" w:color="auto"/>
      </w:divBdr>
    </w:div>
    <w:div w:id="1415281633">
      <w:bodyDiv w:val="1"/>
      <w:marLeft w:val="0"/>
      <w:marRight w:val="0"/>
      <w:marTop w:val="0"/>
      <w:marBottom w:val="0"/>
      <w:divBdr>
        <w:top w:val="none" w:sz="0" w:space="0" w:color="auto"/>
        <w:left w:val="none" w:sz="0" w:space="0" w:color="auto"/>
        <w:bottom w:val="none" w:sz="0" w:space="0" w:color="auto"/>
        <w:right w:val="none" w:sz="0" w:space="0" w:color="auto"/>
      </w:divBdr>
    </w:div>
    <w:div w:id="1446735483">
      <w:bodyDiv w:val="1"/>
      <w:marLeft w:val="0"/>
      <w:marRight w:val="0"/>
      <w:marTop w:val="0"/>
      <w:marBottom w:val="0"/>
      <w:divBdr>
        <w:top w:val="none" w:sz="0" w:space="0" w:color="auto"/>
        <w:left w:val="none" w:sz="0" w:space="0" w:color="auto"/>
        <w:bottom w:val="none" w:sz="0" w:space="0" w:color="auto"/>
        <w:right w:val="none" w:sz="0" w:space="0" w:color="auto"/>
      </w:divBdr>
    </w:div>
    <w:div w:id="1511411698">
      <w:bodyDiv w:val="1"/>
      <w:marLeft w:val="0"/>
      <w:marRight w:val="0"/>
      <w:marTop w:val="0"/>
      <w:marBottom w:val="0"/>
      <w:divBdr>
        <w:top w:val="none" w:sz="0" w:space="0" w:color="auto"/>
        <w:left w:val="none" w:sz="0" w:space="0" w:color="auto"/>
        <w:bottom w:val="none" w:sz="0" w:space="0" w:color="auto"/>
        <w:right w:val="none" w:sz="0" w:space="0" w:color="auto"/>
      </w:divBdr>
    </w:div>
    <w:div w:id="1546023971">
      <w:bodyDiv w:val="1"/>
      <w:marLeft w:val="0"/>
      <w:marRight w:val="0"/>
      <w:marTop w:val="0"/>
      <w:marBottom w:val="0"/>
      <w:divBdr>
        <w:top w:val="none" w:sz="0" w:space="0" w:color="auto"/>
        <w:left w:val="none" w:sz="0" w:space="0" w:color="auto"/>
        <w:bottom w:val="none" w:sz="0" w:space="0" w:color="auto"/>
        <w:right w:val="none" w:sz="0" w:space="0" w:color="auto"/>
      </w:divBdr>
    </w:div>
    <w:div w:id="1576863030">
      <w:bodyDiv w:val="1"/>
      <w:marLeft w:val="0"/>
      <w:marRight w:val="0"/>
      <w:marTop w:val="0"/>
      <w:marBottom w:val="0"/>
      <w:divBdr>
        <w:top w:val="none" w:sz="0" w:space="0" w:color="auto"/>
        <w:left w:val="none" w:sz="0" w:space="0" w:color="auto"/>
        <w:bottom w:val="none" w:sz="0" w:space="0" w:color="auto"/>
        <w:right w:val="none" w:sz="0" w:space="0" w:color="auto"/>
      </w:divBdr>
    </w:div>
    <w:div w:id="1621911166">
      <w:bodyDiv w:val="1"/>
      <w:marLeft w:val="0"/>
      <w:marRight w:val="0"/>
      <w:marTop w:val="0"/>
      <w:marBottom w:val="0"/>
      <w:divBdr>
        <w:top w:val="none" w:sz="0" w:space="0" w:color="auto"/>
        <w:left w:val="none" w:sz="0" w:space="0" w:color="auto"/>
        <w:bottom w:val="none" w:sz="0" w:space="0" w:color="auto"/>
        <w:right w:val="none" w:sz="0" w:space="0" w:color="auto"/>
      </w:divBdr>
    </w:div>
    <w:div w:id="1622345442">
      <w:bodyDiv w:val="1"/>
      <w:marLeft w:val="0"/>
      <w:marRight w:val="0"/>
      <w:marTop w:val="0"/>
      <w:marBottom w:val="0"/>
      <w:divBdr>
        <w:top w:val="none" w:sz="0" w:space="0" w:color="auto"/>
        <w:left w:val="none" w:sz="0" w:space="0" w:color="auto"/>
        <w:bottom w:val="none" w:sz="0" w:space="0" w:color="auto"/>
        <w:right w:val="none" w:sz="0" w:space="0" w:color="auto"/>
      </w:divBdr>
    </w:div>
    <w:div w:id="1632789220">
      <w:bodyDiv w:val="1"/>
      <w:marLeft w:val="0"/>
      <w:marRight w:val="0"/>
      <w:marTop w:val="0"/>
      <w:marBottom w:val="0"/>
      <w:divBdr>
        <w:top w:val="none" w:sz="0" w:space="0" w:color="auto"/>
        <w:left w:val="none" w:sz="0" w:space="0" w:color="auto"/>
        <w:bottom w:val="none" w:sz="0" w:space="0" w:color="auto"/>
        <w:right w:val="none" w:sz="0" w:space="0" w:color="auto"/>
      </w:divBdr>
    </w:div>
    <w:div w:id="1691253242">
      <w:bodyDiv w:val="1"/>
      <w:marLeft w:val="0"/>
      <w:marRight w:val="0"/>
      <w:marTop w:val="0"/>
      <w:marBottom w:val="0"/>
      <w:divBdr>
        <w:top w:val="none" w:sz="0" w:space="0" w:color="auto"/>
        <w:left w:val="none" w:sz="0" w:space="0" w:color="auto"/>
        <w:bottom w:val="none" w:sz="0" w:space="0" w:color="auto"/>
        <w:right w:val="none" w:sz="0" w:space="0" w:color="auto"/>
      </w:divBdr>
    </w:div>
    <w:div w:id="1735347525">
      <w:bodyDiv w:val="1"/>
      <w:marLeft w:val="0"/>
      <w:marRight w:val="0"/>
      <w:marTop w:val="0"/>
      <w:marBottom w:val="0"/>
      <w:divBdr>
        <w:top w:val="none" w:sz="0" w:space="0" w:color="auto"/>
        <w:left w:val="none" w:sz="0" w:space="0" w:color="auto"/>
        <w:bottom w:val="none" w:sz="0" w:space="0" w:color="auto"/>
        <w:right w:val="none" w:sz="0" w:space="0" w:color="auto"/>
      </w:divBdr>
    </w:div>
    <w:div w:id="1749233992">
      <w:bodyDiv w:val="1"/>
      <w:marLeft w:val="0"/>
      <w:marRight w:val="0"/>
      <w:marTop w:val="0"/>
      <w:marBottom w:val="0"/>
      <w:divBdr>
        <w:top w:val="none" w:sz="0" w:space="0" w:color="auto"/>
        <w:left w:val="none" w:sz="0" w:space="0" w:color="auto"/>
        <w:bottom w:val="none" w:sz="0" w:space="0" w:color="auto"/>
        <w:right w:val="none" w:sz="0" w:space="0" w:color="auto"/>
      </w:divBdr>
    </w:div>
    <w:div w:id="1771732126">
      <w:bodyDiv w:val="1"/>
      <w:marLeft w:val="0"/>
      <w:marRight w:val="0"/>
      <w:marTop w:val="0"/>
      <w:marBottom w:val="0"/>
      <w:divBdr>
        <w:top w:val="none" w:sz="0" w:space="0" w:color="auto"/>
        <w:left w:val="none" w:sz="0" w:space="0" w:color="auto"/>
        <w:bottom w:val="none" w:sz="0" w:space="0" w:color="auto"/>
        <w:right w:val="none" w:sz="0" w:space="0" w:color="auto"/>
      </w:divBdr>
    </w:div>
    <w:div w:id="1803883085">
      <w:bodyDiv w:val="1"/>
      <w:marLeft w:val="0"/>
      <w:marRight w:val="0"/>
      <w:marTop w:val="0"/>
      <w:marBottom w:val="0"/>
      <w:divBdr>
        <w:top w:val="none" w:sz="0" w:space="0" w:color="auto"/>
        <w:left w:val="none" w:sz="0" w:space="0" w:color="auto"/>
        <w:bottom w:val="none" w:sz="0" w:space="0" w:color="auto"/>
        <w:right w:val="none" w:sz="0" w:space="0" w:color="auto"/>
      </w:divBdr>
    </w:div>
    <w:div w:id="1844125571">
      <w:bodyDiv w:val="1"/>
      <w:marLeft w:val="0"/>
      <w:marRight w:val="0"/>
      <w:marTop w:val="0"/>
      <w:marBottom w:val="0"/>
      <w:divBdr>
        <w:top w:val="none" w:sz="0" w:space="0" w:color="auto"/>
        <w:left w:val="none" w:sz="0" w:space="0" w:color="auto"/>
        <w:bottom w:val="none" w:sz="0" w:space="0" w:color="auto"/>
        <w:right w:val="none" w:sz="0" w:space="0" w:color="auto"/>
      </w:divBdr>
    </w:div>
    <w:div w:id="1855874132">
      <w:bodyDiv w:val="1"/>
      <w:marLeft w:val="0"/>
      <w:marRight w:val="0"/>
      <w:marTop w:val="0"/>
      <w:marBottom w:val="0"/>
      <w:divBdr>
        <w:top w:val="none" w:sz="0" w:space="0" w:color="auto"/>
        <w:left w:val="none" w:sz="0" w:space="0" w:color="auto"/>
        <w:bottom w:val="none" w:sz="0" w:space="0" w:color="auto"/>
        <w:right w:val="none" w:sz="0" w:space="0" w:color="auto"/>
      </w:divBdr>
    </w:div>
    <w:div w:id="1877348570">
      <w:bodyDiv w:val="1"/>
      <w:marLeft w:val="0"/>
      <w:marRight w:val="0"/>
      <w:marTop w:val="0"/>
      <w:marBottom w:val="0"/>
      <w:divBdr>
        <w:top w:val="none" w:sz="0" w:space="0" w:color="auto"/>
        <w:left w:val="none" w:sz="0" w:space="0" w:color="auto"/>
        <w:bottom w:val="none" w:sz="0" w:space="0" w:color="auto"/>
        <w:right w:val="none" w:sz="0" w:space="0" w:color="auto"/>
      </w:divBdr>
    </w:div>
    <w:div w:id="1892838988">
      <w:bodyDiv w:val="1"/>
      <w:marLeft w:val="0"/>
      <w:marRight w:val="0"/>
      <w:marTop w:val="0"/>
      <w:marBottom w:val="0"/>
      <w:divBdr>
        <w:top w:val="none" w:sz="0" w:space="0" w:color="auto"/>
        <w:left w:val="none" w:sz="0" w:space="0" w:color="auto"/>
        <w:bottom w:val="none" w:sz="0" w:space="0" w:color="auto"/>
        <w:right w:val="none" w:sz="0" w:space="0" w:color="auto"/>
      </w:divBdr>
    </w:div>
    <w:div w:id="1955474902">
      <w:bodyDiv w:val="1"/>
      <w:marLeft w:val="0"/>
      <w:marRight w:val="0"/>
      <w:marTop w:val="0"/>
      <w:marBottom w:val="0"/>
      <w:divBdr>
        <w:top w:val="none" w:sz="0" w:space="0" w:color="auto"/>
        <w:left w:val="none" w:sz="0" w:space="0" w:color="auto"/>
        <w:bottom w:val="none" w:sz="0" w:space="0" w:color="auto"/>
        <w:right w:val="none" w:sz="0" w:space="0" w:color="auto"/>
      </w:divBdr>
    </w:div>
    <w:div w:id="2085057888">
      <w:bodyDiv w:val="1"/>
      <w:marLeft w:val="0"/>
      <w:marRight w:val="0"/>
      <w:marTop w:val="0"/>
      <w:marBottom w:val="0"/>
      <w:divBdr>
        <w:top w:val="none" w:sz="0" w:space="0" w:color="auto"/>
        <w:left w:val="none" w:sz="0" w:space="0" w:color="auto"/>
        <w:bottom w:val="none" w:sz="0" w:space="0" w:color="auto"/>
        <w:right w:val="none" w:sz="0" w:space="0" w:color="auto"/>
      </w:divBdr>
    </w:div>
    <w:div w:id="2114395949">
      <w:bodyDiv w:val="1"/>
      <w:marLeft w:val="0"/>
      <w:marRight w:val="0"/>
      <w:marTop w:val="0"/>
      <w:marBottom w:val="0"/>
      <w:divBdr>
        <w:top w:val="none" w:sz="0" w:space="0" w:color="auto"/>
        <w:left w:val="none" w:sz="0" w:space="0" w:color="auto"/>
        <w:bottom w:val="none" w:sz="0" w:space="0" w:color="auto"/>
        <w:right w:val="none" w:sz="0" w:space="0" w:color="auto"/>
      </w:divBdr>
    </w:div>
    <w:div w:id="2120442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www.surrey-pcc.gov.uk/about-your-pcc/" TargetMode="External"/><Relationship Id="rId26" Type="http://schemas.openxmlformats.org/officeDocument/2006/relationships/hyperlink" Target="mailto:Kelvin.Menon@Surrey.pnn.police.uk" TargetMode="External"/><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hyperlink" Target="http://www.surrey-pcc.gov.uk/independent-custody-visiting/" TargetMode="External"/><Relationship Id="rId34"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mailto:CorporateFinance@Surrey.pnn.police.uk" TargetMode="External"/><Relationship Id="rId17" Type="http://schemas.openxmlformats.org/officeDocument/2006/relationships/hyperlink" Target="http://www.surrey-pcc.gov.uk/wp-content/uploads/2016/05/Code-of-Conduct-DM-2016.pdf" TargetMode="External"/><Relationship Id="rId25" Type="http://schemas.openxmlformats.org/officeDocument/2006/relationships/hyperlink" Target="http://www.surrey-pcc.gov.uk/transparency/decisions/" TargetMode="External"/><Relationship Id="rId33" Type="http://schemas.openxmlformats.org/officeDocument/2006/relationships/image" Target="media/image9.emf"/><Relationship Id="rId38"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hyperlink" Target="http://www.surrey-pcc.gov.uk/wp-content/uploads/2016/08/Concordat.pdf" TargetMode="External"/><Relationship Id="rId20" Type="http://schemas.openxmlformats.org/officeDocument/2006/relationships/hyperlink" Target="http://www.surrey-pcc.gov.uk/complaints/" TargetMode="External"/><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www.surrey-pcc.gov.uk/transparency/key-responsibilities/"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rrey-pcc.gov.uk/plan/" TargetMode="External"/><Relationship Id="rId23" Type="http://schemas.openxmlformats.org/officeDocument/2006/relationships/hyperlink" Target="http://funding.surrey-pcc.gov.uk/" TargetMode="External"/><Relationship Id="rId28" Type="http://schemas.openxmlformats.org/officeDocument/2006/relationships/image" Target="media/image4.emf"/><Relationship Id="rId36" Type="http://schemas.openxmlformats.org/officeDocument/2006/relationships/image" Target="media/image12.emf"/><Relationship Id="rId10" Type="http://schemas.openxmlformats.org/officeDocument/2006/relationships/hyperlink" Target="https://www.surrey-pcc.gov.uk/plan/" TargetMode="External"/><Relationship Id="rId19" Type="http://schemas.openxmlformats.org/officeDocument/2006/relationships/hyperlink" Target="http://www.surrey-pcc.gov.uk/transparency/freedom-of-information/" TargetMode="Externa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ov.uk/government/news/committee-calls-on-pcc-candidates-to-sign-up-to-ethical-checklist" TargetMode="External"/><Relationship Id="rId22" Type="http://schemas.openxmlformats.org/officeDocument/2006/relationships/hyperlink" Target="http://www.surrey-pcc.gov.uk/transparency/meetings-agendas/"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image" Target="media/image11.emf"/></Relationships>
</file>

<file path=word/_rels/footnotes.xml.rels><?xml version="1.0" encoding="UTF-8" standalone="yes"?>
<Relationships xmlns="http://schemas.openxmlformats.org/package/2006/relationships"><Relationship Id="rId1" Type="http://schemas.openxmlformats.org/officeDocument/2006/relationships/hyperlink" Target="https://surrey-pcc.gov.uk/wp-content/uploads/2020/07/1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C6E63-35D1-434D-9B64-2A7B1512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44976</Words>
  <Characters>256366</Characters>
  <Application>Microsoft Office Word</Application>
  <DocSecurity>0</DocSecurity>
  <Lines>2136</Lines>
  <Paragraphs>601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Thompson</dc:creator>
  <cp:lastModifiedBy>Kadwell Miranda 29434</cp:lastModifiedBy>
  <cp:revision>3</cp:revision>
  <cp:lastPrinted>2018-05-15T12:55:00Z</cp:lastPrinted>
  <dcterms:created xsi:type="dcterms:W3CDTF">2020-11-18T19:58:00Z</dcterms:created>
  <dcterms:modified xsi:type="dcterms:W3CDTF">2020-11-18T19:59:00Z</dcterms:modified>
</cp:coreProperties>
</file>