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040F9" w14:textId="77777777" w:rsidR="009F63B0" w:rsidRDefault="009F63B0" w:rsidP="009F63B0">
      <w:pPr>
        <w:tabs>
          <w:tab w:val="right" w:pos="8306"/>
        </w:tabs>
        <w:jc w:val="center"/>
        <w:rPr>
          <w:rFonts w:cs="Arial"/>
          <w:b/>
          <w:sz w:val="24"/>
          <w:szCs w:val="24"/>
        </w:rPr>
      </w:pPr>
      <w:r w:rsidRPr="00A672FB">
        <w:rPr>
          <w:rFonts w:cs="Arial"/>
          <w:noProof/>
          <w:lang w:eastAsia="en-GB"/>
        </w:rPr>
        <w:drawing>
          <wp:inline distT="0" distB="0" distL="0" distR="0" wp14:anchorId="41E0414A" wp14:editId="41E0414B">
            <wp:extent cx="1045968" cy="1092270"/>
            <wp:effectExtent l="0" t="0" r="1905" b="0"/>
            <wp:docPr id="1" name="Picture 1" descr="SurreyCrest_Colour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Crest_Colour (0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3347" cy="1099976"/>
                    </a:xfrm>
                    <a:prstGeom prst="rect">
                      <a:avLst/>
                    </a:prstGeom>
                    <a:noFill/>
                    <a:ln>
                      <a:noFill/>
                    </a:ln>
                  </pic:spPr>
                </pic:pic>
              </a:graphicData>
            </a:graphic>
          </wp:inline>
        </w:drawing>
      </w:r>
      <w:bookmarkStart w:id="0" w:name="_GoBack"/>
      <w:bookmarkEnd w:id="0"/>
    </w:p>
    <w:p w14:paraId="41E040FA" w14:textId="702C2476" w:rsidR="009F63B0" w:rsidRPr="0047147F" w:rsidRDefault="00306118" w:rsidP="009F63B0">
      <w:pPr>
        <w:jc w:val="center"/>
        <w:rPr>
          <w:rFonts w:cs="Arial"/>
          <w:b/>
        </w:rPr>
      </w:pPr>
      <w:r>
        <w:rPr>
          <w:rFonts w:ascii="Arial" w:eastAsia="Times New Roman" w:hAnsi="Arial" w:cs="Arial"/>
          <w:b/>
          <w:sz w:val="24"/>
          <w:szCs w:val="24"/>
        </w:rPr>
        <w:t>External Audit Report and Audited Financial Statements for 2019/20</w:t>
      </w:r>
    </w:p>
    <w:tbl>
      <w:tblPr>
        <w:tblW w:w="9648" w:type="dxa"/>
        <w:jc w:val="center"/>
        <w:tblBorders>
          <w:top w:val="single" w:sz="18" w:space="0" w:color="003C7D"/>
          <w:left w:val="single" w:sz="4" w:space="0" w:color="003C7D"/>
          <w:bottom w:val="single" w:sz="18" w:space="0" w:color="003C7D"/>
          <w:right w:val="single" w:sz="4" w:space="0" w:color="003C7D"/>
          <w:insideH w:val="single" w:sz="4" w:space="0" w:color="003C7D"/>
          <w:insideV w:val="single" w:sz="4" w:space="0" w:color="003C7D"/>
        </w:tblBorders>
        <w:tblLook w:val="01E0" w:firstRow="1" w:lastRow="1" w:firstColumn="1" w:lastColumn="1" w:noHBand="0" w:noVBand="0"/>
      </w:tblPr>
      <w:tblGrid>
        <w:gridCol w:w="3652"/>
        <w:gridCol w:w="5996"/>
      </w:tblGrid>
      <w:tr w:rsidR="009F63B0" w:rsidRPr="0047147F" w14:paraId="41E040FD" w14:textId="77777777" w:rsidTr="00A2552F">
        <w:trPr>
          <w:jc w:val="center"/>
        </w:trPr>
        <w:tc>
          <w:tcPr>
            <w:tcW w:w="3652" w:type="dxa"/>
            <w:tcBorders>
              <w:bottom w:val="single" w:sz="12" w:space="0" w:color="003C7D"/>
            </w:tcBorders>
            <w:shd w:val="clear" w:color="auto" w:fill="auto"/>
            <w:vAlign w:val="center"/>
          </w:tcPr>
          <w:p w14:paraId="41E040FB" w14:textId="77777777" w:rsidR="009F63B0" w:rsidRPr="0047147F" w:rsidRDefault="009F63B0" w:rsidP="00A2552F">
            <w:pPr>
              <w:spacing w:before="60" w:after="60"/>
              <w:rPr>
                <w:rFonts w:cs="Arial"/>
                <w:b/>
              </w:rPr>
            </w:pPr>
            <w:r w:rsidRPr="0047147F">
              <w:rPr>
                <w:rFonts w:cs="Arial"/>
                <w:b/>
              </w:rPr>
              <w:t>Required for:</w:t>
            </w:r>
          </w:p>
        </w:tc>
        <w:tc>
          <w:tcPr>
            <w:tcW w:w="5996" w:type="dxa"/>
            <w:tcBorders>
              <w:bottom w:val="single" w:sz="12" w:space="0" w:color="003C7D"/>
            </w:tcBorders>
            <w:shd w:val="clear" w:color="auto" w:fill="auto"/>
            <w:vAlign w:val="center"/>
          </w:tcPr>
          <w:p w14:paraId="41E040FC" w14:textId="77777777" w:rsidR="009F63B0" w:rsidRPr="0047147F" w:rsidRDefault="009F63B0" w:rsidP="00A2552F">
            <w:pPr>
              <w:spacing w:before="60" w:after="60"/>
              <w:rPr>
                <w:rFonts w:cs="Arial"/>
              </w:rPr>
            </w:pPr>
            <w:r w:rsidRPr="0047147F">
              <w:rPr>
                <w:rFonts w:cs="Arial"/>
              </w:rPr>
              <w:t>Joint Audit Committee (JAC) meeting</w:t>
            </w:r>
          </w:p>
        </w:tc>
      </w:tr>
      <w:tr w:rsidR="009F63B0" w:rsidRPr="0047147F" w14:paraId="41E04100" w14:textId="77777777" w:rsidTr="00A2552F">
        <w:trPr>
          <w:trHeight w:val="261"/>
          <w:jc w:val="center"/>
        </w:trPr>
        <w:tc>
          <w:tcPr>
            <w:tcW w:w="3652" w:type="dxa"/>
            <w:tcBorders>
              <w:top w:val="single" w:sz="12" w:space="0" w:color="003C7D"/>
              <w:left w:val="single" w:sz="2" w:space="0" w:color="003C7D"/>
              <w:bottom w:val="single" w:sz="2" w:space="0" w:color="003C7D"/>
              <w:right w:val="single" w:sz="2" w:space="0" w:color="003C7D"/>
            </w:tcBorders>
            <w:shd w:val="clear" w:color="auto" w:fill="D9D9D9"/>
            <w:vAlign w:val="center"/>
          </w:tcPr>
          <w:p w14:paraId="41E040FE" w14:textId="77777777" w:rsidR="009F63B0" w:rsidRPr="0047147F" w:rsidRDefault="009F63B0" w:rsidP="00A2552F">
            <w:pPr>
              <w:spacing w:before="60" w:after="60"/>
              <w:rPr>
                <w:rFonts w:cs="Arial"/>
                <w:b/>
              </w:rPr>
            </w:pPr>
            <w:r w:rsidRPr="0047147F">
              <w:rPr>
                <w:rFonts w:cs="Arial"/>
                <w:b/>
              </w:rPr>
              <w:t>Security Classification:</w:t>
            </w:r>
          </w:p>
        </w:tc>
        <w:tc>
          <w:tcPr>
            <w:tcW w:w="5996" w:type="dxa"/>
            <w:tcBorders>
              <w:top w:val="single" w:sz="12" w:space="0" w:color="003C7D"/>
              <w:left w:val="single" w:sz="2" w:space="0" w:color="003C7D"/>
              <w:bottom w:val="single" w:sz="2" w:space="0" w:color="003C7D"/>
              <w:right w:val="single" w:sz="2" w:space="0" w:color="003C7D"/>
            </w:tcBorders>
            <w:shd w:val="clear" w:color="auto" w:fill="D9D9D9"/>
            <w:vAlign w:val="center"/>
          </w:tcPr>
          <w:p w14:paraId="41E040FF" w14:textId="77777777" w:rsidR="009F63B0" w:rsidRPr="0047147F" w:rsidRDefault="009F63B0" w:rsidP="00A2552F">
            <w:pPr>
              <w:spacing w:before="60" w:after="60"/>
              <w:rPr>
                <w:rFonts w:cs="Arial"/>
                <w:b/>
              </w:rPr>
            </w:pPr>
            <w:r>
              <w:rPr>
                <w:rFonts w:cs="Arial"/>
                <w:b/>
              </w:rPr>
              <w:t>Official</w:t>
            </w:r>
          </w:p>
        </w:tc>
      </w:tr>
      <w:tr w:rsidR="009F63B0" w:rsidRPr="0047147F" w14:paraId="41E04103" w14:textId="77777777" w:rsidTr="00A2552F">
        <w:trPr>
          <w:jc w:val="center"/>
        </w:trPr>
        <w:tc>
          <w:tcPr>
            <w:tcW w:w="3652" w:type="dxa"/>
            <w:tcBorders>
              <w:top w:val="single" w:sz="2" w:space="0" w:color="003C7D"/>
              <w:bottom w:val="single" w:sz="4" w:space="0" w:color="auto"/>
            </w:tcBorders>
            <w:shd w:val="clear" w:color="auto" w:fill="D9D9D9"/>
            <w:vAlign w:val="center"/>
          </w:tcPr>
          <w:p w14:paraId="41E04101" w14:textId="77777777" w:rsidR="009F63B0" w:rsidRPr="0047147F" w:rsidRDefault="009F63B0" w:rsidP="00A2552F">
            <w:pPr>
              <w:spacing w:before="60" w:after="60"/>
              <w:rPr>
                <w:rFonts w:cs="Arial"/>
                <w:b/>
              </w:rPr>
            </w:pPr>
            <w:r w:rsidRPr="0047147F">
              <w:rPr>
                <w:rFonts w:cs="Arial"/>
                <w:b/>
              </w:rPr>
              <w:t>Handling information if required:</w:t>
            </w:r>
          </w:p>
        </w:tc>
        <w:tc>
          <w:tcPr>
            <w:tcW w:w="5996" w:type="dxa"/>
            <w:tcBorders>
              <w:top w:val="single" w:sz="2" w:space="0" w:color="003C7D"/>
              <w:bottom w:val="single" w:sz="4" w:space="0" w:color="auto"/>
            </w:tcBorders>
            <w:shd w:val="clear" w:color="auto" w:fill="D9D9D9"/>
            <w:vAlign w:val="center"/>
          </w:tcPr>
          <w:p w14:paraId="41E04102" w14:textId="77777777" w:rsidR="009F63B0" w:rsidRPr="0047147F" w:rsidRDefault="009F63B0" w:rsidP="00A2552F">
            <w:pPr>
              <w:spacing w:before="60" w:after="60"/>
              <w:rPr>
                <w:rFonts w:cs="Arial"/>
              </w:rPr>
            </w:pPr>
            <w:r>
              <w:rPr>
                <w:rFonts w:cs="Arial"/>
              </w:rPr>
              <w:t>n/a</w:t>
            </w:r>
          </w:p>
        </w:tc>
      </w:tr>
      <w:tr w:rsidR="009F63B0" w:rsidRPr="0047147F" w14:paraId="41E04106" w14:textId="77777777" w:rsidTr="00A2552F">
        <w:trPr>
          <w:jc w:val="center"/>
        </w:trPr>
        <w:tc>
          <w:tcPr>
            <w:tcW w:w="3652" w:type="dxa"/>
            <w:tcBorders>
              <w:top w:val="single" w:sz="4" w:space="0" w:color="auto"/>
              <w:bottom w:val="single" w:sz="12" w:space="0" w:color="003C7D"/>
            </w:tcBorders>
            <w:shd w:val="clear" w:color="auto" w:fill="D9D9D9"/>
            <w:vAlign w:val="center"/>
          </w:tcPr>
          <w:p w14:paraId="41E04104" w14:textId="77777777" w:rsidR="009F63B0" w:rsidRPr="0047147F" w:rsidRDefault="009F63B0" w:rsidP="00A2552F">
            <w:pPr>
              <w:spacing w:before="60" w:after="60"/>
              <w:rPr>
                <w:rFonts w:cs="Arial"/>
                <w:b/>
              </w:rPr>
            </w:pPr>
            <w:r w:rsidRPr="0047147F">
              <w:rPr>
                <w:rFonts w:cs="Arial"/>
                <w:b/>
              </w:rPr>
              <w:t>Suitable for publication:</w:t>
            </w:r>
          </w:p>
        </w:tc>
        <w:tc>
          <w:tcPr>
            <w:tcW w:w="5996" w:type="dxa"/>
            <w:tcBorders>
              <w:top w:val="single" w:sz="4" w:space="0" w:color="auto"/>
              <w:bottom w:val="single" w:sz="12" w:space="0" w:color="003C7D"/>
            </w:tcBorders>
            <w:shd w:val="clear" w:color="auto" w:fill="D9D9D9"/>
            <w:vAlign w:val="center"/>
          </w:tcPr>
          <w:p w14:paraId="41E04105" w14:textId="77777777" w:rsidR="009F63B0" w:rsidRPr="0047147F" w:rsidRDefault="009F63B0" w:rsidP="00A2552F">
            <w:pPr>
              <w:spacing w:before="60" w:after="60"/>
              <w:rPr>
                <w:rFonts w:cs="Arial"/>
              </w:rPr>
            </w:pPr>
            <w:r w:rsidRPr="0047147F">
              <w:rPr>
                <w:rFonts w:cs="Arial"/>
              </w:rPr>
              <w:t>No</w:t>
            </w:r>
          </w:p>
        </w:tc>
      </w:tr>
      <w:tr w:rsidR="009F63B0" w:rsidRPr="0047147F" w14:paraId="41E04109" w14:textId="77777777" w:rsidTr="00A2552F">
        <w:trPr>
          <w:jc w:val="center"/>
        </w:trPr>
        <w:tc>
          <w:tcPr>
            <w:tcW w:w="3652" w:type="dxa"/>
            <w:tcBorders>
              <w:top w:val="single" w:sz="12" w:space="0" w:color="003C7D"/>
              <w:bottom w:val="single" w:sz="4" w:space="0" w:color="003C7D"/>
            </w:tcBorders>
            <w:shd w:val="clear" w:color="auto" w:fill="auto"/>
            <w:vAlign w:val="center"/>
          </w:tcPr>
          <w:p w14:paraId="41E04107" w14:textId="77777777" w:rsidR="009F63B0" w:rsidRPr="0047147F" w:rsidRDefault="009F63B0" w:rsidP="00A2552F">
            <w:pPr>
              <w:spacing w:before="60" w:after="60"/>
              <w:rPr>
                <w:rFonts w:cs="Arial"/>
                <w:b/>
              </w:rPr>
            </w:pPr>
            <w:r w:rsidRPr="0047147F">
              <w:rPr>
                <w:rFonts w:cs="Arial"/>
                <w:b/>
              </w:rPr>
              <w:t>Title:</w:t>
            </w:r>
          </w:p>
        </w:tc>
        <w:tc>
          <w:tcPr>
            <w:tcW w:w="5996" w:type="dxa"/>
            <w:tcBorders>
              <w:top w:val="single" w:sz="12" w:space="0" w:color="003C7D"/>
              <w:bottom w:val="single" w:sz="4" w:space="0" w:color="003C7D"/>
            </w:tcBorders>
            <w:shd w:val="clear" w:color="auto" w:fill="auto"/>
            <w:vAlign w:val="center"/>
          </w:tcPr>
          <w:p w14:paraId="41E04108" w14:textId="00AC80F4" w:rsidR="009F63B0" w:rsidRPr="0047147F" w:rsidRDefault="00306118" w:rsidP="00306118">
            <w:pPr>
              <w:spacing w:before="60" w:after="60"/>
              <w:rPr>
                <w:rFonts w:cs="Arial"/>
              </w:rPr>
            </w:pPr>
            <w:r>
              <w:rPr>
                <w:rFonts w:cs="Arial"/>
              </w:rPr>
              <w:t>External Audit Report and Audited Financial Statements 2019/20</w:t>
            </w:r>
          </w:p>
        </w:tc>
      </w:tr>
      <w:tr w:rsidR="009F63B0" w:rsidRPr="0047147F" w14:paraId="41E0410C" w14:textId="77777777" w:rsidTr="00A2552F">
        <w:trPr>
          <w:trHeight w:val="465"/>
          <w:jc w:val="center"/>
        </w:trPr>
        <w:tc>
          <w:tcPr>
            <w:tcW w:w="3652" w:type="dxa"/>
            <w:tcBorders>
              <w:top w:val="single" w:sz="4" w:space="0" w:color="003C7D"/>
            </w:tcBorders>
            <w:shd w:val="clear" w:color="auto" w:fill="auto"/>
            <w:vAlign w:val="center"/>
          </w:tcPr>
          <w:p w14:paraId="41E0410A" w14:textId="77777777" w:rsidR="009F63B0" w:rsidRPr="0047147F" w:rsidRDefault="009F63B0" w:rsidP="00A2552F">
            <w:pPr>
              <w:spacing w:before="60" w:after="60"/>
              <w:rPr>
                <w:rFonts w:cs="Arial"/>
                <w:b/>
              </w:rPr>
            </w:pPr>
            <w:r w:rsidRPr="0047147F">
              <w:rPr>
                <w:rFonts w:cs="Arial"/>
                <w:b/>
              </w:rPr>
              <w:t>Version:</w:t>
            </w:r>
          </w:p>
        </w:tc>
        <w:tc>
          <w:tcPr>
            <w:tcW w:w="5996" w:type="dxa"/>
            <w:tcBorders>
              <w:top w:val="single" w:sz="4" w:space="0" w:color="003C7D"/>
            </w:tcBorders>
            <w:shd w:val="clear" w:color="auto" w:fill="auto"/>
            <w:vAlign w:val="center"/>
          </w:tcPr>
          <w:p w14:paraId="41E0410B" w14:textId="77777777" w:rsidR="009F63B0" w:rsidRPr="0047147F" w:rsidRDefault="009F63B0" w:rsidP="00A2552F">
            <w:pPr>
              <w:spacing w:before="60" w:after="60"/>
              <w:rPr>
                <w:rFonts w:cs="Arial"/>
              </w:rPr>
            </w:pPr>
            <w:r w:rsidRPr="0047147F">
              <w:rPr>
                <w:rFonts w:cs="Arial"/>
              </w:rPr>
              <w:t>1</w:t>
            </w:r>
          </w:p>
        </w:tc>
      </w:tr>
      <w:tr w:rsidR="009F63B0" w:rsidRPr="0047147F" w14:paraId="41E0410F" w14:textId="77777777" w:rsidTr="00A2552F">
        <w:trPr>
          <w:jc w:val="center"/>
        </w:trPr>
        <w:tc>
          <w:tcPr>
            <w:tcW w:w="3652" w:type="dxa"/>
            <w:shd w:val="clear" w:color="auto" w:fill="auto"/>
            <w:vAlign w:val="center"/>
          </w:tcPr>
          <w:p w14:paraId="41E0410D" w14:textId="77777777" w:rsidR="009F63B0" w:rsidRPr="0047147F" w:rsidRDefault="009F63B0" w:rsidP="00A2552F">
            <w:pPr>
              <w:spacing w:before="60" w:after="60"/>
              <w:rPr>
                <w:rFonts w:cs="Arial"/>
                <w:b/>
              </w:rPr>
            </w:pPr>
            <w:r w:rsidRPr="0047147F">
              <w:rPr>
                <w:rFonts w:cs="Arial"/>
                <w:b/>
              </w:rPr>
              <w:t>Purpose:</w:t>
            </w:r>
          </w:p>
        </w:tc>
        <w:tc>
          <w:tcPr>
            <w:tcW w:w="5996" w:type="dxa"/>
            <w:shd w:val="clear" w:color="auto" w:fill="auto"/>
            <w:vAlign w:val="center"/>
          </w:tcPr>
          <w:p w14:paraId="41E0410E" w14:textId="10D5D400" w:rsidR="009F63B0" w:rsidRPr="0047147F" w:rsidRDefault="00F70539" w:rsidP="00306118">
            <w:pPr>
              <w:spacing w:before="60" w:after="60"/>
              <w:rPr>
                <w:rFonts w:cs="Arial"/>
              </w:rPr>
            </w:pPr>
            <w:r>
              <w:rPr>
                <w:rFonts w:cs="Arial"/>
              </w:rPr>
              <w:t>To present</w:t>
            </w:r>
            <w:r w:rsidR="00DE7E57" w:rsidRPr="00DE7E57">
              <w:rPr>
                <w:rFonts w:cs="Arial"/>
              </w:rPr>
              <w:t xml:space="preserve"> the </w:t>
            </w:r>
            <w:r w:rsidR="00306118">
              <w:rPr>
                <w:rFonts w:cs="Arial"/>
              </w:rPr>
              <w:t xml:space="preserve">final audited Financial Statements for 2019/20 for </w:t>
            </w:r>
            <w:r w:rsidR="00306118" w:rsidRPr="00DE7E57">
              <w:rPr>
                <w:rFonts w:cs="Arial"/>
              </w:rPr>
              <w:t>both the Police and Crime Commissioner (PCC) and the Chief Constable (CC)</w:t>
            </w:r>
            <w:r w:rsidR="00306118">
              <w:rPr>
                <w:rFonts w:cs="Arial"/>
              </w:rPr>
              <w:t xml:space="preserve"> as well as the External auditor’s report</w:t>
            </w:r>
            <w:r w:rsidR="00DE7E57" w:rsidRPr="00DE7E57">
              <w:rPr>
                <w:rFonts w:cs="Arial"/>
              </w:rPr>
              <w:t xml:space="preserve"> for </w:t>
            </w:r>
            <w:r w:rsidR="00306118">
              <w:rPr>
                <w:rFonts w:cs="Arial"/>
              </w:rPr>
              <w:t>consideration</w:t>
            </w:r>
            <w:r w:rsidR="00DE7E57" w:rsidRPr="00DE7E57">
              <w:rPr>
                <w:rFonts w:cs="Arial"/>
              </w:rPr>
              <w:t xml:space="preserve"> by the Audit Committee.</w:t>
            </w:r>
          </w:p>
        </w:tc>
      </w:tr>
      <w:tr w:rsidR="009F63B0" w:rsidRPr="0047147F" w14:paraId="41E04112" w14:textId="77777777" w:rsidTr="00A2552F">
        <w:trPr>
          <w:jc w:val="center"/>
        </w:trPr>
        <w:tc>
          <w:tcPr>
            <w:tcW w:w="3652" w:type="dxa"/>
            <w:shd w:val="clear" w:color="auto" w:fill="auto"/>
            <w:vAlign w:val="center"/>
          </w:tcPr>
          <w:p w14:paraId="41E04110" w14:textId="77777777" w:rsidR="009F63B0" w:rsidRPr="0047147F" w:rsidRDefault="009F63B0" w:rsidP="00A2552F">
            <w:pPr>
              <w:spacing w:before="60" w:after="60"/>
              <w:rPr>
                <w:rFonts w:cs="Arial"/>
                <w:b/>
              </w:rPr>
            </w:pPr>
            <w:r w:rsidRPr="0047147F">
              <w:rPr>
                <w:rFonts w:cs="Arial"/>
                <w:b/>
              </w:rPr>
              <w:t>ACPO / Strategic Lead:</w:t>
            </w:r>
          </w:p>
        </w:tc>
        <w:tc>
          <w:tcPr>
            <w:tcW w:w="5996" w:type="dxa"/>
            <w:shd w:val="clear" w:color="auto" w:fill="auto"/>
            <w:vAlign w:val="center"/>
          </w:tcPr>
          <w:p w14:paraId="41E04111" w14:textId="338F3968" w:rsidR="009F63B0" w:rsidRPr="0047147F" w:rsidRDefault="00306118" w:rsidP="00306118">
            <w:pPr>
              <w:spacing w:before="60" w:after="60"/>
              <w:rPr>
                <w:rFonts w:cs="Arial"/>
              </w:rPr>
            </w:pPr>
            <w:r>
              <w:rPr>
                <w:rFonts w:cs="Arial"/>
              </w:rPr>
              <w:t>Kelvin Menon</w:t>
            </w:r>
            <w:r w:rsidR="00DE7E57" w:rsidRPr="00DE7E57">
              <w:rPr>
                <w:rFonts w:cs="Arial"/>
              </w:rPr>
              <w:t xml:space="preserve"> Treasurer</w:t>
            </w:r>
          </w:p>
        </w:tc>
      </w:tr>
      <w:tr w:rsidR="009F63B0" w:rsidRPr="0047147F" w14:paraId="41E04115" w14:textId="77777777" w:rsidTr="00A2552F">
        <w:trPr>
          <w:jc w:val="center"/>
        </w:trPr>
        <w:tc>
          <w:tcPr>
            <w:tcW w:w="3652" w:type="dxa"/>
            <w:shd w:val="clear" w:color="auto" w:fill="auto"/>
            <w:vAlign w:val="center"/>
          </w:tcPr>
          <w:p w14:paraId="41E04113" w14:textId="77777777" w:rsidR="009F63B0" w:rsidRPr="0047147F" w:rsidRDefault="009F63B0" w:rsidP="00A2552F">
            <w:pPr>
              <w:spacing w:before="60" w:after="60"/>
              <w:rPr>
                <w:rFonts w:cs="Arial"/>
                <w:b/>
              </w:rPr>
            </w:pPr>
            <w:r w:rsidRPr="0047147F">
              <w:rPr>
                <w:rFonts w:cs="Arial"/>
                <w:b/>
              </w:rPr>
              <w:t>National Decision Model compliance:</w:t>
            </w:r>
          </w:p>
        </w:tc>
        <w:tc>
          <w:tcPr>
            <w:tcW w:w="5996" w:type="dxa"/>
            <w:shd w:val="clear" w:color="auto" w:fill="auto"/>
            <w:vAlign w:val="center"/>
          </w:tcPr>
          <w:p w14:paraId="41E04114" w14:textId="77777777" w:rsidR="009F63B0" w:rsidRPr="0047147F" w:rsidRDefault="009F63B0" w:rsidP="00A2552F">
            <w:pPr>
              <w:spacing w:before="60" w:after="60"/>
              <w:rPr>
                <w:rFonts w:cs="Arial"/>
              </w:rPr>
            </w:pPr>
            <w:r w:rsidRPr="0047147F">
              <w:rPr>
                <w:rFonts w:cs="Arial"/>
              </w:rPr>
              <w:t xml:space="preserve">Yes </w:t>
            </w:r>
          </w:p>
        </w:tc>
      </w:tr>
      <w:tr w:rsidR="009F63B0" w:rsidRPr="0047147F" w14:paraId="41E04118" w14:textId="77777777" w:rsidTr="00A2552F">
        <w:trPr>
          <w:trHeight w:val="221"/>
          <w:jc w:val="center"/>
        </w:trPr>
        <w:tc>
          <w:tcPr>
            <w:tcW w:w="3652" w:type="dxa"/>
            <w:shd w:val="clear" w:color="auto" w:fill="auto"/>
            <w:vAlign w:val="center"/>
          </w:tcPr>
          <w:p w14:paraId="41E04116" w14:textId="77777777" w:rsidR="009F63B0" w:rsidRPr="0047147F" w:rsidRDefault="009F63B0" w:rsidP="00A2552F">
            <w:pPr>
              <w:spacing w:before="60" w:after="60"/>
              <w:rPr>
                <w:rFonts w:cs="Arial"/>
                <w:b/>
              </w:rPr>
            </w:pPr>
            <w:r w:rsidRPr="0047147F">
              <w:rPr>
                <w:rFonts w:cs="Arial"/>
                <w:b/>
              </w:rPr>
              <w:t>Date created:</w:t>
            </w:r>
          </w:p>
        </w:tc>
        <w:tc>
          <w:tcPr>
            <w:tcW w:w="5996" w:type="dxa"/>
            <w:shd w:val="clear" w:color="auto" w:fill="auto"/>
            <w:vAlign w:val="center"/>
          </w:tcPr>
          <w:p w14:paraId="41E04117" w14:textId="5E4FCC2E" w:rsidR="009F63B0" w:rsidRPr="0047147F" w:rsidRDefault="00306118" w:rsidP="00306118">
            <w:pPr>
              <w:spacing w:before="60" w:after="60"/>
              <w:rPr>
                <w:rFonts w:cs="Arial"/>
              </w:rPr>
            </w:pPr>
            <w:r>
              <w:rPr>
                <w:rFonts w:cs="Arial"/>
              </w:rPr>
              <w:t>17</w:t>
            </w:r>
            <w:r w:rsidRPr="00306118">
              <w:rPr>
                <w:rFonts w:cs="Arial"/>
                <w:vertAlign w:val="superscript"/>
              </w:rPr>
              <w:t>th</w:t>
            </w:r>
            <w:r>
              <w:rPr>
                <w:rFonts w:cs="Arial"/>
              </w:rPr>
              <w:t xml:space="preserve"> November 2020</w:t>
            </w:r>
          </w:p>
        </w:tc>
      </w:tr>
      <w:tr w:rsidR="009F63B0" w:rsidRPr="0047147F" w14:paraId="41E0411B" w14:textId="77777777" w:rsidTr="00A2552F">
        <w:trPr>
          <w:trHeight w:val="369"/>
          <w:jc w:val="center"/>
        </w:trPr>
        <w:tc>
          <w:tcPr>
            <w:tcW w:w="3652" w:type="dxa"/>
            <w:shd w:val="clear" w:color="auto" w:fill="auto"/>
            <w:vAlign w:val="center"/>
          </w:tcPr>
          <w:p w14:paraId="41E04119" w14:textId="77777777" w:rsidR="009F63B0" w:rsidRPr="0047147F" w:rsidRDefault="009F63B0" w:rsidP="00A2552F">
            <w:pPr>
              <w:spacing w:before="60" w:after="60"/>
              <w:rPr>
                <w:rFonts w:cs="Arial"/>
                <w:b/>
              </w:rPr>
            </w:pPr>
            <w:r w:rsidRPr="0047147F">
              <w:rPr>
                <w:rFonts w:cs="Arial"/>
                <w:b/>
              </w:rPr>
              <w:t>Date to be reviewed:</w:t>
            </w:r>
          </w:p>
        </w:tc>
        <w:tc>
          <w:tcPr>
            <w:tcW w:w="5996" w:type="dxa"/>
            <w:shd w:val="clear" w:color="auto" w:fill="auto"/>
            <w:vAlign w:val="center"/>
          </w:tcPr>
          <w:p w14:paraId="41E0411A" w14:textId="77777777" w:rsidR="009F63B0" w:rsidRPr="0047147F" w:rsidRDefault="009F63B0" w:rsidP="00A2552F">
            <w:pPr>
              <w:spacing w:before="60" w:after="60"/>
              <w:rPr>
                <w:rFonts w:cs="Arial"/>
              </w:rPr>
            </w:pPr>
          </w:p>
        </w:tc>
      </w:tr>
    </w:tbl>
    <w:p w14:paraId="41E0411C" w14:textId="77777777" w:rsidR="009F63B0" w:rsidRPr="0047147F" w:rsidRDefault="009F63B0" w:rsidP="009F63B0">
      <w:pPr>
        <w:tabs>
          <w:tab w:val="right" w:pos="8306"/>
        </w:tabs>
        <w:rPr>
          <w:rFonts w:cs="Arial"/>
          <w:b/>
        </w:rPr>
      </w:pPr>
    </w:p>
    <w:tbl>
      <w:tblPr>
        <w:tblW w:w="9648" w:type="dxa"/>
        <w:jc w:val="center"/>
        <w:tblBorders>
          <w:top w:val="single" w:sz="18" w:space="0" w:color="003C7D"/>
          <w:left w:val="single" w:sz="4" w:space="0" w:color="003C7D"/>
          <w:bottom w:val="single" w:sz="18" w:space="0" w:color="003C7D"/>
          <w:right w:val="single" w:sz="4" w:space="0" w:color="003C7D"/>
          <w:insideH w:val="single" w:sz="4" w:space="0" w:color="003C7D"/>
          <w:insideV w:val="single" w:sz="4" w:space="0" w:color="003C7D"/>
        </w:tblBorders>
        <w:tblLook w:val="01E0" w:firstRow="1" w:lastRow="1" w:firstColumn="1" w:lastColumn="1" w:noHBand="0" w:noVBand="0"/>
      </w:tblPr>
      <w:tblGrid>
        <w:gridCol w:w="3510"/>
        <w:gridCol w:w="6138"/>
      </w:tblGrid>
      <w:tr w:rsidR="009F63B0" w:rsidRPr="0047147F" w14:paraId="41E0411F" w14:textId="77777777" w:rsidTr="00A2552F">
        <w:trPr>
          <w:jc w:val="center"/>
        </w:trPr>
        <w:tc>
          <w:tcPr>
            <w:tcW w:w="3510" w:type="dxa"/>
            <w:shd w:val="clear" w:color="auto" w:fill="auto"/>
            <w:vAlign w:val="center"/>
          </w:tcPr>
          <w:p w14:paraId="41E0411D" w14:textId="77777777" w:rsidR="009F63B0" w:rsidRPr="0047147F" w:rsidRDefault="009F63B0" w:rsidP="00A2552F">
            <w:pPr>
              <w:spacing w:before="60" w:after="60"/>
              <w:rPr>
                <w:rFonts w:cs="Arial"/>
                <w:b/>
              </w:rPr>
            </w:pPr>
            <w:r w:rsidRPr="0047147F">
              <w:rPr>
                <w:rFonts w:cs="Arial"/>
                <w:b/>
              </w:rPr>
              <w:t>AUTHOR:</w:t>
            </w:r>
          </w:p>
        </w:tc>
        <w:tc>
          <w:tcPr>
            <w:tcW w:w="6138" w:type="dxa"/>
            <w:shd w:val="clear" w:color="auto" w:fill="auto"/>
            <w:vAlign w:val="center"/>
          </w:tcPr>
          <w:p w14:paraId="41E0411E" w14:textId="77777777" w:rsidR="009F63B0" w:rsidRPr="0047147F" w:rsidRDefault="009F63B0" w:rsidP="00A2552F">
            <w:pPr>
              <w:spacing w:before="60" w:after="60"/>
              <w:rPr>
                <w:rFonts w:cs="Arial"/>
              </w:rPr>
            </w:pPr>
          </w:p>
        </w:tc>
      </w:tr>
      <w:tr w:rsidR="009F63B0" w:rsidRPr="0047147F" w14:paraId="41E04122" w14:textId="77777777" w:rsidTr="00A2552F">
        <w:trPr>
          <w:jc w:val="center"/>
        </w:trPr>
        <w:tc>
          <w:tcPr>
            <w:tcW w:w="3510" w:type="dxa"/>
            <w:shd w:val="clear" w:color="auto" w:fill="auto"/>
            <w:vAlign w:val="center"/>
          </w:tcPr>
          <w:p w14:paraId="41E04120" w14:textId="77777777" w:rsidR="009F63B0" w:rsidRPr="0047147F" w:rsidRDefault="009F63B0" w:rsidP="00A2552F">
            <w:pPr>
              <w:spacing w:before="60" w:after="60"/>
              <w:rPr>
                <w:rFonts w:cs="Arial"/>
                <w:b/>
              </w:rPr>
            </w:pPr>
            <w:r w:rsidRPr="0047147F">
              <w:rPr>
                <w:rFonts w:cs="Arial"/>
                <w:b/>
              </w:rPr>
              <w:t>Name:</w:t>
            </w:r>
          </w:p>
        </w:tc>
        <w:tc>
          <w:tcPr>
            <w:tcW w:w="6138" w:type="dxa"/>
            <w:shd w:val="clear" w:color="auto" w:fill="auto"/>
            <w:vAlign w:val="center"/>
          </w:tcPr>
          <w:p w14:paraId="41E04121" w14:textId="12BDC30E" w:rsidR="009F63B0" w:rsidRPr="0047147F" w:rsidRDefault="00306118" w:rsidP="00A2552F">
            <w:pPr>
              <w:spacing w:before="60" w:after="60"/>
              <w:rPr>
                <w:rFonts w:cs="Arial"/>
              </w:rPr>
            </w:pPr>
            <w:r>
              <w:rPr>
                <w:rFonts w:cs="Arial"/>
              </w:rPr>
              <w:t>Kelvin Menon</w:t>
            </w:r>
          </w:p>
        </w:tc>
      </w:tr>
      <w:tr w:rsidR="009F63B0" w:rsidRPr="0047147F" w14:paraId="41E04125" w14:textId="77777777" w:rsidTr="00A2552F">
        <w:trPr>
          <w:jc w:val="center"/>
        </w:trPr>
        <w:tc>
          <w:tcPr>
            <w:tcW w:w="3510" w:type="dxa"/>
            <w:shd w:val="clear" w:color="auto" w:fill="auto"/>
            <w:vAlign w:val="center"/>
          </w:tcPr>
          <w:p w14:paraId="41E04123" w14:textId="77777777" w:rsidR="009F63B0" w:rsidRPr="0047147F" w:rsidRDefault="009F63B0" w:rsidP="00A2552F">
            <w:pPr>
              <w:spacing w:before="60" w:after="60"/>
              <w:rPr>
                <w:rFonts w:cs="Arial"/>
                <w:b/>
              </w:rPr>
            </w:pPr>
            <w:r w:rsidRPr="0047147F">
              <w:rPr>
                <w:rFonts w:cs="Arial"/>
                <w:b/>
              </w:rPr>
              <w:t>Job Title:</w:t>
            </w:r>
          </w:p>
        </w:tc>
        <w:tc>
          <w:tcPr>
            <w:tcW w:w="6138" w:type="dxa"/>
            <w:shd w:val="clear" w:color="auto" w:fill="auto"/>
            <w:vAlign w:val="center"/>
          </w:tcPr>
          <w:p w14:paraId="41E04124" w14:textId="6AC83715" w:rsidR="009F63B0" w:rsidRPr="0047147F" w:rsidRDefault="00306118" w:rsidP="00306118">
            <w:pPr>
              <w:spacing w:before="60" w:after="60"/>
              <w:rPr>
                <w:rFonts w:cs="Arial"/>
              </w:rPr>
            </w:pPr>
            <w:r>
              <w:rPr>
                <w:rFonts w:cs="Arial"/>
              </w:rPr>
              <w:t>PCC Treasurer</w:t>
            </w:r>
          </w:p>
        </w:tc>
      </w:tr>
      <w:tr w:rsidR="009F63B0" w:rsidRPr="0047147F" w14:paraId="41E04128" w14:textId="77777777" w:rsidTr="00A2552F">
        <w:trPr>
          <w:jc w:val="center"/>
        </w:trPr>
        <w:tc>
          <w:tcPr>
            <w:tcW w:w="3510" w:type="dxa"/>
            <w:shd w:val="clear" w:color="auto" w:fill="auto"/>
            <w:vAlign w:val="center"/>
          </w:tcPr>
          <w:p w14:paraId="41E04126" w14:textId="77777777" w:rsidR="009F63B0" w:rsidRPr="0047147F" w:rsidRDefault="009F63B0" w:rsidP="00A2552F">
            <w:pPr>
              <w:spacing w:before="60" w:after="60"/>
              <w:rPr>
                <w:rFonts w:cs="Arial"/>
                <w:b/>
              </w:rPr>
            </w:pPr>
            <w:r w:rsidRPr="0047147F">
              <w:rPr>
                <w:rFonts w:cs="Arial"/>
                <w:b/>
              </w:rPr>
              <w:t>Telephone number:</w:t>
            </w:r>
          </w:p>
        </w:tc>
        <w:tc>
          <w:tcPr>
            <w:tcW w:w="6138" w:type="dxa"/>
            <w:shd w:val="clear" w:color="auto" w:fill="auto"/>
            <w:vAlign w:val="center"/>
          </w:tcPr>
          <w:p w14:paraId="41E04127" w14:textId="1A60D00C" w:rsidR="009F63B0" w:rsidRPr="0047147F" w:rsidRDefault="00306118" w:rsidP="00DE7E57">
            <w:pPr>
              <w:spacing w:before="60" w:after="60"/>
              <w:rPr>
                <w:rFonts w:cs="Arial"/>
              </w:rPr>
            </w:pPr>
            <w:r>
              <w:rPr>
                <w:rFonts w:cs="Arial"/>
              </w:rPr>
              <w:t>07870 378553</w:t>
            </w:r>
          </w:p>
        </w:tc>
      </w:tr>
      <w:tr w:rsidR="009F63B0" w:rsidRPr="0047147F" w14:paraId="41E0412B" w14:textId="77777777" w:rsidTr="00A2552F">
        <w:trPr>
          <w:jc w:val="center"/>
        </w:trPr>
        <w:tc>
          <w:tcPr>
            <w:tcW w:w="3510" w:type="dxa"/>
            <w:shd w:val="clear" w:color="auto" w:fill="auto"/>
            <w:vAlign w:val="center"/>
          </w:tcPr>
          <w:p w14:paraId="41E04129" w14:textId="77777777" w:rsidR="009F63B0" w:rsidRPr="0047147F" w:rsidRDefault="009F63B0" w:rsidP="00A2552F">
            <w:pPr>
              <w:spacing w:before="60" w:after="60"/>
              <w:rPr>
                <w:rFonts w:cs="Arial"/>
                <w:b/>
              </w:rPr>
            </w:pPr>
            <w:r w:rsidRPr="0047147F">
              <w:rPr>
                <w:rFonts w:cs="Arial"/>
                <w:b/>
              </w:rPr>
              <w:t>Email address:</w:t>
            </w:r>
          </w:p>
        </w:tc>
        <w:tc>
          <w:tcPr>
            <w:tcW w:w="6138" w:type="dxa"/>
            <w:shd w:val="clear" w:color="auto" w:fill="auto"/>
            <w:vAlign w:val="center"/>
          </w:tcPr>
          <w:p w14:paraId="41E0412A" w14:textId="13BA526D" w:rsidR="009F63B0" w:rsidRPr="0047147F" w:rsidRDefault="00306118" w:rsidP="00306118">
            <w:pPr>
              <w:spacing w:before="60" w:after="60"/>
              <w:rPr>
                <w:rFonts w:cs="Arial"/>
              </w:rPr>
            </w:pPr>
            <w:r>
              <w:rPr>
                <w:rFonts w:cs="Arial"/>
              </w:rPr>
              <w:t>Kelvin.menon</w:t>
            </w:r>
            <w:r w:rsidR="00117180">
              <w:rPr>
                <w:rFonts w:cs="Arial"/>
              </w:rPr>
              <w:t>@su</w:t>
            </w:r>
            <w:r>
              <w:rPr>
                <w:rFonts w:cs="Arial"/>
              </w:rPr>
              <w:t>rrey</w:t>
            </w:r>
            <w:r w:rsidR="00DE7E57">
              <w:rPr>
                <w:rFonts w:cs="Arial"/>
              </w:rPr>
              <w:t>.pnn.police.uk</w:t>
            </w:r>
          </w:p>
        </w:tc>
      </w:tr>
    </w:tbl>
    <w:p w14:paraId="41E0412C" w14:textId="77777777" w:rsidR="009F63B0" w:rsidRDefault="009F63B0" w:rsidP="009F63B0">
      <w:pPr>
        <w:tabs>
          <w:tab w:val="right" w:pos="8306"/>
        </w:tabs>
        <w:jc w:val="center"/>
        <w:rPr>
          <w:rFonts w:cs="Arial"/>
          <w:lang w:eastAsia="en-GB"/>
        </w:rPr>
      </w:pPr>
      <w:r w:rsidRPr="00752E8C">
        <w:rPr>
          <w:rFonts w:cs="Arial"/>
          <w:lang w:eastAsia="en-GB"/>
        </w:rPr>
        <w:lastRenderedPageBreak/>
        <w:fldChar w:fldCharType="begin"/>
      </w:r>
      <w:r w:rsidRPr="00752E8C">
        <w:rPr>
          <w:rFonts w:cs="Arial"/>
          <w:lang w:eastAsia="en-GB"/>
        </w:rPr>
        <w:instrText xml:space="preserve"> INCLUDEPICTURE  "cid:image001.png@01D312A9.8E469640" \* MERGEFORMATINET </w:instrText>
      </w:r>
      <w:r w:rsidRPr="00752E8C">
        <w:rPr>
          <w:rFonts w:cs="Arial"/>
          <w:lang w:eastAsia="en-GB"/>
        </w:rPr>
        <w:fldChar w:fldCharType="separate"/>
      </w:r>
      <w:r w:rsidRPr="00752E8C">
        <w:rPr>
          <w:rFonts w:cs="Arial"/>
          <w:lang w:eastAsia="en-GB"/>
        </w:rPr>
        <w:fldChar w:fldCharType="begin"/>
      </w:r>
      <w:r w:rsidRPr="00752E8C">
        <w:rPr>
          <w:rFonts w:cs="Arial"/>
          <w:lang w:eastAsia="en-GB"/>
        </w:rPr>
        <w:instrText xml:space="preserve"> INCLUDEPICTURE  "cid:image001.png@01D312A9.8E469640" \* MERGEFORMATINET </w:instrText>
      </w:r>
      <w:r w:rsidRPr="00752E8C">
        <w:rPr>
          <w:rFonts w:cs="Arial"/>
          <w:lang w:eastAsia="en-GB"/>
        </w:rPr>
        <w:fldChar w:fldCharType="separate"/>
      </w:r>
      <w:r w:rsidRPr="00752E8C">
        <w:rPr>
          <w:rFonts w:cs="Arial"/>
          <w:lang w:eastAsia="en-GB"/>
        </w:rPr>
        <w:fldChar w:fldCharType="begin"/>
      </w:r>
      <w:r w:rsidRPr="00752E8C">
        <w:rPr>
          <w:rFonts w:cs="Arial"/>
          <w:lang w:eastAsia="en-GB"/>
        </w:rPr>
        <w:instrText xml:space="preserve"> INCLUDEPICTURE  "cid:image001.png@01D312A9.8E469640" \* MERGEFORMATINET </w:instrText>
      </w:r>
      <w:r w:rsidRPr="00752E8C">
        <w:rPr>
          <w:rFonts w:cs="Arial"/>
          <w:lang w:eastAsia="en-GB"/>
        </w:rPr>
        <w:fldChar w:fldCharType="separate"/>
      </w:r>
      <w:r>
        <w:rPr>
          <w:rFonts w:cs="Arial"/>
          <w:lang w:eastAsia="en-GB"/>
        </w:rPr>
        <w:fldChar w:fldCharType="begin"/>
      </w:r>
      <w:r>
        <w:rPr>
          <w:rFonts w:cs="Arial"/>
          <w:lang w:eastAsia="en-GB"/>
        </w:rPr>
        <w:instrText xml:space="preserve"> INCLUDEPICTURE  "cid:image001.png@01D312A9.8E469640" \* MERGEFORMATINET </w:instrText>
      </w:r>
      <w:r>
        <w:rPr>
          <w:rFonts w:cs="Arial"/>
          <w:lang w:eastAsia="en-GB"/>
        </w:rPr>
        <w:fldChar w:fldCharType="separate"/>
      </w:r>
      <w:r>
        <w:rPr>
          <w:rFonts w:cs="Arial"/>
          <w:lang w:eastAsia="en-GB"/>
        </w:rPr>
        <w:fldChar w:fldCharType="begin"/>
      </w:r>
      <w:r>
        <w:rPr>
          <w:rFonts w:cs="Arial"/>
          <w:lang w:eastAsia="en-GB"/>
        </w:rPr>
        <w:instrText xml:space="preserve"> INCLUDEPICTURE  "cid:image001.png@01D312A9.8E469640" \* MERGEFORMATINET </w:instrText>
      </w:r>
      <w:r>
        <w:rPr>
          <w:rFonts w:cs="Arial"/>
          <w:lang w:eastAsia="en-GB"/>
        </w:rPr>
        <w:fldChar w:fldCharType="separate"/>
      </w:r>
      <w:r>
        <w:rPr>
          <w:rFonts w:cs="Arial"/>
          <w:lang w:eastAsia="en-GB"/>
        </w:rPr>
        <w:fldChar w:fldCharType="begin"/>
      </w:r>
      <w:r>
        <w:rPr>
          <w:rFonts w:cs="Arial"/>
          <w:lang w:eastAsia="en-GB"/>
        </w:rPr>
        <w:instrText xml:space="preserve"> INCLUDEPICTURE  "cid:image001.png@01D312A9.8E469640" \* MERGEFORMATINET </w:instrText>
      </w:r>
      <w:r>
        <w:rPr>
          <w:rFonts w:cs="Arial"/>
          <w:lang w:eastAsia="en-GB"/>
        </w:rPr>
        <w:fldChar w:fldCharType="separate"/>
      </w:r>
      <w:r>
        <w:rPr>
          <w:rFonts w:cs="Arial"/>
          <w:lang w:eastAsia="en-GB"/>
        </w:rPr>
        <w:fldChar w:fldCharType="begin"/>
      </w:r>
      <w:r>
        <w:rPr>
          <w:rFonts w:cs="Arial"/>
          <w:lang w:eastAsia="en-GB"/>
        </w:rPr>
        <w:instrText xml:space="preserve"> INCLUDEPICTURE  "cid:image001.png@01D312A9.8E469640" \* MERGEFORMATINET </w:instrText>
      </w:r>
      <w:r>
        <w:rPr>
          <w:rFonts w:cs="Arial"/>
          <w:lang w:eastAsia="en-GB"/>
        </w:rPr>
        <w:fldChar w:fldCharType="separate"/>
      </w:r>
      <w:r>
        <w:rPr>
          <w:rFonts w:cs="Arial"/>
          <w:lang w:eastAsia="en-GB"/>
        </w:rPr>
        <w:fldChar w:fldCharType="begin"/>
      </w:r>
      <w:r>
        <w:rPr>
          <w:rFonts w:cs="Arial"/>
          <w:lang w:eastAsia="en-GB"/>
        </w:rPr>
        <w:instrText xml:space="preserve"> INCLUDEPICTURE  "cid:image001.png@01D312A9.8E469640" \* MERGEFORMATINET </w:instrText>
      </w:r>
      <w:r>
        <w:rPr>
          <w:rFonts w:cs="Arial"/>
          <w:lang w:eastAsia="en-GB"/>
        </w:rPr>
        <w:fldChar w:fldCharType="separate"/>
      </w:r>
      <w:r>
        <w:rPr>
          <w:rFonts w:cs="Arial"/>
          <w:lang w:eastAsia="en-GB"/>
        </w:rPr>
        <w:fldChar w:fldCharType="begin"/>
      </w:r>
      <w:r>
        <w:rPr>
          <w:rFonts w:cs="Arial"/>
          <w:lang w:eastAsia="en-GB"/>
        </w:rPr>
        <w:instrText xml:space="preserve"> INCLUDEPICTURE  "cid:image001.png@01D312A9.8E469640" \* MERGEFORMATINET </w:instrText>
      </w:r>
      <w:r>
        <w:rPr>
          <w:rFonts w:cs="Arial"/>
          <w:lang w:eastAsia="en-GB"/>
        </w:rPr>
        <w:fldChar w:fldCharType="separate"/>
      </w:r>
      <w:r>
        <w:rPr>
          <w:rFonts w:cs="Arial"/>
          <w:lang w:eastAsia="en-GB"/>
        </w:rPr>
        <w:fldChar w:fldCharType="begin"/>
      </w:r>
      <w:r>
        <w:rPr>
          <w:rFonts w:cs="Arial"/>
          <w:lang w:eastAsia="en-GB"/>
        </w:rPr>
        <w:instrText xml:space="preserve"> INCLUDEPICTURE  "cid:image001.png@01D312A9.8E469640" \* MERGEFORMATINET </w:instrText>
      </w:r>
      <w:r>
        <w:rPr>
          <w:rFonts w:cs="Arial"/>
          <w:lang w:eastAsia="en-GB"/>
        </w:rPr>
        <w:fldChar w:fldCharType="separate"/>
      </w:r>
      <w:r>
        <w:rPr>
          <w:rFonts w:cs="Arial"/>
          <w:lang w:eastAsia="en-GB"/>
        </w:rPr>
        <w:fldChar w:fldCharType="begin"/>
      </w:r>
      <w:r>
        <w:rPr>
          <w:rFonts w:cs="Arial"/>
          <w:lang w:eastAsia="en-GB"/>
        </w:rPr>
        <w:instrText xml:space="preserve"> INCLUDEPICTURE  "cid:image001.png@01D312A9.8E469640" \* MERGEFORMATINET </w:instrText>
      </w:r>
      <w:r>
        <w:rPr>
          <w:rFonts w:cs="Arial"/>
          <w:lang w:eastAsia="en-GB"/>
        </w:rPr>
        <w:fldChar w:fldCharType="separate"/>
      </w:r>
      <w:r>
        <w:rPr>
          <w:rFonts w:cs="Arial"/>
          <w:lang w:eastAsia="en-GB"/>
        </w:rPr>
        <w:fldChar w:fldCharType="begin"/>
      </w:r>
      <w:r>
        <w:rPr>
          <w:rFonts w:cs="Arial"/>
          <w:lang w:eastAsia="en-GB"/>
        </w:rPr>
        <w:instrText xml:space="preserve"> INCLUDEPICTURE  "cid:image001.png@01D312A9.8E469640" \* MERGEFORMATINET </w:instrText>
      </w:r>
      <w:r>
        <w:rPr>
          <w:rFonts w:cs="Arial"/>
          <w:lang w:eastAsia="en-GB"/>
        </w:rPr>
        <w:fldChar w:fldCharType="separate"/>
      </w:r>
      <w:r>
        <w:rPr>
          <w:rFonts w:cs="Arial"/>
          <w:lang w:eastAsia="en-GB"/>
        </w:rPr>
        <w:fldChar w:fldCharType="begin"/>
      </w:r>
      <w:r>
        <w:rPr>
          <w:rFonts w:cs="Arial"/>
          <w:lang w:eastAsia="en-GB"/>
        </w:rPr>
        <w:instrText xml:space="preserve"> INCLUDEPICTURE  "cid:image001.png@01D312A9.8E469640" \* MERGEFORMATINET </w:instrText>
      </w:r>
      <w:r>
        <w:rPr>
          <w:rFonts w:cs="Arial"/>
          <w:lang w:eastAsia="en-GB"/>
        </w:rPr>
        <w:fldChar w:fldCharType="separate"/>
      </w:r>
      <w:r>
        <w:rPr>
          <w:rFonts w:cs="Arial"/>
          <w:lang w:eastAsia="en-GB"/>
        </w:rPr>
        <w:fldChar w:fldCharType="begin"/>
      </w:r>
      <w:r>
        <w:rPr>
          <w:rFonts w:cs="Arial"/>
          <w:lang w:eastAsia="en-GB"/>
        </w:rPr>
        <w:instrText xml:space="preserve"> INCLUDEPICTURE  "cid:image001.png@01D312A9.8E469640" \* MERGEFORMATINET </w:instrText>
      </w:r>
      <w:r>
        <w:rPr>
          <w:rFonts w:cs="Arial"/>
          <w:lang w:eastAsia="en-GB"/>
        </w:rPr>
        <w:fldChar w:fldCharType="separate"/>
      </w:r>
      <w:r>
        <w:rPr>
          <w:rFonts w:cs="Arial"/>
          <w:lang w:eastAsia="en-GB"/>
        </w:rPr>
        <w:fldChar w:fldCharType="begin"/>
      </w:r>
      <w:r>
        <w:rPr>
          <w:rFonts w:cs="Arial"/>
          <w:lang w:eastAsia="en-GB"/>
        </w:rPr>
        <w:instrText xml:space="preserve"> INCLUDEPICTURE  "cid:image001.png@01D312A9.8E469640" \* MERGEFORMATINET </w:instrText>
      </w:r>
      <w:r>
        <w:rPr>
          <w:rFonts w:cs="Arial"/>
          <w:lang w:eastAsia="en-GB"/>
        </w:rPr>
        <w:fldChar w:fldCharType="separate"/>
      </w:r>
      <w:r>
        <w:rPr>
          <w:rFonts w:cs="Arial"/>
          <w:lang w:eastAsia="en-GB"/>
        </w:rPr>
        <w:fldChar w:fldCharType="begin"/>
      </w:r>
      <w:r>
        <w:rPr>
          <w:rFonts w:cs="Arial"/>
          <w:lang w:eastAsia="en-GB"/>
        </w:rPr>
        <w:instrText xml:space="preserve"> INCLUDEPICTURE  "cid:image001.png@01D312A9.8E469640" \* MERGEFORMATINET </w:instrText>
      </w:r>
      <w:r>
        <w:rPr>
          <w:rFonts w:cs="Arial"/>
          <w:lang w:eastAsia="en-GB"/>
        </w:rPr>
        <w:fldChar w:fldCharType="separate"/>
      </w:r>
      <w:r>
        <w:rPr>
          <w:rFonts w:cs="Arial"/>
          <w:lang w:eastAsia="en-GB"/>
        </w:rPr>
        <w:fldChar w:fldCharType="begin"/>
      </w:r>
      <w:r>
        <w:rPr>
          <w:rFonts w:cs="Arial"/>
          <w:lang w:eastAsia="en-GB"/>
        </w:rPr>
        <w:instrText xml:space="preserve"> INCLUDEPICTURE  "cid:image001.png@01D312A9.8E469640" \* MERGEFORMATINET </w:instrText>
      </w:r>
      <w:r>
        <w:rPr>
          <w:rFonts w:cs="Arial"/>
          <w:lang w:eastAsia="en-GB"/>
        </w:rPr>
        <w:fldChar w:fldCharType="separate"/>
      </w:r>
      <w:r>
        <w:rPr>
          <w:rFonts w:cs="Arial"/>
          <w:lang w:eastAsia="en-GB"/>
        </w:rPr>
        <w:fldChar w:fldCharType="begin"/>
      </w:r>
      <w:r>
        <w:rPr>
          <w:rFonts w:cs="Arial"/>
          <w:lang w:eastAsia="en-GB"/>
        </w:rPr>
        <w:instrText xml:space="preserve"> INCLUDEPICTURE  "cid:image001.png@01D312A9.8E469640" \* MERGEFORMATINET </w:instrText>
      </w:r>
      <w:r>
        <w:rPr>
          <w:rFonts w:cs="Arial"/>
          <w:lang w:eastAsia="en-GB"/>
        </w:rPr>
        <w:fldChar w:fldCharType="separate"/>
      </w:r>
      <w:r w:rsidR="00A2552F">
        <w:rPr>
          <w:rFonts w:cs="Arial"/>
          <w:lang w:eastAsia="en-GB"/>
        </w:rPr>
        <w:fldChar w:fldCharType="begin"/>
      </w:r>
      <w:r w:rsidR="00A2552F">
        <w:rPr>
          <w:rFonts w:cs="Arial"/>
          <w:lang w:eastAsia="en-GB"/>
        </w:rPr>
        <w:instrText xml:space="preserve"> INCLUDEPICTURE  "cid:image001.png@01D312A9.8E469640" \* MERGEFORMATINET </w:instrText>
      </w:r>
      <w:r w:rsidR="00A2552F">
        <w:rPr>
          <w:rFonts w:cs="Arial"/>
          <w:lang w:eastAsia="en-GB"/>
        </w:rPr>
        <w:fldChar w:fldCharType="separate"/>
      </w:r>
      <w:r w:rsidR="00435874">
        <w:rPr>
          <w:rFonts w:cs="Arial"/>
          <w:lang w:eastAsia="en-GB"/>
        </w:rPr>
        <w:fldChar w:fldCharType="begin"/>
      </w:r>
      <w:r w:rsidR="00435874">
        <w:rPr>
          <w:rFonts w:cs="Arial"/>
          <w:lang w:eastAsia="en-GB"/>
        </w:rPr>
        <w:instrText xml:space="preserve"> INCLUDEPICTURE  "cid:image001.png@01D312A9.8E469640" \* MERGEFORMATINET </w:instrText>
      </w:r>
      <w:r w:rsidR="00435874">
        <w:rPr>
          <w:rFonts w:cs="Arial"/>
          <w:lang w:eastAsia="en-GB"/>
        </w:rPr>
        <w:fldChar w:fldCharType="separate"/>
      </w:r>
      <w:r w:rsidR="00346816">
        <w:rPr>
          <w:rFonts w:cs="Arial"/>
          <w:lang w:eastAsia="en-GB"/>
        </w:rPr>
        <w:fldChar w:fldCharType="begin"/>
      </w:r>
      <w:r w:rsidR="00346816">
        <w:rPr>
          <w:rFonts w:cs="Arial"/>
          <w:lang w:eastAsia="en-GB"/>
        </w:rPr>
        <w:instrText xml:space="preserve"> INCLUDEPICTURE  "cid:image001.png@01D312A9.8E469640" \* MERGEFORMATINET </w:instrText>
      </w:r>
      <w:r w:rsidR="00346816">
        <w:rPr>
          <w:rFonts w:cs="Arial"/>
          <w:lang w:eastAsia="en-GB"/>
        </w:rPr>
        <w:fldChar w:fldCharType="separate"/>
      </w:r>
      <w:r w:rsidR="00D3610C">
        <w:rPr>
          <w:rFonts w:cs="Arial"/>
          <w:lang w:eastAsia="en-GB"/>
        </w:rPr>
        <w:fldChar w:fldCharType="begin"/>
      </w:r>
      <w:r w:rsidR="00D3610C">
        <w:rPr>
          <w:rFonts w:cs="Arial"/>
          <w:lang w:eastAsia="en-GB"/>
        </w:rPr>
        <w:instrText xml:space="preserve"> INCLUDEPICTURE  "cid:image001.png@01D312A9.8E469640" \* MERGEFORMATINET </w:instrText>
      </w:r>
      <w:r w:rsidR="00D3610C">
        <w:rPr>
          <w:rFonts w:cs="Arial"/>
          <w:lang w:eastAsia="en-GB"/>
        </w:rPr>
        <w:fldChar w:fldCharType="separate"/>
      </w:r>
      <w:r w:rsidR="00A42199">
        <w:rPr>
          <w:rFonts w:cs="Arial"/>
          <w:lang w:eastAsia="en-GB"/>
        </w:rPr>
        <w:fldChar w:fldCharType="begin"/>
      </w:r>
      <w:r w:rsidR="00A42199">
        <w:rPr>
          <w:rFonts w:cs="Arial"/>
          <w:lang w:eastAsia="en-GB"/>
        </w:rPr>
        <w:instrText xml:space="preserve"> INCLUDEPICTURE  "cid:image001.png@01D312A9.8E469640" \* MERGEFORMATINET </w:instrText>
      </w:r>
      <w:r w:rsidR="00A42199">
        <w:rPr>
          <w:rFonts w:cs="Arial"/>
          <w:lang w:eastAsia="en-GB"/>
        </w:rPr>
        <w:fldChar w:fldCharType="separate"/>
      </w:r>
      <w:r w:rsidR="005B2AA8">
        <w:rPr>
          <w:rFonts w:cs="Arial"/>
          <w:lang w:eastAsia="en-GB"/>
        </w:rPr>
        <w:fldChar w:fldCharType="begin"/>
      </w:r>
      <w:r w:rsidR="005B2AA8">
        <w:rPr>
          <w:rFonts w:cs="Arial"/>
          <w:lang w:eastAsia="en-GB"/>
        </w:rPr>
        <w:instrText xml:space="preserve"> INCLUDEPICTURE  "cid:image001.png@01D312A9.8E469640" \* MERGEFORMATINET </w:instrText>
      </w:r>
      <w:r w:rsidR="005B2AA8">
        <w:rPr>
          <w:rFonts w:cs="Arial"/>
          <w:lang w:eastAsia="en-GB"/>
        </w:rPr>
        <w:fldChar w:fldCharType="separate"/>
      </w:r>
      <w:r w:rsidR="00A65D68">
        <w:rPr>
          <w:rFonts w:cs="Arial"/>
          <w:lang w:eastAsia="en-GB"/>
        </w:rPr>
        <w:fldChar w:fldCharType="begin"/>
      </w:r>
      <w:r w:rsidR="00A65D68">
        <w:rPr>
          <w:rFonts w:cs="Arial"/>
          <w:lang w:eastAsia="en-GB"/>
        </w:rPr>
        <w:instrText xml:space="preserve"> INCLUDEPICTURE  "cid:image001.png@01D312A9.8E469640" \* MERGEFORMATINET </w:instrText>
      </w:r>
      <w:r w:rsidR="00A65D68">
        <w:rPr>
          <w:rFonts w:cs="Arial"/>
          <w:lang w:eastAsia="en-GB"/>
        </w:rPr>
        <w:fldChar w:fldCharType="separate"/>
      </w:r>
      <w:r w:rsidR="00306118">
        <w:rPr>
          <w:rFonts w:cs="Arial"/>
          <w:lang w:eastAsia="en-GB"/>
        </w:rPr>
        <w:fldChar w:fldCharType="begin"/>
      </w:r>
      <w:r w:rsidR="00306118">
        <w:rPr>
          <w:rFonts w:cs="Arial"/>
          <w:lang w:eastAsia="en-GB"/>
        </w:rPr>
        <w:instrText xml:space="preserve"> INCLUDEPICTURE  "cid:image001.png@01D312A9.8E469640" \* MERGEFORMATINET </w:instrText>
      </w:r>
      <w:r w:rsidR="00306118">
        <w:rPr>
          <w:rFonts w:cs="Arial"/>
          <w:lang w:eastAsia="en-GB"/>
        </w:rPr>
        <w:fldChar w:fldCharType="separate"/>
      </w:r>
      <w:r w:rsidR="002134E2">
        <w:rPr>
          <w:rFonts w:cs="Arial"/>
          <w:lang w:eastAsia="en-GB"/>
        </w:rPr>
        <w:fldChar w:fldCharType="begin"/>
      </w:r>
      <w:r w:rsidR="002134E2">
        <w:rPr>
          <w:rFonts w:cs="Arial"/>
          <w:lang w:eastAsia="en-GB"/>
        </w:rPr>
        <w:instrText xml:space="preserve"> INCLUDEPICTURE  "cid:image001.png@01D312A9.8E469640" \* MERGEFORMATINET </w:instrText>
      </w:r>
      <w:r w:rsidR="002134E2">
        <w:rPr>
          <w:rFonts w:cs="Arial"/>
          <w:lang w:eastAsia="en-GB"/>
        </w:rPr>
        <w:fldChar w:fldCharType="separate"/>
      </w:r>
      <w:r w:rsidR="00C8062F">
        <w:rPr>
          <w:rFonts w:cs="Arial"/>
          <w:lang w:eastAsia="en-GB"/>
        </w:rPr>
        <w:fldChar w:fldCharType="begin"/>
      </w:r>
      <w:r w:rsidR="00C8062F">
        <w:rPr>
          <w:rFonts w:cs="Arial"/>
          <w:lang w:eastAsia="en-GB"/>
        </w:rPr>
        <w:instrText xml:space="preserve"> INCLUDEPICTURE  "cid:image001.png@01D312A9.8E469640" \* MERGEFORMATINET </w:instrText>
      </w:r>
      <w:r w:rsidR="00C8062F">
        <w:rPr>
          <w:rFonts w:cs="Arial"/>
          <w:lang w:eastAsia="en-GB"/>
        </w:rPr>
        <w:fldChar w:fldCharType="separate"/>
      </w:r>
      <w:r w:rsidR="00F668A8">
        <w:rPr>
          <w:rFonts w:cs="Arial"/>
          <w:lang w:eastAsia="en-GB"/>
        </w:rPr>
        <w:fldChar w:fldCharType="begin"/>
      </w:r>
      <w:r w:rsidR="00F668A8">
        <w:rPr>
          <w:rFonts w:cs="Arial"/>
          <w:lang w:eastAsia="en-GB"/>
        </w:rPr>
        <w:instrText xml:space="preserve"> </w:instrText>
      </w:r>
      <w:r w:rsidR="00F668A8">
        <w:rPr>
          <w:rFonts w:cs="Arial"/>
          <w:lang w:eastAsia="en-GB"/>
        </w:rPr>
        <w:instrText>INCLUDEPICTURE  "cid:image001.png@01D312A9.8E469640" \* MERGEFORMATINET</w:instrText>
      </w:r>
      <w:r w:rsidR="00F668A8">
        <w:rPr>
          <w:rFonts w:cs="Arial"/>
          <w:lang w:eastAsia="en-GB"/>
        </w:rPr>
        <w:instrText xml:space="preserve"> </w:instrText>
      </w:r>
      <w:r w:rsidR="00F668A8">
        <w:rPr>
          <w:rFonts w:cs="Arial"/>
          <w:lang w:eastAsia="en-GB"/>
        </w:rPr>
        <w:fldChar w:fldCharType="separate"/>
      </w:r>
      <w:r w:rsidR="00F668A8">
        <w:rPr>
          <w:rFonts w:cs="Arial"/>
          <w:lang w:eastAsia="en-GB"/>
        </w:rPr>
        <w:pict w14:anchorId="41E04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155.25pt">
            <v:imagedata r:id="rId12" r:href="rId13"/>
          </v:shape>
        </w:pict>
      </w:r>
      <w:r w:rsidR="00F668A8">
        <w:rPr>
          <w:rFonts w:cs="Arial"/>
          <w:lang w:eastAsia="en-GB"/>
        </w:rPr>
        <w:fldChar w:fldCharType="end"/>
      </w:r>
      <w:r w:rsidR="00C8062F">
        <w:rPr>
          <w:rFonts w:cs="Arial"/>
          <w:lang w:eastAsia="en-GB"/>
        </w:rPr>
        <w:fldChar w:fldCharType="end"/>
      </w:r>
      <w:r w:rsidR="002134E2">
        <w:rPr>
          <w:rFonts w:cs="Arial"/>
          <w:lang w:eastAsia="en-GB"/>
        </w:rPr>
        <w:fldChar w:fldCharType="end"/>
      </w:r>
      <w:r w:rsidR="00306118">
        <w:rPr>
          <w:rFonts w:cs="Arial"/>
          <w:lang w:eastAsia="en-GB"/>
        </w:rPr>
        <w:fldChar w:fldCharType="end"/>
      </w:r>
      <w:r w:rsidR="00A65D68">
        <w:rPr>
          <w:rFonts w:cs="Arial"/>
          <w:lang w:eastAsia="en-GB"/>
        </w:rPr>
        <w:fldChar w:fldCharType="end"/>
      </w:r>
      <w:r w:rsidR="005B2AA8">
        <w:rPr>
          <w:rFonts w:cs="Arial"/>
          <w:lang w:eastAsia="en-GB"/>
        </w:rPr>
        <w:fldChar w:fldCharType="end"/>
      </w:r>
      <w:r w:rsidR="00A42199">
        <w:rPr>
          <w:rFonts w:cs="Arial"/>
          <w:lang w:eastAsia="en-GB"/>
        </w:rPr>
        <w:fldChar w:fldCharType="end"/>
      </w:r>
      <w:r w:rsidR="00D3610C">
        <w:rPr>
          <w:rFonts w:cs="Arial"/>
          <w:lang w:eastAsia="en-GB"/>
        </w:rPr>
        <w:fldChar w:fldCharType="end"/>
      </w:r>
      <w:r w:rsidR="00346816">
        <w:rPr>
          <w:rFonts w:cs="Arial"/>
          <w:lang w:eastAsia="en-GB"/>
        </w:rPr>
        <w:fldChar w:fldCharType="end"/>
      </w:r>
      <w:r w:rsidR="00435874">
        <w:rPr>
          <w:rFonts w:cs="Arial"/>
          <w:lang w:eastAsia="en-GB"/>
        </w:rPr>
        <w:fldChar w:fldCharType="end"/>
      </w:r>
      <w:r w:rsidR="00A2552F">
        <w:rPr>
          <w:rFonts w:cs="Arial"/>
          <w:lang w:eastAsia="en-GB"/>
        </w:rPr>
        <w:fldChar w:fldCharType="end"/>
      </w:r>
      <w:r>
        <w:rPr>
          <w:rFonts w:cs="Arial"/>
          <w:lang w:eastAsia="en-GB"/>
        </w:rPr>
        <w:fldChar w:fldCharType="end"/>
      </w:r>
      <w:r>
        <w:rPr>
          <w:rFonts w:cs="Arial"/>
          <w:lang w:eastAsia="en-GB"/>
        </w:rPr>
        <w:fldChar w:fldCharType="end"/>
      </w:r>
      <w:r>
        <w:rPr>
          <w:rFonts w:cs="Arial"/>
          <w:lang w:eastAsia="en-GB"/>
        </w:rPr>
        <w:fldChar w:fldCharType="end"/>
      </w:r>
      <w:r>
        <w:rPr>
          <w:rFonts w:cs="Arial"/>
          <w:lang w:eastAsia="en-GB"/>
        </w:rPr>
        <w:fldChar w:fldCharType="end"/>
      </w:r>
      <w:r>
        <w:rPr>
          <w:rFonts w:cs="Arial"/>
          <w:lang w:eastAsia="en-GB"/>
        </w:rPr>
        <w:fldChar w:fldCharType="end"/>
      </w:r>
      <w:r>
        <w:rPr>
          <w:rFonts w:cs="Arial"/>
          <w:lang w:eastAsia="en-GB"/>
        </w:rPr>
        <w:fldChar w:fldCharType="end"/>
      </w:r>
      <w:r>
        <w:rPr>
          <w:rFonts w:cs="Arial"/>
          <w:lang w:eastAsia="en-GB"/>
        </w:rPr>
        <w:fldChar w:fldCharType="end"/>
      </w:r>
      <w:r>
        <w:rPr>
          <w:rFonts w:cs="Arial"/>
          <w:lang w:eastAsia="en-GB"/>
        </w:rPr>
        <w:fldChar w:fldCharType="end"/>
      </w:r>
      <w:r>
        <w:rPr>
          <w:rFonts w:cs="Arial"/>
          <w:lang w:eastAsia="en-GB"/>
        </w:rPr>
        <w:fldChar w:fldCharType="end"/>
      </w:r>
      <w:r>
        <w:rPr>
          <w:rFonts w:cs="Arial"/>
          <w:lang w:eastAsia="en-GB"/>
        </w:rPr>
        <w:fldChar w:fldCharType="end"/>
      </w:r>
      <w:r>
        <w:rPr>
          <w:rFonts w:cs="Arial"/>
          <w:lang w:eastAsia="en-GB"/>
        </w:rPr>
        <w:fldChar w:fldCharType="end"/>
      </w:r>
      <w:r>
        <w:rPr>
          <w:rFonts w:cs="Arial"/>
          <w:lang w:eastAsia="en-GB"/>
        </w:rPr>
        <w:fldChar w:fldCharType="end"/>
      </w:r>
      <w:r>
        <w:rPr>
          <w:rFonts w:cs="Arial"/>
          <w:lang w:eastAsia="en-GB"/>
        </w:rPr>
        <w:fldChar w:fldCharType="end"/>
      </w:r>
      <w:r>
        <w:rPr>
          <w:rFonts w:cs="Arial"/>
          <w:lang w:eastAsia="en-GB"/>
        </w:rPr>
        <w:fldChar w:fldCharType="end"/>
      </w:r>
      <w:r>
        <w:rPr>
          <w:rFonts w:cs="Arial"/>
          <w:lang w:eastAsia="en-GB"/>
        </w:rPr>
        <w:fldChar w:fldCharType="end"/>
      </w:r>
      <w:r w:rsidRPr="00752E8C">
        <w:rPr>
          <w:rFonts w:cs="Arial"/>
          <w:lang w:eastAsia="en-GB"/>
        </w:rPr>
        <w:fldChar w:fldCharType="end"/>
      </w:r>
      <w:r w:rsidRPr="00752E8C">
        <w:rPr>
          <w:rFonts w:cs="Arial"/>
          <w:lang w:eastAsia="en-GB"/>
        </w:rPr>
        <w:fldChar w:fldCharType="end"/>
      </w:r>
      <w:r w:rsidRPr="00752E8C">
        <w:rPr>
          <w:rFonts w:cs="Arial"/>
          <w:lang w:eastAsia="en-GB"/>
        </w:rPr>
        <w:fldChar w:fldCharType="end"/>
      </w:r>
    </w:p>
    <w:p w14:paraId="41E0412D" w14:textId="25B68479" w:rsidR="000C6BC6" w:rsidRDefault="00CF0040" w:rsidP="00953A11">
      <w:pPr>
        <w:spacing w:after="0" w:line="240" w:lineRule="auto"/>
        <w:ind w:left="2880" w:hanging="2880"/>
        <w:rPr>
          <w:rFonts w:ascii="Arial" w:eastAsia="Times New Roman" w:hAnsi="Arial" w:cs="Arial"/>
          <w:b/>
          <w:sz w:val="20"/>
          <w:szCs w:val="20"/>
        </w:rPr>
      </w:pPr>
      <w:r w:rsidRPr="004F3F4F">
        <w:rPr>
          <w:rFonts w:ascii="Arial" w:eastAsia="Times New Roman" w:hAnsi="Arial" w:cs="Arial"/>
          <w:b/>
          <w:sz w:val="20"/>
          <w:szCs w:val="20"/>
          <w:u w:val="single"/>
        </w:rPr>
        <w:t>Introduction</w:t>
      </w:r>
    </w:p>
    <w:p w14:paraId="41E0412E" w14:textId="77777777" w:rsidR="00953A11" w:rsidRPr="00401870" w:rsidRDefault="00953A11" w:rsidP="00953A11">
      <w:pPr>
        <w:spacing w:after="0" w:line="240" w:lineRule="auto"/>
        <w:ind w:left="2880" w:hanging="2880"/>
        <w:rPr>
          <w:rFonts w:ascii="Arial" w:eastAsia="Times New Roman" w:hAnsi="Arial" w:cs="Arial"/>
          <w:b/>
          <w:sz w:val="20"/>
          <w:szCs w:val="20"/>
        </w:rPr>
      </w:pPr>
      <w:r w:rsidRPr="00401870">
        <w:rPr>
          <w:rFonts w:ascii="Arial" w:eastAsia="Times New Roman" w:hAnsi="Arial" w:cs="Arial"/>
          <w:b/>
          <w:sz w:val="20"/>
          <w:szCs w:val="20"/>
        </w:rPr>
        <w:tab/>
      </w:r>
    </w:p>
    <w:p w14:paraId="4D12673E" w14:textId="2BA057CC" w:rsidR="00D670B6" w:rsidRDefault="00D670B6" w:rsidP="00713E39">
      <w:pPr>
        <w:spacing w:after="0" w:line="240" w:lineRule="auto"/>
        <w:jc w:val="both"/>
        <w:rPr>
          <w:rFonts w:ascii="Arial" w:eastAsia="Times New Roman" w:hAnsi="Arial" w:cs="Arial"/>
          <w:sz w:val="20"/>
          <w:szCs w:val="20"/>
        </w:rPr>
      </w:pPr>
      <w:r>
        <w:rPr>
          <w:rFonts w:ascii="Arial" w:eastAsia="Times New Roman" w:hAnsi="Arial" w:cs="Arial"/>
          <w:sz w:val="20"/>
          <w:szCs w:val="20"/>
        </w:rPr>
        <w:t>The auditors are required to report to those charged with Governance, the PCC</w:t>
      </w:r>
      <w:r w:rsidR="00AC26E1">
        <w:rPr>
          <w:rFonts w:ascii="Arial" w:eastAsia="Times New Roman" w:hAnsi="Arial" w:cs="Arial"/>
          <w:sz w:val="20"/>
          <w:szCs w:val="20"/>
        </w:rPr>
        <w:t xml:space="preserve">, the CC, the CFOs and the Monitoring Office (PCC CFO) their </w:t>
      </w:r>
      <w:r>
        <w:rPr>
          <w:rFonts w:ascii="Arial" w:eastAsia="Times New Roman" w:hAnsi="Arial" w:cs="Arial"/>
          <w:sz w:val="20"/>
          <w:szCs w:val="20"/>
        </w:rPr>
        <w:t>opinion on the Financial Statements, Annual Governance Statement and Value for Money normally by the 31</w:t>
      </w:r>
      <w:r w:rsidRPr="00D670B6">
        <w:rPr>
          <w:rFonts w:ascii="Arial" w:eastAsia="Times New Roman" w:hAnsi="Arial" w:cs="Arial"/>
          <w:sz w:val="20"/>
          <w:szCs w:val="20"/>
          <w:vertAlign w:val="superscript"/>
        </w:rPr>
        <w:t>st</w:t>
      </w:r>
      <w:r>
        <w:rPr>
          <w:rFonts w:ascii="Arial" w:eastAsia="Times New Roman" w:hAnsi="Arial" w:cs="Arial"/>
          <w:sz w:val="20"/>
          <w:szCs w:val="20"/>
        </w:rPr>
        <w:t xml:space="preserve"> July however this year, due to </w:t>
      </w:r>
      <w:proofErr w:type="spellStart"/>
      <w:r>
        <w:rPr>
          <w:rFonts w:ascii="Arial" w:eastAsia="Times New Roman" w:hAnsi="Arial" w:cs="Arial"/>
          <w:sz w:val="20"/>
          <w:szCs w:val="20"/>
        </w:rPr>
        <w:t>Covid</w:t>
      </w:r>
      <w:proofErr w:type="spellEnd"/>
      <w:r>
        <w:rPr>
          <w:rFonts w:ascii="Arial" w:eastAsia="Times New Roman" w:hAnsi="Arial" w:cs="Arial"/>
          <w:sz w:val="20"/>
          <w:szCs w:val="20"/>
        </w:rPr>
        <w:t>, the deadline has been extended to the 30</w:t>
      </w:r>
      <w:r w:rsidRPr="00D670B6">
        <w:rPr>
          <w:rFonts w:ascii="Arial" w:eastAsia="Times New Roman" w:hAnsi="Arial" w:cs="Arial"/>
          <w:sz w:val="20"/>
          <w:szCs w:val="20"/>
          <w:vertAlign w:val="superscript"/>
        </w:rPr>
        <w:t>th</w:t>
      </w:r>
      <w:r>
        <w:rPr>
          <w:rFonts w:ascii="Arial" w:eastAsia="Times New Roman" w:hAnsi="Arial" w:cs="Arial"/>
          <w:sz w:val="20"/>
          <w:szCs w:val="20"/>
        </w:rPr>
        <w:t xml:space="preserve"> November 2020. This report meets that deadline and fulfils that requirement. </w:t>
      </w:r>
    </w:p>
    <w:p w14:paraId="30D013DE" w14:textId="77777777" w:rsidR="00D670B6" w:rsidRDefault="00D670B6" w:rsidP="00713E39">
      <w:pPr>
        <w:spacing w:after="0" w:line="240" w:lineRule="auto"/>
        <w:jc w:val="both"/>
        <w:rPr>
          <w:rFonts w:ascii="Arial" w:eastAsia="Times New Roman" w:hAnsi="Arial" w:cs="Arial"/>
          <w:sz w:val="20"/>
          <w:szCs w:val="20"/>
        </w:rPr>
      </w:pPr>
    </w:p>
    <w:p w14:paraId="74FD46F0" w14:textId="316EEABD" w:rsidR="001B7EBE" w:rsidRDefault="00D670B6" w:rsidP="00713E39">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Ernst and Young LLP intend to </w:t>
      </w:r>
      <w:r w:rsidR="001B7EBE">
        <w:rPr>
          <w:rFonts w:ascii="Arial" w:eastAsia="Times New Roman" w:hAnsi="Arial" w:cs="Arial"/>
          <w:sz w:val="20"/>
          <w:szCs w:val="20"/>
        </w:rPr>
        <w:t>sign</w:t>
      </w:r>
      <w:r>
        <w:rPr>
          <w:rFonts w:ascii="Arial" w:eastAsia="Times New Roman" w:hAnsi="Arial" w:cs="Arial"/>
          <w:sz w:val="20"/>
          <w:szCs w:val="20"/>
        </w:rPr>
        <w:t xml:space="preserve"> an unqualified audit opinion on the Financial Statements for 2019/20, for both the OPCC and the CC, as well as Value for Money</w:t>
      </w:r>
      <w:r w:rsidR="001B7EBE">
        <w:rPr>
          <w:rFonts w:ascii="Arial" w:eastAsia="Times New Roman" w:hAnsi="Arial" w:cs="Arial"/>
          <w:sz w:val="20"/>
          <w:szCs w:val="20"/>
        </w:rPr>
        <w:t xml:space="preserve"> in time for the statutory deadline of 30</w:t>
      </w:r>
      <w:r w:rsidR="001B7EBE" w:rsidRPr="001B7EBE">
        <w:rPr>
          <w:rFonts w:ascii="Arial" w:eastAsia="Times New Roman" w:hAnsi="Arial" w:cs="Arial"/>
          <w:sz w:val="20"/>
          <w:szCs w:val="20"/>
          <w:vertAlign w:val="superscript"/>
        </w:rPr>
        <w:t>th</w:t>
      </w:r>
      <w:r w:rsidR="001B7EBE">
        <w:rPr>
          <w:rFonts w:ascii="Arial" w:eastAsia="Times New Roman" w:hAnsi="Arial" w:cs="Arial"/>
          <w:sz w:val="20"/>
          <w:szCs w:val="20"/>
        </w:rPr>
        <w:t xml:space="preserve"> November 2020</w:t>
      </w:r>
      <w:r>
        <w:rPr>
          <w:rFonts w:ascii="Arial" w:eastAsia="Times New Roman" w:hAnsi="Arial" w:cs="Arial"/>
          <w:sz w:val="20"/>
          <w:szCs w:val="20"/>
        </w:rPr>
        <w:t xml:space="preserve">. </w:t>
      </w:r>
      <w:r w:rsidR="001B71F0">
        <w:rPr>
          <w:rFonts w:ascii="Arial" w:eastAsia="Times New Roman" w:hAnsi="Arial" w:cs="Arial"/>
          <w:sz w:val="20"/>
          <w:szCs w:val="20"/>
        </w:rPr>
        <w:t xml:space="preserve">This </w:t>
      </w:r>
      <w:r w:rsidR="001B7EBE">
        <w:rPr>
          <w:rFonts w:ascii="Arial" w:eastAsia="Times New Roman" w:hAnsi="Arial" w:cs="Arial"/>
          <w:sz w:val="20"/>
          <w:szCs w:val="20"/>
        </w:rPr>
        <w:t>is after undertaking extensive audit work with a particular focus on risk areas identified in their report. The granting of the opinion is subject to the PCC and CC approving the audited financial statements and the receipt of a signed Letter of Representation</w:t>
      </w:r>
      <w:r w:rsidR="000817AA">
        <w:rPr>
          <w:rFonts w:ascii="Arial" w:eastAsia="Times New Roman" w:hAnsi="Arial" w:cs="Arial"/>
          <w:sz w:val="20"/>
          <w:szCs w:val="20"/>
        </w:rPr>
        <w:t>.</w:t>
      </w:r>
    </w:p>
    <w:p w14:paraId="07303579" w14:textId="77777777" w:rsidR="000817AA" w:rsidRDefault="000817AA" w:rsidP="00713E39">
      <w:pPr>
        <w:spacing w:after="0" w:line="240" w:lineRule="auto"/>
        <w:jc w:val="both"/>
        <w:rPr>
          <w:rFonts w:ascii="Arial" w:eastAsia="Times New Roman" w:hAnsi="Arial" w:cs="Arial"/>
          <w:sz w:val="20"/>
          <w:szCs w:val="20"/>
        </w:rPr>
      </w:pPr>
    </w:p>
    <w:p w14:paraId="5F800A25" w14:textId="17501CE7" w:rsidR="000817AA" w:rsidRDefault="000817AA" w:rsidP="00713E39">
      <w:pPr>
        <w:spacing w:after="0" w:line="240" w:lineRule="auto"/>
        <w:jc w:val="both"/>
        <w:rPr>
          <w:rFonts w:ascii="Arial" w:eastAsia="Times New Roman" w:hAnsi="Arial" w:cs="Arial"/>
          <w:sz w:val="20"/>
          <w:szCs w:val="20"/>
        </w:rPr>
      </w:pPr>
      <w:r>
        <w:rPr>
          <w:rFonts w:ascii="Arial" w:eastAsia="Times New Roman" w:hAnsi="Arial" w:cs="Arial"/>
          <w:sz w:val="20"/>
          <w:szCs w:val="20"/>
        </w:rPr>
        <w:t>Members are reminded that should the</w:t>
      </w:r>
      <w:r w:rsidR="002325B6">
        <w:rPr>
          <w:rFonts w:ascii="Arial" w:eastAsia="Times New Roman" w:hAnsi="Arial" w:cs="Arial"/>
          <w:sz w:val="20"/>
          <w:szCs w:val="20"/>
        </w:rPr>
        <w:t>y</w:t>
      </w:r>
      <w:r>
        <w:rPr>
          <w:rFonts w:ascii="Arial" w:eastAsia="Times New Roman" w:hAnsi="Arial" w:cs="Arial"/>
          <w:sz w:val="20"/>
          <w:szCs w:val="20"/>
        </w:rPr>
        <w:t xml:space="preserve"> wish to discuss </w:t>
      </w:r>
      <w:r w:rsidR="002325B6">
        <w:rPr>
          <w:rFonts w:ascii="Arial" w:eastAsia="Times New Roman" w:hAnsi="Arial" w:cs="Arial"/>
          <w:sz w:val="20"/>
          <w:szCs w:val="20"/>
        </w:rPr>
        <w:t xml:space="preserve">matters that </w:t>
      </w:r>
      <w:r w:rsidR="00AC0460">
        <w:rPr>
          <w:rFonts w:ascii="Arial" w:eastAsia="Times New Roman" w:hAnsi="Arial" w:cs="Arial"/>
          <w:sz w:val="20"/>
          <w:szCs w:val="20"/>
        </w:rPr>
        <w:t xml:space="preserve">would normally be </w:t>
      </w:r>
      <w:r w:rsidR="000E76E3">
        <w:rPr>
          <w:rFonts w:ascii="Arial" w:eastAsia="Times New Roman" w:hAnsi="Arial" w:cs="Arial"/>
          <w:sz w:val="20"/>
          <w:szCs w:val="20"/>
        </w:rPr>
        <w:t xml:space="preserve">considered </w:t>
      </w:r>
      <w:r w:rsidR="00AC0460">
        <w:rPr>
          <w:rFonts w:ascii="Arial" w:eastAsia="Times New Roman" w:hAnsi="Arial" w:cs="Arial"/>
          <w:sz w:val="20"/>
          <w:szCs w:val="20"/>
        </w:rPr>
        <w:t xml:space="preserve">Part 2 </w:t>
      </w:r>
      <w:r w:rsidR="002325B6">
        <w:rPr>
          <w:rFonts w:ascii="Arial" w:eastAsia="Times New Roman" w:hAnsi="Arial" w:cs="Arial"/>
          <w:sz w:val="20"/>
          <w:szCs w:val="20"/>
        </w:rPr>
        <w:t>matters</w:t>
      </w:r>
      <w:r w:rsidR="00AC0460">
        <w:rPr>
          <w:rFonts w:ascii="Arial" w:eastAsia="Times New Roman" w:hAnsi="Arial" w:cs="Arial"/>
          <w:sz w:val="20"/>
          <w:szCs w:val="20"/>
        </w:rPr>
        <w:t xml:space="preserve"> </w:t>
      </w:r>
      <w:r>
        <w:rPr>
          <w:rFonts w:ascii="Arial" w:eastAsia="Times New Roman" w:hAnsi="Arial" w:cs="Arial"/>
          <w:sz w:val="20"/>
          <w:szCs w:val="20"/>
        </w:rPr>
        <w:t xml:space="preserve">then the meeting will need to move in to a closed part 2 session before these </w:t>
      </w:r>
      <w:r w:rsidR="002325B6">
        <w:rPr>
          <w:rFonts w:ascii="Arial" w:eastAsia="Times New Roman" w:hAnsi="Arial" w:cs="Arial"/>
          <w:sz w:val="20"/>
          <w:szCs w:val="20"/>
        </w:rPr>
        <w:t xml:space="preserve">matters </w:t>
      </w:r>
      <w:r>
        <w:rPr>
          <w:rFonts w:ascii="Arial" w:eastAsia="Times New Roman" w:hAnsi="Arial" w:cs="Arial"/>
          <w:sz w:val="20"/>
          <w:szCs w:val="20"/>
        </w:rPr>
        <w:t xml:space="preserve">can be </w:t>
      </w:r>
      <w:r w:rsidR="00AC0460">
        <w:rPr>
          <w:rFonts w:ascii="Arial" w:eastAsia="Times New Roman" w:hAnsi="Arial" w:cs="Arial"/>
          <w:sz w:val="20"/>
          <w:szCs w:val="20"/>
        </w:rPr>
        <w:t>considered.</w:t>
      </w:r>
    </w:p>
    <w:p w14:paraId="4F451FAA" w14:textId="77777777" w:rsidR="001B7EBE" w:rsidRDefault="001B7EBE" w:rsidP="00713E39">
      <w:pPr>
        <w:spacing w:after="0" w:line="240" w:lineRule="auto"/>
        <w:jc w:val="both"/>
        <w:rPr>
          <w:rFonts w:ascii="Arial" w:eastAsia="Times New Roman" w:hAnsi="Arial" w:cs="Arial"/>
          <w:sz w:val="20"/>
          <w:szCs w:val="20"/>
        </w:rPr>
      </w:pPr>
    </w:p>
    <w:p w14:paraId="41E04131" w14:textId="45E36E74" w:rsidR="00953A11" w:rsidRPr="004F3F4F" w:rsidRDefault="001B7EBE" w:rsidP="00713E39">
      <w:pPr>
        <w:spacing w:after="0" w:line="240" w:lineRule="auto"/>
        <w:ind w:left="1276" w:hanging="1276"/>
        <w:jc w:val="both"/>
        <w:rPr>
          <w:rFonts w:ascii="Arial" w:eastAsia="Times New Roman" w:hAnsi="Arial" w:cs="Arial"/>
          <w:b/>
          <w:sz w:val="20"/>
          <w:szCs w:val="20"/>
          <w:u w:val="single"/>
        </w:rPr>
      </w:pPr>
      <w:r w:rsidRPr="004F3F4F">
        <w:rPr>
          <w:rFonts w:ascii="Arial" w:eastAsia="Times New Roman" w:hAnsi="Arial" w:cs="Arial"/>
          <w:b/>
          <w:sz w:val="20"/>
          <w:szCs w:val="20"/>
          <w:u w:val="single"/>
        </w:rPr>
        <w:t>Financial Statements</w:t>
      </w:r>
      <w:r w:rsidR="00953A11" w:rsidRPr="004F3F4F">
        <w:rPr>
          <w:rFonts w:ascii="Arial" w:eastAsia="Times New Roman" w:hAnsi="Arial" w:cs="Arial"/>
          <w:b/>
          <w:sz w:val="20"/>
          <w:szCs w:val="20"/>
          <w:u w:val="single"/>
        </w:rPr>
        <w:t xml:space="preserve"> </w:t>
      </w:r>
    </w:p>
    <w:p w14:paraId="41E04132" w14:textId="77777777" w:rsidR="000C6BC6" w:rsidRDefault="000C6BC6" w:rsidP="00713E39">
      <w:pPr>
        <w:spacing w:after="0" w:line="240" w:lineRule="auto"/>
        <w:ind w:left="1276" w:hanging="1276"/>
        <w:jc w:val="both"/>
        <w:rPr>
          <w:rFonts w:ascii="Arial" w:eastAsia="Times New Roman" w:hAnsi="Arial" w:cs="Arial"/>
          <w:b/>
          <w:sz w:val="20"/>
          <w:szCs w:val="20"/>
        </w:rPr>
      </w:pPr>
    </w:p>
    <w:p w14:paraId="41E04133" w14:textId="023469D3" w:rsidR="008E40CE" w:rsidRPr="00713E39" w:rsidRDefault="001B7EBE" w:rsidP="008E40CE">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The </w:t>
      </w:r>
      <w:r w:rsidR="008E40CE">
        <w:rPr>
          <w:rFonts w:ascii="Arial" w:eastAsia="Times New Roman" w:hAnsi="Arial" w:cs="Arial"/>
          <w:sz w:val="20"/>
          <w:szCs w:val="20"/>
        </w:rPr>
        <w:t xml:space="preserve">PCC and CC </w:t>
      </w:r>
      <w:r w:rsidR="00AC26E1">
        <w:rPr>
          <w:rFonts w:ascii="Arial" w:eastAsia="Times New Roman" w:hAnsi="Arial" w:cs="Arial"/>
          <w:sz w:val="20"/>
          <w:szCs w:val="20"/>
        </w:rPr>
        <w:t>are</w:t>
      </w:r>
      <w:r w:rsidR="008E40CE">
        <w:rPr>
          <w:rFonts w:ascii="Arial" w:eastAsia="Times New Roman" w:hAnsi="Arial" w:cs="Arial"/>
          <w:sz w:val="20"/>
          <w:szCs w:val="20"/>
        </w:rPr>
        <w:t xml:space="preserve"> separate corporation sole entities </w:t>
      </w:r>
      <w:r w:rsidR="00AC26E1">
        <w:rPr>
          <w:rFonts w:ascii="Arial" w:eastAsia="Times New Roman" w:hAnsi="Arial" w:cs="Arial"/>
          <w:sz w:val="20"/>
          <w:szCs w:val="20"/>
        </w:rPr>
        <w:t xml:space="preserve">and therefore </w:t>
      </w:r>
      <w:r w:rsidR="008E40CE">
        <w:rPr>
          <w:rFonts w:ascii="Arial" w:eastAsia="Times New Roman" w:hAnsi="Arial" w:cs="Arial"/>
          <w:sz w:val="20"/>
          <w:szCs w:val="20"/>
        </w:rPr>
        <w:t>are required to prepare individual Statement of Accounts</w:t>
      </w:r>
      <w:r w:rsidR="00AC26E1">
        <w:rPr>
          <w:rFonts w:ascii="Arial" w:eastAsia="Times New Roman" w:hAnsi="Arial" w:cs="Arial"/>
          <w:sz w:val="20"/>
          <w:szCs w:val="20"/>
        </w:rPr>
        <w:t>. The</w:t>
      </w:r>
      <w:r w:rsidR="008E40CE">
        <w:rPr>
          <w:rFonts w:ascii="Arial" w:eastAsia="Times New Roman" w:hAnsi="Arial" w:cs="Arial"/>
          <w:sz w:val="20"/>
          <w:szCs w:val="20"/>
        </w:rPr>
        <w:t xml:space="preserve"> consolidated position for the </w:t>
      </w:r>
      <w:r w:rsidR="00AC26E1">
        <w:rPr>
          <w:rFonts w:ascii="Arial" w:eastAsia="Times New Roman" w:hAnsi="Arial" w:cs="Arial"/>
          <w:sz w:val="20"/>
          <w:szCs w:val="20"/>
        </w:rPr>
        <w:t>G</w:t>
      </w:r>
      <w:r w:rsidR="008E40CE">
        <w:rPr>
          <w:rFonts w:ascii="Arial" w:eastAsia="Times New Roman" w:hAnsi="Arial" w:cs="Arial"/>
          <w:sz w:val="20"/>
          <w:szCs w:val="20"/>
        </w:rPr>
        <w:t xml:space="preserve">roup </w:t>
      </w:r>
      <w:r w:rsidR="00AC26E1">
        <w:rPr>
          <w:rFonts w:ascii="Arial" w:eastAsia="Times New Roman" w:hAnsi="Arial" w:cs="Arial"/>
          <w:sz w:val="20"/>
          <w:szCs w:val="20"/>
        </w:rPr>
        <w:t xml:space="preserve">and the </w:t>
      </w:r>
      <w:r w:rsidR="008E40CE">
        <w:rPr>
          <w:rFonts w:ascii="Arial" w:eastAsia="Times New Roman" w:hAnsi="Arial" w:cs="Arial"/>
          <w:sz w:val="20"/>
          <w:szCs w:val="20"/>
        </w:rPr>
        <w:t>PCC’s Statement of Accounts</w:t>
      </w:r>
      <w:r w:rsidR="00AC26E1">
        <w:rPr>
          <w:rFonts w:ascii="Arial" w:eastAsia="Times New Roman" w:hAnsi="Arial" w:cs="Arial"/>
          <w:sz w:val="20"/>
          <w:szCs w:val="20"/>
        </w:rPr>
        <w:t xml:space="preserve"> are included within the same document</w:t>
      </w:r>
      <w:r w:rsidR="008E40CE">
        <w:rPr>
          <w:rFonts w:ascii="Arial" w:eastAsia="Times New Roman" w:hAnsi="Arial" w:cs="Arial"/>
          <w:sz w:val="20"/>
          <w:szCs w:val="20"/>
        </w:rPr>
        <w:t xml:space="preserve">. </w:t>
      </w:r>
    </w:p>
    <w:p w14:paraId="41E04134" w14:textId="77777777" w:rsidR="008E40CE" w:rsidRDefault="008E40CE" w:rsidP="00713E39">
      <w:pPr>
        <w:spacing w:after="0" w:line="240" w:lineRule="auto"/>
        <w:jc w:val="both"/>
        <w:rPr>
          <w:rFonts w:ascii="Arial" w:eastAsia="Times New Roman" w:hAnsi="Arial" w:cs="Arial"/>
          <w:sz w:val="20"/>
          <w:szCs w:val="20"/>
        </w:rPr>
      </w:pPr>
    </w:p>
    <w:p w14:paraId="41E04135" w14:textId="40696A1A" w:rsidR="00592931" w:rsidRDefault="007832E8" w:rsidP="00713E39">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The </w:t>
      </w:r>
      <w:r w:rsidR="004F24FA">
        <w:rPr>
          <w:rFonts w:ascii="Arial" w:eastAsia="Times New Roman" w:hAnsi="Arial" w:cs="Arial"/>
          <w:sz w:val="20"/>
          <w:szCs w:val="20"/>
        </w:rPr>
        <w:t xml:space="preserve">Annual Statement of Accounts and Annual Governance Statement for both the PCC and the CC </w:t>
      </w:r>
      <w:r w:rsidR="001B7EBE">
        <w:rPr>
          <w:rFonts w:ascii="Arial" w:eastAsia="Times New Roman" w:hAnsi="Arial" w:cs="Arial"/>
          <w:sz w:val="20"/>
          <w:szCs w:val="20"/>
        </w:rPr>
        <w:t xml:space="preserve">are </w:t>
      </w:r>
      <w:r w:rsidR="004F24FA">
        <w:rPr>
          <w:rFonts w:ascii="Arial" w:eastAsia="Times New Roman" w:hAnsi="Arial" w:cs="Arial"/>
          <w:sz w:val="20"/>
          <w:szCs w:val="20"/>
        </w:rPr>
        <w:t xml:space="preserve">prepared as soon as possible after the end of the financial year and </w:t>
      </w:r>
      <w:r w:rsidR="001B7EBE">
        <w:rPr>
          <w:rFonts w:ascii="Arial" w:eastAsia="Times New Roman" w:hAnsi="Arial" w:cs="Arial"/>
          <w:sz w:val="20"/>
          <w:szCs w:val="20"/>
        </w:rPr>
        <w:t>the draft accounts were published on both the OPCC and Force website on the 30</w:t>
      </w:r>
      <w:r w:rsidR="001B7EBE" w:rsidRPr="001B7EBE">
        <w:rPr>
          <w:rFonts w:ascii="Arial" w:eastAsia="Times New Roman" w:hAnsi="Arial" w:cs="Arial"/>
          <w:sz w:val="20"/>
          <w:szCs w:val="20"/>
          <w:vertAlign w:val="superscript"/>
        </w:rPr>
        <w:t>th</w:t>
      </w:r>
      <w:r w:rsidR="001B7EBE">
        <w:rPr>
          <w:rFonts w:ascii="Arial" w:eastAsia="Times New Roman" w:hAnsi="Arial" w:cs="Arial"/>
          <w:sz w:val="20"/>
          <w:szCs w:val="20"/>
        </w:rPr>
        <w:t xml:space="preserve"> June 2020. </w:t>
      </w:r>
      <w:r w:rsidR="00592931">
        <w:rPr>
          <w:rFonts w:ascii="Arial" w:eastAsia="Times New Roman" w:hAnsi="Arial" w:cs="Arial"/>
          <w:sz w:val="20"/>
          <w:szCs w:val="20"/>
        </w:rPr>
        <w:t xml:space="preserve"> </w:t>
      </w:r>
    </w:p>
    <w:p w14:paraId="41E04136" w14:textId="77777777" w:rsidR="00592931" w:rsidRDefault="00592931" w:rsidP="00713E39">
      <w:pPr>
        <w:spacing w:after="0" w:line="240" w:lineRule="auto"/>
        <w:jc w:val="both"/>
        <w:rPr>
          <w:rFonts w:ascii="Arial" w:eastAsia="Times New Roman" w:hAnsi="Arial" w:cs="Arial"/>
          <w:sz w:val="20"/>
          <w:szCs w:val="20"/>
        </w:rPr>
      </w:pPr>
    </w:p>
    <w:p w14:paraId="41E04137" w14:textId="6E94912A" w:rsidR="004F24FA" w:rsidRDefault="004F24FA" w:rsidP="00713E39">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The </w:t>
      </w:r>
      <w:r w:rsidR="00713E39">
        <w:rPr>
          <w:rFonts w:ascii="Arial" w:eastAsia="Times New Roman" w:hAnsi="Arial" w:cs="Arial"/>
          <w:sz w:val="20"/>
          <w:szCs w:val="20"/>
        </w:rPr>
        <w:t>201</w:t>
      </w:r>
      <w:r w:rsidR="001B7EBE">
        <w:rPr>
          <w:rFonts w:ascii="Arial" w:eastAsia="Times New Roman" w:hAnsi="Arial" w:cs="Arial"/>
          <w:sz w:val="20"/>
          <w:szCs w:val="20"/>
        </w:rPr>
        <w:t>9</w:t>
      </w:r>
      <w:r w:rsidR="00713E39">
        <w:rPr>
          <w:rFonts w:ascii="Arial" w:eastAsia="Times New Roman" w:hAnsi="Arial" w:cs="Arial"/>
          <w:sz w:val="20"/>
          <w:szCs w:val="20"/>
        </w:rPr>
        <w:t>/</w:t>
      </w:r>
      <w:r w:rsidR="001B7EBE">
        <w:rPr>
          <w:rFonts w:ascii="Arial" w:eastAsia="Times New Roman" w:hAnsi="Arial" w:cs="Arial"/>
          <w:sz w:val="20"/>
          <w:szCs w:val="20"/>
        </w:rPr>
        <w:t>20</w:t>
      </w:r>
      <w:r w:rsidR="00713E39">
        <w:rPr>
          <w:rFonts w:ascii="Arial" w:eastAsia="Times New Roman" w:hAnsi="Arial" w:cs="Arial"/>
          <w:sz w:val="20"/>
          <w:szCs w:val="20"/>
        </w:rPr>
        <w:t xml:space="preserve"> PCC and </w:t>
      </w:r>
      <w:r>
        <w:rPr>
          <w:rFonts w:ascii="Arial" w:eastAsia="Times New Roman" w:hAnsi="Arial" w:cs="Arial"/>
          <w:sz w:val="20"/>
          <w:szCs w:val="20"/>
        </w:rPr>
        <w:t>CC Statement of Accounts have been prepared in accordance with the Code of Practice on Local Authority Accou</w:t>
      </w:r>
      <w:r w:rsidR="004C1EE8">
        <w:rPr>
          <w:rFonts w:ascii="Arial" w:eastAsia="Times New Roman" w:hAnsi="Arial" w:cs="Arial"/>
          <w:sz w:val="20"/>
          <w:szCs w:val="20"/>
        </w:rPr>
        <w:t>nting in the United Kingdom 201</w:t>
      </w:r>
      <w:r w:rsidR="001B7EBE">
        <w:rPr>
          <w:rFonts w:ascii="Arial" w:eastAsia="Times New Roman" w:hAnsi="Arial" w:cs="Arial"/>
          <w:sz w:val="20"/>
          <w:szCs w:val="20"/>
        </w:rPr>
        <w:t>9/20</w:t>
      </w:r>
      <w:r>
        <w:rPr>
          <w:rFonts w:ascii="Arial" w:eastAsia="Times New Roman" w:hAnsi="Arial" w:cs="Arial"/>
          <w:sz w:val="20"/>
          <w:szCs w:val="20"/>
        </w:rPr>
        <w:t xml:space="preserve">, based on International Financial Reporting Standards, issued by the Chartered Institute of Public Finance &amp; Accountancy. </w:t>
      </w:r>
    </w:p>
    <w:p w14:paraId="41E04138" w14:textId="77777777" w:rsidR="008E40CE" w:rsidRDefault="008E40CE" w:rsidP="00713E39">
      <w:pPr>
        <w:spacing w:after="0" w:line="240" w:lineRule="auto"/>
        <w:jc w:val="both"/>
        <w:rPr>
          <w:rFonts w:ascii="Arial" w:eastAsia="Times New Roman" w:hAnsi="Arial" w:cs="Arial"/>
          <w:sz w:val="20"/>
          <w:szCs w:val="20"/>
        </w:rPr>
      </w:pPr>
    </w:p>
    <w:p w14:paraId="41E04139" w14:textId="4EF21C1E" w:rsidR="004F24FA" w:rsidRDefault="00713E39" w:rsidP="00713E39">
      <w:pPr>
        <w:tabs>
          <w:tab w:val="left" w:pos="720"/>
          <w:tab w:val="left" w:pos="5760"/>
        </w:tabs>
        <w:spacing w:after="0" w:line="240" w:lineRule="auto"/>
        <w:jc w:val="both"/>
        <w:rPr>
          <w:rFonts w:ascii="Arial" w:eastAsia="Times New Roman" w:hAnsi="Arial" w:cs="Arial"/>
          <w:sz w:val="20"/>
          <w:szCs w:val="20"/>
        </w:rPr>
      </w:pPr>
      <w:r w:rsidRPr="00713E39">
        <w:rPr>
          <w:rFonts w:ascii="Arial" w:eastAsia="Times New Roman" w:hAnsi="Arial" w:cs="Arial"/>
          <w:sz w:val="20"/>
          <w:szCs w:val="20"/>
        </w:rPr>
        <w:t>Contained within each of the Statement of Accounts</w:t>
      </w:r>
      <w:r>
        <w:rPr>
          <w:rFonts w:ascii="Arial" w:eastAsia="Times New Roman" w:hAnsi="Arial" w:cs="Arial"/>
          <w:sz w:val="20"/>
          <w:szCs w:val="20"/>
        </w:rPr>
        <w:t xml:space="preserve"> are the PCC’s and CC’s Ann</w:t>
      </w:r>
      <w:r w:rsidR="00C628BB">
        <w:rPr>
          <w:rFonts w:ascii="Arial" w:eastAsia="Times New Roman" w:hAnsi="Arial" w:cs="Arial"/>
          <w:sz w:val="20"/>
          <w:szCs w:val="20"/>
        </w:rPr>
        <w:t>ual Governance Statement. These statements</w:t>
      </w:r>
      <w:r>
        <w:rPr>
          <w:rFonts w:ascii="Arial" w:eastAsia="Times New Roman" w:hAnsi="Arial" w:cs="Arial"/>
          <w:sz w:val="20"/>
          <w:szCs w:val="20"/>
        </w:rPr>
        <w:t xml:space="preserve"> are intended to provide assurance that both corporation soles have in place governance frameworks that cover the systems, processes, culture and values through which each organisation manages its activities</w:t>
      </w:r>
      <w:r w:rsidR="001A5586">
        <w:rPr>
          <w:rFonts w:ascii="Arial" w:eastAsia="Times New Roman" w:hAnsi="Arial" w:cs="Arial"/>
          <w:sz w:val="20"/>
          <w:szCs w:val="20"/>
        </w:rPr>
        <w:t xml:space="preserve">. </w:t>
      </w:r>
      <w:r>
        <w:rPr>
          <w:rFonts w:ascii="Arial" w:eastAsia="Times New Roman" w:hAnsi="Arial" w:cs="Arial"/>
          <w:sz w:val="20"/>
          <w:szCs w:val="20"/>
        </w:rPr>
        <w:t xml:space="preserve"> </w:t>
      </w:r>
      <w:r w:rsidR="00CB31A1">
        <w:rPr>
          <w:rFonts w:ascii="Arial" w:eastAsia="Times New Roman" w:hAnsi="Arial" w:cs="Arial"/>
          <w:sz w:val="20"/>
          <w:szCs w:val="20"/>
        </w:rPr>
        <w:t xml:space="preserve">The preparation of </w:t>
      </w:r>
      <w:r w:rsidR="001A5586">
        <w:rPr>
          <w:rFonts w:ascii="Arial" w:eastAsia="Times New Roman" w:hAnsi="Arial" w:cs="Arial"/>
          <w:sz w:val="20"/>
          <w:szCs w:val="20"/>
        </w:rPr>
        <w:t>the</w:t>
      </w:r>
      <w:r w:rsidR="00CB31A1">
        <w:rPr>
          <w:rFonts w:ascii="Arial" w:eastAsia="Times New Roman" w:hAnsi="Arial" w:cs="Arial"/>
          <w:sz w:val="20"/>
          <w:szCs w:val="20"/>
        </w:rPr>
        <w:t xml:space="preserve"> Annual Governance Statement is a requirement of the Accounts and Audit (England) Regulation 2015 which is also reflected in the Code of Practice on Local Authority Accounting in the United Kingdom 201</w:t>
      </w:r>
      <w:r w:rsidR="001B7EBE">
        <w:rPr>
          <w:rFonts w:ascii="Arial" w:eastAsia="Times New Roman" w:hAnsi="Arial" w:cs="Arial"/>
          <w:sz w:val="20"/>
          <w:szCs w:val="20"/>
        </w:rPr>
        <w:t>9</w:t>
      </w:r>
      <w:r w:rsidR="00CB31A1">
        <w:rPr>
          <w:rFonts w:ascii="Arial" w:eastAsia="Times New Roman" w:hAnsi="Arial" w:cs="Arial"/>
          <w:sz w:val="20"/>
          <w:szCs w:val="20"/>
        </w:rPr>
        <w:t>/</w:t>
      </w:r>
      <w:r w:rsidR="001B7EBE">
        <w:rPr>
          <w:rFonts w:ascii="Arial" w:eastAsia="Times New Roman" w:hAnsi="Arial" w:cs="Arial"/>
          <w:sz w:val="20"/>
          <w:szCs w:val="20"/>
        </w:rPr>
        <w:t>20</w:t>
      </w:r>
      <w:r w:rsidR="00CB31A1">
        <w:rPr>
          <w:rFonts w:ascii="Arial" w:eastAsia="Times New Roman" w:hAnsi="Arial" w:cs="Arial"/>
          <w:sz w:val="20"/>
          <w:szCs w:val="20"/>
        </w:rPr>
        <w:t>.</w:t>
      </w:r>
    </w:p>
    <w:p w14:paraId="41E0413C" w14:textId="77777777" w:rsidR="006A0FC2" w:rsidRDefault="006A0FC2" w:rsidP="00953A11">
      <w:pPr>
        <w:tabs>
          <w:tab w:val="left" w:pos="720"/>
          <w:tab w:val="left" w:pos="5760"/>
        </w:tabs>
        <w:spacing w:after="0" w:line="240" w:lineRule="auto"/>
        <w:rPr>
          <w:rFonts w:ascii="Arial" w:eastAsia="Times New Roman" w:hAnsi="Arial" w:cs="Arial"/>
          <w:b/>
          <w:sz w:val="20"/>
          <w:szCs w:val="20"/>
        </w:rPr>
      </w:pPr>
    </w:p>
    <w:p w14:paraId="41E0413D" w14:textId="5DBB4459" w:rsidR="00117180" w:rsidRDefault="00117180" w:rsidP="00117180">
      <w:pPr>
        <w:tabs>
          <w:tab w:val="left" w:pos="720"/>
          <w:tab w:val="left" w:pos="5760"/>
        </w:tabs>
        <w:spacing w:after="0" w:line="240" w:lineRule="auto"/>
        <w:rPr>
          <w:rFonts w:ascii="Arial" w:eastAsia="Times New Roman" w:hAnsi="Arial" w:cs="Arial"/>
          <w:b/>
          <w:sz w:val="20"/>
          <w:szCs w:val="20"/>
        </w:rPr>
      </w:pPr>
      <w:r>
        <w:rPr>
          <w:rFonts w:ascii="Arial" w:eastAsia="Times New Roman" w:hAnsi="Arial" w:cs="Arial"/>
          <w:b/>
          <w:sz w:val="20"/>
          <w:szCs w:val="20"/>
        </w:rPr>
        <w:t xml:space="preserve">Changes to </w:t>
      </w:r>
      <w:r w:rsidR="001B7EBE">
        <w:rPr>
          <w:rFonts w:ascii="Arial" w:eastAsia="Times New Roman" w:hAnsi="Arial" w:cs="Arial"/>
          <w:b/>
          <w:sz w:val="20"/>
          <w:szCs w:val="20"/>
        </w:rPr>
        <w:t xml:space="preserve">Unaudited </w:t>
      </w:r>
      <w:r>
        <w:rPr>
          <w:rFonts w:ascii="Arial" w:eastAsia="Times New Roman" w:hAnsi="Arial" w:cs="Arial"/>
          <w:b/>
          <w:sz w:val="20"/>
          <w:szCs w:val="20"/>
        </w:rPr>
        <w:t xml:space="preserve">Draft Accounts issued on 30 </w:t>
      </w:r>
      <w:r w:rsidR="001B7EBE">
        <w:rPr>
          <w:rFonts w:ascii="Arial" w:eastAsia="Times New Roman" w:hAnsi="Arial" w:cs="Arial"/>
          <w:b/>
          <w:sz w:val="20"/>
          <w:szCs w:val="20"/>
        </w:rPr>
        <w:t>June 2020</w:t>
      </w:r>
      <w:r>
        <w:rPr>
          <w:rFonts w:ascii="Arial" w:eastAsia="Times New Roman" w:hAnsi="Arial" w:cs="Arial"/>
          <w:b/>
          <w:sz w:val="20"/>
          <w:szCs w:val="20"/>
        </w:rPr>
        <w:t>:</w:t>
      </w:r>
    </w:p>
    <w:p w14:paraId="41E0413E" w14:textId="77777777" w:rsidR="00117180" w:rsidRPr="00401870" w:rsidRDefault="00117180" w:rsidP="00117180">
      <w:pPr>
        <w:tabs>
          <w:tab w:val="left" w:pos="720"/>
          <w:tab w:val="left" w:pos="5760"/>
        </w:tabs>
        <w:spacing w:after="0" w:line="240" w:lineRule="auto"/>
        <w:rPr>
          <w:rFonts w:ascii="Arial" w:eastAsia="Times New Roman" w:hAnsi="Arial" w:cs="Arial"/>
          <w:b/>
          <w:sz w:val="20"/>
          <w:szCs w:val="20"/>
        </w:rPr>
      </w:pPr>
    </w:p>
    <w:p w14:paraId="28AFFAAA" w14:textId="27CF4C51" w:rsidR="00396D28" w:rsidRDefault="004F3F4F" w:rsidP="009C22A9">
      <w:pPr>
        <w:tabs>
          <w:tab w:val="left" w:pos="720"/>
          <w:tab w:val="left" w:pos="5760"/>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In addition to the changes set out on Page 27 of the external auditors report the following other major changes were made to reflect </w:t>
      </w:r>
      <w:r w:rsidR="00396D28">
        <w:rPr>
          <w:rFonts w:ascii="Arial" w:eastAsia="Times New Roman" w:hAnsi="Arial" w:cs="Arial"/>
          <w:sz w:val="20"/>
          <w:szCs w:val="20"/>
        </w:rPr>
        <w:t xml:space="preserve">best practice </w:t>
      </w:r>
      <w:r>
        <w:rPr>
          <w:rFonts w:ascii="Arial" w:eastAsia="Times New Roman" w:hAnsi="Arial" w:cs="Arial"/>
          <w:sz w:val="20"/>
          <w:szCs w:val="20"/>
        </w:rPr>
        <w:t>and as a result of new requirements</w:t>
      </w:r>
      <w:r w:rsidR="00396D28">
        <w:rPr>
          <w:rFonts w:ascii="Arial" w:eastAsia="Times New Roman" w:hAnsi="Arial" w:cs="Arial"/>
          <w:sz w:val="20"/>
          <w:szCs w:val="20"/>
        </w:rPr>
        <w:t>:</w:t>
      </w:r>
    </w:p>
    <w:p w14:paraId="396466A1" w14:textId="77777777" w:rsidR="00396D28" w:rsidRDefault="00396D28" w:rsidP="009C22A9">
      <w:pPr>
        <w:tabs>
          <w:tab w:val="left" w:pos="720"/>
          <w:tab w:val="left" w:pos="5760"/>
        </w:tabs>
        <w:spacing w:after="0" w:line="240" w:lineRule="auto"/>
        <w:jc w:val="both"/>
        <w:rPr>
          <w:rFonts w:ascii="Arial" w:eastAsia="Times New Roman" w:hAnsi="Arial" w:cs="Arial"/>
          <w:sz w:val="20"/>
          <w:szCs w:val="20"/>
        </w:rPr>
      </w:pPr>
    </w:p>
    <w:p w14:paraId="5BC1EEED" w14:textId="34C33F3B" w:rsidR="00396D28" w:rsidRDefault="00396D28" w:rsidP="00396D28">
      <w:pPr>
        <w:pStyle w:val="ListParagraph"/>
        <w:numPr>
          <w:ilvl w:val="0"/>
          <w:numId w:val="29"/>
        </w:numPr>
        <w:tabs>
          <w:tab w:val="left" w:pos="720"/>
          <w:tab w:val="left" w:pos="5760"/>
        </w:tabs>
        <w:spacing w:after="0" w:line="240" w:lineRule="auto"/>
        <w:jc w:val="both"/>
        <w:rPr>
          <w:rFonts w:ascii="Arial" w:eastAsia="Times New Roman" w:hAnsi="Arial" w:cs="Arial"/>
          <w:sz w:val="20"/>
          <w:szCs w:val="20"/>
        </w:rPr>
      </w:pPr>
      <w:r>
        <w:rPr>
          <w:rFonts w:ascii="Arial" w:eastAsia="Times New Roman" w:hAnsi="Arial" w:cs="Arial"/>
          <w:sz w:val="20"/>
          <w:szCs w:val="20"/>
        </w:rPr>
        <w:t>A preface and updated Narrative Statement</w:t>
      </w:r>
    </w:p>
    <w:p w14:paraId="7ED319BE" w14:textId="68D00F56" w:rsidR="00396D28" w:rsidRDefault="00396D28" w:rsidP="00396D28">
      <w:pPr>
        <w:pStyle w:val="ListParagraph"/>
        <w:numPr>
          <w:ilvl w:val="0"/>
          <w:numId w:val="29"/>
        </w:numPr>
        <w:tabs>
          <w:tab w:val="left" w:pos="720"/>
          <w:tab w:val="left" w:pos="5760"/>
        </w:tabs>
        <w:spacing w:after="0" w:line="240" w:lineRule="auto"/>
        <w:jc w:val="both"/>
        <w:rPr>
          <w:rFonts w:ascii="Arial" w:eastAsia="Times New Roman" w:hAnsi="Arial" w:cs="Arial"/>
          <w:sz w:val="20"/>
          <w:szCs w:val="20"/>
        </w:rPr>
      </w:pPr>
      <w:r>
        <w:rPr>
          <w:rFonts w:ascii="Arial" w:eastAsia="Times New Roman" w:hAnsi="Arial" w:cs="Arial"/>
          <w:sz w:val="20"/>
          <w:szCs w:val="20"/>
        </w:rPr>
        <w:t>The Annual Governance Statement updated to reflect the conclusions from Internal Audit</w:t>
      </w:r>
    </w:p>
    <w:p w14:paraId="79D2446E" w14:textId="2E709353" w:rsidR="004F3F4F" w:rsidRDefault="004F3F4F" w:rsidP="00396D28">
      <w:pPr>
        <w:pStyle w:val="ListParagraph"/>
        <w:numPr>
          <w:ilvl w:val="0"/>
          <w:numId w:val="29"/>
        </w:numPr>
        <w:tabs>
          <w:tab w:val="left" w:pos="720"/>
          <w:tab w:val="left" w:pos="5760"/>
        </w:tabs>
        <w:spacing w:after="0" w:line="240" w:lineRule="auto"/>
        <w:jc w:val="both"/>
        <w:rPr>
          <w:rFonts w:ascii="Arial" w:eastAsia="Times New Roman" w:hAnsi="Arial" w:cs="Arial"/>
          <w:sz w:val="20"/>
          <w:szCs w:val="20"/>
        </w:rPr>
      </w:pPr>
      <w:r>
        <w:rPr>
          <w:rFonts w:ascii="Arial" w:eastAsia="Times New Roman" w:hAnsi="Arial" w:cs="Arial"/>
          <w:sz w:val="20"/>
          <w:szCs w:val="20"/>
        </w:rPr>
        <w:t>Change in Pension Liabilities to reflect Government recommendations in respect of the McCloud judgement;</w:t>
      </w:r>
    </w:p>
    <w:p w14:paraId="10E93FF8" w14:textId="43405A8A" w:rsidR="00396D28" w:rsidRDefault="004F3F4F" w:rsidP="00396D28">
      <w:pPr>
        <w:pStyle w:val="ListParagraph"/>
        <w:numPr>
          <w:ilvl w:val="0"/>
          <w:numId w:val="29"/>
        </w:numPr>
        <w:tabs>
          <w:tab w:val="left" w:pos="720"/>
          <w:tab w:val="left" w:pos="5760"/>
        </w:tabs>
        <w:spacing w:after="0" w:line="240" w:lineRule="auto"/>
        <w:jc w:val="both"/>
        <w:rPr>
          <w:rFonts w:ascii="Arial" w:eastAsia="Times New Roman" w:hAnsi="Arial" w:cs="Arial"/>
          <w:sz w:val="20"/>
          <w:szCs w:val="20"/>
        </w:rPr>
      </w:pPr>
      <w:r>
        <w:rPr>
          <w:rFonts w:ascii="Arial" w:eastAsia="Times New Roman" w:hAnsi="Arial" w:cs="Arial"/>
          <w:sz w:val="20"/>
          <w:szCs w:val="20"/>
        </w:rPr>
        <w:t>Updated disclosures in respect of Going Concern;</w:t>
      </w:r>
    </w:p>
    <w:p w14:paraId="2AE9A7C1" w14:textId="07C471CB" w:rsidR="00396D28" w:rsidRPr="00396D28" w:rsidRDefault="00AC26E1" w:rsidP="00396D28">
      <w:pPr>
        <w:pStyle w:val="ListParagraph"/>
        <w:numPr>
          <w:ilvl w:val="0"/>
          <w:numId w:val="29"/>
        </w:numPr>
        <w:tabs>
          <w:tab w:val="left" w:pos="720"/>
          <w:tab w:val="left" w:pos="5760"/>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Updated disclosures in respect of </w:t>
      </w:r>
      <w:r w:rsidR="004F3F4F">
        <w:rPr>
          <w:rFonts w:ascii="Arial" w:eastAsia="Times New Roman" w:hAnsi="Arial" w:cs="Arial"/>
          <w:sz w:val="20"/>
          <w:szCs w:val="20"/>
        </w:rPr>
        <w:t>assets valuations as a result of COVID;</w:t>
      </w:r>
    </w:p>
    <w:p w14:paraId="0A254705" w14:textId="77777777" w:rsidR="00396D28" w:rsidRDefault="00396D28" w:rsidP="009C22A9">
      <w:pPr>
        <w:tabs>
          <w:tab w:val="left" w:pos="720"/>
          <w:tab w:val="left" w:pos="5760"/>
        </w:tabs>
        <w:spacing w:after="0" w:line="240" w:lineRule="auto"/>
        <w:jc w:val="both"/>
        <w:rPr>
          <w:rFonts w:ascii="Arial" w:eastAsia="Times New Roman" w:hAnsi="Arial" w:cs="Arial"/>
          <w:sz w:val="20"/>
          <w:szCs w:val="20"/>
        </w:rPr>
      </w:pPr>
    </w:p>
    <w:p w14:paraId="2FD0A48E" w14:textId="2269E5C5" w:rsidR="004F3F4F" w:rsidRDefault="002134E2" w:rsidP="009C22A9">
      <w:pPr>
        <w:tabs>
          <w:tab w:val="left" w:pos="720"/>
          <w:tab w:val="left" w:pos="5760"/>
        </w:tabs>
        <w:spacing w:after="0" w:line="240" w:lineRule="auto"/>
        <w:jc w:val="both"/>
        <w:rPr>
          <w:rFonts w:ascii="Arial" w:eastAsia="Times New Roman" w:hAnsi="Arial" w:cs="Arial"/>
          <w:sz w:val="20"/>
          <w:szCs w:val="20"/>
        </w:rPr>
      </w:pPr>
      <w:r>
        <w:rPr>
          <w:rFonts w:ascii="Arial" w:eastAsia="Times New Roman" w:hAnsi="Arial" w:cs="Arial"/>
          <w:sz w:val="20"/>
          <w:szCs w:val="20"/>
        </w:rPr>
        <w:t>A reconciliation of the movement between the draft accounts as published and the audited accounts is attached as Appendix 1 to this report</w:t>
      </w:r>
      <w:r w:rsidR="002325B6">
        <w:rPr>
          <w:rFonts w:ascii="Arial" w:eastAsia="Times New Roman" w:hAnsi="Arial" w:cs="Arial"/>
          <w:sz w:val="20"/>
          <w:szCs w:val="20"/>
        </w:rPr>
        <w:t>. IF any further late amendments are required this will be reported at the meeting.</w:t>
      </w:r>
    </w:p>
    <w:p w14:paraId="7245A769" w14:textId="77777777" w:rsidR="004F3F4F" w:rsidRDefault="004F3F4F" w:rsidP="009C22A9">
      <w:pPr>
        <w:tabs>
          <w:tab w:val="left" w:pos="720"/>
          <w:tab w:val="left" w:pos="5760"/>
        </w:tabs>
        <w:spacing w:after="0" w:line="240" w:lineRule="auto"/>
        <w:jc w:val="both"/>
        <w:rPr>
          <w:rFonts w:ascii="Arial" w:eastAsia="Times New Roman" w:hAnsi="Arial" w:cs="Arial"/>
          <w:sz w:val="20"/>
          <w:szCs w:val="20"/>
        </w:rPr>
      </w:pPr>
    </w:p>
    <w:p w14:paraId="436238C2" w14:textId="77777777" w:rsidR="004F3F4F" w:rsidRPr="004F3F4F" w:rsidRDefault="004F3F4F" w:rsidP="009C22A9">
      <w:pPr>
        <w:tabs>
          <w:tab w:val="left" w:pos="720"/>
          <w:tab w:val="left" w:pos="5760"/>
        </w:tabs>
        <w:spacing w:after="0" w:line="240" w:lineRule="auto"/>
        <w:jc w:val="both"/>
        <w:rPr>
          <w:rFonts w:ascii="Arial" w:eastAsia="Times New Roman" w:hAnsi="Arial" w:cs="Arial"/>
          <w:b/>
          <w:sz w:val="20"/>
          <w:szCs w:val="20"/>
        </w:rPr>
      </w:pPr>
      <w:r w:rsidRPr="004F3F4F">
        <w:rPr>
          <w:rFonts w:ascii="Arial" w:eastAsia="Times New Roman" w:hAnsi="Arial" w:cs="Arial"/>
          <w:b/>
          <w:sz w:val="20"/>
          <w:szCs w:val="20"/>
        </w:rPr>
        <w:t>Results for the year</w:t>
      </w:r>
    </w:p>
    <w:p w14:paraId="6519B15F" w14:textId="77777777" w:rsidR="004F3F4F" w:rsidRDefault="004F3F4F" w:rsidP="009C22A9">
      <w:pPr>
        <w:tabs>
          <w:tab w:val="left" w:pos="720"/>
          <w:tab w:val="left" w:pos="5760"/>
        </w:tabs>
        <w:spacing w:after="0" w:line="240" w:lineRule="auto"/>
        <w:jc w:val="both"/>
        <w:rPr>
          <w:rFonts w:ascii="Arial" w:eastAsia="Times New Roman" w:hAnsi="Arial" w:cs="Arial"/>
          <w:sz w:val="20"/>
          <w:szCs w:val="20"/>
        </w:rPr>
      </w:pPr>
    </w:p>
    <w:p w14:paraId="3C0AB9FE" w14:textId="5B579D4C" w:rsidR="00E173CE" w:rsidRDefault="004F3F4F" w:rsidP="009C22A9">
      <w:pPr>
        <w:tabs>
          <w:tab w:val="left" w:pos="720"/>
          <w:tab w:val="left" w:pos="5760"/>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Under CIPFA and statutory regulations a number of adjustments are required to be made to the accounts </w:t>
      </w:r>
      <w:r w:rsidR="00E173CE">
        <w:rPr>
          <w:rFonts w:ascii="Arial" w:eastAsia="Times New Roman" w:hAnsi="Arial" w:cs="Arial"/>
          <w:sz w:val="20"/>
          <w:szCs w:val="20"/>
        </w:rPr>
        <w:t>which can make it difficult to ascertain the true financial performance. However as can be seen from the table in the narrative statement, which seeks to remove these adjustments, the Group finished £1.4m under budget prior to transfer to reserves. This represents 0.6% of the total net budget. The PCC also deliver</w:t>
      </w:r>
      <w:r w:rsidR="00C8062F">
        <w:rPr>
          <w:rFonts w:ascii="Arial" w:eastAsia="Times New Roman" w:hAnsi="Arial" w:cs="Arial"/>
          <w:sz w:val="20"/>
          <w:szCs w:val="20"/>
        </w:rPr>
        <w:t>ed</w:t>
      </w:r>
      <w:r w:rsidR="00E173CE">
        <w:rPr>
          <w:rFonts w:ascii="Arial" w:eastAsia="Times New Roman" w:hAnsi="Arial" w:cs="Arial"/>
          <w:sz w:val="20"/>
          <w:szCs w:val="20"/>
        </w:rPr>
        <w:t xml:space="preserve"> </w:t>
      </w:r>
      <w:proofErr w:type="gramStart"/>
      <w:r w:rsidR="00E173CE">
        <w:rPr>
          <w:rFonts w:ascii="Arial" w:eastAsia="Times New Roman" w:hAnsi="Arial" w:cs="Arial"/>
          <w:sz w:val="20"/>
          <w:szCs w:val="20"/>
        </w:rPr>
        <w:t>an underspend</w:t>
      </w:r>
      <w:proofErr w:type="gramEnd"/>
      <w:r w:rsidR="00E173CE">
        <w:rPr>
          <w:rFonts w:ascii="Arial" w:eastAsia="Times New Roman" w:hAnsi="Arial" w:cs="Arial"/>
          <w:sz w:val="20"/>
          <w:szCs w:val="20"/>
        </w:rPr>
        <w:t xml:space="preserve"> of 1% against</w:t>
      </w:r>
      <w:r w:rsidR="00C8062F">
        <w:rPr>
          <w:rFonts w:ascii="Arial" w:eastAsia="Times New Roman" w:hAnsi="Arial" w:cs="Arial"/>
          <w:sz w:val="20"/>
          <w:szCs w:val="20"/>
        </w:rPr>
        <w:t xml:space="preserve"> its net budget of £2m. Staff</w:t>
      </w:r>
      <w:r w:rsidR="00E173CE">
        <w:rPr>
          <w:rFonts w:ascii="Arial" w:eastAsia="Times New Roman" w:hAnsi="Arial" w:cs="Arial"/>
          <w:sz w:val="20"/>
          <w:szCs w:val="20"/>
        </w:rPr>
        <w:t xml:space="preserve"> costs </w:t>
      </w:r>
      <w:r w:rsidR="00CA5983">
        <w:rPr>
          <w:rFonts w:ascii="Arial" w:eastAsia="Times New Roman" w:hAnsi="Arial" w:cs="Arial"/>
          <w:sz w:val="20"/>
          <w:szCs w:val="20"/>
        </w:rPr>
        <w:t>continue to be the biggest cost</w:t>
      </w:r>
      <w:r w:rsidR="00C8062F">
        <w:rPr>
          <w:rFonts w:ascii="Arial" w:eastAsia="Times New Roman" w:hAnsi="Arial" w:cs="Arial"/>
          <w:sz w:val="20"/>
          <w:szCs w:val="20"/>
        </w:rPr>
        <w:t xml:space="preserve"> of the Group</w:t>
      </w:r>
      <w:r w:rsidR="00CA5983">
        <w:rPr>
          <w:rFonts w:ascii="Arial" w:eastAsia="Times New Roman" w:hAnsi="Arial" w:cs="Arial"/>
          <w:sz w:val="20"/>
          <w:szCs w:val="20"/>
        </w:rPr>
        <w:t xml:space="preserve">, representing over 80% of total </w:t>
      </w:r>
      <w:r w:rsidR="000817AA">
        <w:rPr>
          <w:rFonts w:ascii="Arial" w:eastAsia="Times New Roman" w:hAnsi="Arial" w:cs="Arial"/>
          <w:sz w:val="20"/>
          <w:szCs w:val="20"/>
        </w:rPr>
        <w:t>expenditure</w:t>
      </w:r>
      <w:r w:rsidR="00CA5983">
        <w:rPr>
          <w:rFonts w:ascii="Arial" w:eastAsia="Times New Roman" w:hAnsi="Arial" w:cs="Arial"/>
          <w:sz w:val="20"/>
          <w:szCs w:val="20"/>
        </w:rPr>
        <w:t xml:space="preserve">. </w:t>
      </w:r>
    </w:p>
    <w:p w14:paraId="20A5B4B6" w14:textId="77777777" w:rsidR="00E173CE" w:rsidRDefault="00E173CE" w:rsidP="009C22A9">
      <w:pPr>
        <w:tabs>
          <w:tab w:val="left" w:pos="720"/>
          <w:tab w:val="left" w:pos="5760"/>
        </w:tabs>
        <w:spacing w:after="0" w:line="240" w:lineRule="auto"/>
        <w:jc w:val="both"/>
        <w:rPr>
          <w:rFonts w:ascii="Arial" w:eastAsia="Times New Roman" w:hAnsi="Arial" w:cs="Arial"/>
          <w:sz w:val="20"/>
          <w:szCs w:val="20"/>
        </w:rPr>
      </w:pPr>
    </w:p>
    <w:p w14:paraId="6E0E5CF8" w14:textId="6092EC3F" w:rsidR="00D3647F" w:rsidRDefault="00E173CE" w:rsidP="009C22A9">
      <w:pPr>
        <w:tabs>
          <w:tab w:val="left" w:pos="720"/>
          <w:tab w:val="left" w:pos="5760"/>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In terms of capital expenditure for the year this was £11m under budget </w:t>
      </w:r>
      <w:r w:rsidR="00EE0DEC">
        <w:rPr>
          <w:rFonts w:ascii="Arial" w:eastAsia="Times New Roman" w:hAnsi="Arial" w:cs="Arial"/>
          <w:sz w:val="20"/>
          <w:szCs w:val="20"/>
        </w:rPr>
        <w:t>as some pr</w:t>
      </w:r>
      <w:r>
        <w:rPr>
          <w:rFonts w:ascii="Arial" w:eastAsia="Times New Roman" w:hAnsi="Arial" w:cs="Arial"/>
          <w:sz w:val="20"/>
          <w:szCs w:val="20"/>
        </w:rPr>
        <w:t>ojects particularly in IT and estates</w:t>
      </w:r>
      <w:r w:rsidR="00EE0DEC">
        <w:rPr>
          <w:rFonts w:ascii="Arial" w:eastAsia="Times New Roman" w:hAnsi="Arial" w:cs="Arial"/>
          <w:sz w:val="20"/>
          <w:szCs w:val="20"/>
        </w:rPr>
        <w:t xml:space="preserve"> span several years</w:t>
      </w:r>
      <w:r>
        <w:rPr>
          <w:rFonts w:ascii="Arial" w:eastAsia="Times New Roman" w:hAnsi="Arial" w:cs="Arial"/>
          <w:sz w:val="20"/>
          <w:szCs w:val="20"/>
        </w:rPr>
        <w:t xml:space="preserve">. Total assets owned by the </w:t>
      </w:r>
      <w:r w:rsidR="00D3647F">
        <w:rPr>
          <w:rFonts w:ascii="Arial" w:eastAsia="Times New Roman" w:hAnsi="Arial" w:cs="Arial"/>
          <w:sz w:val="20"/>
          <w:szCs w:val="20"/>
        </w:rPr>
        <w:t xml:space="preserve">Group </w:t>
      </w:r>
      <w:r>
        <w:rPr>
          <w:rFonts w:ascii="Arial" w:eastAsia="Times New Roman" w:hAnsi="Arial" w:cs="Arial"/>
          <w:sz w:val="20"/>
          <w:szCs w:val="20"/>
        </w:rPr>
        <w:t xml:space="preserve">consisting of buildings, plant, </w:t>
      </w:r>
      <w:r w:rsidR="000817AA">
        <w:rPr>
          <w:rFonts w:ascii="Arial" w:eastAsia="Times New Roman" w:hAnsi="Arial" w:cs="Arial"/>
          <w:sz w:val="20"/>
          <w:szCs w:val="20"/>
        </w:rPr>
        <w:t>vehicles</w:t>
      </w:r>
      <w:r>
        <w:rPr>
          <w:rFonts w:ascii="Arial" w:eastAsia="Times New Roman" w:hAnsi="Arial" w:cs="Arial"/>
          <w:sz w:val="20"/>
          <w:szCs w:val="20"/>
        </w:rPr>
        <w:t xml:space="preserve"> </w:t>
      </w:r>
      <w:r w:rsidR="000817AA">
        <w:rPr>
          <w:rFonts w:ascii="Arial" w:eastAsia="Times New Roman" w:hAnsi="Arial" w:cs="Arial"/>
          <w:sz w:val="20"/>
          <w:szCs w:val="20"/>
        </w:rPr>
        <w:t>etc.</w:t>
      </w:r>
      <w:r>
        <w:rPr>
          <w:rFonts w:ascii="Arial" w:eastAsia="Times New Roman" w:hAnsi="Arial" w:cs="Arial"/>
          <w:sz w:val="20"/>
          <w:szCs w:val="20"/>
        </w:rPr>
        <w:t xml:space="preserve"> amounted to £135m </w:t>
      </w:r>
      <w:r w:rsidR="00D3647F">
        <w:rPr>
          <w:rFonts w:ascii="Arial" w:eastAsia="Times New Roman" w:hAnsi="Arial" w:cs="Arial"/>
          <w:sz w:val="20"/>
          <w:szCs w:val="20"/>
        </w:rPr>
        <w:t>and the new Investment Property relates to the site for the new HQ in Leatherhead</w:t>
      </w:r>
      <w:r w:rsidR="00EE0DEC">
        <w:rPr>
          <w:rFonts w:ascii="Arial" w:eastAsia="Times New Roman" w:hAnsi="Arial" w:cs="Arial"/>
          <w:sz w:val="20"/>
          <w:szCs w:val="20"/>
        </w:rPr>
        <w:t xml:space="preserve"> which, in due course, will become operational</w:t>
      </w:r>
      <w:r w:rsidR="00D3647F">
        <w:rPr>
          <w:rFonts w:ascii="Arial" w:eastAsia="Times New Roman" w:hAnsi="Arial" w:cs="Arial"/>
          <w:sz w:val="20"/>
          <w:szCs w:val="20"/>
        </w:rPr>
        <w:t xml:space="preserve">. The group held £12.4m in cash and investments at the year end and had total external borrowings from the PWLB amounting to £15m. Total </w:t>
      </w:r>
      <w:r w:rsidR="000817AA">
        <w:rPr>
          <w:rFonts w:ascii="Arial" w:eastAsia="Times New Roman" w:hAnsi="Arial" w:cs="Arial"/>
          <w:sz w:val="20"/>
          <w:szCs w:val="20"/>
        </w:rPr>
        <w:t>usable</w:t>
      </w:r>
      <w:r w:rsidR="00D3647F">
        <w:rPr>
          <w:rFonts w:ascii="Arial" w:eastAsia="Times New Roman" w:hAnsi="Arial" w:cs="Arial"/>
          <w:sz w:val="20"/>
          <w:szCs w:val="20"/>
        </w:rPr>
        <w:t xml:space="preserve"> reserves were £22.6m at the end of the year of which £8m are not earmarked. This equates to just over 3% of the </w:t>
      </w:r>
      <w:r w:rsidR="000817AA">
        <w:rPr>
          <w:rFonts w:ascii="Arial" w:eastAsia="Times New Roman" w:hAnsi="Arial" w:cs="Arial"/>
          <w:sz w:val="20"/>
          <w:szCs w:val="20"/>
        </w:rPr>
        <w:t>total</w:t>
      </w:r>
      <w:r w:rsidR="00D3647F">
        <w:rPr>
          <w:rFonts w:ascii="Arial" w:eastAsia="Times New Roman" w:hAnsi="Arial" w:cs="Arial"/>
          <w:sz w:val="20"/>
          <w:szCs w:val="20"/>
        </w:rPr>
        <w:t xml:space="preserve"> net budget for the group.</w:t>
      </w:r>
    </w:p>
    <w:p w14:paraId="144FC3EA" w14:textId="77777777" w:rsidR="00D3647F" w:rsidRDefault="00D3647F" w:rsidP="009C22A9">
      <w:pPr>
        <w:tabs>
          <w:tab w:val="left" w:pos="720"/>
          <w:tab w:val="left" w:pos="5760"/>
        </w:tabs>
        <w:spacing w:after="0" w:line="240" w:lineRule="auto"/>
        <w:jc w:val="both"/>
        <w:rPr>
          <w:rFonts w:ascii="Arial" w:eastAsia="Times New Roman" w:hAnsi="Arial" w:cs="Arial"/>
          <w:sz w:val="20"/>
          <w:szCs w:val="20"/>
        </w:rPr>
      </w:pPr>
    </w:p>
    <w:p w14:paraId="57BB9435" w14:textId="4DFF3176" w:rsidR="00CA5983" w:rsidRDefault="00D3647F" w:rsidP="009C22A9">
      <w:pPr>
        <w:tabs>
          <w:tab w:val="left" w:pos="720"/>
          <w:tab w:val="left" w:pos="5760"/>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Pensions </w:t>
      </w:r>
      <w:r w:rsidR="00CA5983">
        <w:rPr>
          <w:rFonts w:ascii="Arial" w:eastAsia="Times New Roman" w:hAnsi="Arial" w:cs="Arial"/>
          <w:sz w:val="20"/>
          <w:szCs w:val="20"/>
        </w:rPr>
        <w:t xml:space="preserve">are a </w:t>
      </w:r>
      <w:r>
        <w:rPr>
          <w:rFonts w:ascii="Arial" w:eastAsia="Times New Roman" w:hAnsi="Arial" w:cs="Arial"/>
          <w:sz w:val="20"/>
          <w:szCs w:val="20"/>
        </w:rPr>
        <w:t xml:space="preserve">significant cost for the group with contributions of £50m made during the year. There are </w:t>
      </w:r>
      <w:r w:rsidR="0073266A">
        <w:rPr>
          <w:rFonts w:ascii="Arial" w:eastAsia="Times New Roman" w:hAnsi="Arial" w:cs="Arial"/>
          <w:sz w:val="20"/>
          <w:szCs w:val="20"/>
        </w:rPr>
        <w:t>different schemes in place for Police Officers and Police S</w:t>
      </w:r>
      <w:r>
        <w:rPr>
          <w:rFonts w:ascii="Arial" w:eastAsia="Times New Roman" w:hAnsi="Arial" w:cs="Arial"/>
          <w:sz w:val="20"/>
          <w:szCs w:val="20"/>
        </w:rPr>
        <w:t xml:space="preserve">taff. The Police Officer scheme </w:t>
      </w:r>
      <w:r w:rsidR="0073266A">
        <w:rPr>
          <w:rFonts w:ascii="Arial" w:eastAsia="Times New Roman" w:hAnsi="Arial" w:cs="Arial"/>
          <w:sz w:val="20"/>
          <w:szCs w:val="20"/>
        </w:rPr>
        <w:t xml:space="preserve">is an unfunded scheme and annual contributions are based on </w:t>
      </w:r>
      <w:r w:rsidR="000817AA">
        <w:rPr>
          <w:rFonts w:ascii="Arial" w:eastAsia="Times New Roman" w:hAnsi="Arial" w:cs="Arial"/>
          <w:sz w:val="20"/>
          <w:szCs w:val="20"/>
        </w:rPr>
        <w:t>an</w:t>
      </w:r>
      <w:r w:rsidR="0073266A">
        <w:rPr>
          <w:rFonts w:ascii="Arial" w:eastAsia="Times New Roman" w:hAnsi="Arial" w:cs="Arial"/>
          <w:sz w:val="20"/>
          <w:szCs w:val="20"/>
        </w:rPr>
        <w:t xml:space="preserve"> assessment by the Government actuary of the cost of benefits earned in that particular year. Any shortfall (or surplus) in respect of </w:t>
      </w:r>
      <w:r w:rsidR="000817AA">
        <w:rPr>
          <w:rFonts w:ascii="Arial" w:eastAsia="Times New Roman" w:hAnsi="Arial" w:cs="Arial"/>
          <w:sz w:val="20"/>
          <w:szCs w:val="20"/>
        </w:rPr>
        <w:t>contributions</w:t>
      </w:r>
      <w:r w:rsidR="0073266A">
        <w:rPr>
          <w:rFonts w:ascii="Arial" w:eastAsia="Times New Roman" w:hAnsi="Arial" w:cs="Arial"/>
          <w:sz w:val="20"/>
          <w:szCs w:val="20"/>
        </w:rPr>
        <w:t xml:space="preserve"> against pensions paid is underwritten by the Government. Under accounting standards the full actuarial cost of providing Officer </w:t>
      </w:r>
      <w:r w:rsidR="000817AA">
        <w:rPr>
          <w:rFonts w:ascii="Arial" w:eastAsia="Times New Roman" w:hAnsi="Arial" w:cs="Arial"/>
          <w:sz w:val="20"/>
          <w:szCs w:val="20"/>
        </w:rPr>
        <w:t>Pensions</w:t>
      </w:r>
      <w:r w:rsidR="0073266A">
        <w:rPr>
          <w:rFonts w:ascii="Arial" w:eastAsia="Times New Roman" w:hAnsi="Arial" w:cs="Arial"/>
          <w:sz w:val="20"/>
          <w:szCs w:val="20"/>
        </w:rPr>
        <w:t xml:space="preserve"> had to be reflected in the balance sheet leading to a creditor of £1.9</w:t>
      </w:r>
      <w:r w:rsidR="00CA5983">
        <w:rPr>
          <w:rFonts w:ascii="Arial" w:eastAsia="Times New Roman" w:hAnsi="Arial" w:cs="Arial"/>
          <w:sz w:val="20"/>
          <w:szCs w:val="20"/>
        </w:rPr>
        <w:t>bn</w:t>
      </w:r>
      <w:r w:rsidR="0073266A">
        <w:rPr>
          <w:rFonts w:ascii="Arial" w:eastAsia="Times New Roman" w:hAnsi="Arial" w:cs="Arial"/>
          <w:sz w:val="20"/>
          <w:szCs w:val="20"/>
        </w:rPr>
        <w:t xml:space="preserve"> however this is actually the actuarial cost of the future pensions underwritten by Government. Police Staff are memb</w:t>
      </w:r>
      <w:r w:rsidR="00CA5983">
        <w:rPr>
          <w:rFonts w:ascii="Arial" w:eastAsia="Times New Roman" w:hAnsi="Arial" w:cs="Arial"/>
          <w:sz w:val="20"/>
          <w:szCs w:val="20"/>
        </w:rPr>
        <w:t>e</w:t>
      </w:r>
      <w:r w:rsidR="0073266A">
        <w:rPr>
          <w:rFonts w:ascii="Arial" w:eastAsia="Times New Roman" w:hAnsi="Arial" w:cs="Arial"/>
          <w:sz w:val="20"/>
          <w:szCs w:val="20"/>
        </w:rPr>
        <w:t xml:space="preserve">rs of the Local Government Pension Scheme which is a funded scheme in that it holds investment to provide for future pensions. </w:t>
      </w:r>
      <w:r w:rsidR="00CA5983">
        <w:rPr>
          <w:rFonts w:ascii="Arial" w:eastAsia="Times New Roman" w:hAnsi="Arial" w:cs="Arial"/>
          <w:sz w:val="20"/>
          <w:szCs w:val="20"/>
        </w:rPr>
        <w:t>At the end of the year although there was a reported deficit of £130m reflected in the accounts this was as a result of the valuation method prescribed by CIPFA and it is the actuar</w:t>
      </w:r>
      <w:r w:rsidR="000817AA">
        <w:rPr>
          <w:rFonts w:ascii="Arial" w:eastAsia="Times New Roman" w:hAnsi="Arial" w:cs="Arial"/>
          <w:sz w:val="20"/>
          <w:szCs w:val="20"/>
        </w:rPr>
        <w:t>y’s</w:t>
      </w:r>
      <w:r w:rsidR="00CA5983">
        <w:rPr>
          <w:rFonts w:ascii="Arial" w:eastAsia="Times New Roman" w:hAnsi="Arial" w:cs="Arial"/>
          <w:sz w:val="20"/>
          <w:szCs w:val="20"/>
        </w:rPr>
        <w:t xml:space="preserve"> view that the scheme is almost </w:t>
      </w:r>
      <w:r w:rsidR="000817AA">
        <w:rPr>
          <w:rFonts w:ascii="Arial" w:eastAsia="Times New Roman" w:hAnsi="Arial" w:cs="Arial"/>
          <w:sz w:val="20"/>
          <w:szCs w:val="20"/>
        </w:rPr>
        <w:t>fully</w:t>
      </w:r>
      <w:r w:rsidR="00CA5983">
        <w:rPr>
          <w:rFonts w:ascii="Arial" w:eastAsia="Times New Roman" w:hAnsi="Arial" w:cs="Arial"/>
          <w:sz w:val="20"/>
          <w:szCs w:val="20"/>
        </w:rPr>
        <w:t xml:space="preserve"> funded. </w:t>
      </w:r>
    </w:p>
    <w:p w14:paraId="53D80B8B" w14:textId="77777777" w:rsidR="00CA5983" w:rsidRDefault="00CA5983" w:rsidP="009C22A9">
      <w:pPr>
        <w:tabs>
          <w:tab w:val="left" w:pos="720"/>
          <w:tab w:val="left" w:pos="5760"/>
        </w:tabs>
        <w:spacing w:after="0" w:line="240" w:lineRule="auto"/>
        <w:jc w:val="both"/>
        <w:rPr>
          <w:rFonts w:ascii="Arial" w:eastAsia="Times New Roman" w:hAnsi="Arial" w:cs="Arial"/>
          <w:sz w:val="20"/>
          <w:szCs w:val="20"/>
        </w:rPr>
      </w:pPr>
    </w:p>
    <w:p w14:paraId="009C26DA" w14:textId="7F7E0D9E" w:rsidR="00CA5983" w:rsidRDefault="00CA5983" w:rsidP="009C22A9">
      <w:pPr>
        <w:tabs>
          <w:tab w:val="left" w:pos="720"/>
          <w:tab w:val="left" w:pos="5760"/>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There is a lot of other information included within the financial statements to further explain the financial performance of the Group for the year. </w:t>
      </w:r>
    </w:p>
    <w:p w14:paraId="55401D02" w14:textId="77777777" w:rsidR="00CA5983" w:rsidRDefault="00CA5983" w:rsidP="009C22A9">
      <w:pPr>
        <w:tabs>
          <w:tab w:val="left" w:pos="720"/>
          <w:tab w:val="left" w:pos="5760"/>
        </w:tabs>
        <w:spacing w:after="0" w:line="240" w:lineRule="auto"/>
        <w:jc w:val="both"/>
        <w:rPr>
          <w:rFonts w:ascii="Arial" w:eastAsia="Times New Roman" w:hAnsi="Arial" w:cs="Arial"/>
          <w:sz w:val="20"/>
          <w:szCs w:val="20"/>
        </w:rPr>
      </w:pPr>
    </w:p>
    <w:p w14:paraId="21DD5359" w14:textId="77777777" w:rsidR="00EE0DEC" w:rsidRDefault="00EE0DEC" w:rsidP="009C22A9">
      <w:pPr>
        <w:tabs>
          <w:tab w:val="left" w:pos="720"/>
          <w:tab w:val="left" w:pos="5760"/>
        </w:tabs>
        <w:spacing w:after="0" w:line="240" w:lineRule="auto"/>
        <w:jc w:val="both"/>
        <w:rPr>
          <w:rFonts w:ascii="Arial" w:eastAsia="Times New Roman" w:hAnsi="Arial" w:cs="Arial"/>
          <w:b/>
          <w:sz w:val="20"/>
          <w:szCs w:val="20"/>
          <w:u w:val="single"/>
        </w:rPr>
      </w:pPr>
    </w:p>
    <w:p w14:paraId="4AA4B470" w14:textId="089ECC42" w:rsidR="00CA5983" w:rsidRPr="00CA5983" w:rsidRDefault="00CA5983" w:rsidP="009C22A9">
      <w:pPr>
        <w:tabs>
          <w:tab w:val="left" w:pos="720"/>
          <w:tab w:val="left" w:pos="5760"/>
        </w:tabs>
        <w:spacing w:after="0" w:line="240" w:lineRule="auto"/>
        <w:jc w:val="both"/>
        <w:rPr>
          <w:rFonts w:ascii="Arial" w:eastAsia="Times New Roman" w:hAnsi="Arial" w:cs="Arial"/>
          <w:b/>
          <w:sz w:val="20"/>
          <w:szCs w:val="20"/>
          <w:u w:val="single"/>
        </w:rPr>
      </w:pPr>
      <w:r w:rsidRPr="00CA5983">
        <w:rPr>
          <w:rFonts w:ascii="Arial" w:eastAsia="Times New Roman" w:hAnsi="Arial" w:cs="Arial"/>
          <w:b/>
          <w:sz w:val="20"/>
          <w:szCs w:val="20"/>
          <w:u w:val="single"/>
        </w:rPr>
        <w:t>Auditors Report on the Financial Statements</w:t>
      </w:r>
    </w:p>
    <w:p w14:paraId="02A273D5" w14:textId="77777777" w:rsidR="00CA5983" w:rsidRDefault="00CA5983" w:rsidP="009C22A9">
      <w:pPr>
        <w:tabs>
          <w:tab w:val="left" w:pos="720"/>
          <w:tab w:val="left" w:pos="5760"/>
        </w:tabs>
        <w:spacing w:after="0" w:line="240" w:lineRule="auto"/>
        <w:jc w:val="both"/>
        <w:rPr>
          <w:rFonts w:ascii="Arial" w:eastAsia="Times New Roman" w:hAnsi="Arial" w:cs="Arial"/>
          <w:sz w:val="20"/>
          <w:szCs w:val="20"/>
        </w:rPr>
      </w:pPr>
    </w:p>
    <w:p w14:paraId="2BAB0807" w14:textId="1A9B4DB5" w:rsidR="00CA5983" w:rsidRDefault="00CA5983" w:rsidP="009C22A9">
      <w:pPr>
        <w:tabs>
          <w:tab w:val="left" w:pos="720"/>
          <w:tab w:val="left" w:pos="5760"/>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The Auditors report on the financial statements and Value for Money </w:t>
      </w:r>
      <w:r w:rsidR="00075E9B">
        <w:rPr>
          <w:rFonts w:ascii="Arial" w:eastAsia="Times New Roman" w:hAnsi="Arial" w:cs="Arial"/>
          <w:sz w:val="20"/>
          <w:szCs w:val="20"/>
        </w:rPr>
        <w:t xml:space="preserve">for 2019/20 </w:t>
      </w:r>
      <w:r>
        <w:rPr>
          <w:rFonts w:ascii="Arial" w:eastAsia="Times New Roman" w:hAnsi="Arial" w:cs="Arial"/>
          <w:sz w:val="20"/>
          <w:szCs w:val="20"/>
        </w:rPr>
        <w:t xml:space="preserve">is attached to this report. This sets out the risks that they have considered, any </w:t>
      </w:r>
      <w:r w:rsidR="00435D68">
        <w:rPr>
          <w:rFonts w:ascii="Arial" w:eastAsia="Times New Roman" w:hAnsi="Arial" w:cs="Arial"/>
          <w:sz w:val="20"/>
          <w:szCs w:val="20"/>
        </w:rPr>
        <w:t xml:space="preserve">financial </w:t>
      </w:r>
      <w:r>
        <w:rPr>
          <w:rFonts w:ascii="Arial" w:eastAsia="Times New Roman" w:hAnsi="Arial" w:cs="Arial"/>
          <w:sz w:val="20"/>
          <w:szCs w:val="20"/>
        </w:rPr>
        <w:t>adjustments required,</w:t>
      </w:r>
      <w:r w:rsidR="00435D68">
        <w:rPr>
          <w:rFonts w:ascii="Arial" w:eastAsia="Times New Roman" w:hAnsi="Arial" w:cs="Arial"/>
          <w:sz w:val="20"/>
          <w:szCs w:val="20"/>
        </w:rPr>
        <w:t xml:space="preserve"> the results of the audit and a number of other items required by statute.</w:t>
      </w:r>
    </w:p>
    <w:p w14:paraId="73FE5B7F" w14:textId="77777777" w:rsidR="00435D68" w:rsidRDefault="00435D68" w:rsidP="009C22A9">
      <w:pPr>
        <w:tabs>
          <w:tab w:val="left" w:pos="720"/>
          <w:tab w:val="left" w:pos="5760"/>
        </w:tabs>
        <w:spacing w:after="0" w:line="240" w:lineRule="auto"/>
        <w:jc w:val="both"/>
        <w:rPr>
          <w:rFonts w:ascii="Arial" w:eastAsia="Times New Roman" w:hAnsi="Arial" w:cs="Arial"/>
          <w:sz w:val="20"/>
          <w:szCs w:val="20"/>
        </w:rPr>
      </w:pPr>
    </w:p>
    <w:p w14:paraId="749DFB48" w14:textId="3FAED6B0" w:rsidR="00435D68" w:rsidRDefault="00435D68" w:rsidP="009C22A9">
      <w:pPr>
        <w:tabs>
          <w:tab w:val="left" w:pos="720"/>
          <w:tab w:val="left" w:pos="5760"/>
        </w:tabs>
        <w:spacing w:after="0" w:line="240" w:lineRule="auto"/>
        <w:jc w:val="both"/>
        <w:rPr>
          <w:rFonts w:ascii="Arial" w:eastAsia="Times New Roman" w:hAnsi="Arial" w:cs="Arial"/>
          <w:sz w:val="20"/>
          <w:szCs w:val="20"/>
        </w:rPr>
      </w:pPr>
      <w:r>
        <w:rPr>
          <w:rFonts w:ascii="Arial" w:eastAsia="Times New Roman" w:hAnsi="Arial" w:cs="Arial"/>
          <w:sz w:val="20"/>
          <w:szCs w:val="20"/>
        </w:rPr>
        <w:t>Mr Mark Hodgson, the partner in charge of the audit, will be available</w:t>
      </w:r>
      <w:r w:rsidR="000817AA">
        <w:rPr>
          <w:rFonts w:ascii="Arial" w:eastAsia="Times New Roman" w:hAnsi="Arial" w:cs="Arial"/>
          <w:sz w:val="20"/>
          <w:szCs w:val="20"/>
        </w:rPr>
        <w:t xml:space="preserve"> to answer </w:t>
      </w:r>
      <w:r>
        <w:rPr>
          <w:rFonts w:ascii="Arial" w:eastAsia="Times New Roman" w:hAnsi="Arial" w:cs="Arial"/>
          <w:sz w:val="20"/>
          <w:szCs w:val="20"/>
        </w:rPr>
        <w:t>questions at the meeting.</w:t>
      </w:r>
      <w:r w:rsidR="000817AA">
        <w:rPr>
          <w:rFonts w:ascii="Arial" w:eastAsia="Times New Roman" w:hAnsi="Arial" w:cs="Arial"/>
          <w:sz w:val="20"/>
          <w:szCs w:val="20"/>
        </w:rPr>
        <w:t xml:space="preserve"> </w:t>
      </w:r>
    </w:p>
    <w:p w14:paraId="489BA34F" w14:textId="77777777" w:rsidR="00435D68" w:rsidRDefault="00435D68" w:rsidP="009C22A9">
      <w:pPr>
        <w:tabs>
          <w:tab w:val="left" w:pos="720"/>
          <w:tab w:val="left" w:pos="5760"/>
        </w:tabs>
        <w:spacing w:after="0" w:line="240" w:lineRule="auto"/>
        <w:jc w:val="both"/>
        <w:rPr>
          <w:rFonts w:ascii="Arial" w:eastAsia="Times New Roman" w:hAnsi="Arial" w:cs="Arial"/>
          <w:sz w:val="20"/>
          <w:szCs w:val="20"/>
        </w:rPr>
      </w:pPr>
    </w:p>
    <w:p w14:paraId="4D86DC47" w14:textId="77777777" w:rsidR="00EE0DEC" w:rsidRDefault="00EE0DEC">
      <w:pPr>
        <w:rPr>
          <w:rFonts w:ascii="Arial" w:eastAsia="Times New Roman" w:hAnsi="Arial" w:cs="Arial"/>
          <w:b/>
          <w:sz w:val="20"/>
          <w:szCs w:val="20"/>
          <w:u w:val="single"/>
        </w:rPr>
      </w:pPr>
      <w:r>
        <w:rPr>
          <w:rFonts w:ascii="Arial" w:eastAsia="Times New Roman" w:hAnsi="Arial" w:cs="Arial"/>
          <w:b/>
          <w:sz w:val="20"/>
          <w:szCs w:val="20"/>
          <w:u w:val="single"/>
        </w:rPr>
        <w:br w:type="page"/>
      </w:r>
    </w:p>
    <w:p w14:paraId="2413E730" w14:textId="3BA53FA1" w:rsidR="00435D68" w:rsidRDefault="00435D68" w:rsidP="009C22A9">
      <w:pPr>
        <w:tabs>
          <w:tab w:val="left" w:pos="720"/>
          <w:tab w:val="left" w:pos="5760"/>
        </w:tabs>
        <w:spacing w:after="0" w:line="240" w:lineRule="auto"/>
        <w:jc w:val="both"/>
        <w:rPr>
          <w:rFonts w:ascii="Arial" w:eastAsia="Times New Roman" w:hAnsi="Arial" w:cs="Arial"/>
          <w:b/>
          <w:sz w:val="20"/>
          <w:szCs w:val="20"/>
          <w:u w:val="single"/>
        </w:rPr>
      </w:pPr>
      <w:r>
        <w:rPr>
          <w:rFonts w:ascii="Arial" w:eastAsia="Times New Roman" w:hAnsi="Arial" w:cs="Arial"/>
          <w:b/>
          <w:sz w:val="20"/>
          <w:szCs w:val="20"/>
          <w:u w:val="single"/>
        </w:rPr>
        <w:t>Letter of Representation</w:t>
      </w:r>
    </w:p>
    <w:p w14:paraId="02B4C933" w14:textId="77777777" w:rsidR="00435D68" w:rsidRDefault="00435D68" w:rsidP="009C22A9">
      <w:pPr>
        <w:tabs>
          <w:tab w:val="left" w:pos="720"/>
          <w:tab w:val="left" w:pos="5760"/>
        </w:tabs>
        <w:spacing w:after="0" w:line="240" w:lineRule="auto"/>
        <w:jc w:val="both"/>
        <w:rPr>
          <w:rFonts w:ascii="Arial" w:eastAsia="Times New Roman" w:hAnsi="Arial" w:cs="Arial"/>
          <w:b/>
          <w:sz w:val="20"/>
          <w:szCs w:val="20"/>
          <w:u w:val="single"/>
        </w:rPr>
      </w:pPr>
    </w:p>
    <w:p w14:paraId="07FCC857" w14:textId="7C4837B5" w:rsidR="00435D68" w:rsidRDefault="00435D68" w:rsidP="009C22A9">
      <w:pPr>
        <w:tabs>
          <w:tab w:val="left" w:pos="720"/>
          <w:tab w:val="left" w:pos="5760"/>
        </w:tabs>
        <w:spacing w:after="0" w:line="240" w:lineRule="auto"/>
        <w:jc w:val="both"/>
        <w:rPr>
          <w:rFonts w:ascii="Arial" w:eastAsia="Times New Roman" w:hAnsi="Arial" w:cs="Arial"/>
          <w:sz w:val="20"/>
          <w:szCs w:val="20"/>
        </w:rPr>
      </w:pPr>
      <w:r>
        <w:rPr>
          <w:rFonts w:ascii="Arial" w:eastAsia="Times New Roman" w:hAnsi="Arial" w:cs="Arial"/>
          <w:sz w:val="20"/>
          <w:szCs w:val="20"/>
        </w:rPr>
        <w:t>There is a legal obligation senior officers to disclose any information that the auditor may request or which could have a bearing on their audit opinion. The letter of representation seeks to set out in writing the verbal representation made to them during the course of their audit. This is standard practice for any audit and the letter is o</w:t>
      </w:r>
      <w:r w:rsidR="00AC26E1">
        <w:rPr>
          <w:rFonts w:ascii="Arial" w:eastAsia="Times New Roman" w:hAnsi="Arial" w:cs="Arial"/>
          <w:sz w:val="20"/>
          <w:szCs w:val="20"/>
        </w:rPr>
        <w:t>f a standard format and content and is required to be signed by the PCC</w:t>
      </w:r>
      <w:r w:rsidR="00C8062F">
        <w:rPr>
          <w:rFonts w:ascii="Arial" w:eastAsia="Times New Roman" w:hAnsi="Arial" w:cs="Arial"/>
          <w:sz w:val="20"/>
          <w:szCs w:val="20"/>
        </w:rPr>
        <w:t>, CC</w:t>
      </w:r>
      <w:r w:rsidR="00AC26E1">
        <w:rPr>
          <w:rFonts w:ascii="Arial" w:eastAsia="Times New Roman" w:hAnsi="Arial" w:cs="Arial"/>
          <w:sz w:val="20"/>
          <w:szCs w:val="20"/>
        </w:rPr>
        <w:t xml:space="preserve"> and two CFOs</w:t>
      </w:r>
    </w:p>
    <w:p w14:paraId="79C2C99B" w14:textId="77777777" w:rsidR="00435D68" w:rsidRDefault="00435D68" w:rsidP="009C22A9">
      <w:pPr>
        <w:tabs>
          <w:tab w:val="left" w:pos="720"/>
          <w:tab w:val="left" w:pos="5760"/>
        </w:tabs>
        <w:spacing w:after="0" w:line="240" w:lineRule="auto"/>
        <w:jc w:val="both"/>
        <w:rPr>
          <w:rFonts w:ascii="Arial" w:eastAsia="Times New Roman" w:hAnsi="Arial" w:cs="Arial"/>
          <w:sz w:val="20"/>
          <w:szCs w:val="20"/>
        </w:rPr>
      </w:pPr>
    </w:p>
    <w:p w14:paraId="41E04143" w14:textId="4FB72FA3" w:rsidR="009C22A9" w:rsidRPr="0059466B" w:rsidRDefault="00435D68" w:rsidP="009C22A9">
      <w:pPr>
        <w:tabs>
          <w:tab w:val="left" w:pos="720"/>
          <w:tab w:val="left" w:pos="5760"/>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Mr Mark Hodgson </w:t>
      </w:r>
      <w:r w:rsidR="00AC26E1">
        <w:rPr>
          <w:rFonts w:ascii="Arial" w:eastAsia="Times New Roman" w:hAnsi="Arial" w:cs="Arial"/>
          <w:sz w:val="20"/>
          <w:szCs w:val="20"/>
        </w:rPr>
        <w:t xml:space="preserve">from EY </w:t>
      </w:r>
      <w:r>
        <w:rPr>
          <w:rFonts w:ascii="Arial" w:eastAsia="Times New Roman" w:hAnsi="Arial" w:cs="Arial"/>
          <w:sz w:val="20"/>
          <w:szCs w:val="20"/>
        </w:rPr>
        <w:t>will be available at the meeting to answer any questions Members may have</w:t>
      </w:r>
      <w:r w:rsidR="00AC26E1">
        <w:rPr>
          <w:rFonts w:ascii="Arial" w:eastAsia="Times New Roman" w:hAnsi="Arial" w:cs="Arial"/>
          <w:sz w:val="20"/>
          <w:szCs w:val="20"/>
        </w:rPr>
        <w:t xml:space="preserve"> on the Letter of Representation</w:t>
      </w:r>
      <w:r w:rsidR="0059466B">
        <w:rPr>
          <w:rFonts w:ascii="Arial" w:eastAsia="Times New Roman" w:hAnsi="Arial" w:cs="Arial"/>
          <w:sz w:val="20"/>
          <w:szCs w:val="20"/>
        </w:rPr>
        <w:t>.</w:t>
      </w:r>
      <w:r w:rsidR="0059466B">
        <w:rPr>
          <w:rFonts w:ascii="Arial" w:eastAsia="Times New Roman" w:hAnsi="Arial" w:cs="Arial"/>
          <w:b/>
          <w:sz w:val="20"/>
          <w:szCs w:val="20"/>
        </w:rPr>
        <w:t xml:space="preserve"> </w:t>
      </w:r>
    </w:p>
    <w:p w14:paraId="765268CE" w14:textId="77777777" w:rsidR="000817AA" w:rsidRDefault="000817AA" w:rsidP="00953A11">
      <w:pPr>
        <w:tabs>
          <w:tab w:val="left" w:pos="720"/>
          <w:tab w:val="left" w:pos="5760"/>
        </w:tabs>
        <w:spacing w:after="0" w:line="240" w:lineRule="auto"/>
        <w:rPr>
          <w:rFonts w:ascii="Arial" w:eastAsia="Times New Roman" w:hAnsi="Arial" w:cs="Arial"/>
          <w:b/>
          <w:sz w:val="20"/>
          <w:szCs w:val="20"/>
        </w:rPr>
      </w:pPr>
    </w:p>
    <w:p w14:paraId="41E04145" w14:textId="4B0325BF" w:rsidR="00953A11" w:rsidRPr="00EE0DEC" w:rsidRDefault="00A258BF" w:rsidP="00953A11">
      <w:pPr>
        <w:tabs>
          <w:tab w:val="left" w:pos="720"/>
          <w:tab w:val="left" w:pos="5760"/>
        </w:tabs>
        <w:spacing w:after="0" w:line="240" w:lineRule="auto"/>
        <w:rPr>
          <w:rFonts w:ascii="Arial" w:eastAsia="Times New Roman" w:hAnsi="Arial" w:cs="Arial"/>
          <w:b/>
          <w:sz w:val="20"/>
          <w:szCs w:val="20"/>
          <w:u w:val="single"/>
        </w:rPr>
      </w:pPr>
      <w:r w:rsidRPr="00EE0DEC">
        <w:rPr>
          <w:rFonts w:ascii="Arial" w:eastAsia="Times New Roman" w:hAnsi="Arial" w:cs="Arial"/>
          <w:b/>
          <w:sz w:val="20"/>
          <w:szCs w:val="20"/>
          <w:u w:val="single"/>
        </w:rPr>
        <w:t>Recommendation:</w:t>
      </w:r>
    </w:p>
    <w:p w14:paraId="41E04146" w14:textId="77777777" w:rsidR="000C6BC6" w:rsidRPr="00401870" w:rsidRDefault="000C6BC6" w:rsidP="00953A11">
      <w:pPr>
        <w:tabs>
          <w:tab w:val="left" w:pos="720"/>
          <w:tab w:val="left" w:pos="5760"/>
        </w:tabs>
        <w:spacing w:after="0" w:line="240" w:lineRule="auto"/>
        <w:rPr>
          <w:rFonts w:ascii="Arial" w:eastAsia="Times New Roman" w:hAnsi="Arial" w:cs="Arial"/>
          <w:b/>
          <w:sz w:val="20"/>
          <w:szCs w:val="20"/>
        </w:rPr>
      </w:pPr>
    </w:p>
    <w:p w14:paraId="019998FB" w14:textId="79CA9701" w:rsidR="00435D68" w:rsidRDefault="00435D68" w:rsidP="00C73485">
      <w:pPr>
        <w:tabs>
          <w:tab w:val="left" w:pos="720"/>
          <w:tab w:val="left" w:pos="5760"/>
        </w:tabs>
        <w:spacing w:after="0" w:line="240" w:lineRule="auto"/>
        <w:jc w:val="both"/>
        <w:rPr>
          <w:rFonts w:ascii="Arial" w:eastAsia="Times New Roman" w:hAnsi="Arial" w:cs="Arial"/>
          <w:sz w:val="20"/>
          <w:szCs w:val="20"/>
        </w:rPr>
      </w:pPr>
      <w:r>
        <w:rPr>
          <w:rFonts w:ascii="Arial" w:eastAsia="Times New Roman" w:hAnsi="Arial" w:cs="Arial"/>
          <w:sz w:val="20"/>
          <w:szCs w:val="20"/>
        </w:rPr>
        <w:t>It is recommended that the Joint Audit Committee:</w:t>
      </w:r>
    </w:p>
    <w:p w14:paraId="02209874" w14:textId="77777777" w:rsidR="00435D68" w:rsidRDefault="00435D68" w:rsidP="00C73485">
      <w:pPr>
        <w:tabs>
          <w:tab w:val="left" w:pos="720"/>
          <w:tab w:val="left" w:pos="5760"/>
        </w:tabs>
        <w:spacing w:after="0" w:line="240" w:lineRule="auto"/>
        <w:jc w:val="both"/>
        <w:rPr>
          <w:rFonts w:ascii="Arial" w:eastAsia="Times New Roman" w:hAnsi="Arial" w:cs="Arial"/>
          <w:sz w:val="20"/>
          <w:szCs w:val="20"/>
        </w:rPr>
      </w:pPr>
    </w:p>
    <w:p w14:paraId="72A3C0C8" w14:textId="0BB4B647" w:rsidR="00435D68" w:rsidRPr="00435D68" w:rsidRDefault="00435D68" w:rsidP="00435D68">
      <w:pPr>
        <w:pStyle w:val="ListParagraph"/>
        <w:numPr>
          <w:ilvl w:val="0"/>
          <w:numId w:val="34"/>
        </w:numPr>
        <w:tabs>
          <w:tab w:val="left" w:pos="720"/>
          <w:tab w:val="left" w:pos="5760"/>
        </w:tabs>
        <w:spacing w:after="0" w:line="240" w:lineRule="auto"/>
        <w:jc w:val="both"/>
        <w:rPr>
          <w:rFonts w:ascii="Arial" w:eastAsia="Times New Roman" w:hAnsi="Arial" w:cs="Arial"/>
          <w:i/>
          <w:sz w:val="20"/>
          <w:szCs w:val="20"/>
        </w:rPr>
      </w:pPr>
      <w:r>
        <w:rPr>
          <w:rFonts w:ascii="Arial" w:eastAsia="Times New Roman" w:hAnsi="Arial" w:cs="Arial"/>
          <w:sz w:val="20"/>
          <w:szCs w:val="20"/>
        </w:rPr>
        <w:t xml:space="preserve">Receive and comment on the </w:t>
      </w:r>
      <w:r w:rsidR="00AC26E1">
        <w:rPr>
          <w:rFonts w:ascii="Arial" w:eastAsia="Times New Roman" w:hAnsi="Arial" w:cs="Arial"/>
          <w:sz w:val="20"/>
          <w:szCs w:val="20"/>
        </w:rPr>
        <w:t xml:space="preserve">Group </w:t>
      </w:r>
      <w:r>
        <w:rPr>
          <w:rFonts w:ascii="Arial" w:eastAsia="Times New Roman" w:hAnsi="Arial" w:cs="Arial"/>
          <w:sz w:val="20"/>
          <w:szCs w:val="20"/>
        </w:rPr>
        <w:t xml:space="preserve">Audited Financial Statements for 2019/20 </w:t>
      </w:r>
      <w:r w:rsidR="00AC26E1">
        <w:rPr>
          <w:rFonts w:ascii="Arial" w:eastAsia="Times New Roman" w:hAnsi="Arial" w:cs="Arial"/>
          <w:sz w:val="20"/>
          <w:szCs w:val="20"/>
        </w:rPr>
        <w:t>and the Chief Constable Audited Financial Statements for 2019/20</w:t>
      </w:r>
      <w:r>
        <w:rPr>
          <w:rFonts w:ascii="Arial" w:eastAsia="Times New Roman" w:hAnsi="Arial" w:cs="Arial"/>
          <w:sz w:val="20"/>
          <w:szCs w:val="20"/>
        </w:rPr>
        <w:t>;</w:t>
      </w:r>
    </w:p>
    <w:p w14:paraId="3989584E" w14:textId="12D59E60" w:rsidR="00435D68" w:rsidRPr="00435D68" w:rsidRDefault="00435D68" w:rsidP="00435D68">
      <w:pPr>
        <w:pStyle w:val="ListParagraph"/>
        <w:numPr>
          <w:ilvl w:val="0"/>
          <w:numId w:val="34"/>
        </w:numPr>
        <w:tabs>
          <w:tab w:val="left" w:pos="720"/>
          <w:tab w:val="left" w:pos="5760"/>
        </w:tabs>
        <w:spacing w:after="0" w:line="240" w:lineRule="auto"/>
        <w:jc w:val="both"/>
        <w:rPr>
          <w:rFonts w:ascii="Arial" w:eastAsia="Times New Roman" w:hAnsi="Arial" w:cs="Arial"/>
          <w:i/>
          <w:sz w:val="20"/>
          <w:szCs w:val="20"/>
        </w:rPr>
      </w:pPr>
      <w:r>
        <w:rPr>
          <w:rFonts w:ascii="Arial" w:eastAsia="Times New Roman" w:hAnsi="Arial" w:cs="Arial"/>
          <w:sz w:val="20"/>
          <w:szCs w:val="20"/>
        </w:rPr>
        <w:t>Receive and comment on the External Auditors Report;</w:t>
      </w:r>
    </w:p>
    <w:p w14:paraId="48963A14" w14:textId="77777777" w:rsidR="00435D68" w:rsidRPr="00435D68" w:rsidRDefault="00435D68" w:rsidP="00435D68">
      <w:pPr>
        <w:pStyle w:val="ListParagraph"/>
        <w:numPr>
          <w:ilvl w:val="0"/>
          <w:numId w:val="34"/>
        </w:numPr>
        <w:tabs>
          <w:tab w:val="left" w:pos="720"/>
          <w:tab w:val="left" w:pos="5760"/>
        </w:tabs>
        <w:spacing w:after="0" w:line="240" w:lineRule="auto"/>
        <w:jc w:val="both"/>
        <w:rPr>
          <w:rFonts w:ascii="Arial" w:eastAsia="Times New Roman" w:hAnsi="Arial" w:cs="Arial"/>
          <w:i/>
          <w:sz w:val="20"/>
          <w:szCs w:val="20"/>
        </w:rPr>
      </w:pPr>
      <w:r>
        <w:rPr>
          <w:rFonts w:ascii="Arial" w:eastAsia="Times New Roman" w:hAnsi="Arial" w:cs="Arial"/>
          <w:sz w:val="20"/>
          <w:szCs w:val="20"/>
        </w:rPr>
        <w:t>Receive and comment on the draft Letter of Representation.</w:t>
      </w:r>
    </w:p>
    <w:p w14:paraId="79F03865" w14:textId="77777777" w:rsidR="00435D68" w:rsidRDefault="00435D68" w:rsidP="00435D68">
      <w:pPr>
        <w:tabs>
          <w:tab w:val="left" w:pos="720"/>
          <w:tab w:val="left" w:pos="5760"/>
        </w:tabs>
        <w:spacing w:after="0" w:line="240" w:lineRule="auto"/>
        <w:jc w:val="both"/>
        <w:rPr>
          <w:rFonts w:ascii="Arial" w:eastAsia="Times New Roman" w:hAnsi="Arial" w:cs="Arial"/>
          <w:i/>
          <w:sz w:val="20"/>
          <w:szCs w:val="20"/>
        </w:rPr>
      </w:pPr>
    </w:p>
    <w:p w14:paraId="37F9CD1F" w14:textId="3653A507" w:rsidR="00435D68" w:rsidRDefault="00435D68" w:rsidP="00435D68">
      <w:pPr>
        <w:tabs>
          <w:tab w:val="left" w:pos="720"/>
          <w:tab w:val="left" w:pos="5760"/>
        </w:tabs>
        <w:spacing w:after="0" w:line="240" w:lineRule="auto"/>
        <w:jc w:val="both"/>
        <w:rPr>
          <w:rFonts w:ascii="Arial" w:eastAsia="Times New Roman" w:hAnsi="Arial" w:cs="Arial"/>
          <w:sz w:val="20"/>
          <w:szCs w:val="20"/>
        </w:rPr>
      </w:pPr>
      <w:r>
        <w:rPr>
          <w:rFonts w:ascii="Arial" w:eastAsia="Times New Roman" w:hAnsi="Arial" w:cs="Arial"/>
          <w:sz w:val="20"/>
          <w:szCs w:val="20"/>
        </w:rPr>
        <w:t>It is further recommended that the Police and Crime Commissioner and the Chief Constable:</w:t>
      </w:r>
    </w:p>
    <w:p w14:paraId="348D48A3" w14:textId="77777777" w:rsidR="00435D68" w:rsidRDefault="00435D68" w:rsidP="00435D68">
      <w:pPr>
        <w:tabs>
          <w:tab w:val="left" w:pos="720"/>
          <w:tab w:val="left" w:pos="5760"/>
        </w:tabs>
        <w:spacing w:after="0" w:line="240" w:lineRule="auto"/>
        <w:jc w:val="both"/>
        <w:rPr>
          <w:rFonts w:ascii="Arial" w:eastAsia="Times New Roman" w:hAnsi="Arial" w:cs="Arial"/>
          <w:sz w:val="20"/>
          <w:szCs w:val="20"/>
        </w:rPr>
      </w:pPr>
    </w:p>
    <w:p w14:paraId="2B286FF4" w14:textId="77777777" w:rsidR="00435D68" w:rsidRPr="00435D68" w:rsidRDefault="00435D68" w:rsidP="00435D68">
      <w:pPr>
        <w:pStyle w:val="ListParagraph"/>
        <w:tabs>
          <w:tab w:val="left" w:pos="720"/>
          <w:tab w:val="left" w:pos="5760"/>
        </w:tabs>
        <w:spacing w:after="0" w:line="240" w:lineRule="auto"/>
        <w:jc w:val="both"/>
        <w:rPr>
          <w:rFonts w:ascii="Arial" w:eastAsia="Times New Roman" w:hAnsi="Arial" w:cs="Arial"/>
          <w:sz w:val="20"/>
          <w:szCs w:val="20"/>
        </w:rPr>
      </w:pPr>
    </w:p>
    <w:p w14:paraId="777C4A49" w14:textId="486E30E0" w:rsidR="000817AA" w:rsidRPr="000817AA" w:rsidRDefault="000817AA" w:rsidP="00435D68">
      <w:pPr>
        <w:pStyle w:val="ListParagraph"/>
        <w:numPr>
          <w:ilvl w:val="0"/>
          <w:numId w:val="34"/>
        </w:numPr>
        <w:tabs>
          <w:tab w:val="left" w:pos="720"/>
          <w:tab w:val="left" w:pos="5760"/>
        </w:tabs>
        <w:spacing w:after="0" w:line="240" w:lineRule="auto"/>
        <w:jc w:val="both"/>
        <w:rPr>
          <w:rFonts w:ascii="Arial" w:eastAsia="Times New Roman" w:hAnsi="Arial" w:cs="Arial"/>
          <w:i/>
          <w:sz w:val="20"/>
          <w:szCs w:val="20"/>
        </w:rPr>
      </w:pPr>
      <w:r>
        <w:rPr>
          <w:rFonts w:ascii="Arial" w:eastAsia="Times New Roman" w:hAnsi="Arial" w:cs="Arial"/>
          <w:sz w:val="20"/>
          <w:szCs w:val="20"/>
        </w:rPr>
        <w:t xml:space="preserve">Approve the Letter of Representation for 2019/20. </w:t>
      </w:r>
    </w:p>
    <w:p w14:paraId="2A841D8D" w14:textId="7636481A" w:rsidR="000817AA" w:rsidRPr="000817AA" w:rsidRDefault="00435D68" w:rsidP="00435D68">
      <w:pPr>
        <w:pStyle w:val="ListParagraph"/>
        <w:numPr>
          <w:ilvl w:val="0"/>
          <w:numId w:val="34"/>
        </w:numPr>
        <w:tabs>
          <w:tab w:val="left" w:pos="720"/>
          <w:tab w:val="left" w:pos="5760"/>
        </w:tabs>
        <w:spacing w:after="0" w:line="240" w:lineRule="auto"/>
        <w:jc w:val="both"/>
        <w:rPr>
          <w:rFonts w:ascii="Arial" w:eastAsia="Times New Roman" w:hAnsi="Arial" w:cs="Arial"/>
          <w:i/>
          <w:sz w:val="20"/>
          <w:szCs w:val="20"/>
        </w:rPr>
      </w:pPr>
      <w:r>
        <w:rPr>
          <w:rFonts w:ascii="Arial" w:eastAsia="Times New Roman" w:hAnsi="Arial" w:cs="Arial"/>
          <w:sz w:val="20"/>
          <w:szCs w:val="20"/>
        </w:rPr>
        <w:t xml:space="preserve">Receive </w:t>
      </w:r>
      <w:r w:rsidR="000817AA">
        <w:rPr>
          <w:rFonts w:ascii="Arial" w:eastAsia="Times New Roman" w:hAnsi="Arial" w:cs="Arial"/>
          <w:sz w:val="20"/>
          <w:szCs w:val="20"/>
        </w:rPr>
        <w:t xml:space="preserve">the </w:t>
      </w:r>
      <w:r>
        <w:rPr>
          <w:rFonts w:ascii="Arial" w:eastAsia="Times New Roman" w:hAnsi="Arial" w:cs="Arial"/>
          <w:sz w:val="20"/>
          <w:szCs w:val="20"/>
        </w:rPr>
        <w:t>External Auditors Report</w:t>
      </w:r>
      <w:r w:rsidR="000817AA">
        <w:rPr>
          <w:rFonts w:ascii="Arial" w:eastAsia="Times New Roman" w:hAnsi="Arial" w:cs="Arial"/>
          <w:sz w:val="20"/>
          <w:szCs w:val="20"/>
        </w:rPr>
        <w:t xml:space="preserve"> 2019/20;</w:t>
      </w:r>
    </w:p>
    <w:p w14:paraId="41E04148" w14:textId="49A57180" w:rsidR="00CB31A1" w:rsidRPr="00AC26E1" w:rsidRDefault="000817AA" w:rsidP="002134E2">
      <w:pPr>
        <w:pStyle w:val="ListParagraph"/>
        <w:numPr>
          <w:ilvl w:val="0"/>
          <w:numId w:val="34"/>
        </w:numPr>
        <w:tabs>
          <w:tab w:val="left" w:pos="720"/>
          <w:tab w:val="left" w:pos="5760"/>
        </w:tabs>
        <w:spacing w:after="0" w:line="240" w:lineRule="auto"/>
        <w:jc w:val="both"/>
        <w:rPr>
          <w:rFonts w:ascii="Arial" w:eastAsia="Times New Roman" w:hAnsi="Arial" w:cs="Arial"/>
          <w:b/>
          <w:sz w:val="20"/>
          <w:szCs w:val="20"/>
        </w:rPr>
      </w:pPr>
      <w:r w:rsidRPr="00AC26E1">
        <w:rPr>
          <w:rFonts w:ascii="Arial" w:eastAsia="Times New Roman" w:hAnsi="Arial" w:cs="Arial"/>
          <w:sz w:val="20"/>
          <w:szCs w:val="20"/>
        </w:rPr>
        <w:t xml:space="preserve">Approve the </w:t>
      </w:r>
      <w:r w:rsidR="00AC26E1" w:rsidRPr="00AC26E1">
        <w:rPr>
          <w:rFonts w:ascii="Arial" w:eastAsia="Times New Roman" w:hAnsi="Arial" w:cs="Arial"/>
          <w:sz w:val="20"/>
          <w:szCs w:val="20"/>
        </w:rPr>
        <w:t xml:space="preserve">Group Audited Financial Statements for 2019/20 </w:t>
      </w:r>
      <w:r w:rsidR="00AC26E1">
        <w:rPr>
          <w:rFonts w:ascii="Arial" w:eastAsia="Times New Roman" w:hAnsi="Arial" w:cs="Arial"/>
          <w:sz w:val="20"/>
          <w:szCs w:val="20"/>
        </w:rPr>
        <w:t xml:space="preserve">(which includes the PCC audited financial statements) </w:t>
      </w:r>
      <w:r w:rsidR="00AC26E1" w:rsidRPr="00AC26E1">
        <w:rPr>
          <w:rFonts w:ascii="Arial" w:eastAsia="Times New Roman" w:hAnsi="Arial" w:cs="Arial"/>
          <w:sz w:val="20"/>
          <w:szCs w:val="20"/>
        </w:rPr>
        <w:t xml:space="preserve">and the Chief Constable Audited Financial Statements for 2019/20; </w:t>
      </w:r>
    </w:p>
    <w:p w14:paraId="0A136CC5" w14:textId="77777777" w:rsidR="00AC26E1" w:rsidRDefault="00AC26E1" w:rsidP="00AC26E1">
      <w:pPr>
        <w:pStyle w:val="ListParagraph"/>
        <w:tabs>
          <w:tab w:val="left" w:pos="720"/>
          <w:tab w:val="left" w:pos="5760"/>
        </w:tabs>
        <w:spacing w:after="0" w:line="240" w:lineRule="auto"/>
        <w:jc w:val="both"/>
        <w:rPr>
          <w:rFonts w:ascii="Arial" w:eastAsia="Times New Roman" w:hAnsi="Arial" w:cs="Arial"/>
          <w:b/>
          <w:sz w:val="20"/>
          <w:szCs w:val="20"/>
        </w:rPr>
      </w:pPr>
    </w:p>
    <w:p w14:paraId="41E04149" w14:textId="55630069" w:rsidR="00346816" w:rsidRDefault="000E76E3" w:rsidP="00953A11">
      <w:pPr>
        <w:spacing w:after="0" w:line="480" w:lineRule="auto"/>
        <w:rPr>
          <w:rFonts w:ascii="Arial" w:eastAsia="Times New Roman" w:hAnsi="Arial" w:cs="Arial"/>
          <w:b/>
          <w:sz w:val="20"/>
          <w:szCs w:val="20"/>
        </w:rPr>
      </w:pPr>
      <w:r>
        <w:rPr>
          <w:rFonts w:ascii="Arial" w:eastAsia="Times New Roman" w:hAnsi="Arial" w:cs="Arial"/>
          <w:b/>
          <w:sz w:val="20"/>
          <w:szCs w:val="20"/>
        </w:rPr>
        <w:t>Appendices</w:t>
      </w:r>
    </w:p>
    <w:p w14:paraId="22A22963" w14:textId="097F8F29" w:rsidR="002134E2" w:rsidRDefault="002134E2" w:rsidP="00AC26E1">
      <w:pPr>
        <w:pStyle w:val="ListParagraph"/>
        <w:numPr>
          <w:ilvl w:val="0"/>
          <w:numId w:val="36"/>
        </w:numPr>
        <w:spacing w:after="0" w:line="240" w:lineRule="auto"/>
        <w:rPr>
          <w:rFonts w:ascii="Arial" w:eastAsia="Times New Roman" w:hAnsi="Arial" w:cs="Arial"/>
          <w:sz w:val="20"/>
          <w:szCs w:val="20"/>
        </w:rPr>
      </w:pPr>
      <w:r>
        <w:rPr>
          <w:rFonts w:ascii="Arial" w:eastAsia="Times New Roman" w:hAnsi="Arial" w:cs="Arial"/>
          <w:sz w:val="20"/>
          <w:szCs w:val="20"/>
        </w:rPr>
        <w:t>Reconciliation of the movement between the draft and final financial statements</w:t>
      </w:r>
    </w:p>
    <w:p w14:paraId="3D79ECD5" w14:textId="77777777" w:rsidR="002134E2" w:rsidRDefault="002134E2" w:rsidP="002134E2">
      <w:pPr>
        <w:pStyle w:val="ListParagraph"/>
        <w:spacing w:after="0" w:line="240" w:lineRule="auto"/>
        <w:rPr>
          <w:rFonts w:ascii="Arial" w:eastAsia="Times New Roman" w:hAnsi="Arial" w:cs="Arial"/>
          <w:sz w:val="20"/>
          <w:szCs w:val="20"/>
        </w:rPr>
      </w:pPr>
    </w:p>
    <w:p w14:paraId="606B67D2" w14:textId="2CBAD938" w:rsidR="00075E9B" w:rsidRDefault="00075E9B" w:rsidP="00AC26E1">
      <w:pPr>
        <w:pStyle w:val="ListParagraph"/>
        <w:numPr>
          <w:ilvl w:val="0"/>
          <w:numId w:val="36"/>
        </w:numPr>
        <w:spacing w:after="0" w:line="240" w:lineRule="auto"/>
        <w:rPr>
          <w:rFonts w:ascii="Arial" w:eastAsia="Times New Roman" w:hAnsi="Arial" w:cs="Arial"/>
          <w:sz w:val="20"/>
          <w:szCs w:val="20"/>
        </w:rPr>
      </w:pPr>
      <w:r>
        <w:rPr>
          <w:rFonts w:ascii="Arial" w:eastAsia="Times New Roman" w:hAnsi="Arial" w:cs="Arial"/>
          <w:sz w:val="20"/>
          <w:szCs w:val="20"/>
        </w:rPr>
        <w:t>Audited Group Financial Statements for 2019/20</w:t>
      </w:r>
      <w:r w:rsidR="00AC26E1">
        <w:rPr>
          <w:rFonts w:ascii="Arial" w:eastAsia="Times New Roman" w:hAnsi="Arial" w:cs="Arial"/>
          <w:sz w:val="20"/>
          <w:szCs w:val="20"/>
        </w:rPr>
        <w:t xml:space="preserve"> (which includes the PCC financial statements)</w:t>
      </w:r>
    </w:p>
    <w:p w14:paraId="2D84AC60" w14:textId="77777777" w:rsidR="00AC26E1" w:rsidRDefault="00AC26E1" w:rsidP="00AC26E1">
      <w:pPr>
        <w:pStyle w:val="ListParagraph"/>
        <w:spacing w:after="0" w:line="240" w:lineRule="auto"/>
        <w:rPr>
          <w:rFonts w:ascii="Arial" w:eastAsia="Times New Roman" w:hAnsi="Arial" w:cs="Arial"/>
          <w:sz w:val="20"/>
          <w:szCs w:val="20"/>
        </w:rPr>
      </w:pPr>
    </w:p>
    <w:p w14:paraId="411499BE" w14:textId="748D2128" w:rsidR="00075E9B" w:rsidRDefault="00075E9B" w:rsidP="00075E9B">
      <w:pPr>
        <w:pStyle w:val="ListParagraph"/>
        <w:numPr>
          <w:ilvl w:val="0"/>
          <w:numId w:val="36"/>
        </w:numPr>
        <w:spacing w:after="0" w:line="480" w:lineRule="auto"/>
        <w:rPr>
          <w:rFonts w:ascii="Arial" w:eastAsia="Times New Roman" w:hAnsi="Arial" w:cs="Arial"/>
          <w:sz w:val="20"/>
          <w:szCs w:val="20"/>
        </w:rPr>
      </w:pPr>
      <w:r>
        <w:rPr>
          <w:rFonts w:ascii="Arial" w:eastAsia="Times New Roman" w:hAnsi="Arial" w:cs="Arial"/>
          <w:sz w:val="20"/>
          <w:szCs w:val="20"/>
        </w:rPr>
        <w:t xml:space="preserve">Audited </w:t>
      </w:r>
      <w:r w:rsidR="00AC26E1">
        <w:rPr>
          <w:rFonts w:ascii="Arial" w:eastAsia="Times New Roman" w:hAnsi="Arial" w:cs="Arial"/>
          <w:sz w:val="20"/>
          <w:szCs w:val="20"/>
        </w:rPr>
        <w:t>Chief Constable</w:t>
      </w:r>
      <w:r>
        <w:rPr>
          <w:rFonts w:ascii="Arial" w:eastAsia="Times New Roman" w:hAnsi="Arial" w:cs="Arial"/>
          <w:sz w:val="20"/>
          <w:szCs w:val="20"/>
        </w:rPr>
        <w:t xml:space="preserve"> Financial Statements for 2019/20</w:t>
      </w:r>
    </w:p>
    <w:p w14:paraId="616CCF73" w14:textId="570CCBCD" w:rsidR="00075E9B" w:rsidRDefault="00075E9B" w:rsidP="00075E9B">
      <w:pPr>
        <w:pStyle w:val="ListParagraph"/>
        <w:numPr>
          <w:ilvl w:val="0"/>
          <w:numId w:val="36"/>
        </w:numPr>
        <w:spacing w:after="0" w:line="480" w:lineRule="auto"/>
        <w:rPr>
          <w:rFonts w:ascii="Arial" w:eastAsia="Times New Roman" w:hAnsi="Arial" w:cs="Arial"/>
          <w:sz w:val="20"/>
          <w:szCs w:val="20"/>
        </w:rPr>
      </w:pPr>
      <w:r>
        <w:rPr>
          <w:rFonts w:ascii="Arial" w:eastAsia="Times New Roman" w:hAnsi="Arial" w:cs="Arial"/>
          <w:sz w:val="20"/>
          <w:szCs w:val="20"/>
        </w:rPr>
        <w:t>Letter of Representation</w:t>
      </w:r>
      <w:r w:rsidR="00AC26E1">
        <w:rPr>
          <w:rFonts w:ascii="Arial" w:eastAsia="Times New Roman" w:hAnsi="Arial" w:cs="Arial"/>
          <w:sz w:val="20"/>
          <w:szCs w:val="20"/>
        </w:rPr>
        <w:t xml:space="preserve"> to the Auditors from the PCC,CC and CFOs</w:t>
      </w:r>
    </w:p>
    <w:p w14:paraId="56C064E6" w14:textId="2938C77C" w:rsidR="002134E2" w:rsidRDefault="00075E9B" w:rsidP="00075E9B">
      <w:pPr>
        <w:pStyle w:val="ListParagraph"/>
        <w:numPr>
          <w:ilvl w:val="0"/>
          <w:numId w:val="36"/>
        </w:numPr>
        <w:spacing w:after="0" w:line="480" w:lineRule="auto"/>
        <w:rPr>
          <w:rFonts w:ascii="Arial" w:eastAsia="Times New Roman" w:hAnsi="Arial" w:cs="Arial"/>
          <w:sz w:val="20"/>
          <w:szCs w:val="20"/>
        </w:rPr>
      </w:pPr>
      <w:r>
        <w:rPr>
          <w:rFonts w:ascii="Arial" w:eastAsia="Times New Roman" w:hAnsi="Arial" w:cs="Arial"/>
          <w:sz w:val="20"/>
          <w:szCs w:val="20"/>
        </w:rPr>
        <w:t>External Auditors report to those charged with Governance 2019/20</w:t>
      </w:r>
    </w:p>
    <w:p w14:paraId="0249AFED" w14:textId="77777777" w:rsidR="002134E2" w:rsidRDefault="002134E2">
      <w:pPr>
        <w:rPr>
          <w:rFonts w:ascii="Arial" w:eastAsia="Times New Roman" w:hAnsi="Arial" w:cs="Arial"/>
          <w:sz w:val="20"/>
          <w:szCs w:val="20"/>
        </w:rPr>
      </w:pPr>
      <w:r>
        <w:rPr>
          <w:rFonts w:ascii="Arial" w:eastAsia="Times New Roman" w:hAnsi="Arial" w:cs="Arial"/>
          <w:sz w:val="20"/>
          <w:szCs w:val="20"/>
        </w:rPr>
        <w:br w:type="page"/>
      </w:r>
    </w:p>
    <w:p w14:paraId="1E4AA112" w14:textId="77777777" w:rsidR="002134E2" w:rsidRDefault="002134E2" w:rsidP="002134E2">
      <w:pPr>
        <w:pStyle w:val="ListParagraph"/>
        <w:spacing w:after="0" w:line="480" w:lineRule="auto"/>
        <w:rPr>
          <w:rFonts w:ascii="Arial" w:eastAsia="Times New Roman" w:hAnsi="Arial" w:cs="Arial"/>
          <w:sz w:val="20"/>
          <w:szCs w:val="20"/>
        </w:rPr>
        <w:sectPr w:rsidR="002134E2" w:rsidSect="00F70539">
          <w:headerReference w:type="default" r:id="rId14"/>
          <w:footerReference w:type="default" r:id="rId15"/>
          <w:pgSz w:w="11906" w:h="16838" w:code="9"/>
          <w:pgMar w:top="851" w:right="1440" w:bottom="851" w:left="1440" w:header="720" w:footer="720" w:gutter="0"/>
          <w:cols w:space="720"/>
          <w:docGrid w:linePitch="299"/>
        </w:sectPr>
      </w:pPr>
    </w:p>
    <w:p w14:paraId="0D484982" w14:textId="45B9F91F" w:rsidR="00075E9B" w:rsidRDefault="002134E2" w:rsidP="00D457CD">
      <w:pPr>
        <w:pStyle w:val="ListParagraph"/>
        <w:spacing w:after="0" w:line="240" w:lineRule="auto"/>
        <w:jc w:val="right"/>
        <w:rPr>
          <w:rFonts w:ascii="Arial" w:eastAsia="Times New Roman" w:hAnsi="Arial" w:cs="Arial"/>
          <w:sz w:val="20"/>
          <w:szCs w:val="20"/>
        </w:rPr>
      </w:pPr>
      <w:r>
        <w:rPr>
          <w:rFonts w:ascii="Arial" w:eastAsia="Times New Roman" w:hAnsi="Arial" w:cs="Arial"/>
          <w:sz w:val="20"/>
          <w:szCs w:val="20"/>
        </w:rPr>
        <w:t>Appendix 1</w:t>
      </w:r>
    </w:p>
    <w:p w14:paraId="1996E8F0" w14:textId="087560BC" w:rsidR="002134E2" w:rsidRDefault="002134E2" w:rsidP="00D457CD">
      <w:pPr>
        <w:pStyle w:val="ListParagraph"/>
        <w:spacing w:after="0" w:line="480" w:lineRule="auto"/>
        <w:jc w:val="center"/>
        <w:rPr>
          <w:rFonts w:ascii="Arial" w:eastAsia="Times New Roman" w:hAnsi="Arial" w:cs="Arial"/>
          <w:sz w:val="20"/>
          <w:szCs w:val="20"/>
        </w:rPr>
      </w:pPr>
      <w:r w:rsidRPr="002134E2">
        <w:rPr>
          <w:noProof/>
          <w:lang w:eastAsia="en-GB"/>
        </w:rPr>
        <w:drawing>
          <wp:inline distT="0" distB="0" distL="0" distR="0" wp14:anchorId="2DEFBBB1" wp14:editId="682811E5">
            <wp:extent cx="7940040" cy="544868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68703" cy="5468351"/>
                    </a:xfrm>
                    <a:prstGeom prst="rect">
                      <a:avLst/>
                    </a:prstGeom>
                    <a:noFill/>
                    <a:ln>
                      <a:noFill/>
                    </a:ln>
                  </pic:spPr>
                </pic:pic>
              </a:graphicData>
            </a:graphic>
          </wp:inline>
        </w:drawing>
      </w:r>
    </w:p>
    <w:p w14:paraId="66884443" w14:textId="0A2318B5" w:rsidR="002134E2" w:rsidRDefault="00D457CD" w:rsidP="00D457CD">
      <w:pPr>
        <w:pStyle w:val="ListParagraph"/>
        <w:spacing w:after="0" w:line="480" w:lineRule="auto"/>
        <w:rPr>
          <w:rFonts w:ascii="Arial" w:eastAsia="Times New Roman" w:hAnsi="Arial" w:cs="Arial"/>
          <w:sz w:val="20"/>
          <w:szCs w:val="20"/>
        </w:rPr>
      </w:pPr>
      <w:r w:rsidRPr="00D457CD">
        <w:rPr>
          <w:noProof/>
          <w:lang w:eastAsia="en-GB"/>
        </w:rPr>
        <w:drawing>
          <wp:inline distT="0" distB="0" distL="0" distR="0" wp14:anchorId="2F475B46" wp14:editId="4E3CB61B">
            <wp:extent cx="9207019" cy="5640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10496" cy="5643050"/>
                    </a:xfrm>
                    <a:prstGeom prst="rect">
                      <a:avLst/>
                    </a:prstGeom>
                    <a:noFill/>
                    <a:ln>
                      <a:noFill/>
                    </a:ln>
                  </pic:spPr>
                </pic:pic>
              </a:graphicData>
            </a:graphic>
          </wp:inline>
        </w:drawing>
      </w:r>
    </w:p>
    <w:sectPr w:rsidR="002134E2" w:rsidSect="002134E2">
      <w:pgSz w:w="16838" w:h="11906" w:orient="landscape" w:code="9"/>
      <w:pgMar w:top="1440" w:right="851" w:bottom="1440" w:left="85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0414F" w14:textId="77777777" w:rsidR="002134E2" w:rsidRDefault="002134E2" w:rsidP="00953A11">
      <w:pPr>
        <w:spacing w:after="0" w:line="240" w:lineRule="auto"/>
      </w:pPr>
      <w:r>
        <w:separator/>
      </w:r>
    </w:p>
  </w:endnote>
  <w:endnote w:type="continuationSeparator" w:id="0">
    <w:p w14:paraId="41E04150" w14:textId="77777777" w:rsidR="002134E2" w:rsidRDefault="002134E2" w:rsidP="00953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04152" w14:textId="77777777" w:rsidR="002134E2" w:rsidRDefault="002134E2" w:rsidP="00CB4AD3">
    <w:pPr>
      <w:pStyle w:val="Footer"/>
      <w:pBdr>
        <w:top w:val="single" w:sz="4" w:space="1" w:color="D9D9D9"/>
      </w:pBdr>
      <w:jc w:val="right"/>
    </w:pPr>
    <w:r>
      <w:fldChar w:fldCharType="begin"/>
    </w:r>
    <w:r>
      <w:instrText xml:space="preserve"> PAGE   \* MERGEFORMAT </w:instrText>
    </w:r>
    <w:r>
      <w:fldChar w:fldCharType="separate"/>
    </w:r>
    <w:r w:rsidR="00F668A8">
      <w:rPr>
        <w:noProof/>
      </w:rPr>
      <w:t>1</w:t>
    </w:r>
    <w:r>
      <w:rPr>
        <w:noProof/>
      </w:rPr>
      <w:fldChar w:fldCharType="end"/>
    </w:r>
    <w:r>
      <w:t xml:space="preserve"> | </w:t>
    </w:r>
    <w:r w:rsidRPr="00F622BE">
      <w:rPr>
        <w:color w:val="808080"/>
        <w:spacing w:val="60"/>
      </w:rPr>
      <w:t>Page</w:t>
    </w:r>
  </w:p>
  <w:p w14:paraId="41E04153" w14:textId="77777777" w:rsidR="002134E2" w:rsidRDefault="002134E2" w:rsidP="00CB4AD3">
    <w:pPr>
      <w:pStyle w:val="Footer"/>
      <w:jc w:val="center"/>
    </w:pPr>
    <w:r>
      <w:t>NOT PROTECTIVELY MARKED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0414D" w14:textId="77777777" w:rsidR="002134E2" w:rsidRDefault="002134E2" w:rsidP="00953A11">
      <w:pPr>
        <w:spacing w:after="0" w:line="240" w:lineRule="auto"/>
      </w:pPr>
      <w:r>
        <w:separator/>
      </w:r>
    </w:p>
  </w:footnote>
  <w:footnote w:type="continuationSeparator" w:id="0">
    <w:p w14:paraId="41E0414E" w14:textId="77777777" w:rsidR="002134E2" w:rsidRDefault="002134E2" w:rsidP="00953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04151" w14:textId="46501574" w:rsidR="002134E2" w:rsidRPr="00435874" w:rsidRDefault="00F668A8">
    <w:pPr>
      <w:pStyle w:val="Header"/>
      <w:rPr>
        <w:b/>
      </w:rPr>
    </w:pPr>
    <w:r>
      <w:t xml:space="preserve">PART ONE </w:t>
    </w:r>
    <w:r>
      <w:tab/>
      <w:t xml:space="preserve">   </w:t>
    </w:r>
    <w:r>
      <w:tab/>
      <w:t>Item 04</w:t>
    </w:r>
    <w:r w:rsidR="002134E2">
      <w:t xml:space="preserve">  </w:t>
    </w:r>
    <w:r w:rsidR="002134E2">
      <w:tab/>
    </w:r>
    <w:r w:rsidR="002134E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76E8"/>
    <w:multiLevelType w:val="hybridMultilevel"/>
    <w:tmpl w:val="AB0E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5543B"/>
    <w:multiLevelType w:val="multilevel"/>
    <w:tmpl w:val="8654CAAC"/>
    <w:lvl w:ilvl="0">
      <w:start w:val="1"/>
      <w:numFmt w:val="decimal"/>
      <w:lvlText w:val="%1."/>
      <w:lvlJc w:val="left"/>
      <w:pPr>
        <w:ind w:left="360" w:hanging="360"/>
      </w:pPr>
    </w:lvl>
    <w:lvl w:ilvl="1">
      <w:start w:val="1"/>
      <w:numFmt w:val="decimal"/>
      <w:lvlText w:val="%1.%2."/>
      <w:lvlJc w:val="left"/>
      <w:pPr>
        <w:ind w:left="1425" w:hanging="432"/>
      </w:pPr>
      <w:rPr>
        <w:b w:val="0"/>
        <w:i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F13AA"/>
    <w:multiLevelType w:val="hybridMultilevel"/>
    <w:tmpl w:val="6158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71601"/>
    <w:multiLevelType w:val="hybridMultilevel"/>
    <w:tmpl w:val="922E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D078B"/>
    <w:multiLevelType w:val="hybridMultilevel"/>
    <w:tmpl w:val="CF7E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87C48"/>
    <w:multiLevelType w:val="multilevel"/>
    <w:tmpl w:val="4ABEE3D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911913"/>
    <w:multiLevelType w:val="hybridMultilevel"/>
    <w:tmpl w:val="BE5C5414"/>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8627C6"/>
    <w:multiLevelType w:val="hybridMultilevel"/>
    <w:tmpl w:val="1A104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A61738"/>
    <w:multiLevelType w:val="hybridMultilevel"/>
    <w:tmpl w:val="ECEA9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A804C2"/>
    <w:multiLevelType w:val="hybridMultilevel"/>
    <w:tmpl w:val="8582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111F3"/>
    <w:multiLevelType w:val="hybridMultilevel"/>
    <w:tmpl w:val="9576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B1C83"/>
    <w:multiLevelType w:val="hybridMultilevel"/>
    <w:tmpl w:val="ECDC6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A664D9"/>
    <w:multiLevelType w:val="hybridMultilevel"/>
    <w:tmpl w:val="2F960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840E83"/>
    <w:multiLevelType w:val="hybridMultilevel"/>
    <w:tmpl w:val="F4BC8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8904A8"/>
    <w:multiLevelType w:val="multilevel"/>
    <w:tmpl w:val="91E0E4D6"/>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F774BF"/>
    <w:multiLevelType w:val="hybridMultilevel"/>
    <w:tmpl w:val="4D4C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A6D62"/>
    <w:multiLevelType w:val="hybridMultilevel"/>
    <w:tmpl w:val="521EB224"/>
    <w:lvl w:ilvl="0" w:tplc="525E6C4E">
      <w:start w:val="1"/>
      <w:numFmt w:val="bullet"/>
      <w:lvlText w:val=""/>
      <w:lvlJc w:val="left"/>
      <w:pPr>
        <w:tabs>
          <w:tab w:val="num" w:pos="648"/>
        </w:tabs>
        <w:ind w:left="648" w:hanging="360"/>
      </w:pPr>
      <w:rPr>
        <w:rFonts w:ascii="Wingdings" w:hAnsi="Wingdings" w:hint="default"/>
        <w:color w:val="005DA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A85F9F"/>
    <w:multiLevelType w:val="hybridMultilevel"/>
    <w:tmpl w:val="1D2C9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0B3DC2"/>
    <w:multiLevelType w:val="hybridMultilevel"/>
    <w:tmpl w:val="FDB01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0A3143"/>
    <w:multiLevelType w:val="hybridMultilevel"/>
    <w:tmpl w:val="0828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A6573E"/>
    <w:multiLevelType w:val="hybridMultilevel"/>
    <w:tmpl w:val="393E500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15:restartNumberingAfterBreak="0">
    <w:nsid w:val="56AF33D7"/>
    <w:multiLevelType w:val="hybridMultilevel"/>
    <w:tmpl w:val="E0CA2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5F0499"/>
    <w:multiLevelType w:val="hybridMultilevel"/>
    <w:tmpl w:val="41D6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E13A1E"/>
    <w:multiLevelType w:val="hybridMultilevel"/>
    <w:tmpl w:val="A054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1F7836"/>
    <w:multiLevelType w:val="hybridMultilevel"/>
    <w:tmpl w:val="E7A2BB9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B8C4367"/>
    <w:multiLevelType w:val="multilevel"/>
    <w:tmpl w:val="34922BD6"/>
    <w:lvl w:ilvl="0">
      <w:start w:val="5"/>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ascii="Verdana" w:hAnsi="Verdana" w:cs="Verdana" w:hint="default"/>
        <w:b w:val="0"/>
        <w:bCs/>
        <w:color w:val="auto"/>
        <w:sz w:val="20"/>
        <w:szCs w:val="20"/>
      </w:rPr>
    </w:lvl>
    <w:lvl w:ilvl="2">
      <w:start w:val="1"/>
      <w:numFmt w:val="decimal"/>
      <w:lvlText w:val="%1.%2.%3."/>
      <w:lvlJc w:val="left"/>
      <w:pPr>
        <w:tabs>
          <w:tab w:val="num" w:pos="2880"/>
        </w:tabs>
        <w:ind w:left="2664" w:hanging="504"/>
      </w:pPr>
      <w:rPr>
        <w:rFonts w:hint="default"/>
        <w:color w:val="auto"/>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6" w15:restartNumberingAfterBreak="0">
    <w:nsid w:val="5C8D6060"/>
    <w:multiLevelType w:val="hybridMultilevel"/>
    <w:tmpl w:val="B8E6D8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C25386"/>
    <w:multiLevelType w:val="multilevel"/>
    <w:tmpl w:val="36EEB7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53208D6"/>
    <w:multiLevelType w:val="hybridMultilevel"/>
    <w:tmpl w:val="7460E3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1C57D4"/>
    <w:multiLevelType w:val="hybridMultilevel"/>
    <w:tmpl w:val="4B94E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6106A6"/>
    <w:multiLevelType w:val="multilevel"/>
    <w:tmpl w:val="91E0E4D6"/>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547CBD"/>
    <w:multiLevelType w:val="hybridMultilevel"/>
    <w:tmpl w:val="44E4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7"/>
  </w:num>
  <w:num w:numId="4">
    <w:abstractNumId w:val="22"/>
  </w:num>
  <w:num w:numId="5">
    <w:abstractNumId w:val="0"/>
  </w:num>
  <w:num w:numId="6">
    <w:abstractNumId w:val="5"/>
  </w:num>
  <w:num w:numId="7">
    <w:abstractNumId w:val="28"/>
  </w:num>
  <w:num w:numId="8">
    <w:abstractNumId w:val="16"/>
  </w:num>
  <w:num w:numId="9">
    <w:abstractNumId w:val="16"/>
  </w:num>
  <w:num w:numId="10">
    <w:abstractNumId w:val="16"/>
  </w:num>
  <w:num w:numId="11">
    <w:abstractNumId w:val="10"/>
  </w:num>
  <w:num w:numId="12">
    <w:abstractNumId w:val="19"/>
  </w:num>
  <w:num w:numId="13">
    <w:abstractNumId w:val="14"/>
  </w:num>
  <w:num w:numId="14">
    <w:abstractNumId w:val="31"/>
  </w:num>
  <w:num w:numId="15">
    <w:abstractNumId w:val="30"/>
  </w:num>
  <w:num w:numId="16">
    <w:abstractNumId w:val="2"/>
  </w:num>
  <w:num w:numId="17">
    <w:abstractNumId w:val="9"/>
  </w:num>
  <w:num w:numId="18">
    <w:abstractNumId w:val="4"/>
  </w:num>
  <w:num w:numId="19">
    <w:abstractNumId w:val="17"/>
  </w:num>
  <w:num w:numId="20">
    <w:abstractNumId w:val="2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6"/>
  </w:num>
  <w:num w:numId="24">
    <w:abstractNumId w:val="12"/>
  </w:num>
  <w:num w:numId="25">
    <w:abstractNumId w:val="24"/>
  </w:num>
  <w:num w:numId="26">
    <w:abstractNumId w:val="27"/>
  </w:num>
  <w:num w:numId="27">
    <w:abstractNumId w:val="25"/>
  </w:num>
  <w:num w:numId="28">
    <w:abstractNumId w:val="18"/>
  </w:num>
  <w:num w:numId="29">
    <w:abstractNumId w:val="15"/>
  </w:num>
  <w:num w:numId="30">
    <w:abstractNumId w:val="13"/>
  </w:num>
  <w:num w:numId="31">
    <w:abstractNumId w:val="8"/>
  </w:num>
  <w:num w:numId="32">
    <w:abstractNumId w:val="21"/>
  </w:num>
  <w:num w:numId="33">
    <w:abstractNumId w:val="11"/>
  </w:num>
  <w:num w:numId="34">
    <w:abstractNumId w:val="6"/>
  </w:num>
  <w:num w:numId="35">
    <w:abstractNumId w:val="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11"/>
    <w:rsid w:val="0000051F"/>
    <w:rsid w:val="000052CE"/>
    <w:rsid w:val="000069BB"/>
    <w:rsid w:val="00007C46"/>
    <w:rsid w:val="00012C66"/>
    <w:rsid w:val="00015DA5"/>
    <w:rsid w:val="00021E81"/>
    <w:rsid w:val="00022F9D"/>
    <w:rsid w:val="00023395"/>
    <w:rsid w:val="000303F8"/>
    <w:rsid w:val="000316C7"/>
    <w:rsid w:val="000317D8"/>
    <w:rsid w:val="00032EC6"/>
    <w:rsid w:val="00034509"/>
    <w:rsid w:val="00035B3C"/>
    <w:rsid w:val="00036AA3"/>
    <w:rsid w:val="00037591"/>
    <w:rsid w:val="0004248B"/>
    <w:rsid w:val="0004347A"/>
    <w:rsid w:val="000508CE"/>
    <w:rsid w:val="000522D1"/>
    <w:rsid w:val="00064814"/>
    <w:rsid w:val="00065F77"/>
    <w:rsid w:val="000736CA"/>
    <w:rsid w:val="000743EC"/>
    <w:rsid w:val="00075E9B"/>
    <w:rsid w:val="000817AA"/>
    <w:rsid w:val="00086FEB"/>
    <w:rsid w:val="00087F69"/>
    <w:rsid w:val="000902A1"/>
    <w:rsid w:val="000910A6"/>
    <w:rsid w:val="00095693"/>
    <w:rsid w:val="00095D52"/>
    <w:rsid w:val="000A0D20"/>
    <w:rsid w:val="000A278B"/>
    <w:rsid w:val="000A74B1"/>
    <w:rsid w:val="000B5B56"/>
    <w:rsid w:val="000C08D2"/>
    <w:rsid w:val="000C5089"/>
    <w:rsid w:val="000C6BC6"/>
    <w:rsid w:val="000C6BCF"/>
    <w:rsid w:val="000D0F14"/>
    <w:rsid w:val="000D115C"/>
    <w:rsid w:val="000D1C93"/>
    <w:rsid w:val="000E76E3"/>
    <w:rsid w:val="000F029A"/>
    <w:rsid w:val="000F4FDE"/>
    <w:rsid w:val="000F6964"/>
    <w:rsid w:val="001008F2"/>
    <w:rsid w:val="001027FD"/>
    <w:rsid w:val="00106AE4"/>
    <w:rsid w:val="0011000F"/>
    <w:rsid w:val="0011450F"/>
    <w:rsid w:val="0011597B"/>
    <w:rsid w:val="00117180"/>
    <w:rsid w:val="00120724"/>
    <w:rsid w:val="00124405"/>
    <w:rsid w:val="001262D5"/>
    <w:rsid w:val="001367DB"/>
    <w:rsid w:val="0014211B"/>
    <w:rsid w:val="00142AA7"/>
    <w:rsid w:val="00143E58"/>
    <w:rsid w:val="00145486"/>
    <w:rsid w:val="00146D22"/>
    <w:rsid w:val="00157A0C"/>
    <w:rsid w:val="00160205"/>
    <w:rsid w:val="00161C82"/>
    <w:rsid w:val="0016252B"/>
    <w:rsid w:val="001650D2"/>
    <w:rsid w:val="00173217"/>
    <w:rsid w:val="001800E2"/>
    <w:rsid w:val="00180774"/>
    <w:rsid w:val="00182A2F"/>
    <w:rsid w:val="001843AA"/>
    <w:rsid w:val="0019201E"/>
    <w:rsid w:val="00196304"/>
    <w:rsid w:val="001973D2"/>
    <w:rsid w:val="001A3971"/>
    <w:rsid w:val="001A3EE9"/>
    <w:rsid w:val="001A4AC4"/>
    <w:rsid w:val="001A5586"/>
    <w:rsid w:val="001A7B95"/>
    <w:rsid w:val="001B5A1E"/>
    <w:rsid w:val="001B71F0"/>
    <w:rsid w:val="001B7EBE"/>
    <w:rsid w:val="001C0977"/>
    <w:rsid w:val="001C1311"/>
    <w:rsid w:val="001C4DE1"/>
    <w:rsid w:val="001C6895"/>
    <w:rsid w:val="001C7EB8"/>
    <w:rsid w:val="001E0755"/>
    <w:rsid w:val="001E5B12"/>
    <w:rsid w:val="001E5EE7"/>
    <w:rsid w:val="00202479"/>
    <w:rsid w:val="00202736"/>
    <w:rsid w:val="00204C31"/>
    <w:rsid w:val="002076E6"/>
    <w:rsid w:val="002121F7"/>
    <w:rsid w:val="00212BDF"/>
    <w:rsid w:val="002134E2"/>
    <w:rsid w:val="00217ACF"/>
    <w:rsid w:val="00224282"/>
    <w:rsid w:val="002325B6"/>
    <w:rsid w:val="0025085D"/>
    <w:rsid w:val="00250EC1"/>
    <w:rsid w:val="002526A5"/>
    <w:rsid w:val="002533A0"/>
    <w:rsid w:val="00257ADC"/>
    <w:rsid w:val="00260F34"/>
    <w:rsid w:val="00261A69"/>
    <w:rsid w:val="00261CE9"/>
    <w:rsid w:val="00266C48"/>
    <w:rsid w:val="00267DD0"/>
    <w:rsid w:val="0027212C"/>
    <w:rsid w:val="00272644"/>
    <w:rsid w:val="00276327"/>
    <w:rsid w:val="00280DCA"/>
    <w:rsid w:val="002814E4"/>
    <w:rsid w:val="002903E6"/>
    <w:rsid w:val="00292365"/>
    <w:rsid w:val="00292849"/>
    <w:rsid w:val="00295FD3"/>
    <w:rsid w:val="002A0A21"/>
    <w:rsid w:val="002A25AA"/>
    <w:rsid w:val="002B44C9"/>
    <w:rsid w:val="002B4FEA"/>
    <w:rsid w:val="002B60A2"/>
    <w:rsid w:val="002C5322"/>
    <w:rsid w:val="002D3753"/>
    <w:rsid w:val="002D42BE"/>
    <w:rsid w:val="002D6AA0"/>
    <w:rsid w:val="002D7556"/>
    <w:rsid w:val="002D7C76"/>
    <w:rsid w:val="002E1734"/>
    <w:rsid w:val="002E4ECF"/>
    <w:rsid w:val="002F1A7E"/>
    <w:rsid w:val="002F2C43"/>
    <w:rsid w:val="002F4568"/>
    <w:rsid w:val="002F4A36"/>
    <w:rsid w:val="002F7135"/>
    <w:rsid w:val="0030252A"/>
    <w:rsid w:val="00306118"/>
    <w:rsid w:val="0030700E"/>
    <w:rsid w:val="003100C4"/>
    <w:rsid w:val="00310795"/>
    <w:rsid w:val="003151A2"/>
    <w:rsid w:val="003243FB"/>
    <w:rsid w:val="00324F15"/>
    <w:rsid w:val="0032676D"/>
    <w:rsid w:val="0033101B"/>
    <w:rsid w:val="00336458"/>
    <w:rsid w:val="0034080E"/>
    <w:rsid w:val="00342A61"/>
    <w:rsid w:val="003467F4"/>
    <w:rsid w:val="00346816"/>
    <w:rsid w:val="0035491F"/>
    <w:rsid w:val="00355E7D"/>
    <w:rsid w:val="00355F44"/>
    <w:rsid w:val="00357867"/>
    <w:rsid w:val="00357DE2"/>
    <w:rsid w:val="0036225A"/>
    <w:rsid w:val="0036610C"/>
    <w:rsid w:val="0036670B"/>
    <w:rsid w:val="0036710F"/>
    <w:rsid w:val="0038221E"/>
    <w:rsid w:val="00383ADA"/>
    <w:rsid w:val="0038609A"/>
    <w:rsid w:val="00390D95"/>
    <w:rsid w:val="00391195"/>
    <w:rsid w:val="0039381C"/>
    <w:rsid w:val="00396D28"/>
    <w:rsid w:val="00397443"/>
    <w:rsid w:val="003B0A8B"/>
    <w:rsid w:val="003B243B"/>
    <w:rsid w:val="003B2EC6"/>
    <w:rsid w:val="003B3B12"/>
    <w:rsid w:val="003C0235"/>
    <w:rsid w:val="003C11B9"/>
    <w:rsid w:val="003D2932"/>
    <w:rsid w:val="003E19CE"/>
    <w:rsid w:val="003E20C7"/>
    <w:rsid w:val="003E3ACE"/>
    <w:rsid w:val="003F03AF"/>
    <w:rsid w:val="003F2376"/>
    <w:rsid w:val="003F5BE0"/>
    <w:rsid w:val="003F6B5E"/>
    <w:rsid w:val="003F7562"/>
    <w:rsid w:val="003F7F7F"/>
    <w:rsid w:val="00401787"/>
    <w:rsid w:val="00401870"/>
    <w:rsid w:val="004018D0"/>
    <w:rsid w:val="0040404B"/>
    <w:rsid w:val="00405441"/>
    <w:rsid w:val="004316AB"/>
    <w:rsid w:val="00435874"/>
    <w:rsid w:val="00435D68"/>
    <w:rsid w:val="0044055C"/>
    <w:rsid w:val="00442CE5"/>
    <w:rsid w:val="00443DFD"/>
    <w:rsid w:val="004500CE"/>
    <w:rsid w:val="00455C44"/>
    <w:rsid w:val="00457C34"/>
    <w:rsid w:val="00463601"/>
    <w:rsid w:val="0047174D"/>
    <w:rsid w:val="0047335D"/>
    <w:rsid w:val="0047363C"/>
    <w:rsid w:val="0047652A"/>
    <w:rsid w:val="00477748"/>
    <w:rsid w:val="004809C3"/>
    <w:rsid w:val="00480B31"/>
    <w:rsid w:val="00492533"/>
    <w:rsid w:val="0049582A"/>
    <w:rsid w:val="00495E8D"/>
    <w:rsid w:val="004975A2"/>
    <w:rsid w:val="00497853"/>
    <w:rsid w:val="004A2F5E"/>
    <w:rsid w:val="004A4F9F"/>
    <w:rsid w:val="004A6366"/>
    <w:rsid w:val="004A74F6"/>
    <w:rsid w:val="004B06DA"/>
    <w:rsid w:val="004B4362"/>
    <w:rsid w:val="004B63DA"/>
    <w:rsid w:val="004C0FD7"/>
    <w:rsid w:val="004C1EE8"/>
    <w:rsid w:val="004D0228"/>
    <w:rsid w:val="004D238D"/>
    <w:rsid w:val="004D2BF9"/>
    <w:rsid w:val="004D34CC"/>
    <w:rsid w:val="004D562D"/>
    <w:rsid w:val="004E3C83"/>
    <w:rsid w:val="004E5466"/>
    <w:rsid w:val="004E5C28"/>
    <w:rsid w:val="004F003D"/>
    <w:rsid w:val="004F030C"/>
    <w:rsid w:val="004F24FA"/>
    <w:rsid w:val="004F39F9"/>
    <w:rsid w:val="004F3F4F"/>
    <w:rsid w:val="004F5951"/>
    <w:rsid w:val="004F5DB0"/>
    <w:rsid w:val="004F6860"/>
    <w:rsid w:val="00501C67"/>
    <w:rsid w:val="00504481"/>
    <w:rsid w:val="00506275"/>
    <w:rsid w:val="00510296"/>
    <w:rsid w:val="00515C3D"/>
    <w:rsid w:val="005177B5"/>
    <w:rsid w:val="00524500"/>
    <w:rsid w:val="00530AA9"/>
    <w:rsid w:val="00531D72"/>
    <w:rsid w:val="00535C04"/>
    <w:rsid w:val="0053659F"/>
    <w:rsid w:val="00537DB6"/>
    <w:rsid w:val="0054037F"/>
    <w:rsid w:val="00542283"/>
    <w:rsid w:val="00543C7B"/>
    <w:rsid w:val="00546B15"/>
    <w:rsid w:val="00547D63"/>
    <w:rsid w:val="00550F9E"/>
    <w:rsid w:val="00551A81"/>
    <w:rsid w:val="005555DA"/>
    <w:rsid w:val="0056130B"/>
    <w:rsid w:val="00564FC9"/>
    <w:rsid w:val="00565594"/>
    <w:rsid w:val="00565E3F"/>
    <w:rsid w:val="00572735"/>
    <w:rsid w:val="00583D8E"/>
    <w:rsid w:val="005862BF"/>
    <w:rsid w:val="00592931"/>
    <w:rsid w:val="0059466B"/>
    <w:rsid w:val="0059640D"/>
    <w:rsid w:val="005A02EF"/>
    <w:rsid w:val="005B2AA8"/>
    <w:rsid w:val="005C20AE"/>
    <w:rsid w:val="005C287D"/>
    <w:rsid w:val="005C35FE"/>
    <w:rsid w:val="005C4E8A"/>
    <w:rsid w:val="005D0731"/>
    <w:rsid w:val="005D24C1"/>
    <w:rsid w:val="005D6DC2"/>
    <w:rsid w:val="005E137B"/>
    <w:rsid w:val="0060034F"/>
    <w:rsid w:val="00600951"/>
    <w:rsid w:val="0060148A"/>
    <w:rsid w:val="006032B7"/>
    <w:rsid w:val="00606BC5"/>
    <w:rsid w:val="00610682"/>
    <w:rsid w:val="0061161F"/>
    <w:rsid w:val="00615A61"/>
    <w:rsid w:val="00616345"/>
    <w:rsid w:val="00617FD9"/>
    <w:rsid w:val="006305C3"/>
    <w:rsid w:val="00632586"/>
    <w:rsid w:val="00637654"/>
    <w:rsid w:val="00641EAF"/>
    <w:rsid w:val="0064251D"/>
    <w:rsid w:val="0064548B"/>
    <w:rsid w:val="00655FE8"/>
    <w:rsid w:val="0065652D"/>
    <w:rsid w:val="00665683"/>
    <w:rsid w:val="0066646A"/>
    <w:rsid w:val="00667553"/>
    <w:rsid w:val="00682D69"/>
    <w:rsid w:val="00687316"/>
    <w:rsid w:val="006973E1"/>
    <w:rsid w:val="006A0FC2"/>
    <w:rsid w:val="006A1657"/>
    <w:rsid w:val="006A22FB"/>
    <w:rsid w:val="006A2553"/>
    <w:rsid w:val="006A2BDF"/>
    <w:rsid w:val="006A3EEA"/>
    <w:rsid w:val="006B11B5"/>
    <w:rsid w:val="006B3401"/>
    <w:rsid w:val="006B64CA"/>
    <w:rsid w:val="006C32DF"/>
    <w:rsid w:val="006C3994"/>
    <w:rsid w:val="006C691E"/>
    <w:rsid w:val="006C73F8"/>
    <w:rsid w:val="006C793C"/>
    <w:rsid w:val="006C7F62"/>
    <w:rsid w:val="006E4B5C"/>
    <w:rsid w:val="006F66B7"/>
    <w:rsid w:val="007004FC"/>
    <w:rsid w:val="00700E31"/>
    <w:rsid w:val="00711314"/>
    <w:rsid w:val="00713E39"/>
    <w:rsid w:val="007167EE"/>
    <w:rsid w:val="00717863"/>
    <w:rsid w:val="00723DBF"/>
    <w:rsid w:val="00724458"/>
    <w:rsid w:val="00730B38"/>
    <w:rsid w:val="0073266A"/>
    <w:rsid w:val="0073503F"/>
    <w:rsid w:val="007405C2"/>
    <w:rsid w:val="0074658F"/>
    <w:rsid w:val="00755A5F"/>
    <w:rsid w:val="007608AC"/>
    <w:rsid w:val="0076250A"/>
    <w:rsid w:val="0077217D"/>
    <w:rsid w:val="00773D71"/>
    <w:rsid w:val="007811C4"/>
    <w:rsid w:val="00781CCC"/>
    <w:rsid w:val="007832E8"/>
    <w:rsid w:val="00785889"/>
    <w:rsid w:val="00785C66"/>
    <w:rsid w:val="007932F4"/>
    <w:rsid w:val="007A0D61"/>
    <w:rsid w:val="007A5ABF"/>
    <w:rsid w:val="007A7A45"/>
    <w:rsid w:val="007B1063"/>
    <w:rsid w:val="007D3E21"/>
    <w:rsid w:val="007D430B"/>
    <w:rsid w:val="007D76E6"/>
    <w:rsid w:val="007E0810"/>
    <w:rsid w:val="007E20A8"/>
    <w:rsid w:val="007F0E8C"/>
    <w:rsid w:val="007F7440"/>
    <w:rsid w:val="008005FF"/>
    <w:rsid w:val="00801214"/>
    <w:rsid w:val="00804459"/>
    <w:rsid w:val="00806F69"/>
    <w:rsid w:val="008070F9"/>
    <w:rsid w:val="008130E9"/>
    <w:rsid w:val="008132E4"/>
    <w:rsid w:val="00816ECD"/>
    <w:rsid w:val="00824357"/>
    <w:rsid w:val="00826E6B"/>
    <w:rsid w:val="0083050C"/>
    <w:rsid w:val="00830A03"/>
    <w:rsid w:val="008317CA"/>
    <w:rsid w:val="008332A7"/>
    <w:rsid w:val="00833417"/>
    <w:rsid w:val="00836020"/>
    <w:rsid w:val="008371FA"/>
    <w:rsid w:val="008433AC"/>
    <w:rsid w:val="00854B96"/>
    <w:rsid w:val="00856F33"/>
    <w:rsid w:val="00863545"/>
    <w:rsid w:val="00865112"/>
    <w:rsid w:val="00865C21"/>
    <w:rsid w:val="0087428F"/>
    <w:rsid w:val="00875CCA"/>
    <w:rsid w:val="00886D44"/>
    <w:rsid w:val="00887A39"/>
    <w:rsid w:val="00897F1D"/>
    <w:rsid w:val="008A2224"/>
    <w:rsid w:val="008B19EA"/>
    <w:rsid w:val="008B2056"/>
    <w:rsid w:val="008B7404"/>
    <w:rsid w:val="008C1F92"/>
    <w:rsid w:val="008C3E4C"/>
    <w:rsid w:val="008C4E12"/>
    <w:rsid w:val="008C6312"/>
    <w:rsid w:val="008D37BC"/>
    <w:rsid w:val="008D78FC"/>
    <w:rsid w:val="008E0476"/>
    <w:rsid w:val="008E40CE"/>
    <w:rsid w:val="008F01D1"/>
    <w:rsid w:val="008F0BD7"/>
    <w:rsid w:val="008F0F9A"/>
    <w:rsid w:val="00900349"/>
    <w:rsid w:val="0090223E"/>
    <w:rsid w:val="00906B35"/>
    <w:rsid w:val="00913001"/>
    <w:rsid w:val="009175EE"/>
    <w:rsid w:val="00920279"/>
    <w:rsid w:val="009204B0"/>
    <w:rsid w:val="00922BC9"/>
    <w:rsid w:val="00924EF9"/>
    <w:rsid w:val="0092795F"/>
    <w:rsid w:val="00934239"/>
    <w:rsid w:val="009409ED"/>
    <w:rsid w:val="0094371C"/>
    <w:rsid w:val="00951912"/>
    <w:rsid w:val="00953823"/>
    <w:rsid w:val="00953A11"/>
    <w:rsid w:val="009560DA"/>
    <w:rsid w:val="00961021"/>
    <w:rsid w:val="009649CD"/>
    <w:rsid w:val="009657EF"/>
    <w:rsid w:val="00971385"/>
    <w:rsid w:val="009735BB"/>
    <w:rsid w:val="00973D43"/>
    <w:rsid w:val="009754FD"/>
    <w:rsid w:val="00975E39"/>
    <w:rsid w:val="009763B4"/>
    <w:rsid w:val="00977FDE"/>
    <w:rsid w:val="00980459"/>
    <w:rsid w:val="00980A89"/>
    <w:rsid w:val="009817E9"/>
    <w:rsid w:val="00982B72"/>
    <w:rsid w:val="00985A35"/>
    <w:rsid w:val="009937C9"/>
    <w:rsid w:val="0099418A"/>
    <w:rsid w:val="00994E93"/>
    <w:rsid w:val="00996C07"/>
    <w:rsid w:val="009A3A81"/>
    <w:rsid w:val="009A6839"/>
    <w:rsid w:val="009B0222"/>
    <w:rsid w:val="009B0A5A"/>
    <w:rsid w:val="009B11A1"/>
    <w:rsid w:val="009B3897"/>
    <w:rsid w:val="009C20B5"/>
    <w:rsid w:val="009C22A9"/>
    <w:rsid w:val="009C28BB"/>
    <w:rsid w:val="009C3F6A"/>
    <w:rsid w:val="009D2D90"/>
    <w:rsid w:val="009D6C9D"/>
    <w:rsid w:val="009E2CF2"/>
    <w:rsid w:val="009E3C06"/>
    <w:rsid w:val="009E3FA7"/>
    <w:rsid w:val="009E4626"/>
    <w:rsid w:val="009E54B3"/>
    <w:rsid w:val="009E5831"/>
    <w:rsid w:val="009F5363"/>
    <w:rsid w:val="009F63B0"/>
    <w:rsid w:val="009F76C9"/>
    <w:rsid w:val="00A01F01"/>
    <w:rsid w:val="00A021EB"/>
    <w:rsid w:val="00A11742"/>
    <w:rsid w:val="00A1258F"/>
    <w:rsid w:val="00A1467A"/>
    <w:rsid w:val="00A2036D"/>
    <w:rsid w:val="00A240DF"/>
    <w:rsid w:val="00A245D8"/>
    <w:rsid w:val="00A2552F"/>
    <w:rsid w:val="00A258BF"/>
    <w:rsid w:val="00A304B2"/>
    <w:rsid w:val="00A3232E"/>
    <w:rsid w:val="00A3382A"/>
    <w:rsid w:val="00A377D4"/>
    <w:rsid w:val="00A42199"/>
    <w:rsid w:val="00A4310A"/>
    <w:rsid w:val="00A440A6"/>
    <w:rsid w:val="00A45590"/>
    <w:rsid w:val="00A51491"/>
    <w:rsid w:val="00A544FC"/>
    <w:rsid w:val="00A60709"/>
    <w:rsid w:val="00A65D68"/>
    <w:rsid w:val="00A71BE4"/>
    <w:rsid w:val="00A7419F"/>
    <w:rsid w:val="00A81F6A"/>
    <w:rsid w:val="00A903F1"/>
    <w:rsid w:val="00A90EAB"/>
    <w:rsid w:val="00A950DF"/>
    <w:rsid w:val="00A9790F"/>
    <w:rsid w:val="00AA760D"/>
    <w:rsid w:val="00AB3074"/>
    <w:rsid w:val="00AB3AFE"/>
    <w:rsid w:val="00AB4A0D"/>
    <w:rsid w:val="00AC024B"/>
    <w:rsid w:val="00AC0460"/>
    <w:rsid w:val="00AC166C"/>
    <w:rsid w:val="00AC26E1"/>
    <w:rsid w:val="00AD1F53"/>
    <w:rsid w:val="00AD657C"/>
    <w:rsid w:val="00AF0AD6"/>
    <w:rsid w:val="00AF7C78"/>
    <w:rsid w:val="00B00CDF"/>
    <w:rsid w:val="00B04E24"/>
    <w:rsid w:val="00B064FD"/>
    <w:rsid w:val="00B11553"/>
    <w:rsid w:val="00B139C9"/>
    <w:rsid w:val="00B1730B"/>
    <w:rsid w:val="00B1795C"/>
    <w:rsid w:val="00B23E38"/>
    <w:rsid w:val="00B30B15"/>
    <w:rsid w:val="00B34F43"/>
    <w:rsid w:val="00B35827"/>
    <w:rsid w:val="00B37D09"/>
    <w:rsid w:val="00B41C73"/>
    <w:rsid w:val="00B41EB1"/>
    <w:rsid w:val="00B4410B"/>
    <w:rsid w:val="00B444B1"/>
    <w:rsid w:val="00B529F4"/>
    <w:rsid w:val="00B562CC"/>
    <w:rsid w:val="00B63FB4"/>
    <w:rsid w:val="00B65566"/>
    <w:rsid w:val="00B65840"/>
    <w:rsid w:val="00B67353"/>
    <w:rsid w:val="00B70514"/>
    <w:rsid w:val="00B70A07"/>
    <w:rsid w:val="00B729FB"/>
    <w:rsid w:val="00B75A7D"/>
    <w:rsid w:val="00B764CE"/>
    <w:rsid w:val="00B76E26"/>
    <w:rsid w:val="00B83EB3"/>
    <w:rsid w:val="00B854EA"/>
    <w:rsid w:val="00B86FEC"/>
    <w:rsid w:val="00B96848"/>
    <w:rsid w:val="00BA17FD"/>
    <w:rsid w:val="00BA2B86"/>
    <w:rsid w:val="00BA3365"/>
    <w:rsid w:val="00BC2A4E"/>
    <w:rsid w:val="00BC3BFF"/>
    <w:rsid w:val="00BE4647"/>
    <w:rsid w:val="00BE6D18"/>
    <w:rsid w:val="00BF12DF"/>
    <w:rsid w:val="00BF323D"/>
    <w:rsid w:val="00BF67C8"/>
    <w:rsid w:val="00C04CDA"/>
    <w:rsid w:val="00C0667C"/>
    <w:rsid w:val="00C13D83"/>
    <w:rsid w:val="00C17CA1"/>
    <w:rsid w:val="00C22921"/>
    <w:rsid w:val="00C2345C"/>
    <w:rsid w:val="00C26871"/>
    <w:rsid w:val="00C27655"/>
    <w:rsid w:val="00C31A7A"/>
    <w:rsid w:val="00C34674"/>
    <w:rsid w:val="00C37AA4"/>
    <w:rsid w:val="00C42A49"/>
    <w:rsid w:val="00C43694"/>
    <w:rsid w:val="00C441C9"/>
    <w:rsid w:val="00C45057"/>
    <w:rsid w:val="00C47C17"/>
    <w:rsid w:val="00C51BF0"/>
    <w:rsid w:val="00C53006"/>
    <w:rsid w:val="00C54305"/>
    <w:rsid w:val="00C55CBE"/>
    <w:rsid w:val="00C5663E"/>
    <w:rsid w:val="00C56D0E"/>
    <w:rsid w:val="00C628BB"/>
    <w:rsid w:val="00C73485"/>
    <w:rsid w:val="00C8062F"/>
    <w:rsid w:val="00C83C76"/>
    <w:rsid w:val="00C86023"/>
    <w:rsid w:val="00C956FF"/>
    <w:rsid w:val="00C97C0A"/>
    <w:rsid w:val="00CA1E61"/>
    <w:rsid w:val="00CA34B6"/>
    <w:rsid w:val="00CA3AB8"/>
    <w:rsid w:val="00CA407A"/>
    <w:rsid w:val="00CA5983"/>
    <w:rsid w:val="00CB31A1"/>
    <w:rsid w:val="00CB4AD3"/>
    <w:rsid w:val="00CB725E"/>
    <w:rsid w:val="00CC7407"/>
    <w:rsid w:val="00CE66AD"/>
    <w:rsid w:val="00CF0040"/>
    <w:rsid w:val="00CF029F"/>
    <w:rsid w:val="00CF0DD5"/>
    <w:rsid w:val="00CF7A7E"/>
    <w:rsid w:val="00D165C4"/>
    <w:rsid w:val="00D2185E"/>
    <w:rsid w:val="00D3199C"/>
    <w:rsid w:val="00D31C6F"/>
    <w:rsid w:val="00D3610C"/>
    <w:rsid w:val="00D3647F"/>
    <w:rsid w:val="00D409A2"/>
    <w:rsid w:val="00D41895"/>
    <w:rsid w:val="00D435FC"/>
    <w:rsid w:val="00D457CD"/>
    <w:rsid w:val="00D52C0F"/>
    <w:rsid w:val="00D56A86"/>
    <w:rsid w:val="00D670B6"/>
    <w:rsid w:val="00D747FC"/>
    <w:rsid w:val="00D77081"/>
    <w:rsid w:val="00D77F0C"/>
    <w:rsid w:val="00D832A1"/>
    <w:rsid w:val="00D914EB"/>
    <w:rsid w:val="00D962AF"/>
    <w:rsid w:val="00D96596"/>
    <w:rsid w:val="00D96C0E"/>
    <w:rsid w:val="00D97C83"/>
    <w:rsid w:val="00DA414D"/>
    <w:rsid w:val="00DA695B"/>
    <w:rsid w:val="00DA7BBF"/>
    <w:rsid w:val="00DC0DBA"/>
    <w:rsid w:val="00DC23DB"/>
    <w:rsid w:val="00DC351C"/>
    <w:rsid w:val="00DC609E"/>
    <w:rsid w:val="00DD05B2"/>
    <w:rsid w:val="00DD0643"/>
    <w:rsid w:val="00DD1F45"/>
    <w:rsid w:val="00DD45A1"/>
    <w:rsid w:val="00DD7574"/>
    <w:rsid w:val="00DE0656"/>
    <w:rsid w:val="00DE4D8F"/>
    <w:rsid w:val="00DE773F"/>
    <w:rsid w:val="00DE7E57"/>
    <w:rsid w:val="00DF02C1"/>
    <w:rsid w:val="00DF3EAF"/>
    <w:rsid w:val="00E02A2D"/>
    <w:rsid w:val="00E07D39"/>
    <w:rsid w:val="00E1427E"/>
    <w:rsid w:val="00E1448F"/>
    <w:rsid w:val="00E173CE"/>
    <w:rsid w:val="00E21D4A"/>
    <w:rsid w:val="00E23BEC"/>
    <w:rsid w:val="00E3074F"/>
    <w:rsid w:val="00E356CB"/>
    <w:rsid w:val="00E36478"/>
    <w:rsid w:val="00E371EC"/>
    <w:rsid w:val="00E4167C"/>
    <w:rsid w:val="00E423B1"/>
    <w:rsid w:val="00E50127"/>
    <w:rsid w:val="00E5056A"/>
    <w:rsid w:val="00E51B5C"/>
    <w:rsid w:val="00E55C05"/>
    <w:rsid w:val="00E61BA6"/>
    <w:rsid w:val="00E632E2"/>
    <w:rsid w:val="00E86127"/>
    <w:rsid w:val="00E91F27"/>
    <w:rsid w:val="00E951D1"/>
    <w:rsid w:val="00E97D4E"/>
    <w:rsid w:val="00EA107A"/>
    <w:rsid w:val="00EA3ED7"/>
    <w:rsid w:val="00EA626A"/>
    <w:rsid w:val="00EB444C"/>
    <w:rsid w:val="00EB57AA"/>
    <w:rsid w:val="00EB6305"/>
    <w:rsid w:val="00EB7519"/>
    <w:rsid w:val="00EC0740"/>
    <w:rsid w:val="00EC0DAA"/>
    <w:rsid w:val="00EC7BB9"/>
    <w:rsid w:val="00EE0DEC"/>
    <w:rsid w:val="00EE26E9"/>
    <w:rsid w:val="00EE3F15"/>
    <w:rsid w:val="00EE56EB"/>
    <w:rsid w:val="00EF0216"/>
    <w:rsid w:val="00EF0A1D"/>
    <w:rsid w:val="00EF0A77"/>
    <w:rsid w:val="00EF3438"/>
    <w:rsid w:val="00EF3DA2"/>
    <w:rsid w:val="00EF5C93"/>
    <w:rsid w:val="00EF7346"/>
    <w:rsid w:val="00F019BB"/>
    <w:rsid w:val="00F04505"/>
    <w:rsid w:val="00F0733C"/>
    <w:rsid w:val="00F07C78"/>
    <w:rsid w:val="00F159A0"/>
    <w:rsid w:val="00F227DC"/>
    <w:rsid w:val="00F22F36"/>
    <w:rsid w:val="00F25A6E"/>
    <w:rsid w:val="00F262DC"/>
    <w:rsid w:val="00F26845"/>
    <w:rsid w:val="00F27417"/>
    <w:rsid w:val="00F30849"/>
    <w:rsid w:val="00F32C5F"/>
    <w:rsid w:val="00F347E4"/>
    <w:rsid w:val="00F40C83"/>
    <w:rsid w:val="00F41853"/>
    <w:rsid w:val="00F42A55"/>
    <w:rsid w:val="00F467FA"/>
    <w:rsid w:val="00F51009"/>
    <w:rsid w:val="00F524D1"/>
    <w:rsid w:val="00F544E8"/>
    <w:rsid w:val="00F55701"/>
    <w:rsid w:val="00F60DBC"/>
    <w:rsid w:val="00F61003"/>
    <w:rsid w:val="00F6367A"/>
    <w:rsid w:val="00F668A8"/>
    <w:rsid w:val="00F67A83"/>
    <w:rsid w:val="00F70539"/>
    <w:rsid w:val="00F72AF6"/>
    <w:rsid w:val="00F82B25"/>
    <w:rsid w:val="00F879F8"/>
    <w:rsid w:val="00F9747D"/>
    <w:rsid w:val="00FA1B99"/>
    <w:rsid w:val="00FB210E"/>
    <w:rsid w:val="00FB6CA8"/>
    <w:rsid w:val="00FC502E"/>
    <w:rsid w:val="00FC6F57"/>
    <w:rsid w:val="00FD128B"/>
    <w:rsid w:val="00FD6B21"/>
    <w:rsid w:val="00FE407C"/>
    <w:rsid w:val="00FF3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E040F9"/>
  <w15:docId w15:val="{8DAD5F52-FCC7-4415-A539-FE030E2A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C8"/>
  </w:style>
  <w:style w:type="paragraph" w:styleId="Heading2">
    <w:name w:val="heading 2"/>
    <w:basedOn w:val="Normal"/>
    <w:next w:val="Normal"/>
    <w:link w:val="Heading2Char"/>
    <w:uiPriority w:val="9"/>
    <w:unhideWhenUsed/>
    <w:qFormat/>
    <w:rsid w:val="00EE56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3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A11"/>
  </w:style>
  <w:style w:type="paragraph" w:styleId="NormalWeb">
    <w:name w:val="Normal (Web)"/>
    <w:basedOn w:val="Normal"/>
    <w:uiPriority w:val="99"/>
    <w:semiHidden/>
    <w:unhideWhenUsed/>
    <w:rsid w:val="00953A11"/>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953A11"/>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953A11"/>
    <w:rPr>
      <w:rFonts w:ascii="Arial" w:eastAsia="Times New Roman" w:hAnsi="Arial" w:cs="Times New Roman"/>
      <w:sz w:val="20"/>
      <w:szCs w:val="20"/>
    </w:rPr>
  </w:style>
  <w:style w:type="character" w:styleId="FootnoteReference">
    <w:name w:val="footnote reference"/>
    <w:uiPriority w:val="99"/>
    <w:semiHidden/>
    <w:unhideWhenUsed/>
    <w:rsid w:val="00953A11"/>
    <w:rPr>
      <w:vertAlign w:val="superscript"/>
    </w:rPr>
  </w:style>
  <w:style w:type="table" w:styleId="TableGrid">
    <w:name w:val="Table Grid"/>
    <w:basedOn w:val="TableNormal"/>
    <w:uiPriority w:val="59"/>
    <w:rsid w:val="00B52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1730B"/>
    <w:pPr>
      <w:ind w:left="720"/>
      <w:contextualSpacing/>
    </w:pPr>
  </w:style>
  <w:style w:type="paragraph" w:styleId="BalloonText">
    <w:name w:val="Balloon Text"/>
    <w:basedOn w:val="Normal"/>
    <w:link w:val="BalloonTextChar"/>
    <w:uiPriority w:val="99"/>
    <w:semiHidden/>
    <w:unhideWhenUsed/>
    <w:rsid w:val="007D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6E6"/>
    <w:rPr>
      <w:rFonts w:ascii="Tahoma" w:hAnsi="Tahoma" w:cs="Tahoma"/>
      <w:sz w:val="16"/>
      <w:szCs w:val="16"/>
    </w:rPr>
  </w:style>
  <w:style w:type="character" w:customStyle="1" w:styleId="Heading2Char">
    <w:name w:val="Heading 2 Char"/>
    <w:basedOn w:val="DefaultParagraphFont"/>
    <w:link w:val="Heading2"/>
    <w:uiPriority w:val="9"/>
    <w:rsid w:val="00EE56E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F67A83"/>
    <w:pPr>
      <w:spacing w:after="0" w:line="240" w:lineRule="auto"/>
    </w:pPr>
  </w:style>
  <w:style w:type="character" w:styleId="Hyperlink">
    <w:name w:val="Hyperlink"/>
    <w:basedOn w:val="DefaultParagraphFont"/>
    <w:uiPriority w:val="99"/>
    <w:unhideWhenUsed/>
    <w:rsid w:val="002F7135"/>
    <w:rPr>
      <w:color w:val="0000FF" w:themeColor="hyperlink"/>
      <w:u w:val="single"/>
    </w:rPr>
  </w:style>
  <w:style w:type="paragraph" w:styleId="Header">
    <w:name w:val="header"/>
    <w:basedOn w:val="Normal"/>
    <w:link w:val="HeaderChar"/>
    <w:uiPriority w:val="99"/>
    <w:unhideWhenUsed/>
    <w:rsid w:val="004358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5396">
      <w:bodyDiv w:val="1"/>
      <w:marLeft w:val="0"/>
      <w:marRight w:val="0"/>
      <w:marTop w:val="0"/>
      <w:marBottom w:val="0"/>
      <w:divBdr>
        <w:top w:val="none" w:sz="0" w:space="0" w:color="auto"/>
        <w:left w:val="none" w:sz="0" w:space="0" w:color="auto"/>
        <w:bottom w:val="none" w:sz="0" w:space="0" w:color="auto"/>
        <w:right w:val="none" w:sz="0" w:space="0" w:color="auto"/>
      </w:divBdr>
    </w:div>
    <w:div w:id="63459701">
      <w:bodyDiv w:val="1"/>
      <w:marLeft w:val="0"/>
      <w:marRight w:val="0"/>
      <w:marTop w:val="0"/>
      <w:marBottom w:val="0"/>
      <w:divBdr>
        <w:top w:val="none" w:sz="0" w:space="0" w:color="auto"/>
        <w:left w:val="none" w:sz="0" w:space="0" w:color="auto"/>
        <w:bottom w:val="none" w:sz="0" w:space="0" w:color="auto"/>
        <w:right w:val="none" w:sz="0" w:space="0" w:color="auto"/>
      </w:divBdr>
    </w:div>
    <w:div w:id="77559091">
      <w:bodyDiv w:val="1"/>
      <w:marLeft w:val="0"/>
      <w:marRight w:val="0"/>
      <w:marTop w:val="0"/>
      <w:marBottom w:val="0"/>
      <w:divBdr>
        <w:top w:val="none" w:sz="0" w:space="0" w:color="auto"/>
        <w:left w:val="none" w:sz="0" w:space="0" w:color="auto"/>
        <w:bottom w:val="none" w:sz="0" w:space="0" w:color="auto"/>
        <w:right w:val="none" w:sz="0" w:space="0" w:color="auto"/>
      </w:divBdr>
    </w:div>
    <w:div w:id="112289147">
      <w:bodyDiv w:val="1"/>
      <w:marLeft w:val="0"/>
      <w:marRight w:val="0"/>
      <w:marTop w:val="0"/>
      <w:marBottom w:val="0"/>
      <w:divBdr>
        <w:top w:val="none" w:sz="0" w:space="0" w:color="auto"/>
        <w:left w:val="none" w:sz="0" w:space="0" w:color="auto"/>
        <w:bottom w:val="none" w:sz="0" w:space="0" w:color="auto"/>
        <w:right w:val="none" w:sz="0" w:space="0" w:color="auto"/>
      </w:divBdr>
    </w:div>
    <w:div w:id="143007263">
      <w:bodyDiv w:val="1"/>
      <w:marLeft w:val="0"/>
      <w:marRight w:val="0"/>
      <w:marTop w:val="0"/>
      <w:marBottom w:val="0"/>
      <w:divBdr>
        <w:top w:val="none" w:sz="0" w:space="0" w:color="auto"/>
        <w:left w:val="none" w:sz="0" w:space="0" w:color="auto"/>
        <w:bottom w:val="none" w:sz="0" w:space="0" w:color="auto"/>
        <w:right w:val="none" w:sz="0" w:space="0" w:color="auto"/>
      </w:divBdr>
    </w:div>
    <w:div w:id="171575383">
      <w:bodyDiv w:val="1"/>
      <w:marLeft w:val="0"/>
      <w:marRight w:val="0"/>
      <w:marTop w:val="0"/>
      <w:marBottom w:val="0"/>
      <w:divBdr>
        <w:top w:val="none" w:sz="0" w:space="0" w:color="auto"/>
        <w:left w:val="none" w:sz="0" w:space="0" w:color="auto"/>
        <w:bottom w:val="none" w:sz="0" w:space="0" w:color="auto"/>
        <w:right w:val="none" w:sz="0" w:space="0" w:color="auto"/>
      </w:divBdr>
    </w:div>
    <w:div w:id="271322935">
      <w:bodyDiv w:val="1"/>
      <w:marLeft w:val="0"/>
      <w:marRight w:val="0"/>
      <w:marTop w:val="0"/>
      <w:marBottom w:val="0"/>
      <w:divBdr>
        <w:top w:val="none" w:sz="0" w:space="0" w:color="auto"/>
        <w:left w:val="none" w:sz="0" w:space="0" w:color="auto"/>
        <w:bottom w:val="none" w:sz="0" w:space="0" w:color="auto"/>
        <w:right w:val="none" w:sz="0" w:space="0" w:color="auto"/>
      </w:divBdr>
    </w:div>
    <w:div w:id="291601188">
      <w:bodyDiv w:val="1"/>
      <w:marLeft w:val="0"/>
      <w:marRight w:val="0"/>
      <w:marTop w:val="0"/>
      <w:marBottom w:val="0"/>
      <w:divBdr>
        <w:top w:val="none" w:sz="0" w:space="0" w:color="auto"/>
        <w:left w:val="none" w:sz="0" w:space="0" w:color="auto"/>
        <w:bottom w:val="none" w:sz="0" w:space="0" w:color="auto"/>
        <w:right w:val="none" w:sz="0" w:space="0" w:color="auto"/>
      </w:divBdr>
    </w:div>
    <w:div w:id="434176474">
      <w:bodyDiv w:val="1"/>
      <w:marLeft w:val="0"/>
      <w:marRight w:val="0"/>
      <w:marTop w:val="0"/>
      <w:marBottom w:val="0"/>
      <w:divBdr>
        <w:top w:val="none" w:sz="0" w:space="0" w:color="auto"/>
        <w:left w:val="none" w:sz="0" w:space="0" w:color="auto"/>
        <w:bottom w:val="none" w:sz="0" w:space="0" w:color="auto"/>
        <w:right w:val="none" w:sz="0" w:space="0" w:color="auto"/>
      </w:divBdr>
    </w:div>
    <w:div w:id="454955248">
      <w:bodyDiv w:val="1"/>
      <w:marLeft w:val="0"/>
      <w:marRight w:val="0"/>
      <w:marTop w:val="0"/>
      <w:marBottom w:val="0"/>
      <w:divBdr>
        <w:top w:val="none" w:sz="0" w:space="0" w:color="auto"/>
        <w:left w:val="none" w:sz="0" w:space="0" w:color="auto"/>
        <w:bottom w:val="none" w:sz="0" w:space="0" w:color="auto"/>
        <w:right w:val="none" w:sz="0" w:space="0" w:color="auto"/>
      </w:divBdr>
    </w:div>
    <w:div w:id="469638859">
      <w:bodyDiv w:val="1"/>
      <w:marLeft w:val="0"/>
      <w:marRight w:val="0"/>
      <w:marTop w:val="0"/>
      <w:marBottom w:val="0"/>
      <w:divBdr>
        <w:top w:val="none" w:sz="0" w:space="0" w:color="auto"/>
        <w:left w:val="none" w:sz="0" w:space="0" w:color="auto"/>
        <w:bottom w:val="none" w:sz="0" w:space="0" w:color="auto"/>
        <w:right w:val="none" w:sz="0" w:space="0" w:color="auto"/>
      </w:divBdr>
    </w:div>
    <w:div w:id="560408160">
      <w:bodyDiv w:val="1"/>
      <w:marLeft w:val="0"/>
      <w:marRight w:val="0"/>
      <w:marTop w:val="0"/>
      <w:marBottom w:val="0"/>
      <w:divBdr>
        <w:top w:val="none" w:sz="0" w:space="0" w:color="auto"/>
        <w:left w:val="none" w:sz="0" w:space="0" w:color="auto"/>
        <w:bottom w:val="none" w:sz="0" w:space="0" w:color="auto"/>
        <w:right w:val="none" w:sz="0" w:space="0" w:color="auto"/>
      </w:divBdr>
    </w:div>
    <w:div w:id="600070226">
      <w:bodyDiv w:val="1"/>
      <w:marLeft w:val="0"/>
      <w:marRight w:val="0"/>
      <w:marTop w:val="0"/>
      <w:marBottom w:val="0"/>
      <w:divBdr>
        <w:top w:val="none" w:sz="0" w:space="0" w:color="auto"/>
        <w:left w:val="none" w:sz="0" w:space="0" w:color="auto"/>
        <w:bottom w:val="none" w:sz="0" w:space="0" w:color="auto"/>
        <w:right w:val="none" w:sz="0" w:space="0" w:color="auto"/>
      </w:divBdr>
    </w:div>
    <w:div w:id="639456105">
      <w:bodyDiv w:val="1"/>
      <w:marLeft w:val="0"/>
      <w:marRight w:val="0"/>
      <w:marTop w:val="0"/>
      <w:marBottom w:val="0"/>
      <w:divBdr>
        <w:top w:val="none" w:sz="0" w:space="0" w:color="auto"/>
        <w:left w:val="none" w:sz="0" w:space="0" w:color="auto"/>
        <w:bottom w:val="none" w:sz="0" w:space="0" w:color="auto"/>
        <w:right w:val="none" w:sz="0" w:space="0" w:color="auto"/>
      </w:divBdr>
    </w:div>
    <w:div w:id="685788927">
      <w:bodyDiv w:val="1"/>
      <w:marLeft w:val="0"/>
      <w:marRight w:val="0"/>
      <w:marTop w:val="0"/>
      <w:marBottom w:val="0"/>
      <w:divBdr>
        <w:top w:val="none" w:sz="0" w:space="0" w:color="auto"/>
        <w:left w:val="none" w:sz="0" w:space="0" w:color="auto"/>
        <w:bottom w:val="none" w:sz="0" w:space="0" w:color="auto"/>
        <w:right w:val="none" w:sz="0" w:space="0" w:color="auto"/>
      </w:divBdr>
    </w:div>
    <w:div w:id="745420768">
      <w:bodyDiv w:val="1"/>
      <w:marLeft w:val="0"/>
      <w:marRight w:val="0"/>
      <w:marTop w:val="0"/>
      <w:marBottom w:val="0"/>
      <w:divBdr>
        <w:top w:val="none" w:sz="0" w:space="0" w:color="auto"/>
        <w:left w:val="none" w:sz="0" w:space="0" w:color="auto"/>
        <w:bottom w:val="none" w:sz="0" w:space="0" w:color="auto"/>
        <w:right w:val="none" w:sz="0" w:space="0" w:color="auto"/>
      </w:divBdr>
    </w:div>
    <w:div w:id="782918514">
      <w:bodyDiv w:val="1"/>
      <w:marLeft w:val="0"/>
      <w:marRight w:val="0"/>
      <w:marTop w:val="0"/>
      <w:marBottom w:val="0"/>
      <w:divBdr>
        <w:top w:val="none" w:sz="0" w:space="0" w:color="auto"/>
        <w:left w:val="none" w:sz="0" w:space="0" w:color="auto"/>
        <w:bottom w:val="none" w:sz="0" w:space="0" w:color="auto"/>
        <w:right w:val="none" w:sz="0" w:space="0" w:color="auto"/>
      </w:divBdr>
    </w:div>
    <w:div w:id="876239304">
      <w:bodyDiv w:val="1"/>
      <w:marLeft w:val="0"/>
      <w:marRight w:val="0"/>
      <w:marTop w:val="0"/>
      <w:marBottom w:val="0"/>
      <w:divBdr>
        <w:top w:val="none" w:sz="0" w:space="0" w:color="auto"/>
        <w:left w:val="none" w:sz="0" w:space="0" w:color="auto"/>
        <w:bottom w:val="none" w:sz="0" w:space="0" w:color="auto"/>
        <w:right w:val="none" w:sz="0" w:space="0" w:color="auto"/>
      </w:divBdr>
    </w:div>
    <w:div w:id="929385127">
      <w:bodyDiv w:val="1"/>
      <w:marLeft w:val="0"/>
      <w:marRight w:val="0"/>
      <w:marTop w:val="0"/>
      <w:marBottom w:val="0"/>
      <w:divBdr>
        <w:top w:val="none" w:sz="0" w:space="0" w:color="auto"/>
        <w:left w:val="none" w:sz="0" w:space="0" w:color="auto"/>
        <w:bottom w:val="none" w:sz="0" w:space="0" w:color="auto"/>
        <w:right w:val="none" w:sz="0" w:space="0" w:color="auto"/>
      </w:divBdr>
    </w:div>
    <w:div w:id="943805702">
      <w:bodyDiv w:val="1"/>
      <w:marLeft w:val="0"/>
      <w:marRight w:val="0"/>
      <w:marTop w:val="0"/>
      <w:marBottom w:val="0"/>
      <w:divBdr>
        <w:top w:val="none" w:sz="0" w:space="0" w:color="auto"/>
        <w:left w:val="none" w:sz="0" w:space="0" w:color="auto"/>
        <w:bottom w:val="none" w:sz="0" w:space="0" w:color="auto"/>
        <w:right w:val="none" w:sz="0" w:space="0" w:color="auto"/>
      </w:divBdr>
    </w:div>
    <w:div w:id="961810962">
      <w:bodyDiv w:val="1"/>
      <w:marLeft w:val="0"/>
      <w:marRight w:val="0"/>
      <w:marTop w:val="0"/>
      <w:marBottom w:val="0"/>
      <w:divBdr>
        <w:top w:val="none" w:sz="0" w:space="0" w:color="auto"/>
        <w:left w:val="none" w:sz="0" w:space="0" w:color="auto"/>
        <w:bottom w:val="none" w:sz="0" w:space="0" w:color="auto"/>
        <w:right w:val="none" w:sz="0" w:space="0" w:color="auto"/>
      </w:divBdr>
    </w:div>
    <w:div w:id="966089529">
      <w:bodyDiv w:val="1"/>
      <w:marLeft w:val="0"/>
      <w:marRight w:val="0"/>
      <w:marTop w:val="0"/>
      <w:marBottom w:val="0"/>
      <w:divBdr>
        <w:top w:val="none" w:sz="0" w:space="0" w:color="auto"/>
        <w:left w:val="none" w:sz="0" w:space="0" w:color="auto"/>
        <w:bottom w:val="none" w:sz="0" w:space="0" w:color="auto"/>
        <w:right w:val="none" w:sz="0" w:space="0" w:color="auto"/>
      </w:divBdr>
    </w:div>
    <w:div w:id="1016807254">
      <w:bodyDiv w:val="1"/>
      <w:marLeft w:val="0"/>
      <w:marRight w:val="0"/>
      <w:marTop w:val="0"/>
      <w:marBottom w:val="0"/>
      <w:divBdr>
        <w:top w:val="none" w:sz="0" w:space="0" w:color="auto"/>
        <w:left w:val="none" w:sz="0" w:space="0" w:color="auto"/>
        <w:bottom w:val="none" w:sz="0" w:space="0" w:color="auto"/>
        <w:right w:val="none" w:sz="0" w:space="0" w:color="auto"/>
      </w:divBdr>
    </w:div>
    <w:div w:id="1373387361">
      <w:bodyDiv w:val="1"/>
      <w:marLeft w:val="0"/>
      <w:marRight w:val="0"/>
      <w:marTop w:val="0"/>
      <w:marBottom w:val="0"/>
      <w:divBdr>
        <w:top w:val="none" w:sz="0" w:space="0" w:color="auto"/>
        <w:left w:val="none" w:sz="0" w:space="0" w:color="auto"/>
        <w:bottom w:val="none" w:sz="0" w:space="0" w:color="auto"/>
        <w:right w:val="none" w:sz="0" w:space="0" w:color="auto"/>
      </w:divBdr>
    </w:div>
    <w:div w:id="1419786353">
      <w:bodyDiv w:val="1"/>
      <w:marLeft w:val="0"/>
      <w:marRight w:val="0"/>
      <w:marTop w:val="0"/>
      <w:marBottom w:val="0"/>
      <w:divBdr>
        <w:top w:val="none" w:sz="0" w:space="0" w:color="auto"/>
        <w:left w:val="none" w:sz="0" w:space="0" w:color="auto"/>
        <w:bottom w:val="none" w:sz="0" w:space="0" w:color="auto"/>
        <w:right w:val="none" w:sz="0" w:space="0" w:color="auto"/>
      </w:divBdr>
    </w:div>
    <w:div w:id="1591156153">
      <w:bodyDiv w:val="1"/>
      <w:marLeft w:val="0"/>
      <w:marRight w:val="0"/>
      <w:marTop w:val="0"/>
      <w:marBottom w:val="0"/>
      <w:divBdr>
        <w:top w:val="none" w:sz="0" w:space="0" w:color="auto"/>
        <w:left w:val="none" w:sz="0" w:space="0" w:color="auto"/>
        <w:bottom w:val="none" w:sz="0" w:space="0" w:color="auto"/>
        <w:right w:val="none" w:sz="0" w:space="0" w:color="auto"/>
      </w:divBdr>
    </w:div>
    <w:div w:id="1663770998">
      <w:bodyDiv w:val="1"/>
      <w:marLeft w:val="0"/>
      <w:marRight w:val="0"/>
      <w:marTop w:val="0"/>
      <w:marBottom w:val="0"/>
      <w:divBdr>
        <w:top w:val="none" w:sz="0" w:space="0" w:color="auto"/>
        <w:left w:val="none" w:sz="0" w:space="0" w:color="auto"/>
        <w:bottom w:val="none" w:sz="0" w:space="0" w:color="auto"/>
        <w:right w:val="none" w:sz="0" w:space="0" w:color="auto"/>
      </w:divBdr>
    </w:div>
    <w:div w:id="1756826563">
      <w:bodyDiv w:val="1"/>
      <w:marLeft w:val="0"/>
      <w:marRight w:val="0"/>
      <w:marTop w:val="0"/>
      <w:marBottom w:val="0"/>
      <w:divBdr>
        <w:top w:val="none" w:sz="0" w:space="0" w:color="auto"/>
        <w:left w:val="none" w:sz="0" w:space="0" w:color="auto"/>
        <w:bottom w:val="none" w:sz="0" w:space="0" w:color="auto"/>
        <w:right w:val="none" w:sz="0" w:space="0" w:color="auto"/>
      </w:divBdr>
    </w:div>
    <w:div w:id="1822698979">
      <w:bodyDiv w:val="1"/>
      <w:marLeft w:val="0"/>
      <w:marRight w:val="0"/>
      <w:marTop w:val="0"/>
      <w:marBottom w:val="0"/>
      <w:divBdr>
        <w:top w:val="none" w:sz="0" w:space="0" w:color="auto"/>
        <w:left w:val="none" w:sz="0" w:space="0" w:color="auto"/>
        <w:bottom w:val="none" w:sz="0" w:space="0" w:color="auto"/>
        <w:right w:val="none" w:sz="0" w:space="0" w:color="auto"/>
      </w:divBdr>
    </w:div>
    <w:div w:id="1915317009">
      <w:bodyDiv w:val="1"/>
      <w:marLeft w:val="0"/>
      <w:marRight w:val="0"/>
      <w:marTop w:val="0"/>
      <w:marBottom w:val="0"/>
      <w:divBdr>
        <w:top w:val="none" w:sz="0" w:space="0" w:color="auto"/>
        <w:left w:val="none" w:sz="0" w:space="0" w:color="auto"/>
        <w:bottom w:val="none" w:sz="0" w:space="0" w:color="auto"/>
        <w:right w:val="none" w:sz="0" w:space="0" w:color="auto"/>
      </w:divBdr>
    </w:div>
    <w:div w:id="1953587194">
      <w:bodyDiv w:val="1"/>
      <w:marLeft w:val="0"/>
      <w:marRight w:val="0"/>
      <w:marTop w:val="0"/>
      <w:marBottom w:val="0"/>
      <w:divBdr>
        <w:top w:val="none" w:sz="0" w:space="0" w:color="auto"/>
        <w:left w:val="none" w:sz="0" w:space="0" w:color="auto"/>
        <w:bottom w:val="none" w:sz="0" w:space="0" w:color="auto"/>
        <w:right w:val="none" w:sz="0" w:space="0" w:color="auto"/>
      </w:divBdr>
    </w:div>
    <w:div w:id="2037392139">
      <w:bodyDiv w:val="1"/>
      <w:marLeft w:val="0"/>
      <w:marRight w:val="0"/>
      <w:marTop w:val="0"/>
      <w:marBottom w:val="0"/>
      <w:divBdr>
        <w:top w:val="none" w:sz="0" w:space="0" w:color="auto"/>
        <w:left w:val="none" w:sz="0" w:space="0" w:color="auto"/>
        <w:bottom w:val="none" w:sz="0" w:space="0" w:color="auto"/>
        <w:right w:val="none" w:sz="0" w:space="0" w:color="auto"/>
      </w:divBdr>
    </w:div>
    <w:div w:id="2039546143">
      <w:bodyDiv w:val="1"/>
      <w:marLeft w:val="0"/>
      <w:marRight w:val="0"/>
      <w:marTop w:val="0"/>
      <w:marBottom w:val="0"/>
      <w:divBdr>
        <w:top w:val="none" w:sz="0" w:space="0" w:color="auto"/>
        <w:left w:val="none" w:sz="0" w:space="0" w:color="auto"/>
        <w:bottom w:val="none" w:sz="0" w:space="0" w:color="auto"/>
        <w:right w:val="none" w:sz="0" w:space="0" w:color="auto"/>
      </w:divBdr>
    </w:div>
    <w:div w:id="2070613202">
      <w:bodyDiv w:val="1"/>
      <w:marLeft w:val="0"/>
      <w:marRight w:val="0"/>
      <w:marTop w:val="0"/>
      <w:marBottom w:val="0"/>
      <w:divBdr>
        <w:top w:val="none" w:sz="0" w:space="0" w:color="auto"/>
        <w:left w:val="none" w:sz="0" w:space="0" w:color="auto"/>
        <w:bottom w:val="none" w:sz="0" w:space="0" w:color="auto"/>
        <w:right w:val="none" w:sz="0" w:space="0" w:color="auto"/>
      </w:divBdr>
    </w:div>
    <w:div w:id="207573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312A9.8E4696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C035460DCA0140B850DB1C4F2D6DB7" ma:contentTypeVersion="0" ma:contentTypeDescription="Create a new document." ma:contentTypeScope="" ma:versionID="898c4d277d2d96080500c13fc751b4d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B243E-B9D0-4ECD-8BF8-28D934FDB741}">
  <ds:schemaRef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C46843C-8E10-426C-BD2E-BC3CD65F4B2E}">
  <ds:schemaRefs>
    <ds:schemaRef ds:uri="http://schemas.microsoft.com/sharepoint/v3/contenttype/forms"/>
  </ds:schemaRefs>
</ds:datastoreItem>
</file>

<file path=customXml/itemProps3.xml><?xml version="1.0" encoding="utf-8"?>
<ds:datastoreItem xmlns:ds="http://schemas.openxmlformats.org/officeDocument/2006/customXml" ds:itemID="{B722E410-4D4F-4C28-B3F2-2452E7F88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C2AC2-08D0-474D-8530-21AC29C7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Surrey Police</Company>
  <LinksUpToDate>false</LinksUpToDate>
  <CharactersWithSpaces>10933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Tamara 10732</dc:creator>
  <cp:lastModifiedBy>Gordon, Sarah 9802</cp:lastModifiedBy>
  <cp:revision>11</cp:revision>
  <cp:lastPrinted>2018-07-19T09:26:00Z</cp:lastPrinted>
  <dcterms:created xsi:type="dcterms:W3CDTF">2020-11-17T12:41:00Z</dcterms:created>
  <dcterms:modified xsi:type="dcterms:W3CDTF">2020-11-20T09:08:00Z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0x0101006DC035460DCA0140B850DB1C4F2D6DB7</vt:lpwstr>
  </property>
</Properties>
</file>