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58" w:rsidRDefault="00452F58"/>
    <w:p w:rsidR="0068263E" w:rsidRDefault="0068263E"/>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2126"/>
        <w:gridCol w:w="3406"/>
      </w:tblGrid>
      <w:tr w:rsidR="00E97E55" w:rsidTr="00AC478C">
        <w:trPr>
          <w:trHeight w:val="95"/>
          <w:jc w:val="center"/>
        </w:trPr>
        <w:tc>
          <w:tcPr>
            <w:tcW w:w="3828" w:type="dxa"/>
            <w:gridSpan w:val="2"/>
          </w:tcPr>
          <w:p w:rsidR="00E97E55" w:rsidRDefault="00E97E55" w:rsidP="009E3BB2">
            <w:pPr>
              <w:spacing w:before="0" w:after="0"/>
              <w:jc w:val="both"/>
            </w:pPr>
            <w:r>
              <w:t xml:space="preserve"> Security Classification: </w:t>
            </w:r>
          </w:p>
        </w:tc>
        <w:tc>
          <w:tcPr>
            <w:tcW w:w="5532" w:type="dxa"/>
            <w:gridSpan w:val="2"/>
          </w:tcPr>
          <w:p w:rsidR="00E97E55" w:rsidRDefault="00E97E55" w:rsidP="009E3BB2">
            <w:pPr>
              <w:spacing w:before="0" w:after="0"/>
              <w:jc w:val="both"/>
              <w:rPr>
                <w:i/>
                <w:iCs/>
              </w:rPr>
            </w:pPr>
            <w:r>
              <w:t> </w:t>
            </w:r>
            <w:r>
              <w:rPr>
                <w:b/>
                <w:bCs/>
              </w:rPr>
              <w:t>NOT PROTECTIVELY MARKED</w:t>
            </w:r>
          </w:p>
        </w:tc>
      </w:tr>
      <w:tr w:rsidR="00E97E55" w:rsidTr="00AC478C">
        <w:trPr>
          <w:jc w:val="center"/>
        </w:trPr>
        <w:tc>
          <w:tcPr>
            <w:tcW w:w="3828" w:type="dxa"/>
            <w:gridSpan w:val="2"/>
          </w:tcPr>
          <w:p w:rsidR="00E97E55" w:rsidRDefault="00E97E55" w:rsidP="009E3BB2">
            <w:pPr>
              <w:spacing w:before="0" w:after="0"/>
              <w:jc w:val="both"/>
            </w:pPr>
            <w:r>
              <w:t> Disclosable under FOIA 2000:</w:t>
            </w:r>
          </w:p>
        </w:tc>
        <w:tc>
          <w:tcPr>
            <w:tcW w:w="5532" w:type="dxa"/>
            <w:gridSpan w:val="2"/>
          </w:tcPr>
          <w:p w:rsidR="00E97E55" w:rsidRDefault="00E97E55" w:rsidP="009E3BB2">
            <w:pPr>
              <w:spacing w:before="0" w:after="0"/>
              <w:jc w:val="both"/>
            </w:pPr>
            <w:r>
              <w:t> </w:t>
            </w:r>
            <w:r>
              <w:rPr>
                <w:b/>
                <w:bCs/>
              </w:rPr>
              <w:t xml:space="preserve">Yes </w:t>
            </w:r>
          </w:p>
        </w:tc>
      </w:tr>
      <w:tr w:rsidR="00E97E55" w:rsidTr="00AC478C">
        <w:trPr>
          <w:jc w:val="center"/>
        </w:trPr>
        <w:tc>
          <w:tcPr>
            <w:tcW w:w="1843" w:type="dxa"/>
          </w:tcPr>
          <w:p w:rsidR="00E97E55" w:rsidRDefault="00E97E55" w:rsidP="009E3BB2">
            <w:pPr>
              <w:spacing w:before="0" w:after="0"/>
              <w:jc w:val="both"/>
            </w:pPr>
            <w:r>
              <w:t> Author/Contact:</w:t>
            </w:r>
          </w:p>
        </w:tc>
        <w:tc>
          <w:tcPr>
            <w:tcW w:w="1985" w:type="dxa"/>
          </w:tcPr>
          <w:p w:rsidR="00E97E55" w:rsidRDefault="00E97E55" w:rsidP="009E3BB2">
            <w:pPr>
              <w:spacing w:before="0" w:after="0"/>
              <w:jc w:val="both"/>
              <w:rPr>
                <w:b/>
                <w:bCs/>
              </w:rPr>
            </w:pPr>
            <w:r>
              <w:rPr>
                <w:b/>
                <w:bCs/>
              </w:rPr>
              <w:t> Paul Bundy</w:t>
            </w:r>
          </w:p>
        </w:tc>
        <w:tc>
          <w:tcPr>
            <w:tcW w:w="2126" w:type="dxa"/>
          </w:tcPr>
          <w:p w:rsidR="00E97E55" w:rsidRDefault="00E97E55" w:rsidP="009E3BB2">
            <w:pPr>
              <w:spacing w:before="0" w:after="0"/>
              <w:jc w:val="both"/>
            </w:pPr>
            <w:r>
              <w:t> Department:</w:t>
            </w:r>
          </w:p>
        </w:tc>
        <w:tc>
          <w:tcPr>
            <w:tcW w:w="3406" w:type="dxa"/>
          </w:tcPr>
          <w:p w:rsidR="00E97E55" w:rsidRDefault="003F0447" w:rsidP="009E3BB2">
            <w:pPr>
              <w:spacing w:before="0" w:after="0"/>
              <w:jc w:val="both"/>
              <w:rPr>
                <w:b/>
                <w:bCs/>
              </w:rPr>
            </w:pPr>
            <w:r>
              <w:rPr>
                <w:b/>
                <w:bCs/>
              </w:rPr>
              <w:t>Finance</w:t>
            </w:r>
          </w:p>
        </w:tc>
      </w:tr>
      <w:tr w:rsidR="00E97E55" w:rsidTr="00AC478C">
        <w:trPr>
          <w:jc w:val="center"/>
        </w:trPr>
        <w:tc>
          <w:tcPr>
            <w:tcW w:w="1843" w:type="dxa"/>
          </w:tcPr>
          <w:p w:rsidR="00E97E55" w:rsidRDefault="00E97E55" w:rsidP="00674760">
            <w:pPr>
              <w:spacing w:before="0" w:after="0"/>
              <w:jc w:val="both"/>
            </w:pPr>
            <w:r>
              <w:t> Date Created:</w:t>
            </w:r>
          </w:p>
        </w:tc>
        <w:tc>
          <w:tcPr>
            <w:tcW w:w="1985" w:type="dxa"/>
          </w:tcPr>
          <w:p w:rsidR="00E97E55" w:rsidRDefault="00E97E55" w:rsidP="000D4609">
            <w:pPr>
              <w:spacing w:before="0" w:after="0"/>
              <w:jc w:val="both"/>
              <w:rPr>
                <w:b/>
                <w:bCs/>
              </w:rPr>
            </w:pPr>
            <w:r>
              <w:rPr>
                <w:b/>
                <w:bCs/>
              </w:rPr>
              <w:t> </w:t>
            </w:r>
            <w:r w:rsidR="008E265C">
              <w:rPr>
                <w:b/>
                <w:bCs/>
              </w:rPr>
              <w:t>1</w:t>
            </w:r>
            <w:r w:rsidR="000D4609">
              <w:rPr>
                <w:b/>
                <w:bCs/>
              </w:rPr>
              <w:t>5</w:t>
            </w:r>
            <w:r w:rsidR="00EE0338">
              <w:rPr>
                <w:b/>
                <w:bCs/>
              </w:rPr>
              <w:t>-</w:t>
            </w:r>
            <w:r w:rsidR="008E265C">
              <w:rPr>
                <w:b/>
                <w:bCs/>
              </w:rPr>
              <w:t>0</w:t>
            </w:r>
            <w:r w:rsidR="000D4609">
              <w:rPr>
                <w:b/>
                <w:bCs/>
              </w:rPr>
              <w:t>2</w:t>
            </w:r>
            <w:r w:rsidR="0008784E">
              <w:rPr>
                <w:b/>
                <w:bCs/>
              </w:rPr>
              <w:t>-201</w:t>
            </w:r>
            <w:r w:rsidR="008E265C">
              <w:rPr>
                <w:b/>
                <w:bCs/>
              </w:rPr>
              <w:t>6</w:t>
            </w:r>
          </w:p>
        </w:tc>
        <w:tc>
          <w:tcPr>
            <w:tcW w:w="2126" w:type="dxa"/>
          </w:tcPr>
          <w:p w:rsidR="00E97E55" w:rsidRDefault="00E97E55" w:rsidP="009E3BB2">
            <w:pPr>
              <w:spacing w:before="0" w:after="0"/>
              <w:jc w:val="both"/>
            </w:pPr>
            <w:r>
              <w:t> Telephone:</w:t>
            </w:r>
          </w:p>
        </w:tc>
        <w:tc>
          <w:tcPr>
            <w:tcW w:w="3406" w:type="dxa"/>
          </w:tcPr>
          <w:p w:rsidR="00E97E55" w:rsidRDefault="00E97E55" w:rsidP="009E3BB2">
            <w:pPr>
              <w:spacing w:before="0" w:after="0"/>
              <w:jc w:val="both"/>
              <w:rPr>
                <w:b/>
                <w:bCs/>
              </w:rPr>
            </w:pPr>
            <w:r>
              <w:rPr>
                <w:b/>
                <w:bCs/>
              </w:rPr>
              <w:t>39302</w:t>
            </w:r>
          </w:p>
        </w:tc>
      </w:tr>
    </w:tbl>
    <w:p w:rsidR="00E97E55" w:rsidRPr="008E265C" w:rsidRDefault="00E97E55" w:rsidP="00106412">
      <w:pPr>
        <w:jc w:val="center"/>
        <w:rPr>
          <w:b/>
          <w:bCs/>
        </w:rPr>
      </w:pPr>
      <w:r w:rsidRPr="008E265C">
        <w:rPr>
          <w:b/>
          <w:bCs/>
        </w:rPr>
        <w:t>N.B. Paper limited to maximum of 3 sides</w:t>
      </w:r>
    </w:p>
    <w:tbl>
      <w:tblPr>
        <w:tblW w:w="0" w:type="auto"/>
        <w:jc w:val="center"/>
        <w:tblLayout w:type="fixed"/>
        <w:tblCellMar>
          <w:left w:w="0" w:type="dxa"/>
          <w:right w:w="0" w:type="dxa"/>
        </w:tblCellMar>
        <w:tblLook w:val="0000" w:firstRow="0" w:lastRow="0" w:firstColumn="0" w:lastColumn="0" w:noHBand="0" w:noVBand="0"/>
      </w:tblPr>
      <w:tblGrid>
        <w:gridCol w:w="9356"/>
      </w:tblGrid>
      <w:tr w:rsidR="008E265C" w:rsidRPr="008E265C" w:rsidTr="00AC478C">
        <w:trPr>
          <w:jc w:val="center"/>
        </w:trPr>
        <w:tc>
          <w:tcPr>
            <w:tcW w:w="9356" w:type="dxa"/>
          </w:tcPr>
          <w:p w:rsidR="00E97E55" w:rsidRPr="008E265C" w:rsidRDefault="000D4609" w:rsidP="00C502B6">
            <w:pPr>
              <w:pStyle w:val="Heading1"/>
            </w:pPr>
            <w:r>
              <w:t>Surrey Police COG</w:t>
            </w:r>
          </w:p>
          <w:p w:rsidR="00E97E55" w:rsidRPr="008E265C" w:rsidRDefault="007716B9" w:rsidP="000D4609">
            <w:pPr>
              <w:pStyle w:val="Heading1"/>
            </w:pPr>
            <w:r w:rsidRPr="008E265C">
              <w:t xml:space="preserve">force </w:t>
            </w:r>
            <w:r w:rsidR="00AC37E1" w:rsidRPr="008E265C">
              <w:t xml:space="preserve">FINANCIAL REPORT MONTH </w:t>
            </w:r>
            <w:r w:rsidR="000D4609">
              <w:t xml:space="preserve">10 </w:t>
            </w:r>
            <w:r w:rsidR="00E66165" w:rsidRPr="008E265C">
              <w:t>– 201</w:t>
            </w:r>
            <w:r w:rsidR="0008784E" w:rsidRPr="008E265C">
              <w:t>5</w:t>
            </w:r>
            <w:r w:rsidR="00E9550C" w:rsidRPr="008E265C">
              <w:t>/</w:t>
            </w:r>
            <w:r w:rsidR="00AB0B90" w:rsidRPr="008E265C">
              <w:t>1</w:t>
            </w:r>
            <w:r w:rsidR="0008784E" w:rsidRPr="008E265C">
              <w:t>6</w:t>
            </w:r>
          </w:p>
        </w:tc>
      </w:tr>
      <w:tr w:rsidR="008E265C" w:rsidRPr="008E265C" w:rsidTr="00AC478C">
        <w:trPr>
          <w:jc w:val="center"/>
        </w:trPr>
        <w:tc>
          <w:tcPr>
            <w:tcW w:w="9356" w:type="dxa"/>
          </w:tcPr>
          <w:p w:rsidR="006645B4" w:rsidRPr="008E265C" w:rsidRDefault="006645B4" w:rsidP="006645B4"/>
        </w:tc>
      </w:tr>
    </w:tbl>
    <w:p w:rsidR="00E97E55" w:rsidRPr="008E265C" w:rsidRDefault="00E97E55" w:rsidP="009E3BB2">
      <w:pPr>
        <w:numPr>
          <w:ilvl w:val="0"/>
          <w:numId w:val="9"/>
        </w:numPr>
        <w:spacing w:before="0"/>
        <w:ind w:right="146"/>
        <w:jc w:val="both"/>
        <w:rPr>
          <w:b/>
          <w:bCs/>
        </w:rPr>
      </w:pPr>
      <w:r w:rsidRPr="008E265C">
        <w:rPr>
          <w:b/>
          <w:bCs/>
        </w:rPr>
        <w:t>Purpose</w:t>
      </w:r>
    </w:p>
    <w:p w:rsidR="00E97E55" w:rsidRPr="008E265C" w:rsidRDefault="00E97E55" w:rsidP="009E3BB2">
      <w:pPr>
        <w:pStyle w:val="ListParagraph"/>
        <w:numPr>
          <w:ilvl w:val="1"/>
          <w:numId w:val="9"/>
        </w:numPr>
        <w:jc w:val="both"/>
      </w:pPr>
      <w:r w:rsidRPr="008E265C">
        <w:t>Th</w:t>
      </w:r>
      <w:r w:rsidR="00AB0B90" w:rsidRPr="008E265C">
        <w:t>is report presents</w:t>
      </w:r>
      <w:r w:rsidR="00957FC2" w:rsidRPr="008E265C">
        <w:t xml:space="preserve"> th</w:t>
      </w:r>
      <w:r w:rsidR="00AC37E1" w:rsidRPr="008E265C">
        <w:t xml:space="preserve">e </w:t>
      </w:r>
      <w:r w:rsidR="007716B9" w:rsidRPr="008E265C">
        <w:t xml:space="preserve">Force’s </w:t>
      </w:r>
      <w:r w:rsidR="00AC37E1" w:rsidRPr="008E265C">
        <w:t xml:space="preserve">financial position for </w:t>
      </w:r>
      <w:r w:rsidR="009F4E74">
        <w:t xml:space="preserve">January </w:t>
      </w:r>
      <w:r w:rsidR="00E9550C" w:rsidRPr="008E265C">
        <w:t>201</w:t>
      </w:r>
      <w:r w:rsidR="008E265C" w:rsidRPr="008E265C">
        <w:t>6</w:t>
      </w:r>
      <w:r w:rsidR="00AC37E1" w:rsidRPr="008E265C">
        <w:t xml:space="preserve">, </w:t>
      </w:r>
      <w:r w:rsidR="00B81CB4" w:rsidRPr="008E265C">
        <w:t xml:space="preserve">month </w:t>
      </w:r>
      <w:r w:rsidR="009F4E74">
        <w:t>10</w:t>
      </w:r>
      <w:r w:rsidR="00B81CB4" w:rsidRPr="008E265C">
        <w:t xml:space="preserve"> </w:t>
      </w:r>
      <w:r w:rsidR="00FD40B0" w:rsidRPr="008E265C">
        <w:t xml:space="preserve">of </w:t>
      </w:r>
      <w:r w:rsidR="00B81CB4" w:rsidRPr="008E265C">
        <w:t>201</w:t>
      </w:r>
      <w:r w:rsidR="0008784E" w:rsidRPr="008E265C">
        <w:t>5</w:t>
      </w:r>
      <w:r w:rsidR="00B81CB4" w:rsidRPr="008E265C">
        <w:t>-1</w:t>
      </w:r>
      <w:r w:rsidR="0008784E" w:rsidRPr="008E265C">
        <w:t>6</w:t>
      </w:r>
      <w:r w:rsidR="00AB0B90" w:rsidRPr="008E265C">
        <w:t>.</w:t>
      </w:r>
      <w:r w:rsidR="00DD4715" w:rsidRPr="008E265C">
        <w:t xml:space="preserve"> The report is based on the forecast position at year end.</w:t>
      </w:r>
    </w:p>
    <w:p w:rsidR="00E97E55" w:rsidRPr="00831335" w:rsidRDefault="00AB0B90" w:rsidP="009E3BB2">
      <w:pPr>
        <w:numPr>
          <w:ilvl w:val="0"/>
          <w:numId w:val="9"/>
        </w:numPr>
        <w:spacing w:before="0"/>
        <w:ind w:right="146"/>
        <w:jc w:val="both"/>
        <w:rPr>
          <w:b/>
          <w:bCs/>
        </w:rPr>
      </w:pPr>
      <w:r w:rsidRPr="00831335">
        <w:rPr>
          <w:b/>
          <w:bCs/>
        </w:rPr>
        <w:t>Summary</w:t>
      </w:r>
    </w:p>
    <w:p w:rsidR="006D3A6F" w:rsidRPr="00675E5B" w:rsidRDefault="00E97E55" w:rsidP="00EB7A26">
      <w:pPr>
        <w:pStyle w:val="ListParagraph"/>
        <w:numPr>
          <w:ilvl w:val="1"/>
          <w:numId w:val="9"/>
        </w:numPr>
        <w:ind w:left="1508" w:hanging="431"/>
        <w:contextualSpacing w:val="0"/>
        <w:jc w:val="both"/>
      </w:pPr>
      <w:r w:rsidRPr="00831335">
        <w:t>Th</w:t>
      </w:r>
      <w:r w:rsidR="006D3A6F" w:rsidRPr="00831335">
        <w:t xml:space="preserve">e </w:t>
      </w:r>
      <w:r w:rsidR="00AB0B90" w:rsidRPr="00831335">
        <w:t>gross reven</w:t>
      </w:r>
      <w:r w:rsidR="007C035B" w:rsidRPr="00831335">
        <w:t>ue budget for the year is £20</w:t>
      </w:r>
      <w:r w:rsidR="0008784E" w:rsidRPr="00831335">
        <w:t>5.7</w:t>
      </w:r>
      <w:r w:rsidR="007C035B" w:rsidRPr="00831335">
        <w:t>m a reduction of £</w:t>
      </w:r>
      <w:r w:rsidR="0008784E" w:rsidRPr="00831335">
        <w:t>1.6</w:t>
      </w:r>
      <w:r w:rsidR="00AB0B90" w:rsidRPr="00831335">
        <w:t xml:space="preserve">m compared to last </w:t>
      </w:r>
      <w:proofErr w:type="gramStart"/>
      <w:r w:rsidR="00AB0B90" w:rsidRPr="00831335">
        <w:t>year</w:t>
      </w:r>
      <w:r w:rsidR="003E6D6F" w:rsidRPr="00831335">
        <w:t>’s</w:t>
      </w:r>
      <w:proofErr w:type="gramEnd"/>
      <w:r w:rsidR="003E6D6F" w:rsidRPr="00831335">
        <w:t xml:space="preserve"> budget of £207.3m</w:t>
      </w:r>
      <w:r w:rsidR="00AB0B90" w:rsidRPr="00831335">
        <w:t>.</w:t>
      </w:r>
      <w:r w:rsidR="007716B9" w:rsidRPr="00831335">
        <w:t xml:space="preserve"> This report provides the revenue and capital position for the Force </w:t>
      </w:r>
      <w:r w:rsidR="00E93FEF" w:rsidRPr="00831335">
        <w:t xml:space="preserve">with the </w:t>
      </w:r>
      <w:r w:rsidR="007716B9" w:rsidRPr="00831335">
        <w:t xml:space="preserve">PCC budget </w:t>
      </w:r>
      <w:r w:rsidR="00987672" w:rsidRPr="00831335">
        <w:t>separated out and</w:t>
      </w:r>
      <w:r w:rsidR="007716B9" w:rsidRPr="00831335">
        <w:t xml:space="preserve"> reported </w:t>
      </w:r>
      <w:r w:rsidR="00987672" w:rsidRPr="00831335">
        <w:t>elsewhere</w:t>
      </w:r>
      <w:r w:rsidR="007716B9" w:rsidRPr="00831335">
        <w:t>. T</w:t>
      </w:r>
      <w:r w:rsidR="00F95CFE" w:rsidRPr="00831335">
        <w:t xml:space="preserve">he Force </w:t>
      </w:r>
      <w:r w:rsidR="007716B9" w:rsidRPr="00831335">
        <w:t xml:space="preserve">revenue </w:t>
      </w:r>
      <w:r w:rsidR="00F95CFE" w:rsidRPr="00831335">
        <w:t>budget is £20</w:t>
      </w:r>
      <w:r w:rsidR="0008784E" w:rsidRPr="00831335">
        <w:t>3.6</w:t>
      </w:r>
      <w:r w:rsidR="00F95CFE" w:rsidRPr="00831335">
        <w:t xml:space="preserve">m </w:t>
      </w:r>
      <w:r w:rsidR="00F95CFE" w:rsidRPr="00675E5B">
        <w:t>with a</w:t>
      </w:r>
      <w:r w:rsidR="0008784E" w:rsidRPr="00675E5B">
        <w:t xml:space="preserve"> </w:t>
      </w:r>
      <w:r w:rsidR="00001FE6" w:rsidRPr="00675E5B">
        <w:t>forecast</w:t>
      </w:r>
      <w:r w:rsidR="0008784E" w:rsidRPr="00675E5B">
        <w:t xml:space="preserve"> under</w:t>
      </w:r>
      <w:r w:rsidR="00E040DC" w:rsidRPr="00675E5B">
        <w:t xml:space="preserve"> </w:t>
      </w:r>
      <w:r w:rsidR="0008784E" w:rsidRPr="00675E5B">
        <w:t>spend of £</w:t>
      </w:r>
      <w:r w:rsidR="00675E5B">
        <w:t>0.</w:t>
      </w:r>
      <w:r w:rsidR="00D5381C">
        <w:t>2</w:t>
      </w:r>
      <w:r w:rsidR="0008784E" w:rsidRPr="00675E5B">
        <w:t>m</w:t>
      </w:r>
      <w:r w:rsidR="007716B9" w:rsidRPr="00675E5B">
        <w:t>.</w:t>
      </w:r>
    </w:p>
    <w:p w:rsidR="000851FE" w:rsidRPr="00E83B21" w:rsidRDefault="005E7BFC" w:rsidP="00D364F9">
      <w:pPr>
        <w:pStyle w:val="ListParagraph"/>
        <w:numPr>
          <w:ilvl w:val="1"/>
          <w:numId w:val="9"/>
        </w:numPr>
        <w:ind w:left="1508" w:hanging="431"/>
        <w:contextualSpacing w:val="0"/>
        <w:jc w:val="both"/>
      </w:pPr>
      <w:r w:rsidRPr="00E83B21">
        <w:t xml:space="preserve">The </w:t>
      </w:r>
      <w:r w:rsidR="00C332C1" w:rsidRPr="00E83B21">
        <w:t xml:space="preserve">main </w:t>
      </w:r>
      <w:r w:rsidR="001D5A9E" w:rsidRPr="00E83B21">
        <w:t xml:space="preserve">reason for the </w:t>
      </w:r>
      <w:r w:rsidRPr="00E83B21">
        <w:t xml:space="preserve">forecast under spend variance </w:t>
      </w:r>
      <w:r w:rsidR="00E85640" w:rsidRPr="00E83B21">
        <w:t xml:space="preserve">arises </w:t>
      </w:r>
      <w:r w:rsidRPr="00E83B21">
        <w:t xml:space="preserve">from </w:t>
      </w:r>
      <w:r w:rsidR="00E52A11" w:rsidRPr="00E83B21">
        <w:t xml:space="preserve">Police Officer pay as recruitment of officers </w:t>
      </w:r>
      <w:r w:rsidR="003C2840" w:rsidRPr="00E83B21">
        <w:t xml:space="preserve">fell </w:t>
      </w:r>
      <w:r w:rsidR="00E52A11" w:rsidRPr="00E83B21">
        <w:t>below target at the beginning of the year</w:t>
      </w:r>
      <w:r w:rsidR="003C2840" w:rsidRPr="00E83B21">
        <w:t xml:space="preserve">. However </w:t>
      </w:r>
      <w:r w:rsidR="00E52A11" w:rsidRPr="00E83B21">
        <w:t xml:space="preserve">there is a projected increase in spend over the </w:t>
      </w:r>
      <w:r w:rsidR="00A26116" w:rsidRPr="00E83B21">
        <w:t xml:space="preserve">last </w:t>
      </w:r>
      <w:r w:rsidR="00846009" w:rsidRPr="00E83B21">
        <w:t>2</w:t>
      </w:r>
      <w:r w:rsidR="00A26116" w:rsidRPr="00E83B21">
        <w:t xml:space="preserve"> months of the year </w:t>
      </w:r>
      <w:r w:rsidR="00E52A11" w:rsidRPr="00E83B21">
        <w:t xml:space="preserve">as </w:t>
      </w:r>
      <w:r w:rsidR="003C2840" w:rsidRPr="00E83B21">
        <w:t xml:space="preserve">the </w:t>
      </w:r>
      <w:r w:rsidR="00E52A11" w:rsidRPr="00E83B21">
        <w:t xml:space="preserve">recruitment drive </w:t>
      </w:r>
      <w:r w:rsidR="003C2840" w:rsidRPr="00E83B21">
        <w:t>filters through</w:t>
      </w:r>
      <w:r w:rsidR="00000D30" w:rsidRPr="00E83B21">
        <w:t>.</w:t>
      </w:r>
      <w:r w:rsidR="00A9301F" w:rsidRPr="00E83B21">
        <w:t xml:space="preserve"> </w:t>
      </w:r>
      <w:r w:rsidR="00000D30" w:rsidRPr="00E83B21">
        <w:t>P</w:t>
      </w:r>
      <w:r w:rsidR="00E52A11" w:rsidRPr="00E83B21">
        <w:t xml:space="preserve">olice </w:t>
      </w:r>
      <w:r w:rsidRPr="00E83B21">
        <w:t xml:space="preserve">staff expenditure </w:t>
      </w:r>
      <w:r w:rsidR="00E52A11" w:rsidRPr="00E83B21">
        <w:t xml:space="preserve">is forecast to under spend </w:t>
      </w:r>
      <w:r w:rsidRPr="00E83B21">
        <w:t xml:space="preserve">due to </w:t>
      </w:r>
      <w:r w:rsidR="00E52A11" w:rsidRPr="00E83B21">
        <w:t xml:space="preserve">some </w:t>
      </w:r>
      <w:r w:rsidRPr="00E83B21">
        <w:t>posts being held pending the implementation of change projects</w:t>
      </w:r>
      <w:r w:rsidR="00C53D8C" w:rsidRPr="00E83B21">
        <w:t xml:space="preserve"> and a high</w:t>
      </w:r>
      <w:r w:rsidR="000851FE" w:rsidRPr="00E83B21">
        <w:t xml:space="preserve"> </w:t>
      </w:r>
      <w:r w:rsidR="00A26116" w:rsidRPr="00E83B21">
        <w:t xml:space="preserve">level of staff </w:t>
      </w:r>
      <w:r w:rsidR="00C53D8C" w:rsidRPr="00E83B21">
        <w:t>turnover</w:t>
      </w:r>
      <w:r w:rsidR="0084604F" w:rsidRPr="00E83B21">
        <w:t>. I</w:t>
      </w:r>
      <w:r w:rsidR="00DB568A" w:rsidRPr="00E83B21">
        <w:t>n the light of future funding reductions</w:t>
      </w:r>
      <w:r w:rsidR="00E85640" w:rsidRPr="00E83B21">
        <w:t>,</w:t>
      </w:r>
      <w:r w:rsidR="00DB568A" w:rsidRPr="00E83B21">
        <w:t xml:space="preserve"> </w:t>
      </w:r>
      <w:r w:rsidRPr="00E83B21">
        <w:t xml:space="preserve">recruitment decisions </w:t>
      </w:r>
      <w:r w:rsidR="00343882" w:rsidRPr="00E83B21">
        <w:t xml:space="preserve">continue to be </w:t>
      </w:r>
      <w:r w:rsidRPr="00E83B21">
        <w:t xml:space="preserve">managed through a panel </w:t>
      </w:r>
      <w:r w:rsidR="00A26116" w:rsidRPr="00E83B21">
        <w:t xml:space="preserve">which </w:t>
      </w:r>
      <w:r w:rsidRPr="00E83B21">
        <w:t>ensure</w:t>
      </w:r>
      <w:r w:rsidR="00A26116" w:rsidRPr="00E83B21">
        <w:t>s</w:t>
      </w:r>
      <w:r w:rsidRPr="00E83B21">
        <w:t xml:space="preserve"> a consistent and legitimate approach</w:t>
      </w:r>
      <w:r w:rsidR="00DB568A" w:rsidRPr="00E83B21">
        <w:t>.</w:t>
      </w:r>
      <w:r w:rsidR="00C53D8C" w:rsidRPr="00E83B21">
        <w:t xml:space="preserve"> </w:t>
      </w:r>
      <w:r w:rsidR="0019789F" w:rsidRPr="00E83B21">
        <w:t>This has been built into the forecast and a further reduction in underspend is unlikely</w:t>
      </w:r>
      <w:r w:rsidR="00C53D8C" w:rsidRPr="00E83B21">
        <w:t xml:space="preserve"> in this area</w:t>
      </w:r>
      <w:r w:rsidR="0019789F" w:rsidRPr="00E83B21">
        <w:t>.</w:t>
      </w:r>
      <w:r w:rsidR="004D4ED0" w:rsidRPr="00E83B21">
        <w:t xml:space="preserve"> </w:t>
      </w:r>
      <w:r w:rsidR="00C53D8C" w:rsidRPr="00E83B21">
        <w:t xml:space="preserve">The Force has experienced some operational challenges in public protection and digital </w:t>
      </w:r>
      <w:r w:rsidR="00E040DC" w:rsidRPr="00E83B21">
        <w:t>forensics</w:t>
      </w:r>
      <w:r w:rsidR="00C53D8C" w:rsidRPr="00E83B21">
        <w:t xml:space="preserve"> which have been supported from the available funding. </w:t>
      </w:r>
    </w:p>
    <w:p w:rsidR="00D364F9" w:rsidRPr="00A27F09" w:rsidRDefault="00766D72" w:rsidP="00766D72">
      <w:pPr>
        <w:pStyle w:val="ListParagraph"/>
        <w:numPr>
          <w:ilvl w:val="1"/>
          <w:numId w:val="9"/>
        </w:numPr>
        <w:ind w:left="1508" w:hanging="431"/>
        <w:contextualSpacing w:val="0"/>
        <w:jc w:val="both"/>
      </w:pPr>
      <w:r w:rsidRPr="00E83B21">
        <w:t xml:space="preserve">During a sustained period where the Force has had to reduce in size it is </w:t>
      </w:r>
      <w:r w:rsidR="00177038" w:rsidRPr="00E83B21">
        <w:t>unsurprising that the trajectory of reduction is ahead of the budget. This has provided the opportunity to invest into key operational areas that have been held back and to consider long term financial arrangements.</w:t>
      </w:r>
      <w:r w:rsidRPr="00E83B21">
        <w:t xml:space="preserve"> </w:t>
      </w:r>
      <w:r w:rsidR="004C164A" w:rsidRPr="00E83B21">
        <w:t xml:space="preserve">The </w:t>
      </w:r>
      <w:r w:rsidR="00452189" w:rsidRPr="00E83B21">
        <w:t>accelerate</w:t>
      </w:r>
      <w:r w:rsidR="000C6C0F" w:rsidRPr="00E83B21">
        <w:t>d</w:t>
      </w:r>
      <w:r w:rsidR="00452189" w:rsidRPr="00E83B21">
        <w:t xml:space="preserve"> recruitment </w:t>
      </w:r>
      <w:r w:rsidR="004C164A" w:rsidRPr="00E83B21">
        <w:t xml:space="preserve">strategy </w:t>
      </w:r>
      <w:r w:rsidR="00675E5B" w:rsidRPr="00E83B21">
        <w:t xml:space="preserve">has </w:t>
      </w:r>
      <w:r w:rsidR="00452189" w:rsidRPr="00E83B21">
        <w:t>reduce</w:t>
      </w:r>
      <w:r w:rsidR="00675E5B" w:rsidRPr="00E83B21">
        <w:t>d</w:t>
      </w:r>
      <w:r w:rsidR="00452189" w:rsidRPr="00E83B21">
        <w:t xml:space="preserve"> the </w:t>
      </w:r>
      <w:r w:rsidR="00675E5B" w:rsidRPr="00E83B21">
        <w:t xml:space="preserve">earlier </w:t>
      </w:r>
      <w:r w:rsidR="00452189" w:rsidRPr="00E83B21">
        <w:t>underspend</w:t>
      </w:r>
      <w:r w:rsidR="00675E5B" w:rsidRPr="00E83B21">
        <w:t xml:space="preserve"> and </w:t>
      </w:r>
      <w:r w:rsidR="0055112D" w:rsidRPr="00E83B21">
        <w:t>th</w:t>
      </w:r>
      <w:r w:rsidR="00000D30" w:rsidRPr="00E83B21">
        <w:t xml:space="preserve">is has </w:t>
      </w:r>
      <w:r w:rsidR="0055112D" w:rsidRPr="00E83B21">
        <w:t>largely been included by HR in the forecasts.</w:t>
      </w:r>
      <w:r w:rsidR="00452189" w:rsidRPr="00E83B21">
        <w:t xml:space="preserve"> </w:t>
      </w:r>
      <w:r w:rsidR="00675E5B" w:rsidRPr="00E83B21">
        <w:t>I</w:t>
      </w:r>
      <w:r w:rsidR="00452189" w:rsidRPr="00E83B21">
        <w:t xml:space="preserve">nitiatives to </w:t>
      </w:r>
      <w:r w:rsidR="00472C37" w:rsidRPr="00E83B21">
        <w:t xml:space="preserve">make effective use of the </w:t>
      </w:r>
      <w:r w:rsidR="00675E5B" w:rsidRPr="00E83B21">
        <w:t xml:space="preserve">earlier </w:t>
      </w:r>
      <w:r w:rsidR="00472C37" w:rsidRPr="00E83B21">
        <w:t xml:space="preserve">under spend with a view to enhancing </w:t>
      </w:r>
      <w:r w:rsidR="00343882" w:rsidRPr="00E83B21">
        <w:t>current y</w:t>
      </w:r>
      <w:r w:rsidR="00472C37" w:rsidRPr="00E83B21">
        <w:t xml:space="preserve">ear </w:t>
      </w:r>
      <w:r w:rsidR="00675E5B" w:rsidRPr="00E83B21">
        <w:t xml:space="preserve">service and </w:t>
      </w:r>
      <w:r w:rsidR="00472C37" w:rsidRPr="00E83B21">
        <w:t xml:space="preserve">performance </w:t>
      </w:r>
      <w:r w:rsidR="00675E5B" w:rsidRPr="00E83B21">
        <w:t xml:space="preserve">have been implemented </w:t>
      </w:r>
      <w:r w:rsidR="00472C37" w:rsidRPr="00E83B21">
        <w:t xml:space="preserve">as well as developing options </w:t>
      </w:r>
      <w:r w:rsidR="001A047D" w:rsidRPr="00E83B21">
        <w:t xml:space="preserve">to </w:t>
      </w:r>
      <w:r w:rsidR="00472C37" w:rsidRPr="00E83B21">
        <w:t>bring forward</w:t>
      </w:r>
      <w:r w:rsidR="00343882" w:rsidRPr="00E83B21">
        <w:t xml:space="preserve"> anticipated </w:t>
      </w:r>
      <w:r w:rsidR="00472C37" w:rsidRPr="00E83B21">
        <w:t xml:space="preserve">future spending </w:t>
      </w:r>
      <w:r w:rsidR="00987672" w:rsidRPr="00E83B21">
        <w:t>pressures</w:t>
      </w:r>
      <w:r w:rsidR="00343882" w:rsidRPr="00E83B21">
        <w:t>.</w:t>
      </w:r>
      <w:r w:rsidR="00987672" w:rsidRPr="00E83B21">
        <w:t xml:space="preserve"> </w:t>
      </w:r>
      <w:r w:rsidR="004C164A" w:rsidRPr="00E83B21">
        <w:t xml:space="preserve">These include </w:t>
      </w:r>
      <w:r w:rsidR="00177038" w:rsidRPr="00E83B21">
        <w:t xml:space="preserve">a burglary campaign, </w:t>
      </w:r>
      <w:r w:rsidR="005F721A" w:rsidRPr="00E83B21">
        <w:t xml:space="preserve">providing funding for Tasers and the associated equipment for the anticipated uplift in firearms capability in the county, </w:t>
      </w:r>
      <w:r w:rsidR="00177038" w:rsidRPr="00E83B21">
        <w:t>upgrading the briefing equipment, installation of video conferencing facilit</w:t>
      </w:r>
      <w:r w:rsidR="00E83B21" w:rsidRPr="00E83B21">
        <w:t xml:space="preserve">ies </w:t>
      </w:r>
      <w:r w:rsidR="00177038" w:rsidRPr="00E83B21">
        <w:t>in main police bui</w:t>
      </w:r>
      <w:r w:rsidR="00467466" w:rsidRPr="00E83B21">
        <w:t>l</w:t>
      </w:r>
      <w:r w:rsidR="00177038" w:rsidRPr="00E83B21">
        <w:t xml:space="preserve">dings, </w:t>
      </w:r>
      <w:r w:rsidR="00467466" w:rsidRPr="00E83B21">
        <w:t xml:space="preserve">a </w:t>
      </w:r>
      <w:r w:rsidR="00177038" w:rsidRPr="00E83B21">
        <w:t xml:space="preserve">range of digital forensics IT </w:t>
      </w:r>
      <w:r w:rsidR="005F721A" w:rsidRPr="00E83B21">
        <w:t>including mobile phone examination devices, an extension of the roll out of mobile data terminals for officers and replacement of end of life computer equipment within the Force</w:t>
      </w:r>
      <w:r w:rsidR="00177038" w:rsidRPr="00E83B21">
        <w:t>.</w:t>
      </w:r>
      <w:r w:rsidR="000B0DFC" w:rsidRPr="00E83B21">
        <w:t xml:space="preserve"> </w:t>
      </w:r>
      <w:r w:rsidR="00FA2B45" w:rsidRPr="00E83B21">
        <w:t xml:space="preserve">Reserves </w:t>
      </w:r>
      <w:r w:rsidR="00FA2B45" w:rsidRPr="00E83B21">
        <w:lastRenderedPageBreak/>
        <w:t xml:space="preserve">have </w:t>
      </w:r>
      <w:r w:rsidR="002E6F47" w:rsidRPr="00E83B21">
        <w:t xml:space="preserve">been </w:t>
      </w:r>
      <w:r w:rsidRPr="00E83B21">
        <w:t xml:space="preserve">utilised </w:t>
      </w:r>
      <w:r w:rsidR="00987672" w:rsidRPr="00E83B21">
        <w:t xml:space="preserve">to support the </w:t>
      </w:r>
      <w:r w:rsidR="00987672" w:rsidRPr="00A27F09">
        <w:t>police staff pension scheme which will les</w:t>
      </w:r>
      <w:r w:rsidR="00EB7A26" w:rsidRPr="00A27F09">
        <w:t xml:space="preserve">sen the burden in future years and </w:t>
      </w:r>
      <w:r w:rsidR="004D4ED0" w:rsidRPr="00A27F09">
        <w:t xml:space="preserve">a reserves strategy </w:t>
      </w:r>
      <w:r w:rsidRPr="00A27F09">
        <w:t xml:space="preserve">is in place </w:t>
      </w:r>
      <w:r w:rsidR="004D4ED0" w:rsidRPr="00A27F09">
        <w:t>that will protect front line service delivery in future years for the residents of Surrey.</w:t>
      </w:r>
      <w:r w:rsidRPr="00A27F09">
        <w:t xml:space="preserve"> </w:t>
      </w:r>
    </w:p>
    <w:p w:rsidR="007942B1" w:rsidRPr="00D5381C" w:rsidRDefault="006D3A6F" w:rsidP="00D60C50">
      <w:pPr>
        <w:pStyle w:val="ListParagraph"/>
        <w:numPr>
          <w:ilvl w:val="1"/>
          <w:numId w:val="9"/>
        </w:numPr>
        <w:ind w:right="146"/>
        <w:contextualSpacing w:val="0"/>
        <w:jc w:val="both"/>
        <w:rPr>
          <w:b/>
          <w:bCs/>
          <w:color w:val="548DD4" w:themeColor="text2" w:themeTint="99"/>
        </w:rPr>
      </w:pPr>
      <w:r w:rsidRPr="00A27F09">
        <w:t xml:space="preserve">The </w:t>
      </w:r>
      <w:r w:rsidR="007C035B" w:rsidRPr="00A27F09">
        <w:t xml:space="preserve">capital budget </w:t>
      </w:r>
      <w:r w:rsidR="00B81CB4" w:rsidRPr="00A27F09">
        <w:t>is</w:t>
      </w:r>
      <w:r w:rsidR="007C035B" w:rsidRPr="00A27F09">
        <w:t xml:space="preserve"> £</w:t>
      </w:r>
      <w:r w:rsidR="00C83201" w:rsidRPr="00A27F09">
        <w:t>1</w:t>
      </w:r>
      <w:r w:rsidR="005F721A" w:rsidRPr="00A27F09">
        <w:t>3</w:t>
      </w:r>
      <w:r w:rsidR="00C83201" w:rsidRPr="00A27F09">
        <w:t>.</w:t>
      </w:r>
      <w:r w:rsidR="00343882" w:rsidRPr="00A27F09">
        <w:t>7</w:t>
      </w:r>
      <w:r w:rsidR="007C035B" w:rsidRPr="00A27F09">
        <w:t>m including £</w:t>
      </w:r>
      <w:r w:rsidR="00146A8E" w:rsidRPr="00A27F09">
        <w:t>4.6</w:t>
      </w:r>
      <w:r w:rsidR="007C035B" w:rsidRPr="00A27F09">
        <w:t>m carried forward</w:t>
      </w:r>
      <w:r w:rsidR="00FF2CD3" w:rsidRPr="00A27F09">
        <w:t xml:space="preserve"> from </w:t>
      </w:r>
      <w:r w:rsidR="00517CC5" w:rsidRPr="00A27F09">
        <w:t>the previous</w:t>
      </w:r>
      <w:r w:rsidR="00FF2CD3" w:rsidRPr="00A27F09">
        <w:t xml:space="preserve"> year</w:t>
      </w:r>
      <w:r w:rsidR="00F03685" w:rsidRPr="00A27F09">
        <w:t>;</w:t>
      </w:r>
      <w:r w:rsidR="00FF2CD3" w:rsidRPr="00A27F09">
        <w:t xml:space="preserve"> expenditure</w:t>
      </w:r>
      <w:r w:rsidR="00AB0B90" w:rsidRPr="00A27F09">
        <w:t xml:space="preserve"> for the year </w:t>
      </w:r>
      <w:r w:rsidR="00FD40B0" w:rsidRPr="00A27F09">
        <w:t xml:space="preserve">to month </w:t>
      </w:r>
      <w:r w:rsidR="00D5381C" w:rsidRPr="00A27F09">
        <w:t>10</w:t>
      </w:r>
      <w:r w:rsidR="00FD40B0" w:rsidRPr="00A27F09">
        <w:t xml:space="preserve"> </w:t>
      </w:r>
      <w:r w:rsidR="00196044" w:rsidRPr="00A27F09">
        <w:t xml:space="preserve">is </w:t>
      </w:r>
      <w:r w:rsidR="00AB0B90" w:rsidRPr="00A27F09">
        <w:t>£</w:t>
      </w:r>
      <w:r w:rsidR="00E44370" w:rsidRPr="00A27F09">
        <w:t>4.</w:t>
      </w:r>
      <w:r w:rsidR="00E83B21" w:rsidRPr="00A27F09">
        <w:t>2</w:t>
      </w:r>
      <w:r w:rsidR="00196044" w:rsidRPr="00A27F09">
        <w:t>m</w:t>
      </w:r>
      <w:r w:rsidR="00B81CB4" w:rsidRPr="00A27F09">
        <w:t xml:space="preserve"> with orders outstanding of £</w:t>
      </w:r>
      <w:r w:rsidR="002C0B72" w:rsidRPr="00A27F09">
        <w:t>1.</w:t>
      </w:r>
      <w:r w:rsidR="00E83B21" w:rsidRPr="00A27F09">
        <w:t>7</w:t>
      </w:r>
      <w:r w:rsidR="00B81CB4" w:rsidRPr="00A27F09">
        <w:t>m</w:t>
      </w:r>
      <w:r w:rsidR="00196044" w:rsidRPr="00A27F09">
        <w:t xml:space="preserve">, </w:t>
      </w:r>
      <w:r w:rsidR="00196044" w:rsidRPr="00E83B21">
        <w:t>accounting for the £</w:t>
      </w:r>
      <w:r w:rsidR="00343882" w:rsidRPr="00E83B21">
        <w:t>5.</w:t>
      </w:r>
      <w:r w:rsidR="00E83B21" w:rsidRPr="00E83B21">
        <w:t>9</w:t>
      </w:r>
      <w:r w:rsidR="00196044" w:rsidRPr="00E83B21">
        <w:t xml:space="preserve">m of </w:t>
      </w:r>
      <w:r w:rsidR="00FC105F" w:rsidRPr="00E83B21">
        <w:t>s</w:t>
      </w:r>
      <w:r w:rsidR="00196044" w:rsidRPr="00E83B21">
        <w:t>pend to date</w:t>
      </w:r>
      <w:r w:rsidR="00B81CB4" w:rsidRPr="00E83B21">
        <w:t>.</w:t>
      </w:r>
      <w:r w:rsidR="00EB7A26" w:rsidRPr="00E83B21">
        <w:t xml:space="preserve"> </w:t>
      </w:r>
      <w:r w:rsidR="00146A8E" w:rsidRPr="00E83B21">
        <w:t xml:space="preserve">There is expenditure incurred that has not been charged to Surrey which is suppressing the actual expenditure to date. </w:t>
      </w:r>
      <w:r w:rsidR="00343882" w:rsidRPr="00E83B21">
        <w:t>R</w:t>
      </w:r>
      <w:r w:rsidR="00196044" w:rsidRPr="00E83B21">
        <w:t>e</w:t>
      </w:r>
      <w:r w:rsidR="00EB7A26" w:rsidRPr="00E83B21">
        <w:t xml:space="preserve">-profiling of </w:t>
      </w:r>
      <w:r w:rsidR="002C71B1" w:rsidRPr="00E83B21">
        <w:t xml:space="preserve">some </w:t>
      </w:r>
      <w:r w:rsidR="00EB7A26" w:rsidRPr="00E83B21">
        <w:t xml:space="preserve">schemes </w:t>
      </w:r>
      <w:r w:rsidR="00146A8E" w:rsidRPr="00E83B21">
        <w:t xml:space="preserve">by the project owners </w:t>
      </w:r>
      <w:r w:rsidR="00406697" w:rsidRPr="00E83B21">
        <w:t xml:space="preserve">into </w:t>
      </w:r>
      <w:r w:rsidR="009D1596" w:rsidRPr="00E83B21">
        <w:t xml:space="preserve">the </w:t>
      </w:r>
      <w:r w:rsidR="00406697" w:rsidRPr="00E83B21">
        <w:t>201</w:t>
      </w:r>
      <w:r w:rsidR="00196044" w:rsidRPr="00E83B21">
        <w:t>6</w:t>
      </w:r>
      <w:r w:rsidR="00406697" w:rsidRPr="00E83B21">
        <w:t>/1</w:t>
      </w:r>
      <w:r w:rsidR="00196044" w:rsidRPr="00E83B21">
        <w:t>7</w:t>
      </w:r>
      <w:r w:rsidR="00406697" w:rsidRPr="00E83B21">
        <w:t xml:space="preserve"> </w:t>
      </w:r>
      <w:r w:rsidR="009D1596" w:rsidRPr="00E83B21">
        <w:t xml:space="preserve">financial year </w:t>
      </w:r>
      <w:r w:rsidR="00406697" w:rsidRPr="00E83B21">
        <w:t>has been identified</w:t>
      </w:r>
      <w:r w:rsidR="002C71B1" w:rsidRPr="00E83B21">
        <w:t xml:space="preserve"> </w:t>
      </w:r>
      <w:r w:rsidR="00FD40B0" w:rsidRPr="00E83B21">
        <w:t>and amount</w:t>
      </w:r>
      <w:r w:rsidR="00263EA1" w:rsidRPr="00E83B21">
        <w:t>s</w:t>
      </w:r>
      <w:r w:rsidR="00FD40B0" w:rsidRPr="00E83B21">
        <w:t xml:space="preserve"> </w:t>
      </w:r>
      <w:r w:rsidR="002C71B1" w:rsidRPr="00E83B21">
        <w:t>to £</w:t>
      </w:r>
      <w:r w:rsidR="00E83B21" w:rsidRPr="00E83B21">
        <w:t>3.2</w:t>
      </w:r>
      <w:r w:rsidR="002C71B1" w:rsidRPr="00E83B21">
        <w:t>m</w:t>
      </w:r>
      <w:r w:rsidR="00146A8E" w:rsidRPr="00E83B21">
        <w:t>, this is anticipated to be revised following the next Financial Board.</w:t>
      </w:r>
      <w:r w:rsidR="002C71B1" w:rsidRPr="00E83B21">
        <w:t xml:space="preserve"> Measures are in place to identify</w:t>
      </w:r>
      <w:r w:rsidR="00343882" w:rsidRPr="00E83B21">
        <w:t xml:space="preserve"> </w:t>
      </w:r>
      <w:r w:rsidR="002C71B1" w:rsidRPr="00E83B21">
        <w:t>any spending that is unlikely to take place in order that it may be re-allocated elsewhere</w:t>
      </w:r>
      <w:r w:rsidR="00343882" w:rsidRPr="00E83B21">
        <w:t>,</w:t>
      </w:r>
      <w:r w:rsidR="00400377" w:rsidRPr="00E83B21">
        <w:t xml:space="preserve"> should that be necessary</w:t>
      </w:r>
      <w:r w:rsidR="002C71B1" w:rsidRPr="00E83B21">
        <w:t>.</w:t>
      </w:r>
    </w:p>
    <w:p w:rsidR="00AB0B90" w:rsidRPr="00D5381C" w:rsidRDefault="00AB0B90" w:rsidP="009E3BB2">
      <w:pPr>
        <w:pStyle w:val="ListParagraph"/>
        <w:numPr>
          <w:ilvl w:val="0"/>
          <w:numId w:val="9"/>
        </w:numPr>
        <w:ind w:right="146"/>
        <w:contextualSpacing w:val="0"/>
        <w:jc w:val="both"/>
        <w:rPr>
          <w:rFonts w:ascii="Verdana" w:hAnsi="Verdana"/>
          <w:b/>
          <w:bCs/>
          <w:sz w:val="20"/>
          <w:szCs w:val="20"/>
        </w:rPr>
      </w:pPr>
      <w:r w:rsidRPr="00D5381C">
        <w:rPr>
          <w:rFonts w:ascii="Verdana" w:hAnsi="Verdana"/>
          <w:b/>
          <w:bCs/>
          <w:sz w:val="20"/>
          <w:szCs w:val="20"/>
        </w:rPr>
        <w:t xml:space="preserve">Revenue Budget </w:t>
      </w:r>
      <w:r w:rsidR="00B81CB4" w:rsidRPr="00D5381C">
        <w:rPr>
          <w:rFonts w:ascii="Verdana" w:hAnsi="Verdana"/>
          <w:b/>
          <w:bCs/>
          <w:sz w:val="20"/>
          <w:szCs w:val="20"/>
        </w:rPr>
        <w:t>Position</w:t>
      </w:r>
    </w:p>
    <w:p w:rsidR="00391126" w:rsidRPr="00D5381C" w:rsidRDefault="00B96D77" w:rsidP="009E3BB2">
      <w:pPr>
        <w:pStyle w:val="ListParagraph"/>
        <w:numPr>
          <w:ilvl w:val="1"/>
          <w:numId w:val="9"/>
        </w:numPr>
        <w:jc w:val="both"/>
      </w:pPr>
      <w:r w:rsidRPr="00D5381C">
        <w:t xml:space="preserve"> </w:t>
      </w:r>
      <w:r w:rsidR="00AB0B90" w:rsidRPr="00D5381C">
        <w:t xml:space="preserve">The </w:t>
      </w:r>
      <w:r w:rsidR="007C36B9" w:rsidRPr="00D5381C">
        <w:t xml:space="preserve">Force’s </w:t>
      </w:r>
      <w:r w:rsidR="00AB0B90" w:rsidRPr="00D5381C">
        <w:t>reven</w:t>
      </w:r>
      <w:r w:rsidR="001D2532" w:rsidRPr="00D5381C">
        <w:t xml:space="preserve">ue budget </w:t>
      </w:r>
      <w:r w:rsidR="00BA2D42" w:rsidRPr="00D5381C">
        <w:t xml:space="preserve">forecast </w:t>
      </w:r>
      <w:r w:rsidR="00B81CB4" w:rsidRPr="00D5381C">
        <w:t>for the ye</w:t>
      </w:r>
      <w:r w:rsidR="001D2532" w:rsidRPr="00D5381C">
        <w:t xml:space="preserve">ar </w:t>
      </w:r>
      <w:r w:rsidR="00B81CB4" w:rsidRPr="00D5381C">
        <w:t>is an under spend of £</w:t>
      </w:r>
      <w:r w:rsidR="00391126" w:rsidRPr="00D5381C">
        <w:t>0.</w:t>
      </w:r>
      <w:r w:rsidR="00D5381C" w:rsidRPr="00D5381C">
        <w:t>2</w:t>
      </w:r>
      <w:r w:rsidR="00B81CB4" w:rsidRPr="00D5381C">
        <w:t>m. Detailed at appendix A is a table that provides the Force</w:t>
      </w:r>
      <w:r w:rsidR="007C36B9" w:rsidRPr="00D5381C">
        <w:t xml:space="preserve"> </w:t>
      </w:r>
      <w:r w:rsidR="00B81CB4" w:rsidRPr="00D5381C">
        <w:t>budget by function and also by cost type</w:t>
      </w:r>
      <w:r w:rsidR="001D7B78" w:rsidRPr="00D5381C">
        <w:t>.</w:t>
      </w:r>
    </w:p>
    <w:p w:rsidR="001D7B78" w:rsidRPr="00D5381C" w:rsidRDefault="001D7B78" w:rsidP="001D7B78">
      <w:pPr>
        <w:pStyle w:val="ListParagraph"/>
        <w:ind w:left="1512"/>
        <w:jc w:val="both"/>
      </w:pPr>
    </w:p>
    <w:p w:rsidR="001D2532" w:rsidRPr="00D5381C" w:rsidRDefault="003D00D9" w:rsidP="009E3BB2">
      <w:pPr>
        <w:pStyle w:val="ListParagraph"/>
        <w:numPr>
          <w:ilvl w:val="1"/>
          <w:numId w:val="9"/>
        </w:numPr>
        <w:jc w:val="both"/>
      </w:pPr>
      <w:r w:rsidRPr="00D5381C">
        <w:t>Summary position.</w:t>
      </w:r>
    </w:p>
    <w:tbl>
      <w:tblPr>
        <w:tblStyle w:val="TableGrid"/>
        <w:tblW w:w="5773" w:type="dxa"/>
        <w:jc w:val="center"/>
        <w:tblLook w:val="04A0" w:firstRow="1" w:lastRow="0" w:firstColumn="1" w:lastColumn="0" w:noHBand="0" w:noVBand="1"/>
      </w:tblPr>
      <w:tblGrid>
        <w:gridCol w:w="997"/>
        <w:gridCol w:w="854"/>
        <w:gridCol w:w="1034"/>
        <w:gridCol w:w="1005"/>
        <w:gridCol w:w="854"/>
        <w:gridCol w:w="1029"/>
      </w:tblGrid>
      <w:tr w:rsidR="00D5381C" w:rsidRPr="00D5381C" w:rsidTr="00B96D77">
        <w:trPr>
          <w:trHeight w:val="315"/>
          <w:jc w:val="center"/>
        </w:trPr>
        <w:tc>
          <w:tcPr>
            <w:tcW w:w="2885" w:type="dxa"/>
            <w:gridSpan w:val="3"/>
            <w:noWrap/>
            <w:hideMark/>
          </w:tcPr>
          <w:p w:rsidR="00A30ED8" w:rsidRPr="00D5381C" w:rsidRDefault="00A30ED8" w:rsidP="009F4E74">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Annual Month</w:t>
            </w:r>
            <w:r w:rsidR="003E541D" w:rsidRPr="00D5381C">
              <w:rPr>
                <w:rFonts w:ascii="Calibri" w:hAnsi="Calibri" w:cs="Calibri"/>
                <w:sz w:val="22"/>
                <w:szCs w:val="22"/>
                <w:lang w:eastAsia="en-GB"/>
              </w:rPr>
              <w:t xml:space="preserve"> </w:t>
            </w:r>
            <w:r w:rsidR="009F4E74" w:rsidRPr="00D5381C">
              <w:rPr>
                <w:rFonts w:ascii="Calibri" w:hAnsi="Calibri" w:cs="Calibri"/>
                <w:sz w:val="22"/>
                <w:szCs w:val="22"/>
                <w:lang w:eastAsia="en-GB"/>
              </w:rPr>
              <w:t>9</w:t>
            </w:r>
          </w:p>
        </w:tc>
        <w:tc>
          <w:tcPr>
            <w:tcW w:w="2888" w:type="dxa"/>
            <w:gridSpan w:val="3"/>
            <w:noWrap/>
            <w:hideMark/>
          </w:tcPr>
          <w:p w:rsidR="00A30ED8" w:rsidRPr="00D5381C" w:rsidRDefault="00A30ED8" w:rsidP="009F4E74">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 xml:space="preserve">Annual Month </w:t>
            </w:r>
            <w:r w:rsidR="009F4E74" w:rsidRPr="00D5381C">
              <w:rPr>
                <w:rFonts w:ascii="Calibri" w:hAnsi="Calibri" w:cs="Calibri"/>
                <w:sz w:val="22"/>
                <w:szCs w:val="22"/>
                <w:lang w:eastAsia="en-GB"/>
              </w:rPr>
              <w:t>10</w:t>
            </w:r>
          </w:p>
        </w:tc>
      </w:tr>
      <w:tr w:rsidR="00D5381C" w:rsidRPr="00D5381C" w:rsidTr="00B96D77">
        <w:trPr>
          <w:trHeight w:val="315"/>
          <w:jc w:val="center"/>
        </w:trPr>
        <w:tc>
          <w:tcPr>
            <w:tcW w:w="997" w:type="dxa"/>
            <w:noWrap/>
            <w:hideMark/>
          </w:tcPr>
          <w:p w:rsidR="00A30ED8" w:rsidRPr="00D5381C" w:rsidRDefault="00A30ED8" w:rsidP="00A30ED8">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Forecast</w:t>
            </w:r>
          </w:p>
        </w:tc>
        <w:tc>
          <w:tcPr>
            <w:tcW w:w="854" w:type="dxa"/>
            <w:noWrap/>
            <w:hideMark/>
          </w:tcPr>
          <w:p w:rsidR="00A30ED8" w:rsidRPr="00D5381C" w:rsidRDefault="00A30ED8" w:rsidP="00A30ED8">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Budget</w:t>
            </w:r>
          </w:p>
        </w:tc>
        <w:tc>
          <w:tcPr>
            <w:tcW w:w="1034" w:type="dxa"/>
            <w:noWrap/>
            <w:hideMark/>
          </w:tcPr>
          <w:p w:rsidR="00A30ED8" w:rsidRPr="00D5381C" w:rsidRDefault="00A30ED8" w:rsidP="00A30ED8">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Variance</w:t>
            </w:r>
          </w:p>
        </w:tc>
        <w:tc>
          <w:tcPr>
            <w:tcW w:w="1005" w:type="dxa"/>
            <w:noWrap/>
            <w:hideMark/>
          </w:tcPr>
          <w:p w:rsidR="00A30ED8" w:rsidRPr="00D5381C" w:rsidRDefault="003E6D6F" w:rsidP="004F028A">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Forecast</w:t>
            </w:r>
          </w:p>
        </w:tc>
        <w:tc>
          <w:tcPr>
            <w:tcW w:w="854" w:type="dxa"/>
            <w:noWrap/>
            <w:hideMark/>
          </w:tcPr>
          <w:p w:rsidR="00A30ED8" w:rsidRPr="00D5381C" w:rsidRDefault="00A30ED8" w:rsidP="00A30ED8">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Budget</w:t>
            </w:r>
          </w:p>
        </w:tc>
        <w:tc>
          <w:tcPr>
            <w:tcW w:w="1029" w:type="dxa"/>
            <w:noWrap/>
            <w:hideMark/>
          </w:tcPr>
          <w:p w:rsidR="00A30ED8" w:rsidRPr="00D5381C" w:rsidRDefault="00A30ED8" w:rsidP="00A30ED8">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Variance</w:t>
            </w:r>
          </w:p>
        </w:tc>
      </w:tr>
      <w:tr w:rsidR="00D5381C" w:rsidRPr="00D5381C" w:rsidTr="00B96D77">
        <w:trPr>
          <w:trHeight w:val="315"/>
          <w:jc w:val="center"/>
        </w:trPr>
        <w:tc>
          <w:tcPr>
            <w:tcW w:w="997" w:type="dxa"/>
            <w:noWrap/>
            <w:hideMark/>
          </w:tcPr>
          <w:p w:rsidR="00A30ED8" w:rsidRPr="00D5381C" w:rsidRDefault="00A30ED8" w:rsidP="00A30ED8">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£m</w:t>
            </w:r>
          </w:p>
        </w:tc>
        <w:tc>
          <w:tcPr>
            <w:tcW w:w="854" w:type="dxa"/>
            <w:noWrap/>
            <w:hideMark/>
          </w:tcPr>
          <w:p w:rsidR="00A30ED8" w:rsidRPr="00D5381C" w:rsidRDefault="00A30ED8" w:rsidP="00A30ED8">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£m</w:t>
            </w:r>
          </w:p>
        </w:tc>
        <w:tc>
          <w:tcPr>
            <w:tcW w:w="1034" w:type="dxa"/>
            <w:noWrap/>
            <w:hideMark/>
          </w:tcPr>
          <w:p w:rsidR="00A30ED8" w:rsidRPr="00D5381C" w:rsidRDefault="00A30ED8" w:rsidP="00A30ED8">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£m</w:t>
            </w:r>
          </w:p>
        </w:tc>
        <w:tc>
          <w:tcPr>
            <w:tcW w:w="1005" w:type="dxa"/>
            <w:noWrap/>
            <w:hideMark/>
          </w:tcPr>
          <w:p w:rsidR="00A30ED8" w:rsidRPr="00D5381C" w:rsidRDefault="00A30ED8" w:rsidP="00A30ED8">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£m</w:t>
            </w:r>
          </w:p>
        </w:tc>
        <w:tc>
          <w:tcPr>
            <w:tcW w:w="854" w:type="dxa"/>
            <w:noWrap/>
            <w:hideMark/>
          </w:tcPr>
          <w:p w:rsidR="00A30ED8" w:rsidRPr="00D5381C" w:rsidRDefault="00A30ED8" w:rsidP="00A30ED8">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£m</w:t>
            </w:r>
          </w:p>
        </w:tc>
        <w:tc>
          <w:tcPr>
            <w:tcW w:w="1029" w:type="dxa"/>
            <w:noWrap/>
            <w:hideMark/>
          </w:tcPr>
          <w:p w:rsidR="00A30ED8" w:rsidRPr="00D5381C" w:rsidRDefault="00A30ED8" w:rsidP="00A30ED8">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£m</w:t>
            </w:r>
          </w:p>
        </w:tc>
      </w:tr>
      <w:tr w:rsidR="00D5381C" w:rsidRPr="00D5381C" w:rsidTr="00B96D77">
        <w:trPr>
          <w:trHeight w:val="315"/>
          <w:jc w:val="center"/>
        </w:trPr>
        <w:tc>
          <w:tcPr>
            <w:tcW w:w="997" w:type="dxa"/>
            <w:noWrap/>
            <w:hideMark/>
          </w:tcPr>
          <w:p w:rsidR="00B96D77" w:rsidRPr="00D5381C" w:rsidRDefault="008C629B" w:rsidP="009F4E74">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20</w:t>
            </w:r>
            <w:r w:rsidR="009F4E74" w:rsidRPr="00D5381C">
              <w:rPr>
                <w:rFonts w:ascii="Calibri" w:hAnsi="Calibri" w:cs="Calibri"/>
                <w:sz w:val="22"/>
                <w:szCs w:val="22"/>
                <w:lang w:eastAsia="en-GB"/>
              </w:rPr>
              <w:t>3.5</w:t>
            </w:r>
          </w:p>
        </w:tc>
        <w:tc>
          <w:tcPr>
            <w:tcW w:w="854" w:type="dxa"/>
            <w:noWrap/>
            <w:hideMark/>
          </w:tcPr>
          <w:p w:rsidR="00B96D77" w:rsidRPr="00D5381C" w:rsidRDefault="00B96D77" w:rsidP="00B557FC">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203.6</w:t>
            </w:r>
          </w:p>
        </w:tc>
        <w:tc>
          <w:tcPr>
            <w:tcW w:w="1034" w:type="dxa"/>
            <w:noWrap/>
            <w:hideMark/>
          </w:tcPr>
          <w:p w:rsidR="00B96D77" w:rsidRPr="00D5381C" w:rsidRDefault="00B96D77" w:rsidP="009F4E74">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w:t>
            </w:r>
            <w:r w:rsidR="009F4E74" w:rsidRPr="00D5381C">
              <w:rPr>
                <w:rFonts w:ascii="Calibri" w:hAnsi="Calibri" w:cs="Calibri"/>
                <w:sz w:val="22"/>
                <w:szCs w:val="22"/>
                <w:lang w:eastAsia="en-GB"/>
              </w:rPr>
              <w:t>0.1</w:t>
            </w:r>
            <w:r w:rsidRPr="00D5381C">
              <w:rPr>
                <w:rFonts w:ascii="Calibri" w:hAnsi="Calibri" w:cs="Calibri"/>
                <w:sz w:val="22"/>
                <w:szCs w:val="22"/>
                <w:lang w:eastAsia="en-GB"/>
              </w:rPr>
              <w:t>)</w:t>
            </w:r>
          </w:p>
        </w:tc>
        <w:tc>
          <w:tcPr>
            <w:tcW w:w="1005" w:type="dxa"/>
            <w:noWrap/>
            <w:hideMark/>
          </w:tcPr>
          <w:p w:rsidR="00B96D77" w:rsidRPr="00D5381C" w:rsidRDefault="00391126" w:rsidP="00064E2A">
            <w:pPr>
              <w:widowControl/>
              <w:spacing w:before="0" w:after="0"/>
              <w:rPr>
                <w:rFonts w:ascii="Calibri" w:hAnsi="Calibri" w:cs="Calibri"/>
                <w:sz w:val="22"/>
                <w:szCs w:val="22"/>
                <w:lang w:eastAsia="en-GB"/>
              </w:rPr>
            </w:pPr>
            <w:r w:rsidRPr="00D5381C">
              <w:rPr>
                <w:rFonts w:ascii="Calibri" w:hAnsi="Calibri" w:cs="Calibri"/>
                <w:sz w:val="22"/>
                <w:szCs w:val="22"/>
                <w:lang w:eastAsia="en-GB"/>
              </w:rPr>
              <w:t xml:space="preserve">  203.</w:t>
            </w:r>
            <w:r w:rsidR="00064E2A">
              <w:rPr>
                <w:rFonts w:ascii="Calibri" w:hAnsi="Calibri" w:cs="Calibri"/>
                <w:sz w:val="22"/>
                <w:szCs w:val="22"/>
                <w:lang w:eastAsia="en-GB"/>
              </w:rPr>
              <w:t>4</w:t>
            </w:r>
          </w:p>
        </w:tc>
        <w:tc>
          <w:tcPr>
            <w:tcW w:w="854" w:type="dxa"/>
            <w:noWrap/>
            <w:hideMark/>
          </w:tcPr>
          <w:p w:rsidR="00B96D77" w:rsidRPr="00D5381C" w:rsidRDefault="00B96D77" w:rsidP="002E5DFF">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203.6</w:t>
            </w:r>
          </w:p>
        </w:tc>
        <w:tc>
          <w:tcPr>
            <w:tcW w:w="1029" w:type="dxa"/>
            <w:noWrap/>
            <w:hideMark/>
          </w:tcPr>
          <w:p w:rsidR="00B96D77" w:rsidRPr="00D5381C" w:rsidRDefault="00B96D77" w:rsidP="00D5381C">
            <w:pPr>
              <w:widowControl/>
              <w:spacing w:before="0" w:after="0"/>
              <w:jc w:val="center"/>
              <w:rPr>
                <w:rFonts w:ascii="Calibri" w:hAnsi="Calibri" w:cs="Calibri"/>
                <w:sz w:val="22"/>
                <w:szCs w:val="22"/>
                <w:lang w:eastAsia="en-GB"/>
              </w:rPr>
            </w:pPr>
            <w:r w:rsidRPr="00D5381C">
              <w:rPr>
                <w:rFonts w:ascii="Calibri" w:hAnsi="Calibri" w:cs="Calibri"/>
                <w:sz w:val="22"/>
                <w:szCs w:val="22"/>
                <w:lang w:eastAsia="en-GB"/>
              </w:rPr>
              <w:t>(</w:t>
            </w:r>
            <w:r w:rsidR="00391126" w:rsidRPr="00D5381C">
              <w:rPr>
                <w:rFonts w:ascii="Calibri" w:hAnsi="Calibri" w:cs="Calibri"/>
                <w:sz w:val="22"/>
                <w:szCs w:val="22"/>
                <w:lang w:eastAsia="en-GB"/>
              </w:rPr>
              <w:t>0.</w:t>
            </w:r>
            <w:r w:rsidR="00D5381C" w:rsidRPr="00D5381C">
              <w:rPr>
                <w:rFonts w:ascii="Calibri" w:hAnsi="Calibri" w:cs="Calibri"/>
                <w:sz w:val="22"/>
                <w:szCs w:val="22"/>
                <w:lang w:eastAsia="en-GB"/>
              </w:rPr>
              <w:t>2</w:t>
            </w:r>
            <w:r w:rsidR="008C629B" w:rsidRPr="00D5381C">
              <w:rPr>
                <w:rFonts w:ascii="Calibri" w:hAnsi="Calibri" w:cs="Calibri"/>
                <w:sz w:val="22"/>
                <w:szCs w:val="22"/>
                <w:lang w:eastAsia="en-GB"/>
              </w:rPr>
              <w:t xml:space="preserve">  </w:t>
            </w:r>
            <w:r w:rsidRPr="00D5381C">
              <w:rPr>
                <w:rFonts w:ascii="Calibri" w:hAnsi="Calibri" w:cs="Calibri"/>
                <w:sz w:val="22"/>
                <w:szCs w:val="22"/>
                <w:lang w:eastAsia="en-GB"/>
              </w:rPr>
              <w:t>)</w:t>
            </w:r>
          </w:p>
        </w:tc>
      </w:tr>
    </w:tbl>
    <w:p w:rsidR="00E71D1C" w:rsidRPr="00FF162F" w:rsidRDefault="00E71D1C" w:rsidP="00E71D1C">
      <w:pPr>
        <w:pStyle w:val="ListParagraph"/>
        <w:ind w:left="1512"/>
        <w:jc w:val="both"/>
      </w:pPr>
    </w:p>
    <w:p w:rsidR="00EB7A26" w:rsidRPr="00FF162F" w:rsidRDefault="00EB7A26" w:rsidP="003D00D9">
      <w:pPr>
        <w:pStyle w:val="ListParagraph"/>
        <w:numPr>
          <w:ilvl w:val="1"/>
          <w:numId w:val="9"/>
        </w:numPr>
        <w:jc w:val="both"/>
        <w:rPr>
          <w:b/>
        </w:rPr>
      </w:pPr>
      <w:r w:rsidRPr="00FF162F">
        <w:rPr>
          <w:b/>
        </w:rPr>
        <w:t>Pay Budgets</w:t>
      </w:r>
    </w:p>
    <w:p w:rsidR="00D364F9" w:rsidRPr="00FF162F" w:rsidRDefault="003D00D9" w:rsidP="00251560">
      <w:pPr>
        <w:pStyle w:val="ListParagraph"/>
        <w:numPr>
          <w:ilvl w:val="2"/>
          <w:numId w:val="9"/>
        </w:numPr>
        <w:tabs>
          <w:tab w:val="clear" w:pos="2160"/>
        </w:tabs>
        <w:ind w:left="2127" w:hanging="709"/>
        <w:jc w:val="both"/>
      </w:pPr>
      <w:r w:rsidRPr="00FF162F">
        <w:t>Total pay is underspent</w:t>
      </w:r>
      <w:r w:rsidR="004F028A" w:rsidRPr="00FF162F">
        <w:t xml:space="preserve"> in the amount of £</w:t>
      </w:r>
      <w:r w:rsidR="00782E56" w:rsidRPr="00FF162F">
        <w:t>1.</w:t>
      </w:r>
      <w:r w:rsidR="00D5381C" w:rsidRPr="00FF162F">
        <w:t>6</w:t>
      </w:r>
      <w:r w:rsidR="00782E56" w:rsidRPr="00FF162F">
        <w:t>m</w:t>
      </w:r>
      <w:r w:rsidRPr="00FF162F">
        <w:t>;</w:t>
      </w:r>
    </w:p>
    <w:p w:rsidR="00DA655C" w:rsidRPr="00D5381C" w:rsidRDefault="003D00D9" w:rsidP="00251560">
      <w:pPr>
        <w:pStyle w:val="ListParagraph"/>
        <w:numPr>
          <w:ilvl w:val="2"/>
          <w:numId w:val="9"/>
        </w:numPr>
        <w:tabs>
          <w:tab w:val="clear" w:pos="2160"/>
        </w:tabs>
        <w:ind w:left="2127" w:hanging="709"/>
        <w:jc w:val="both"/>
        <w:rPr>
          <w:color w:val="548DD4" w:themeColor="text2" w:themeTint="99"/>
        </w:rPr>
      </w:pPr>
      <w:r w:rsidRPr="00FF162F">
        <w:t xml:space="preserve">Police </w:t>
      </w:r>
      <w:r w:rsidR="00DA655C" w:rsidRPr="00FF162F">
        <w:t xml:space="preserve">officer </w:t>
      </w:r>
      <w:r w:rsidRPr="00FF162F">
        <w:t xml:space="preserve">pay is </w:t>
      </w:r>
      <w:r w:rsidR="00004BFA" w:rsidRPr="00FF162F">
        <w:t xml:space="preserve">forecast to be </w:t>
      </w:r>
      <w:r w:rsidR="00E01944" w:rsidRPr="00FF162F">
        <w:t>under</w:t>
      </w:r>
      <w:r w:rsidR="004E1D12" w:rsidRPr="00FF162F">
        <w:t xml:space="preserve">spent </w:t>
      </w:r>
      <w:r w:rsidRPr="00FF162F">
        <w:t>at £</w:t>
      </w:r>
      <w:r w:rsidR="009132E5" w:rsidRPr="00FF162F">
        <w:t>3.</w:t>
      </w:r>
      <w:r w:rsidR="004103A2" w:rsidRPr="00FF162F">
        <w:t>0</w:t>
      </w:r>
      <w:r w:rsidRPr="00FF162F">
        <w:t xml:space="preserve">m </w:t>
      </w:r>
      <w:r w:rsidR="00DA655C" w:rsidRPr="00FF162F">
        <w:t>which reflects the establishment being maintaine</w:t>
      </w:r>
      <w:r w:rsidR="00DA655C" w:rsidRPr="00064E2A">
        <w:t xml:space="preserve">d at an average </w:t>
      </w:r>
      <w:r w:rsidR="00F5666F" w:rsidRPr="00064E2A">
        <w:t xml:space="preserve">above </w:t>
      </w:r>
      <w:r w:rsidR="00DA655C" w:rsidRPr="00064E2A">
        <w:t>the 1% vacancy rate</w:t>
      </w:r>
      <w:r w:rsidR="004F028A" w:rsidRPr="00064E2A">
        <w:t xml:space="preserve"> over the year</w:t>
      </w:r>
      <w:r w:rsidR="00DA655C" w:rsidRPr="00064E2A">
        <w:t>.</w:t>
      </w:r>
      <w:r w:rsidR="008808BE" w:rsidRPr="00064E2A">
        <w:t xml:space="preserve"> </w:t>
      </w:r>
      <w:r w:rsidR="00266178" w:rsidRPr="00064E2A">
        <w:t xml:space="preserve">The </w:t>
      </w:r>
      <w:r w:rsidR="00C312E2" w:rsidRPr="00064E2A">
        <w:t xml:space="preserve">current forecast indicates </w:t>
      </w:r>
      <w:r w:rsidR="00266178" w:rsidRPr="00064E2A">
        <w:t xml:space="preserve">that </w:t>
      </w:r>
      <w:r w:rsidR="008C1A6C" w:rsidRPr="00064E2A">
        <w:t xml:space="preserve">the police officer numbers will </w:t>
      </w:r>
      <w:r w:rsidR="00004BFA" w:rsidRPr="00064E2A">
        <w:t xml:space="preserve">soon </w:t>
      </w:r>
      <w:r w:rsidR="008C1A6C" w:rsidRPr="00064E2A">
        <w:t xml:space="preserve">reach budget levels and the forecast is </w:t>
      </w:r>
      <w:r w:rsidR="00004BFA" w:rsidRPr="00064E2A">
        <w:t xml:space="preserve">then </w:t>
      </w:r>
      <w:r w:rsidR="008C1A6C" w:rsidRPr="00064E2A">
        <w:t xml:space="preserve">expected to remain at </w:t>
      </w:r>
      <w:proofErr w:type="gramStart"/>
      <w:r w:rsidR="00E040DC" w:rsidRPr="00064E2A">
        <w:t xml:space="preserve">this </w:t>
      </w:r>
      <w:r w:rsidR="008C1A6C" w:rsidRPr="00064E2A">
        <w:t xml:space="preserve"> level</w:t>
      </w:r>
      <w:proofErr w:type="gramEnd"/>
      <w:r w:rsidR="007B01BC" w:rsidRPr="00064E2A">
        <w:t xml:space="preserve"> for the rema</w:t>
      </w:r>
      <w:r w:rsidR="00E042D6" w:rsidRPr="00064E2A">
        <w:t>inder</w:t>
      </w:r>
      <w:r w:rsidR="007B01BC" w:rsidRPr="00064E2A">
        <w:t xml:space="preserve"> of the financial year</w:t>
      </w:r>
      <w:r w:rsidR="008C1A6C" w:rsidRPr="00064E2A">
        <w:t>.</w:t>
      </w:r>
    </w:p>
    <w:p w:rsidR="00D364F9" w:rsidRPr="00D5381C" w:rsidRDefault="00DA655C" w:rsidP="00251560">
      <w:pPr>
        <w:pStyle w:val="ListParagraph"/>
        <w:numPr>
          <w:ilvl w:val="2"/>
          <w:numId w:val="9"/>
        </w:numPr>
        <w:tabs>
          <w:tab w:val="clear" w:pos="2160"/>
        </w:tabs>
        <w:ind w:left="2127" w:hanging="709"/>
        <w:jc w:val="both"/>
        <w:rPr>
          <w:color w:val="548DD4" w:themeColor="text2" w:themeTint="99"/>
        </w:rPr>
      </w:pPr>
      <w:r w:rsidRPr="00FF162F">
        <w:t>Police staff pay is</w:t>
      </w:r>
      <w:r w:rsidRPr="00064E2A">
        <w:t xml:space="preserve"> </w:t>
      </w:r>
      <w:r w:rsidR="00226826" w:rsidRPr="00064E2A">
        <w:t>forecast to underspend £</w:t>
      </w:r>
      <w:r w:rsidR="00FF162F" w:rsidRPr="00064E2A">
        <w:t>3.0</w:t>
      </w:r>
      <w:r w:rsidR="00E01944" w:rsidRPr="00064E2A">
        <w:t xml:space="preserve">m </w:t>
      </w:r>
      <w:r w:rsidRPr="00064E2A">
        <w:t xml:space="preserve">with </w:t>
      </w:r>
      <w:r w:rsidR="003865AD" w:rsidRPr="00064E2A">
        <w:t xml:space="preserve">the current </w:t>
      </w:r>
      <w:r w:rsidRPr="00064E2A">
        <w:t xml:space="preserve">vacancy rate </w:t>
      </w:r>
      <w:r w:rsidR="00064E2A" w:rsidRPr="00064E2A">
        <w:t xml:space="preserve">well above the </w:t>
      </w:r>
      <w:r w:rsidRPr="00064E2A">
        <w:t>target 5%.</w:t>
      </w:r>
      <w:r w:rsidR="005C2FAA" w:rsidRPr="00064E2A">
        <w:t xml:space="preserve"> </w:t>
      </w:r>
      <w:r w:rsidR="00640037" w:rsidRPr="00064E2A">
        <w:t xml:space="preserve">There are a </w:t>
      </w:r>
      <w:r w:rsidR="008C1A6C" w:rsidRPr="00064E2A">
        <w:t xml:space="preserve">limited number of posts </w:t>
      </w:r>
      <w:r w:rsidR="00640037" w:rsidRPr="00064E2A">
        <w:t xml:space="preserve">that </w:t>
      </w:r>
      <w:r w:rsidRPr="00064E2A">
        <w:t>are being held</w:t>
      </w:r>
      <w:r w:rsidR="008F457A" w:rsidRPr="00064E2A">
        <w:t xml:space="preserve"> which,</w:t>
      </w:r>
      <w:r w:rsidRPr="00064E2A">
        <w:t xml:space="preserve"> </w:t>
      </w:r>
      <w:r w:rsidR="005055B5" w:rsidRPr="00064E2A">
        <w:t>combined with a gateway process</w:t>
      </w:r>
      <w:r w:rsidR="008C1A6C" w:rsidRPr="00064E2A">
        <w:t xml:space="preserve"> that </w:t>
      </w:r>
      <w:r w:rsidR="005055B5" w:rsidRPr="00064E2A">
        <w:t>give</w:t>
      </w:r>
      <w:r w:rsidR="008F457A" w:rsidRPr="00064E2A">
        <w:t>s</w:t>
      </w:r>
      <w:r w:rsidR="005055B5" w:rsidRPr="00064E2A">
        <w:t xml:space="preserve"> oversight to recruitment decisions</w:t>
      </w:r>
      <w:r w:rsidR="00E21965" w:rsidRPr="00064E2A">
        <w:t xml:space="preserve"> and </w:t>
      </w:r>
      <w:r w:rsidR="00984093" w:rsidRPr="00064E2A">
        <w:t xml:space="preserve">staff </w:t>
      </w:r>
      <w:r w:rsidR="00E21965" w:rsidRPr="00064E2A">
        <w:t>turnover</w:t>
      </w:r>
      <w:r w:rsidR="00640037" w:rsidRPr="00064E2A">
        <w:t>,</w:t>
      </w:r>
      <w:r w:rsidR="00E21965" w:rsidRPr="00064E2A">
        <w:t xml:space="preserve"> is generating the variance</w:t>
      </w:r>
      <w:r w:rsidR="005C2FAA" w:rsidRPr="00064E2A">
        <w:t xml:space="preserve">. </w:t>
      </w:r>
      <w:r w:rsidR="00A0365B" w:rsidRPr="00064E2A">
        <w:t>However</w:t>
      </w:r>
      <w:r w:rsidR="008055A3" w:rsidRPr="00064E2A">
        <w:t>,</w:t>
      </w:r>
      <w:r w:rsidR="00A0365B" w:rsidRPr="00064E2A">
        <w:t xml:space="preserve"> </w:t>
      </w:r>
      <w:r w:rsidR="00E21965" w:rsidRPr="00064E2A">
        <w:t>of the posts on hold</w:t>
      </w:r>
      <w:r w:rsidR="008055A3" w:rsidRPr="00064E2A">
        <w:t>,</w:t>
      </w:r>
      <w:r w:rsidR="00E21965" w:rsidRPr="00064E2A">
        <w:t xml:space="preserve"> </w:t>
      </w:r>
      <w:r w:rsidR="00A0365B" w:rsidRPr="00064E2A">
        <w:t xml:space="preserve">this </w:t>
      </w:r>
      <w:r w:rsidR="008055A3" w:rsidRPr="00064E2A">
        <w:t xml:space="preserve">process has </w:t>
      </w:r>
      <w:r w:rsidR="00A0365B" w:rsidRPr="00064E2A">
        <w:t>been partiall</w:t>
      </w:r>
      <w:r w:rsidR="00A0365B" w:rsidRPr="00FF162F">
        <w:t xml:space="preserve">y lifted for </w:t>
      </w:r>
      <w:r w:rsidR="008055A3" w:rsidRPr="00FF162F">
        <w:t xml:space="preserve">some </w:t>
      </w:r>
      <w:r w:rsidR="00A0365B" w:rsidRPr="00FF162F">
        <w:t xml:space="preserve">police staff roles such as Investigating Officers, PCSO’s and DDO’s. </w:t>
      </w:r>
    </w:p>
    <w:p w:rsidR="00D364F9" w:rsidRPr="007572E6" w:rsidRDefault="00DA655C" w:rsidP="00251560">
      <w:pPr>
        <w:pStyle w:val="ListParagraph"/>
        <w:numPr>
          <w:ilvl w:val="2"/>
          <w:numId w:val="9"/>
        </w:numPr>
        <w:tabs>
          <w:tab w:val="clear" w:pos="2160"/>
        </w:tabs>
        <w:ind w:left="2127" w:hanging="709"/>
        <w:jc w:val="both"/>
      </w:pPr>
      <w:r w:rsidRPr="007572E6">
        <w:t>Police officer overtime is overspen</w:t>
      </w:r>
      <w:r w:rsidR="009174A5" w:rsidRPr="007572E6">
        <w:t>t</w:t>
      </w:r>
      <w:r w:rsidRPr="007572E6">
        <w:t xml:space="preserve"> by £</w:t>
      </w:r>
      <w:r w:rsidR="00242817" w:rsidRPr="007572E6">
        <w:t>1.</w:t>
      </w:r>
      <w:r w:rsidR="006E0F5C" w:rsidRPr="007572E6">
        <w:t>4</w:t>
      </w:r>
      <w:r w:rsidR="00242817" w:rsidRPr="007572E6">
        <w:t xml:space="preserve">m </w:t>
      </w:r>
      <w:r w:rsidR="006B3D47" w:rsidRPr="007572E6">
        <w:t xml:space="preserve">which is predominantly </w:t>
      </w:r>
      <w:r w:rsidR="006E1111" w:rsidRPr="007572E6">
        <w:t xml:space="preserve">in </w:t>
      </w:r>
      <w:r w:rsidR="009951E9" w:rsidRPr="007572E6">
        <w:t>West Division</w:t>
      </w:r>
      <w:r w:rsidR="00226826" w:rsidRPr="007572E6">
        <w:t xml:space="preserve"> (£0.</w:t>
      </w:r>
      <w:r w:rsidR="00EC2FF7" w:rsidRPr="007572E6">
        <w:t>5</w:t>
      </w:r>
      <w:r w:rsidR="00226826" w:rsidRPr="007572E6">
        <w:t>m)</w:t>
      </w:r>
      <w:r w:rsidR="00E50663" w:rsidRPr="007572E6">
        <w:t xml:space="preserve">, </w:t>
      </w:r>
      <w:r w:rsidR="00001FE6" w:rsidRPr="007572E6">
        <w:t>non-collaborated</w:t>
      </w:r>
      <w:r w:rsidR="00A0365B" w:rsidRPr="007572E6">
        <w:t xml:space="preserve"> Operations (£0.</w:t>
      </w:r>
      <w:r w:rsidR="00EC2FF7" w:rsidRPr="007572E6">
        <w:t>4</w:t>
      </w:r>
      <w:r w:rsidR="00A0365B" w:rsidRPr="007572E6">
        <w:t>m)</w:t>
      </w:r>
      <w:r w:rsidR="00E50663" w:rsidRPr="007572E6">
        <w:t xml:space="preserve"> and Specialist Crime of </w:t>
      </w:r>
      <w:r w:rsidR="008C1A6C" w:rsidRPr="007572E6">
        <w:t>(</w:t>
      </w:r>
      <w:r w:rsidR="00E50663" w:rsidRPr="007572E6">
        <w:t>£0.</w:t>
      </w:r>
      <w:r w:rsidR="00EC2FF7" w:rsidRPr="007572E6">
        <w:t>4</w:t>
      </w:r>
      <w:r w:rsidR="00E50663" w:rsidRPr="007572E6">
        <w:t>m</w:t>
      </w:r>
      <w:r w:rsidR="008C1A6C" w:rsidRPr="007572E6">
        <w:t xml:space="preserve">) </w:t>
      </w:r>
      <w:r w:rsidR="00E50663" w:rsidRPr="007572E6">
        <w:t>respectively</w:t>
      </w:r>
      <w:r w:rsidR="009951E9" w:rsidRPr="007572E6">
        <w:t>.</w:t>
      </w:r>
      <w:r w:rsidR="00242817" w:rsidRPr="007572E6">
        <w:t xml:space="preserve"> This is </w:t>
      </w:r>
      <w:r w:rsidR="00C16432" w:rsidRPr="007572E6">
        <w:t>s</w:t>
      </w:r>
      <w:r w:rsidR="00242817" w:rsidRPr="007572E6">
        <w:t xml:space="preserve">et off against underspends in Officer </w:t>
      </w:r>
      <w:proofErr w:type="gramStart"/>
      <w:r w:rsidR="00242817" w:rsidRPr="007572E6">
        <w:t>salaries</w:t>
      </w:r>
      <w:proofErr w:type="gramEnd"/>
      <w:r w:rsidR="006E0F5C" w:rsidRPr="007572E6">
        <w:t>.</w:t>
      </w:r>
    </w:p>
    <w:p w:rsidR="00D364F9" w:rsidRPr="007572E6" w:rsidRDefault="006B3D47" w:rsidP="00251560">
      <w:pPr>
        <w:pStyle w:val="ListParagraph"/>
        <w:numPr>
          <w:ilvl w:val="2"/>
          <w:numId w:val="9"/>
        </w:numPr>
        <w:tabs>
          <w:tab w:val="clear" w:pos="2160"/>
        </w:tabs>
        <w:ind w:left="2127" w:hanging="709"/>
        <w:jc w:val="both"/>
      </w:pPr>
      <w:r w:rsidRPr="007572E6">
        <w:t>Police staff overtime is £0.</w:t>
      </w:r>
      <w:r w:rsidR="006B4B38" w:rsidRPr="007572E6">
        <w:t>1</w:t>
      </w:r>
      <w:r w:rsidRPr="007572E6">
        <w:t xml:space="preserve">m </w:t>
      </w:r>
      <w:r w:rsidR="006B4B38" w:rsidRPr="007572E6">
        <w:t>overspent</w:t>
      </w:r>
      <w:r w:rsidR="00226826" w:rsidRPr="007572E6">
        <w:t xml:space="preserve"> </w:t>
      </w:r>
      <w:r w:rsidR="00C03E15" w:rsidRPr="007572E6">
        <w:t xml:space="preserve">with </w:t>
      </w:r>
      <w:r w:rsidRPr="007572E6">
        <w:t>the largest variance</w:t>
      </w:r>
      <w:r w:rsidR="007572E6">
        <w:t>s</w:t>
      </w:r>
      <w:r w:rsidR="00246C38" w:rsidRPr="007572E6">
        <w:t xml:space="preserve"> being </w:t>
      </w:r>
      <w:r w:rsidR="006B4B38" w:rsidRPr="007572E6">
        <w:t xml:space="preserve">in non-collaborated Specialist Crime </w:t>
      </w:r>
      <w:r w:rsidR="00065FB9" w:rsidRPr="007572E6">
        <w:t>(£0.</w:t>
      </w:r>
      <w:r w:rsidR="00EC2FF7" w:rsidRPr="007572E6">
        <w:t>1</w:t>
      </w:r>
      <w:r w:rsidR="00065FB9" w:rsidRPr="007572E6">
        <w:t xml:space="preserve">m) </w:t>
      </w:r>
      <w:r w:rsidR="006B4B38" w:rsidRPr="007572E6">
        <w:t>which is</w:t>
      </w:r>
      <w:r w:rsidR="00E50663" w:rsidRPr="007572E6">
        <w:t xml:space="preserve"> </w:t>
      </w:r>
      <w:r w:rsidRPr="007572E6">
        <w:t xml:space="preserve">a consequence of the number of vacancies in </w:t>
      </w:r>
      <w:r w:rsidR="00EC2FF7" w:rsidRPr="007572E6">
        <w:t>the Command</w:t>
      </w:r>
      <w:r w:rsidR="007572E6" w:rsidRPr="007572E6">
        <w:t xml:space="preserve"> and in C&amp;D (£0.1m) underspend</w:t>
      </w:r>
      <w:r w:rsidR="00C03E15" w:rsidRPr="007572E6">
        <w:t>.</w:t>
      </w:r>
      <w:r w:rsidR="005055B5" w:rsidRPr="007572E6">
        <w:t xml:space="preserve"> </w:t>
      </w:r>
    </w:p>
    <w:p w:rsidR="007E7211" w:rsidRPr="007572E6" w:rsidRDefault="006B3D47" w:rsidP="00251560">
      <w:pPr>
        <w:pStyle w:val="ListParagraph"/>
        <w:numPr>
          <w:ilvl w:val="2"/>
          <w:numId w:val="9"/>
        </w:numPr>
        <w:tabs>
          <w:tab w:val="clear" w:pos="2160"/>
        </w:tabs>
        <w:ind w:left="2127" w:hanging="709"/>
        <w:jc w:val="both"/>
      </w:pPr>
      <w:r w:rsidRPr="007572E6">
        <w:t xml:space="preserve">The agency </w:t>
      </w:r>
      <w:r w:rsidR="00E040DC" w:rsidRPr="007572E6">
        <w:t>costs have exceeded the budget by £1.</w:t>
      </w:r>
      <w:r w:rsidR="00B419EE" w:rsidRPr="007572E6">
        <w:t>4</w:t>
      </w:r>
      <w:r w:rsidR="00E040DC" w:rsidRPr="007572E6">
        <w:t>m and consist</w:t>
      </w:r>
      <w:r w:rsidR="007E7211" w:rsidRPr="007572E6">
        <w:t xml:space="preserve"> </w:t>
      </w:r>
      <w:r w:rsidR="00FF390E" w:rsidRPr="007572E6">
        <w:t xml:space="preserve">predominantly </w:t>
      </w:r>
      <w:r w:rsidR="007E7211" w:rsidRPr="007572E6">
        <w:t xml:space="preserve">of </w:t>
      </w:r>
      <w:r w:rsidR="00FF390E" w:rsidRPr="007572E6">
        <w:t>ICT contractors (£0.</w:t>
      </w:r>
      <w:r w:rsidR="00B42268" w:rsidRPr="007572E6">
        <w:t>5</w:t>
      </w:r>
      <w:r w:rsidR="00FF390E" w:rsidRPr="007572E6">
        <w:t>m) and Operation Sherborne (£0.</w:t>
      </w:r>
      <w:r w:rsidR="00F7357A" w:rsidRPr="007572E6">
        <w:t>6</w:t>
      </w:r>
      <w:r w:rsidR="00FF390E" w:rsidRPr="007572E6">
        <w:t xml:space="preserve">m) </w:t>
      </w:r>
      <w:r w:rsidR="00A71386" w:rsidRPr="007572E6">
        <w:t xml:space="preserve">which is in response to </w:t>
      </w:r>
      <w:r w:rsidR="00A71386" w:rsidRPr="007572E6">
        <w:lastRenderedPageBreak/>
        <w:t xml:space="preserve">the Force’s </w:t>
      </w:r>
      <w:r w:rsidR="00FF390E" w:rsidRPr="007572E6">
        <w:t>public protection</w:t>
      </w:r>
      <w:r w:rsidR="00A71386" w:rsidRPr="007572E6">
        <w:t xml:space="preserve"> improvements and </w:t>
      </w:r>
      <w:r w:rsidR="00EC2FF7" w:rsidRPr="007572E6">
        <w:t xml:space="preserve">the </w:t>
      </w:r>
      <w:r w:rsidR="00A71386" w:rsidRPr="007572E6">
        <w:t xml:space="preserve">raising </w:t>
      </w:r>
      <w:r w:rsidR="00EC2FF7" w:rsidRPr="007572E6">
        <w:t xml:space="preserve">of </w:t>
      </w:r>
      <w:r w:rsidR="00A71386" w:rsidRPr="007572E6">
        <w:t>investigation standards</w:t>
      </w:r>
      <w:r w:rsidR="00FF390E" w:rsidRPr="007572E6">
        <w:t xml:space="preserve">. The spending on this initiative is likely to continue </w:t>
      </w:r>
      <w:r w:rsidR="00A71386" w:rsidRPr="007572E6">
        <w:t>through</w:t>
      </w:r>
      <w:r w:rsidR="00F7357A" w:rsidRPr="007572E6">
        <w:t xml:space="preserve"> the remainder of </w:t>
      </w:r>
      <w:r w:rsidR="00FF390E" w:rsidRPr="007572E6">
        <w:t>the year.</w:t>
      </w:r>
    </w:p>
    <w:p w:rsidR="00F7357A" w:rsidRPr="00151E24" w:rsidRDefault="009174A5" w:rsidP="00251560">
      <w:pPr>
        <w:pStyle w:val="ListParagraph"/>
        <w:numPr>
          <w:ilvl w:val="2"/>
          <w:numId w:val="9"/>
        </w:numPr>
        <w:tabs>
          <w:tab w:val="clear" w:pos="2160"/>
        </w:tabs>
        <w:ind w:left="2127" w:hanging="709"/>
        <w:jc w:val="both"/>
      </w:pPr>
      <w:r w:rsidRPr="00151E24">
        <w:t xml:space="preserve">The </w:t>
      </w:r>
      <w:r w:rsidR="00C05D9E" w:rsidRPr="00151E24">
        <w:t xml:space="preserve">Other </w:t>
      </w:r>
      <w:r w:rsidR="001A4481" w:rsidRPr="00151E24">
        <w:t>P</w:t>
      </w:r>
      <w:r w:rsidR="00C05D9E" w:rsidRPr="00151E24">
        <w:t xml:space="preserve">ayroll overspend </w:t>
      </w:r>
      <w:r w:rsidR="00AF0F72" w:rsidRPr="00151E24">
        <w:t>of £</w:t>
      </w:r>
      <w:r w:rsidR="00B72057" w:rsidRPr="00151E24">
        <w:t>1.</w:t>
      </w:r>
      <w:r w:rsidR="00F1768C" w:rsidRPr="00151E24">
        <w:t>6</w:t>
      </w:r>
      <w:r w:rsidR="00FA1C70" w:rsidRPr="00151E24">
        <w:t>m</w:t>
      </w:r>
      <w:r w:rsidR="00AF0F72" w:rsidRPr="00151E24">
        <w:t xml:space="preserve"> </w:t>
      </w:r>
      <w:r w:rsidR="003F3C12" w:rsidRPr="00151E24">
        <w:t xml:space="preserve">arises mainly from </w:t>
      </w:r>
      <w:r w:rsidR="006C658C" w:rsidRPr="00151E24">
        <w:t xml:space="preserve">recruitment </w:t>
      </w:r>
      <w:r w:rsidR="00001FE6" w:rsidRPr="00151E24">
        <w:t>finder’s</w:t>
      </w:r>
      <w:r w:rsidR="001A4481" w:rsidRPr="00151E24">
        <w:t xml:space="preserve"> fee costs paid by </w:t>
      </w:r>
      <w:r w:rsidR="006625FC" w:rsidRPr="00151E24">
        <w:t xml:space="preserve">the </w:t>
      </w:r>
      <w:r w:rsidR="001A4481" w:rsidRPr="00151E24">
        <w:t>ICT</w:t>
      </w:r>
      <w:r w:rsidR="006625FC" w:rsidRPr="00151E24">
        <w:t xml:space="preserve"> department</w:t>
      </w:r>
      <w:r w:rsidR="006B19BA" w:rsidRPr="00151E24">
        <w:t xml:space="preserve"> (£0.1m) and the for</w:t>
      </w:r>
      <w:r w:rsidR="00A71386" w:rsidRPr="00151E24">
        <w:t>e</w:t>
      </w:r>
      <w:r w:rsidR="006B19BA" w:rsidRPr="00151E24">
        <w:t xml:space="preserve">cast </w:t>
      </w:r>
      <w:r w:rsidR="00A71386" w:rsidRPr="00151E24">
        <w:t xml:space="preserve">cost of </w:t>
      </w:r>
      <w:r w:rsidR="006B19BA" w:rsidRPr="00151E24">
        <w:t>change in Force Improvement of (£</w:t>
      </w:r>
      <w:r w:rsidR="00F1768C" w:rsidRPr="00151E24">
        <w:t>0.7</w:t>
      </w:r>
      <w:r w:rsidR="00A71386" w:rsidRPr="00151E24">
        <w:t>m</w:t>
      </w:r>
      <w:r w:rsidR="006B19BA" w:rsidRPr="00151E24">
        <w:t xml:space="preserve">) arising from </w:t>
      </w:r>
      <w:r w:rsidR="006B4B38" w:rsidRPr="00151E24">
        <w:t>re-structure costs</w:t>
      </w:r>
      <w:r w:rsidR="001A4481" w:rsidRPr="00151E24">
        <w:t>.</w:t>
      </w:r>
      <w:r w:rsidR="00C444C7" w:rsidRPr="00151E24">
        <w:t xml:space="preserve"> In addition </w:t>
      </w:r>
      <w:proofErr w:type="gramStart"/>
      <w:r w:rsidR="007D2DB4" w:rsidRPr="00151E24">
        <w:t>following  an</w:t>
      </w:r>
      <w:proofErr w:type="gramEnd"/>
      <w:r w:rsidR="007D2DB4" w:rsidRPr="00151E24">
        <w:t xml:space="preserve"> insurance fund audit carried out by Arthur J Gallagher additional funding is required to cover the claims in progress</w:t>
      </w:r>
      <w:r w:rsidR="00C444C7" w:rsidRPr="00151E24">
        <w:t xml:space="preserve">. </w:t>
      </w:r>
    </w:p>
    <w:p w:rsidR="00A71386" w:rsidRPr="001C02A2" w:rsidRDefault="00A71386" w:rsidP="00A71386">
      <w:pPr>
        <w:pStyle w:val="ListParagraph"/>
        <w:ind w:left="1944"/>
        <w:jc w:val="both"/>
      </w:pPr>
    </w:p>
    <w:p w:rsidR="006B3D47" w:rsidRPr="001C02A2" w:rsidRDefault="006B3D47" w:rsidP="003D00D9">
      <w:pPr>
        <w:pStyle w:val="ListParagraph"/>
        <w:numPr>
          <w:ilvl w:val="1"/>
          <w:numId w:val="9"/>
        </w:numPr>
        <w:jc w:val="both"/>
        <w:rPr>
          <w:b/>
        </w:rPr>
      </w:pPr>
      <w:r w:rsidRPr="001C02A2">
        <w:rPr>
          <w:b/>
        </w:rPr>
        <w:t>Non Pay Budgets</w:t>
      </w:r>
    </w:p>
    <w:p w:rsidR="00D364F9" w:rsidRPr="001C02A2" w:rsidRDefault="00AB0B90" w:rsidP="00251560">
      <w:pPr>
        <w:pStyle w:val="ListParagraph"/>
        <w:numPr>
          <w:ilvl w:val="2"/>
          <w:numId w:val="9"/>
        </w:numPr>
        <w:ind w:left="2127" w:hanging="709"/>
        <w:jc w:val="both"/>
      </w:pPr>
      <w:r w:rsidRPr="001C02A2">
        <w:t xml:space="preserve">The </w:t>
      </w:r>
      <w:r w:rsidR="001B08F8" w:rsidRPr="001C02A2">
        <w:t xml:space="preserve">majority of the </w:t>
      </w:r>
      <w:r w:rsidR="00876DB9" w:rsidRPr="001C02A2">
        <w:t xml:space="preserve">non-pay </w:t>
      </w:r>
      <w:r w:rsidR="001B08F8" w:rsidRPr="001C02A2">
        <w:t xml:space="preserve">overspend </w:t>
      </w:r>
      <w:r w:rsidR="00BA366D" w:rsidRPr="001C02A2">
        <w:t xml:space="preserve">is in </w:t>
      </w:r>
      <w:r w:rsidR="00A71386" w:rsidRPr="001C02A2">
        <w:t>S</w:t>
      </w:r>
      <w:r w:rsidR="002E6F47" w:rsidRPr="001C02A2">
        <w:t xml:space="preserve">upplies and </w:t>
      </w:r>
      <w:r w:rsidR="00A71386" w:rsidRPr="001C02A2">
        <w:t>S</w:t>
      </w:r>
      <w:r w:rsidR="002E6F47" w:rsidRPr="001C02A2">
        <w:t>ervices</w:t>
      </w:r>
      <w:r w:rsidR="001B08F8" w:rsidRPr="001C02A2">
        <w:t xml:space="preserve"> (£</w:t>
      </w:r>
      <w:r w:rsidR="00C04B94" w:rsidRPr="001C02A2">
        <w:t>3.1</w:t>
      </w:r>
      <w:r w:rsidR="006B19BA" w:rsidRPr="001C02A2">
        <w:t>m</w:t>
      </w:r>
      <w:r w:rsidR="001B08F8" w:rsidRPr="001C02A2">
        <w:t>)</w:t>
      </w:r>
      <w:r w:rsidR="00FA3215" w:rsidRPr="001C02A2">
        <w:t>.</w:t>
      </w:r>
      <w:r w:rsidR="00A71386" w:rsidRPr="001C02A2">
        <w:t xml:space="preserve"> </w:t>
      </w:r>
      <w:r w:rsidR="00FA3215" w:rsidRPr="001C02A2">
        <w:t>Within s</w:t>
      </w:r>
      <w:r w:rsidR="00491FF6" w:rsidRPr="001C02A2">
        <w:t xml:space="preserve">upplies and </w:t>
      </w:r>
      <w:r w:rsidR="00FA3215" w:rsidRPr="001C02A2">
        <w:t>s</w:t>
      </w:r>
      <w:r w:rsidR="00491FF6" w:rsidRPr="001C02A2">
        <w:t xml:space="preserve">ervices the main over spends are in </w:t>
      </w:r>
      <w:r w:rsidR="00CD6766" w:rsidRPr="001C02A2">
        <w:t>non-</w:t>
      </w:r>
      <w:proofErr w:type="spellStart"/>
      <w:r w:rsidR="00CD6766" w:rsidRPr="001C02A2">
        <w:t>collabarated</w:t>
      </w:r>
      <w:proofErr w:type="spellEnd"/>
      <w:r w:rsidR="00CD6766" w:rsidRPr="001C02A2">
        <w:t xml:space="preserve"> Op</w:t>
      </w:r>
      <w:r w:rsidR="007E0D3D" w:rsidRPr="001C02A2">
        <w:t>erations</w:t>
      </w:r>
      <w:r w:rsidR="00CD6766" w:rsidRPr="001C02A2">
        <w:t xml:space="preserve"> </w:t>
      </w:r>
      <w:r w:rsidR="00427B43" w:rsidRPr="001C02A2">
        <w:t>(£</w:t>
      </w:r>
      <w:r w:rsidR="00C04B94" w:rsidRPr="001C02A2">
        <w:t>1.</w:t>
      </w:r>
      <w:r w:rsidR="001C02A2" w:rsidRPr="001C02A2">
        <w:t>3</w:t>
      </w:r>
      <w:r w:rsidR="00427B43" w:rsidRPr="001C02A2">
        <w:t xml:space="preserve">m) </w:t>
      </w:r>
      <w:r w:rsidR="00CD6766" w:rsidRPr="001C02A2">
        <w:t xml:space="preserve">which arises from the netting off of costs with Sussex while the legal costs within PSD </w:t>
      </w:r>
      <w:r w:rsidR="001150C9" w:rsidRPr="001C02A2">
        <w:t>(£0.</w:t>
      </w:r>
      <w:r w:rsidR="00C04B94" w:rsidRPr="001C02A2">
        <w:t>1</w:t>
      </w:r>
      <w:r w:rsidR="001150C9" w:rsidRPr="001C02A2">
        <w:t xml:space="preserve">m) </w:t>
      </w:r>
      <w:r w:rsidR="00CD6766" w:rsidRPr="001C02A2">
        <w:t>are due to the work being out</w:t>
      </w:r>
      <w:r w:rsidR="00427B43" w:rsidRPr="001C02A2">
        <w:t>-</w:t>
      </w:r>
      <w:r w:rsidR="00CD6766" w:rsidRPr="001C02A2">
        <w:t xml:space="preserve">sourced instead of filling the vacant posts. There are </w:t>
      </w:r>
      <w:proofErr w:type="spellStart"/>
      <w:r w:rsidR="00CD6766" w:rsidRPr="001C02A2">
        <w:t>no</w:t>
      </w:r>
      <w:r w:rsidR="009E44C4" w:rsidRPr="001C02A2">
        <w:t>n</w:t>
      </w:r>
      <w:r w:rsidR="00CD6766" w:rsidRPr="001C02A2">
        <w:t xml:space="preserve"> recurring</w:t>
      </w:r>
      <w:proofErr w:type="spellEnd"/>
      <w:r w:rsidR="00CD6766" w:rsidRPr="001C02A2">
        <w:t xml:space="preserve"> overspends in </w:t>
      </w:r>
      <w:r w:rsidR="00491FF6" w:rsidRPr="001C02A2">
        <w:t xml:space="preserve">Specialist Crime </w:t>
      </w:r>
      <w:r w:rsidR="001150C9" w:rsidRPr="001C02A2">
        <w:t xml:space="preserve">(£0.2m) </w:t>
      </w:r>
      <w:r w:rsidR="00491FF6" w:rsidRPr="001C02A2">
        <w:t>for the additional support to meet the demand in Digital Forensics</w:t>
      </w:r>
      <w:r w:rsidR="00CD6766" w:rsidRPr="001C02A2">
        <w:t xml:space="preserve"> and </w:t>
      </w:r>
      <w:r w:rsidR="00491FF6" w:rsidRPr="001C02A2">
        <w:t xml:space="preserve">in ICT </w:t>
      </w:r>
      <w:r w:rsidR="001150C9" w:rsidRPr="001C02A2">
        <w:t>(£0.</w:t>
      </w:r>
      <w:r w:rsidR="00C04B94" w:rsidRPr="001C02A2">
        <w:t>7</w:t>
      </w:r>
      <w:r w:rsidR="001150C9" w:rsidRPr="001C02A2">
        <w:t xml:space="preserve">m) </w:t>
      </w:r>
      <w:r w:rsidR="007E0035" w:rsidRPr="001C02A2">
        <w:t>for the implementation of data centre and airwave radio equipment</w:t>
      </w:r>
      <w:r w:rsidR="00CD6766" w:rsidRPr="001C02A2">
        <w:t>.</w:t>
      </w:r>
      <w:r w:rsidR="007E0035" w:rsidRPr="001C02A2">
        <w:t xml:space="preserve"> Within ACPO </w:t>
      </w:r>
      <w:r w:rsidR="00C04B94" w:rsidRPr="001C02A2">
        <w:t>(£0.4m)</w:t>
      </w:r>
      <w:r w:rsidR="001C02A2" w:rsidRPr="001C02A2">
        <w:t xml:space="preserve"> of</w:t>
      </w:r>
      <w:r w:rsidR="00C04B94" w:rsidRPr="001C02A2">
        <w:t xml:space="preserve"> </w:t>
      </w:r>
      <w:r w:rsidR="007E0035" w:rsidRPr="001C02A2">
        <w:t xml:space="preserve">the </w:t>
      </w:r>
      <w:r w:rsidR="00E040DC" w:rsidRPr="001C02A2">
        <w:t>legal</w:t>
      </w:r>
      <w:r w:rsidR="007E0035" w:rsidRPr="001C02A2">
        <w:t xml:space="preserve"> costs being incurred for Operation Heather are to be met by the reserve and offset in income</w:t>
      </w:r>
      <w:r w:rsidR="00FA3215" w:rsidRPr="001C02A2">
        <w:t>.</w:t>
      </w:r>
    </w:p>
    <w:p w:rsidR="00B302C4" w:rsidRPr="001C02A2" w:rsidRDefault="00376B3D" w:rsidP="00251560">
      <w:pPr>
        <w:pStyle w:val="ListParagraph"/>
        <w:numPr>
          <w:ilvl w:val="2"/>
          <w:numId w:val="9"/>
        </w:numPr>
        <w:ind w:left="2127" w:hanging="709"/>
        <w:jc w:val="both"/>
      </w:pPr>
      <w:r w:rsidRPr="001C02A2">
        <w:t xml:space="preserve">The non-pay </w:t>
      </w:r>
      <w:r w:rsidR="00793ED3" w:rsidRPr="001C02A2">
        <w:t xml:space="preserve">forecast </w:t>
      </w:r>
      <w:r w:rsidR="00A44A08" w:rsidRPr="001C02A2">
        <w:t>i</w:t>
      </w:r>
      <w:r w:rsidRPr="001C02A2">
        <w:t xml:space="preserve">n </w:t>
      </w:r>
      <w:r w:rsidR="003C197A" w:rsidRPr="001C02A2">
        <w:t xml:space="preserve">Premises </w:t>
      </w:r>
      <w:r w:rsidR="00FC4D60" w:rsidRPr="001C02A2">
        <w:t xml:space="preserve">of </w:t>
      </w:r>
      <w:r w:rsidR="00793ED3" w:rsidRPr="001C02A2">
        <w:t>£</w:t>
      </w:r>
      <w:r w:rsidR="0088275B" w:rsidRPr="001C02A2">
        <w:t>0.</w:t>
      </w:r>
      <w:r w:rsidR="00CE3665" w:rsidRPr="001C02A2">
        <w:t>1</w:t>
      </w:r>
      <w:r w:rsidR="00D551C7" w:rsidRPr="001C02A2">
        <w:t>m</w:t>
      </w:r>
      <w:r w:rsidR="00793ED3" w:rsidRPr="001C02A2">
        <w:t xml:space="preserve"> </w:t>
      </w:r>
      <w:r w:rsidR="00A44A08" w:rsidRPr="001C02A2">
        <w:t xml:space="preserve">is slightly overspent but is </w:t>
      </w:r>
      <w:r w:rsidR="00195EBF" w:rsidRPr="001C02A2">
        <w:t xml:space="preserve">likely to </w:t>
      </w:r>
      <w:r w:rsidR="00B302C4" w:rsidRPr="001C02A2">
        <w:t>come in close to budget</w:t>
      </w:r>
      <w:r w:rsidR="00CD6766" w:rsidRPr="001C02A2">
        <w:t xml:space="preserve"> at year-end</w:t>
      </w:r>
      <w:r w:rsidR="00B302C4" w:rsidRPr="001C02A2">
        <w:t>.</w:t>
      </w:r>
    </w:p>
    <w:p w:rsidR="00D364F9" w:rsidRPr="001C02A2" w:rsidRDefault="00D551C7" w:rsidP="00251560">
      <w:pPr>
        <w:pStyle w:val="ListParagraph"/>
        <w:numPr>
          <w:ilvl w:val="2"/>
          <w:numId w:val="9"/>
        </w:numPr>
        <w:ind w:left="2127" w:hanging="709"/>
        <w:jc w:val="both"/>
      </w:pPr>
      <w:r w:rsidRPr="001C02A2">
        <w:t>The t</w:t>
      </w:r>
      <w:r w:rsidR="00793ED3" w:rsidRPr="001C02A2">
        <w:t xml:space="preserve">ransport </w:t>
      </w:r>
      <w:r w:rsidR="00A33697" w:rsidRPr="001C02A2">
        <w:t xml:space="preserve">forecast </w:t>
      </w:r>
      <w:r w:rsidR="00CE3665" w:rsidRPr="001C02A2">
        <w:t>underspend</w:t>
      </w:r>
      <w:r w:rsidR="0005789E" w:rsidRPr="001C02A2">
        <w:t xml:space="preserve"> </w:t>
      </w:r>
      <w:r w:rsidR="00A33697" w:rsidRPr="001C02A2">
        <w:t xml:space="preserve">of </w:t>
      </w:r>
      <w:r w:rsidR="00FC6619" w:rsidRPr="001C02A2">
        <w:t>£</w:t>
      </w:r>
      <w:r w:rsidR="00A81D71" w:rsidRPr="001C02A2">
        <w:t>0</w:t>
      </w:r>
      <w:r w:rsidR="00FC6619" w:rsidRPr="001C02A2">
        <w:t>.</w:t>
      </w:r>
      <w:r w:rsidR="000108A4" w:rsidRPr="001C02A2">
        <w:t>4</w:t>
      </w:r>
      <w:r w:rsidR="00195EBF" w:rsidRPr="001C02A2">
        <w:t xml:space="preserve">m </w:t>
      </w:r>
      <w:r w:rsidR="00B302C4" w:rsidRPr="001C02A2">
        <w:t xml:space="preserve">is </w:t>
      </w:r>
      <w:r w:rsidR="001150C9" w:rsidRPr="001C02A2">
        <w:t xml:space="preserve">arises </w:t>
      </w:r>
      <w:r w:rsidR="00CD6766" w:rsidRPr="001C02A2">
        <w:t xml:space="preserve">from </w:t>
      </w:r>
      <w:proofErr w:type="gramStart"/>
      <w:r w:rsidR="001150C9" w:rsidRPr="001C02A2">
        <w:t xml:space="preserve">a </w:t>
      </w:r>
      <w:r w:rsidR="00B302C4" w:rsidRPr="001C02A2">
        <w:t>the</w:t>
      </w:r>
      <w:proofErr w:type="gramEnd"/>
      <w:r w:rsidR="00B302C4" w:rsidRPr="001C02A2">
        <w:t xml:space="preserve"> </w:t>
      </w:r>
      <w:r w:rsidR="001150C9" w:rsidRPr="001C02A2">
        <w:t xml:space="preserve">small </w:t>
      </w:r>
      <w:r w:rsidR="00B302C4" w:rsidRPr="001C02A2">
        <w:t xml:space="preserve">impact of fuel prices being lower </w:t>
      </w:r>
      <w:r w:rsidR="00CD6766" w:rsidRPr="001C02A2">
        <w:t xml:space="preserve">than budgeted </w:t>
      </w:r>
      <w:r w:rsidR="00B302C4" w:rsidRPr="001C02A2">
        <w:t xml:space="preserve">during the </w:t>
      </w:r>
      <w:r w:rsidR="00CD6766" w:rsidRPr="001C02A2">
        <w:t xml:space="preserve">course of the </w:t>
      </w:r>
      <w:r w:rsidR="00B302C4" w:rsidRPr="001C02A2">
        <w:t>year</w:t>
      </w:r>
      <w:r w:rsidR="00B4662B" w:rsidRPr="001C02A2">
        <w:t>.</w:t>
      </w:r>
    </w:p>
    <w:p w:rsidR="000753C5" w:rsidRPr="001C02A2" w:rsidRDefault="00876DB9" w:rsidP="00251560">
      <w:pPr>
        <w:pStyle w:val="ListParagraph"/>
        <w:numPr>
          <w:ilvl w:val="2"/>
          <w:numId w:val="9"/>
        </w:numPr>
        <w:ind w:left="2127" w:hanging="709"/>
        <w:jc w:val="both"/>
      </w:pPr>
      <w:r w:rsidRPr="001C02A2">
        <w:t xml:space="preserve">Income is </w:t>
      </w:r>
      <w:r w:rsidR="00C22CC2" w:rsidRPr="001C02A2">
        <w:t xml:space="preserve">forecast to </w:t>
      </w:r>
      <w:r w:rsidR="00C21733" w:rsidRPr="001C02A2">
        <w:t xml:space="preserve">be </w:t>
      </w:r>
      <w:r w:rsidR="00A51D53" w:rsidRPr="001C02A2">
        <w:t xml:space="preserve">over </w:t>
      </w:r>
      <w:r w:rsidRPr="001C02A2">
        <w:t>budget</w:t>
      </w:r>
      <w:r w:rsidR="003D067E" w:rsidRPr="001C02A2">
        <w:t xml:space="preserve"> by £</w:t>
      </w:r>
      <w:r w:rsidR="000108A4" w:rsidRPr="001C02A2">
        <w:t>2.1</w:t>
      </w:r>
      <w:r w:rsidR="00C22CC2" w:rsidRPr="001C02A2">
        <w:t>m</w:t>
      </w:r>
      <w:r w:rsidR="003D067E" w:rsidRPr="001C02A2">
        <w:t xml:space="preserve"> </w:t>
      </w:r>
      <w:r w:rsidRPr="001C02A2">
        <w:t>for the year</w:t>
      </w:r>
      <w:r w:rsidR="00C22CC2" w:rsidRPr="001C02A2">
        <w:t xml:space="preserve"> the main component</w:t>
      </w:r>
      <w:r w:rsidR="001C699B" w:rsidRPr="001C02A2">
        <w:t>s</w:t>
      </w:r>
      <w:r w:rsidR="00C22CC2" w:rsidRPr="001C02A2">
        <w:t xml:space="preserve"> being </w:t>
      </w:r>
      <w:r w:rsidR="000753C5" w:rsidRPr="001C02A2">
        <w:t>the use of reserves to meet the cost of Operation Heather, within Operations (</w:t>
      </w:r>
      <w:proofErr w:type="spellStart"/>
      <w:r w:rsidR="000753C5" w:rsidRPr="001C02A2">
        <w:t>non collaborated</w:t>
      </w:r>
      <w:proofErr w:type="spellEnd"/>
      <w:r w:rsidR="000753C5" w:rsidRPr="001C02A2">
        <w:t>) unplanned income received in respect of the provision of Firearms officers in Gatwick and an excess of income received from the Camera Safety Partnership. There is also an over achievement of income within Criminal Justice from court fees and road traffic reports.</w:t>
      </w:r>
    </w:p>
    <w:p w:rsidR="007E0D3D" w:rsidRPr="00D5381C" w:rsidRDefault="007E0D3D" w:rsidP="007E0D3D">
      <w:pPr>
        <w:pStyle w:val="ListParagraph"/>
        <w:ind w:left="1944"/>
        <w:jc w:val="both"/>
        <w:rPr>
          <w:color w:val="548DD4" w:themeColor="text2" w:themeTint="99"/>
        </w:rPr>
      </w:pPr>
    </w:p>
    <w:p w:rsidR="00AD00D5" w:rsidRPr="003E074F" w:rsidRDefault="00AD00D5" w:rsidP="00DE64BB">
      <w:pPr>
        <w:pStyle w:val="ListParagraph"/>
        <w:numPr>
          <w:ilvl w:val="1"/>
          <w:numId w:val="9"/>
        </w:numPr>
        <w:jc w:val="both"/>
        <w:rPr>
          <w:b/>
        </w:rPr>
      </w:pPr>
      <w:r w:rsidRPr="003E074F">
        <w:rPr>
          <w:b/>
        </w:rPr>
        <w:t>Delegated Budget Holders</w:t>
      </w:r>
    </w:p>
    <w:p w:rsidR="00D364F9" w:rsidRPr="003E074F" w:rsidRDefault="00DE64BB" w:rsidP="00251560">
      <w:pPr>
        <w:pStyle w:val="ListParagraph"/>
        <w:numPr>
          <w:ilvl w:val="2"/>
          <w:numId w:val="9"/>
        </w:numPr>
        <w:tabs>
          <w:tab w:val="clear" w:pos="2160"/>
        </w:tabs>
        <w:ind w:left="2127" w:hanging="709"/>
        <w:jc w:val="both"/>
      </w:pPr>
      <w:r w:rsidRPr="003E074F">
        <w:t>North Division:</w:t>
      </w:r>
      <w:r w:rsidR="00DB63FC" w:rsidRPr="003E074F">
        <w:t xml:space="preserve"> </w:t>
      </w:r>
      <w:r w:rsidR="00872BCC" w:rsidRPr="003E074F">
        <w:t xml:space="preserve">The </w:t>
      </w:r>
      <w:r w:rsidR="004072C3" w:rsidRPr="003E074F">
        <w:t xml:space="preserve">forecast </w:t>
      </w:r>
      <w:r w:rsidR="00F06999" w:rsidRPr="003E074F">
        <w:t>under-</w:t>
      </w:r>
      <w:r w:rsidR="00DB63FC" w:rsidRPr="003E074F">
        <w:t xml:space="preserve">spend </w:t>
      </w:r>
      <w:r w:rsidR="008263C2" w:rsidRPr="003E074F">
        <w:t>of £</w:t>
      </w:r>
      <w:r w:rsidR="00731769" w:rsidRPr="003E074F">
        <w:t>1.</w:t>
      </w:r>
      <w:r w:rsidR="003E074F" w:rsidRPr="003E074F">
        <w:t>3</w:t>
      </w:r>
      <w:r w:rsidR="008263C2" w:rsidRPr="003E074F">
        <w:t xml:space="preserve">m </w:t>
      </w:r>
      <w:r w:rsidR="004072C3" w:rsidRPr="003E074F">
        <w:t xml:space="preserve">is </w:t>
      </w:r>
      <w:r w:rsidR="00DB63FC" w:rsidRPr="003E074F">
        <w:t xml:space="preserve">derived from </w:t>
      </w:r>
      <w:r w:rsidR="008263C2" w:rsidRPr="003E074F">
        <w:t xml:space="preserve">police officer </w:t>
      </w:r>
      <w:r w:rsidR="005828FB" w:rsidRPr="003E074F">
        <w:t>£</w:t>
      </w:r>
      <w:r w:rsidR="00FD78B4" w:rsidRPr="003E074F">
        <w:t>1.</w:t>
      </w:r>
      <w:r w:rsidR="003E074F" w:rsidRPr="003E074F">
        <w:t>9</w:t>
      </w:r>
      <w:r w:rsidR="00A33697" w:rsidRPr="003E074F">
        <w:t>m</w:t>
      </w:r>
      <w:r w:rsidR="005828FB" w:rsidRPr="003E074F">
        <w:t xml:space="preserve"> </w:t>
      </w:r>
      <w:r w:rsidR="00F06999" w:rsidRPr="003E074F">
        <w:t>and staff salary</w:t>
      </w:r>
      <w:r w:rsidR="005828FB" w:rsidRPr="003E074F">
        <w:t xml:space="preserve"> £0.</w:t>
      </w:r>
      <w:r w:rsidR="009A0F1C" w:rsidRPr="003E074F">
        <w:t>4</w:t>
      </w:r>
      <w:r w:rsidR="005828FB" w:rsidRPr="003E074F">
        <w:t>m</w:t>
      </w:r>
      <w:r w:rsidR="009F18C8" w:rsidRPr="003E074F">
        <w:t>.</w:t>
      </w:r>
      <w:r w:rsidR="00400997" w:rsidRPr="003E074F">
        <w:t xml:space="preserve"> The variance </w:t>
      </w:r>
      <w:r w:rsidR="005828FB" w:rsidRPr="003E074F">
        <w:t xml:space="preserve">is due to </w:t>
      </w:r>
      <w:r w:rsidR="009B1848" w:rsidRPr="003E074F">
        <w:t xml:space="preserve">the </w:t>
      </w:r>
      <w:r w:rsidR="003A3A60" w:rsidRPr="003E074F">
        <w:t xml:space="preserve">lower </w:t>
      </w:r>
      <w:r w:rsidR="009B1848" w:rsidRPr="003E074F">
        <w:t>forecast</w:t>
      </w:r>
      <w:r w:rsidR="005828FB" w:rsidRPr="003E074F">
        <w:t xml:space="preserve"> number of constable posts throughout the year in TPT</w:t>
      </w:r>
      <w:r w:rsidR="004B3FBC" w:rsidRPr="003E074F">
        <w:t xml:space="preserve">, </w:t>
      </w:r>
      <w:r w:rsidR="00FD78B4" w:rsidRPr="003E074F">
        <w:t xml:space="preserve">SNT, LPU, </w:t>
      </w:r>
      <w:r w:rsidR="004B3FBC" w:rsidRPr="003E074F">
        <w:t xml:space="preserve">neighbourhood </w:t>
      </w:r>
      <w:r w:rsidR="005828FB" w:rsidRPr="003E074F">
        <w:t xml:space="preserve">and </w:t>
      </w:r>
      <w:r w:rsidR="00BA4457" w:rsidRPr="003E074F">
        <w:t>r</w:t>
      </w:r>
      <w:r w:rsidR="005828FB" w:rsidRPr="003E074F">
        <w:t xml:space="preserve">eactive </w:t>
      </w:r>
      <w:r w:rsidR="00BA4457" w:rsidRPr="003E074F">
        <w:t>i</w:t>
      </w:r>
      <w:r w:rsidR="005828FB" w:rsidRPr="003E074F">
        <w:t>nvestigations</w:t>
      </w:r>
      <w:r w:rsidR="004072C3" w:rsidRPr="003E074F">
        <w:t xml:space="preserve">. </w:t>
      </w:r>
      <w:r w:rsidR="00EF613B" w:rsidRPr="003E074F">
        <w:t>A</w:t>
      </w:r>
      <w:r w:rsidR="004072C3" w:rsidRPr="003E074F">
        <w:t xml:space="preserve">s </w:t>
      </w:r>
      <w:r w:rsidR="009A0F1C" w:rsidRPr="003E074F">
        <w:t xml:space="preserve">Probationers </w:t>
      </w:r>
      <w:r w:rsidR="004072C3" w:rsidRPr="003E074F">
        <w:t xml:space="preserve">complete their training </w:t>
      </w:r>
      <w:r w:rsidR="009A0F1C" w:rsidRPr="003E074F">
        <w:t xml:space="preserve">they </w:t>
      </w:r>
      <w:r w:rsidR="00EF613B" w:rsidRPr="003E074F">
        <w:t xml:space="preserve">will be moved in to the divisions </w:t>
      </w:r>
      <w:r w:rsidR="004072C3" w:rsidRPr="003E074F">
        <w:t>which will lower the variance. Agency expenditure is planned to support the investigative standards initiative.</w:t>
      </w:r>
      <w:r w:rsidR="003A3A60" w:rsidRPr="003E074F">
        <w:t xml:space="preserve"> Police </w:t>
      </w:r>
      <w:proofErr w:type="gramStart"/>
      <w:r w:rsidR="003A3A60" w:rsidRPr="003E074F">
        <w:t>staff underspend</w:t>
      </w:r>
      <w:proofErr w:type="gramEnd"/>
      <w:r w:rsidR="003A3A60" w:rsidRPr="003E074F">
        <w:t xml:space="preserve"> </w:t>
      </w:r>
      <w:r w:rsidR="00CD25DD" w:rsidRPr="003E074F">
        <w:t xml:space="preserve">is </w:t>
      </w:r>
      <w:r w:rsidR="003A3A60" w:rsidRPr="003E074F">
        <w:t xml:space="preserve">due to </w:t>
      </w:r>
      <w:r w:rsidR="00302DDC" w:rsidRPr="003E074F">
        <w:t xml:space="preserve">the delay in filling </w:t>
      </w:r>
      <w:r w:rsidR="00CD25DD" w:rsidRPr="003E074F">
        <w:t xml:space="preserve">vacant </w:t>
      </w:r>
      <w:r w:rsidR="003A3A60" w:rsidRPr="003E074F">
        <w:t>PCSO and IO posts.</w:t>
      </w:r>
    </w:p>
    <w:p w:rsidR="004072C3" w:rsidRPr="003E074F" w:rsidRDefault="00DE64BB" w:rsidP="00251560">
      <w:pPr>
        <w:pStyle w:val="ListParagraph"/>
        <w:numPr>
          <w:ilvl w:val="2"/>
          <w:numId w:val="9"/>
        </w:numPr>
        <w:tabs>
          <w:tab w:val="clear" w:pos="2160"/>
        </w:tabs>
        <w:ind w:left="2127" w:hanging="709"/>
        <w:jc w:val="both"/>
      </w:pPr>
      <w:r w:rsidRPr="003E074F">
        <w:t>East Division:</w:t>
      </w:r>
      <w:r w:rsidR="00DB63FC" w:rsidRPr="003E074F">
        <w:t xml:space="preserve"> </w:t>
      </w:r>
      <w:r w:rsidR="00DD4BEB" w:rsidRPr="003E074F">
        <w:t>The forecast under</w:t>
      </w:r>
      <w:r w:rsidR="004072C3" w:rsidRPr="003E074F">
        <w:t>-</w:t>
      </w:r>
      <w:r w:rsidR="00DD4BEB" w:rsidRPr="003E074F">
        <w:t xml:space="preserve">spend </w:t>
      </w:r>
      <w:r w:rsidR="004072C3" w:rsidRPr="003E074F">
        <w:t>of</w:t>
      </w:r>
      <w:r w:rsidR="00DD4BEB" w:rsidRPr="003E074F">
        <w:t xml:space="preserve"> £</w:t>
      </w:r>
      <w:r w:rsidR="001912AC" w:rsidRPr="003E074F">
        <w:t>1.</w:t>
      </w:r>
      <w:r w:rsidR="003E074F" w:rsidRPr="003E074F">
        <w:t>2</w:t>
      </w:r>
      <w:r w:rsidR="00DD4BEB" w:rsidRPr="003E074F">
        <w:t xml:space="preserve">m </w:t>
      </w:r>
      <w:r w:rsidR="004072C3" w:rsidRPr="003E074F">
        <w:t xml:space="preserve">is derived from </w:t>
      </w:r>
      <w:r w:rsidR="009C627A" w:rsidRPr="003E074F">
        <w:t xml:space="preserve">Police Officer </w:t>
      </w:r>
      <w:r w:rsidR="00C83201" w:rsidRPr="003E074F">
        <w:t>p</w:t>
      </w:r>
      <w:r w:rsidR="009C627A" w:rsidRPr="003E074F">
        <w:t xml:space="preserve">ay </w:t>
      </w:r>
      <w:r w:rsidR="00DD4BEB" w:rsidRPr="003E074F">
        <w:t xml:space="preserve">which is </w:t>
      </w:r>
      <w:r w:rsidR="00C83201" w:rsidRPr="003E074F">
        <w:t>f</w:t>
      </w:r>
      <w:r w:rsidR="009C627A" w:rsidRPr="003E074F">
        <w:t xml:space="preserve">orecast to be </w:t>
      </w:r>
      <w:r w:rsidR="00C83201" w:rsidRPr="003E074F">
        <w:t>u</w:t>
      </w:r>
      <w:r w:rsidR="009C627A" w:rsidRPr="003E074F">
        <w:t>nderspent by £</w:t>
      </w:r>
      <w:r w:rsidR="001912AC" w:rsidRPr="003E074F">
        <w:t>1.</w:t>
      </w:r>
      <w:r w:rsidR="003E074F" w:rsidRPr="003E074F">
        <w:t>0</w:t>
      </w:r>
      <w:r w:rsidR="00287B23" w:rsidRPr="003E074F">
        <w:t>m</w:t>
      </w:r>
      <w:r w:rsidR="00F47130" w:rsidRPr="003E074F">
        <w:t xml:space="preserve">. This </w:t>
      </w:r>
      <w:r w:rsidR="00E96DB3" w:rsidRPr="003E074F">
        <w:t>reflects</w:t>
      </w:r>
      <w:r w:rsidR="00F47130" w:rsidRPr="003E074F">
        <w:t xml:space="preserve"> t</w:t>
      </w:r>
      <w:r w:rsidR="00E770D4" w:rsidRPr="003E074F">
        <w:t xml:space="preserve">he </w:t>
      </w:r>
      <w:r w:rsidR="001235F2" w:rsidRPr="003E074F">
        <w:t xml:space="preserve">number </w:t>
      </w:r>
      <w:r w:rsidR="009C627A" w:rsidRPr="003E074F">
        <w:t>of Officer</w:t>
      </w:r>
      <w:r w:rsidR="00ED76B9" w:rsidRPr="003E074F">
        <w:t>s</w:t>
      </w:r>
      <w:r w:rsidR="009C627A" w:rsidRPr="003E074F">
        <w:t xml:space="preserve"> </w:t>
      </w:r>
      <w:r w:rsidR="004072C3" w:rsidRPr="003E074F">
        <w:t xml:space="preserve">below budget </w:t>
      </w:r>
      <w:r w:rsidR="006F3362" w:rsidRPr="003E074F">
        <w:t xml:space="preserve">although </w:t>
      </w:r>
      <w:r w:rsidR="004072C3" w:rsidRPr="003E074F">
        <w:t>as the probationers are moved to divisions this will lower future</w:t>
      </w:r>
      <w:r w:rsidR="00584B30" w:rsidRPr="003E074F">
        <w:t xml:space="preserve"> forecasts</w:t>
      </w:r>
      <w:r w:rsidR="00BF4888" w:rsidRPr="003E074F">
        <w:t xml:space="preserve"> marginally</w:t>
      </w:r>
      <w:r w:rsidR="00584B30" w:rsidRPr="003E074F">
        <w:t>.</w:t>
      </w:r>
      <w:r w:rsidR="00684EB9" w:rsidRPr="003E074F">
        <w:t xml:space="preserve"> Police </w:t>
      </w:r>
      <w:proofErr w:type="gramStart"/>
      <w:r w:rsidR="00684EB9" w:rsidRPr="003E074F">
        <w:t>staff are</w:t>
      </w:r>
      <w:proofErr w:type="gramEnd"/>
      <w:r w:rsidR="00684EB9" w:rsidRPr="003E074F">
        <w:t xml:space="preserve"> underspent by £0.</w:t>
      </w:r>
      <w:r w:rsidR="009A0F1C" w:rsidRPr="003E074F">
        <w:t>3</w:t>
      </w:r>
      <w:r w:rsidR="00684EB9" w:rsidRPr="003E074F">
        <w:t>m which is driven by around 2</w:t>
      </w:r>
      <w:r w:rsidR="009A0F1C" w:rsidRPr="003E074F">
        <w:t>3</w:t>
      </w:r>
      <w:r w:rsidR="00684EB9" w:rsidRPr="003E074F">
        <w:t xml:space="preserve"> vacancies across the Division including PCSO’s, IO’s, and administrators in CID and Neighbour-hoods. </w:t>
      </w:r>
    </w:p>
    <w:p w:rsidR="004A711A" w:rsidRPr="0076669D" w:rsidRDefault="00DE64BB" w:rsidP="00251560">
      <w:pPr>
        <w:pStyle w:val="ListParagraph"/>
        <w:numPr>
          <w:ilvl w:val="2"/>
          <w:numId w:val="9"/>
        </w:numPr>
        <w:tabs>
          <w:tab w:val="clear" w:pos="2160"/>
        </w:tabs>
        <w:ind w:left="2127" w:hanging="709"/>
        <w:jc w:val="both"/>
      </w:pPr>
      <w:r w:rsidRPr="0076669D">
        <w:lastRenderedPageBreak/>
        <w:t>West Division:</w:t>
      </w:r>
      <w:r w:rsidR="00DB63FC" w:rsidRPr="0076669D">
        <w:t xml:space="preserve"> </w:t>
      </w:r>
      <w:r w:rsidR="004072C3" w:rsidRPr="0076669D">
        <w:t xml:space="preserve">The forecast </w:t>
      </w:r>
      <w:r w:rsidR="00D17F3C" w:rsidRPr="0076669D">
        <w:t>under</w:t>
      </w:r>
      <w:r w:rsidR="004072C3" w:rsidRPr="0076669D">
        <w:t>-</w:t>
      </w:r>
      <w:r w:rsidR="00D17F3C" w:rsidRPr="0076669D">
        <w:t>spend</w:t>
      </w:r>
      <w:r w:rsidR="004072C3" w:rsidRPr="0076669D">
        <w:t xml:space="preserve"> of </w:t>
      </w:r>
      <w:r w:rsidR="00D17F3C" w:rsidRPr="0076669D">
        <w:t>£1.</w:t>
      </w:r>
      <w:r w:rsidR="008E00ED" w:rsidRPr="0076669D">
        <w:t>1</w:t>
      </w:r>
      <w:r w:rsidR="00D17F3C" w:rsidRPr="0076669D">
        <w:t xml:space="preserve">m is </w:t>
      </w:r>
      <w:r w:rsidR="004072C3" w:rsidRPr="0076669D">
        <w:t xml:space="preserve">derived </w:t>
      </w:r>
      <w:r w:rsidR="0013419B" w:rsidRPr="0076669D">
        <w:t xml:space="preserve">mainly </w:t>
      </w:r>
      <w:r w:rsidR="00D17F3C" w:rsidRPr="0076669D">
        <w:t xml:space="preserve">from </w:t>
      </w:r>
      <w:r w:rsidR="004072C3" w:rsidRPr="0076669D">
        <w:t>Police Officer pay which is forecast to be under spent by £1.</w:t>
      </w:r>
      <w:r w:rsidR="008E00ED" w:rsidRPr="0076669D">
        <w:t>1</w:t>
      </w:r>
      <w:r w:rsidR="004072C3" w:rsidRPr="0076669D">
        <w:t xml:space="preserve">m, </w:t>
      </w:r>
      <w:r w:rsidR="00D17F3C" w:rsidRPr="0076669D">
        <w:t xml:space="preserve"> </w:t>
      </w:r>
      <w:r w:rsidR="004072C3" w:rsidRPr="0076669D">
        <w:t>with a</w:t>
      </w:r>
      <w:r w:rsidR="006C264E" w:rsidRPr="0076669D">
        <w:t xml:space="preserve"> small </w:t>
      </w:r>
      <w:r w:rsidR="004072C3" w:rsidRPr="0076669D">
        <w:t xml:space="preserve">agency over spend </w:t>
      </w:r>
      <w:r w:rsidR="00584B30" w:rsidRPr="0076669D">
        <w:t>to support the investigative standards initiative</w:t>
      </w:r>
      <w:r w:rsidR="00D17F3C" w:rsidRPr="0076669D">
        <w:t xml:space="preserve">. </w:t>
      </w:r>
      <w:r w:rsidR="00A45E3B" w:rsidRPr="0076669D">
        <w:t xml:space="preserve"> </w:t>
      </w:r>
      <w:r w:rsidR="0013419B" w:rsidRPr="0076669D">
        <w:t xml:space="preserve">As a consequence </w:t>
      </w:r>
      <w:r w:rsidR="006C264E" w:rsidRPr="0076669D">
        <w:t xml:space="preserve">Officer overtime is overspent </w:t>
      </w:r>
      <w:r w:rsidR="0013419B" w:rsidRPr="0076669D">
        <w:t xml:space="preserve">£0.5m </w:t>
      </w:r>
      <w:r w:rsidR="006C264E" w:rsidRPr="0076669D">
        <w:t xml:space="preserve">which is partly </w:t>
      </w:r>
      <w:r w:rsidR="00984093" w:rsidRPr="0076669D">
        <w:t xml:space="preserve">due to </w:t>
      </w:r>
      <w:r w:rsidR="006C264E" w:rsidRPr="0076669D">
        <w:t>night guard support for S</w:t>
      </w:r>
      <w:r w:rsidR="007E0D3D" w:rsidRPr="0076669D">
        <w:t xml:space="preserve">trategic </w:t>
      </w:r>
      <w:r w:rsidR="006C264E" w:rsidRPr="0076669D">
        <w:t>R</w:t>
      </w:r>
      <w:r w:rsidR="007E0D3D" w:rsidRPr="0076669D">
        <w:t xml:space="preserve">oads </w:t>
      </w:r>
      <w:r w:rsidR="006C264E" w:rsidRPr="0076669D">
        <w:t>U</w:t>
      </w:r>
      <w:r w:rsidR="007E0D3D" w:rsidRPr="0076669D">
        <w:t>nit</w:t>
      </w:r>
      <w:r w:rsidR="006C264E" w:rsidRPr="0076669D">
        <w:t xml:space="preserve">. </w:t>
      </w:r>
      <w:r w:rsidR="006F3362" w:rsidRPr="0076669D">
        <w:t xml:space="preserve">The </w:t>
      </w:r>
      <w:r w:rsidR="00A45E3B" w:rsidRPr="0076669D">
        <w:t>Police staff pay underspend of £</w:t>
      </w:r>
      <w:r w:rsidR="006F3362" w:rsidRPr="0076669D">
        <w:t>0.</w:t>
      </w:r>
      <w:r w:rsidR="0013419B" w:rsidRPr="0076669D">
        <w:t>5</w:t>
      </w:r>
      <w:r w:rsidR="006F3362" w:rsidRPr="0076669D">
        <w:t xml:space="preserve">m is </w:t>
      </w:r>
      <w:r w:rsidR="00A45E3B" w:rsidRPr="0076669D">
        <w:t xml:space="preserve">again reflective of </w:t>
      </w:r>
      <w:r w:rsidR="006F3362" w:rsidRPr="0076669D">
        <w:t xml:space="preserve">the </w:t>
      </w:r>
      <w:r w:rsidR="00A45E3B" w:rsidRPr="0076669D">
        <w:t xml:space="preserve">numerous vacancies across the division, specifically IOs on CID and PCSOs at </w:t>
      </w:r>
      <w:smartTag w:uri="urn:schemas-microsoft-com:office:smarttags" w:element="place">
        <w:r w:rsidR="00A45E3B" w:rsidRPr="0076669D">
          <w:t>Guildford</w:t>
        </w:r>
      </w:smartTag>
      <w:r w:rsidR="00A45E3B" w:rsidRPr="0076669D">
        <w:t xml:space="preserve"> and Surrey Heath.</w:t>
      </w:r>
      <w:r w:rsidR="00584B30" w:rsidRPr="0076669D">
        <w:t xml:space="preserve"> An under spend of £0.1m is forecast in transport from fuel prices being lower</w:t>
      </w:r>
      <w:r w:rsidR="00EE2AEE" w:rsidRPr="0076669D">
        <w:t xml:space="preserve"> than budgeted</w:t>
      </w:r>
      <w:r w:rsidR="00584B30" w:rsidRPr="0076669D">
        <w:t>.</w:t>
      </w:r>
    </w:p>
    <w:p w:rsidR="00624633" w:rsidRPr="0076669D" w:rsidRDefault="00DE64BB" w:rsidP="00251560">
      <w:pPr>
        <w:pStyle w:val="ListParagraph"/>
        <w:numPr>
          <w:ilvl w:val="2"/>
          <w:numId w:val="9"/>
        </w:numPr>
        <w:tabs>
          <w:tab w:val="clear" w:pos="2160"/>
        </w:tabs>
        <w:ind w:left="2127" w:hanging="709"/>
        <w:jc w:val="both"/>
      </w:pPr>
      <w:r w:rsidRPr="0076669D">
        <w:t>Specialist Crime</w:t>
      </w:r>
      <w:r w:rsidR="00584B30" w:rsidRPr="0076669D">
        <w:t xml:space="preserve"> Non Collaborated</w:t>
      </w:r>
      <w:r w:rsidRPr="0076669D">
        <w:t>:</w:t>
      </w:r>
      <w:r w:rsidR="00856EA7" w:rsidRPr="0076669D">
        <w:t xml:space="preserve"> </w:t>
      </w:r>
      <w:r w:rsidR="00584B30" w:rsidRPr="0076669D">
        <w:t xml:space="preserve">the forecast </w:t>
      </w:r>
      <w:r w:rsidR="00984093" w:rsidRPr="0076669D">
        <w:t xml:space="preserve">is </w:t>
      </w:r>
      <w:r w:rsidR="009A0F1C" w:rsidRPr="0076669D">
        <w:t>an underspend of £0.</w:t>
      </w:r>
      <w:r w:rsidR="008E00ED" w:rsidRPr="0076669D">
        <w:t>2</w:t>
      </w:r>
      <w:r w:rsidR="009A0F1C" w:rsidRPr="0076669D">
        <w:t xml:space="preserve"> </w:t>
      </w:r>
      <w:r w:rsidR="007F6BE6" w:rsidRPr="0076669D">
        <w:t xml:space="preserve">at year end although there are overs and </w:t>
      </w:r>
      <w:proofErr w:type="spellStart"/>
      <w:r w:rsidR="007F6BE6" w:rsidRPr="0076669D">
        <w:t>unders</w:t>
      </w:r>
      <w:proofErr w:type="spellEnd"/>
      <w:r w:rsidR="007F6BE6" w:rsidRPr="0076669D">
        <w:t xml:space="preserve"> within the category. P</w:t>
      </w:r>
      <w:r w:rsidR="00584B30" w:rsidRPr="0076669D">
        <w:t xml:space="preserve">olice officer salary </w:t>
      </w:r>
      <w:r w:rsidR="007F6BE6" w:rsidRPr="0076669D">
        <w:t xml:space="preserve">is </w:t>
      </w:r>
      <w:r w:rsidR="00CB181C" w:rsidRPr="0076669D">
        <w:t xml:space="preserve">under </w:t>
      </w:r>
      <w:r w:rsidR="007F6BE6" w:rsidRPr="0076669D">
        <w:t>by £0.</w:t>
      </w:r>
      <w:r w:rsidR="00CB181C" w:rsidRPr="0076669D">
        <w:t>4</w:t>
      </w:r>
      <w:r w:rsidR="007F6BE6" w:rsidRPr="0076669D">
        <w:t>m</w:t>
      </w:r>
      <w:r w:rsidR="00584B30" w:rsidRPr="0076669D">
        <w:t>, police staff under by £1.</w:t>
      </w:r>
      <w:r w:rsidR="008E00ED" w:rsidRPr="0076669D">
        <w:t>1</w:t>
      </w:r>
      <w:r w:rsidR="00584B30" w:rsidRPr="0076669D">
        <w:t>m</w:t>
      </w:r>
      <w:r w:rsidR="007F6BE6" w:rsidRPr="0076669D">
        <w:t xml:space="preserve">, </w:t>
      </w:r>
      <w:r w:rsidR="00584B30" w:rsidRPr="0076669D">
        <w:t xml:space="preserve">and transport </w:t>
      </w:r>
      <w:r w:rsidR="007F6BE6" w:rsidRPr="0076669D">
        <w:t xml:space="preserve">is </w:t>
      </w:r>
      <w:r w:rsidR="00584B30" w:rsidRPr="0076669D">
        <w:t>under by £0.</w:t>
      </w:r>
      <w:r w:rsidR="00D24509" w:rsidRPr="0076669D">
        <w:t>1</w:t>
      </w:r>
      <w:r w:rsidR="00584B30" w:rsidRPr="0076669D">
        <w:t xml:space="preserve">m. </w:t>
      </w:r>
      <w:r w:rsidR="00E040DC" w:rsidRPr="0076669D">
        <w:t>These</w:t>
      </w:r>
      <w:r w:rsidR="00584B30" w:rsidRPr="0076669D">
        <w:t xml:space="preserve"> are countered by police officer overtime ove</w:t>
      </w:r>
      <w:r w:rsidR="00624633" w:rsidRPr="0076669D">
        <w:t>r</w:t>
      </w:r>
      <w:r w:rsidR="00584B30" w:rsidRPr="0076669D">
        <w:t xml:space="preserve"> spend of £0.</w:t>
      </w:r>
      <w:r w:rsidR="008E00ED" w:rsidRPr="0076669D">
        <w:t>1</w:t>
      </w:r>
      <w:r w:rsidR="00584B30" w:rsidRPr="0076669D">
        <w:t>m</w:t>
      </w:r>
      <w:r w:rsidR="009A0F1C" w:rsidRPr="0076669D">
        <w:t xml:space="preserve"> and </w:t>
      </w:r>
      <w:r w:rsidR="00624633" w:rsidRPr="0076669D">
        <w:t xml:space="preserve">the </w:t>
      </w:r>
      <w:r w:rsidR="00CB181C" w:rsidRPr="0076669D">
        <w:t>overs</w:t>
      </w:r>
      <w:r w:rsidR="009A0F1C" w:rsidRPr="0076669D">
        <w:t xml:space="preserve">pend </w:t>
      </w:r>
      <w:r w:rsidR="00624633" w:rsidRPr="0076669D">
        <w:t>in supplies and services</w:t>
      </w:r>
      <w:r w:rsidR="00CB181C" w:rsidRPr="0076669D">
        <w:t xml:space="preserve"> £0.2m</w:t>
      </w:r>
      <w:r w:rsidR="009A0F1C" w:rsidRPr="0076669D">
        <w:t>.</w:t>
      </w:r>
      <w:r w:rsidR="00624633" w:rsidRPr="0076669D">
        <w:t xml:space="preserve"> </w:t>
      </w:r>
      <w:r w:rsidR="007F6BE6" w:rsidRPr="0076669D">
        <w:t xml:space="preserve">With the </w:t>
      </w:r>
      <w:r w:rsidR="00624633" w:rsidRPr="0076669D">
        <w:t>drive to raise investigative standards, O</w:t>
      </w:r>
      <w:r w:rsidR="0039677E" w:rsidRPr="0076669D">
        <w:t>p</w:t>
      </w:r>
      <w:r w:rsidR="00624633" w:rsidRPr="0076669D">
        <w:t xml:space="preserve"> S</w:t>
      </w:r>
      <w:r w:rsidR="0039677E" w:rsidRPr="0076669D">
        <w:t>herborne</w:t>
      </w:r>
      <w:r w:rsidR="00624633" w:rsidRPr="0076669D">
        <w:t xml:space="preserve">, is forecast to create an over </w:t>
      </w:r>
      <w:r w:rsidR="00A33697" w:rsidRPr="0076669D">
        <w:t>s</w:t>
      </w:r>
      <w:r w:rsidR="00624633" w:rsidRPr="0076669D">
        <w:t>pend in agency of £0.</w:t>
      </w:r>
      <w:r w:rsidR="00CB181C" w:rsidRPr="0076669D">
        <w:t>6</w:t>
      </w:r>
      <w:r w:rsidR="00624633" w:rsidRPr="0076669D">
        <w:t>m.</w:t>
      </w:r>
    </w:p>
    <w:p w:rsidR="009624B4" w:rsidRPr="0076669D" w:rsidRDefault="00624633" w:rsidP="00251560">
      <w:pPr>
        <w:pStyle w:val="ListParagraph"/>
        <w:numPr>
          <w:ilvl w:val="2"/>
          <w:numId w:val="9"/>
        </w:numPr>
        <w:tabs>
          <w:tab w:val="clear" w:pos="2160"/>
        </w:tabs>
        <w:ind w:left="2127" w:hanging="709"/>
        <w:jc w:val="both"/>
      </w:pPr>
      <w:r w:rsidRPr="0076669D">
        <w:t>Specialist Crime Collaboration: the</w:t>
      </w:r>
      <w:r w:rsidR="009F18C8" w:rsidRPr="0076669D">
        <w:t xml:space="preserve"> forecast </w:t>
      </w:r>
      <w:r w:rsidRPr="0076669D">
        <w:t xml:space="preserve">is </w:t>
      </w:r>
      <w:r w:rsidR="009F18C8" w:rsidRPr="0076669D">
        <w:t xml:space="preserve">to </w:t>
      </w:r>
      <w:r w:rsidR="000D4D37" w:rsidRPr="0076669D">
        <w:t>underspend by £0.</w:t>
      </w:r>
      <w:r w:rsidR="004B2820" w:rsidRPr="0076669D">
        <w:t>3</w:t>
      </w:r>
      <w:r w:rsidR="000D4D37" w:rsidRPr="0076669D">
        <w:t xml:space="preserve">m </w:t>
      </w:r>
      <w:r w:rsidR="009F18C8" w:rsidRPr="0076669D">
        <w:t xml:space="preserve">for the year. The most significant variance is </w:t>
      </w:r>
      <w:r w:rsidR="00856EA7" w:rsidRPr="0076669D">
        <w:t xml:space="preserve">from police </w:t>
      </w:r>
      <w:r w:rsidR="002D56B8" w:rsidRPr="0076669D">
        <w:t xml:space="preserve">officers </w:t>
      </w:r>
      <w:r w:rsidR="00400997" w:rsidRPr="0076669D">
        <w:t>£</w:t>
      </w:r>
      <w:r w:rsidR="009F18C8" w:rsidRPr="0076669D">
        <w:t>0.</w:t>
      </w:r>
      <w:r w:rsidR="004B2820" w:rsidRPr="0076669D">
        <w:t>1</w:t>
      </w:r>
      <w:r w:rsidR="00400997" w:rsidRPr="0076669D">
        <w:t>m</w:t>
      </w:r>
      <w:r w:rsidR="009F18C8" w:rsidRPr="0076669D">
        <w:t xml:space="preserve"> </w:t>
      </w:r>
      <w:r w:rsidR="002D56B8" w:rsidRPr="0076669D">
        <w:t xml:space="preserve">and police staff </w:t>
      </w:r>
      <w:r w:rsidR="009A0F1C" w:rsidRPr="0076669D">
        <w:t>£0.</w:t>
      </w:r>
      <w:r w:rsidR="0076669D" w:rsidRPr="0076669D">
        <w:t>4</w:t>
      </w:r>
      <w:r w:rsidR="009A0F1C" w:rsidRPr="0076669D">
        <w:t xml:space="preserve">m </w:t>
      </w:r>
      <w:r w:rsidR="00856EA7" w:rsidRPr="0076669D">
        <w:t>due to the</w:t>
      </w:r>
      <w:r w:rsidR="00E97428" w:rsidRPr="0076669D">
        <w:t xml:space="preserve"> </w:t>
      </w:r>
      <w:r w:rsidR="00856EA7" w:rsidRPr="0076669D">
        <w:t>high level of vacancies within the command.</w:t>
      </w:r>
      <w:r w:rsidR="00400997" w:rsidRPr="0076669D">
        <w:t xml:space="preserve"> </w:t>
      </w:r>
      <w:r w:rsidR="002D56B8" w:rsidRPr="0076669D">
        <w:t>T</w:t>
      </w:r>
      <w:r w:rsidR="00400997" w:rsidRPr="0076669D">
        <w:t xml:space="preserve">hese are </w:t>
      </w:r>
      <w:r w:rsidR="002D56B8" w:rsidRPr="0076669D">
        <w:t xml:space="preserve">both </w:t>
      </w:r>
      <w:r w:rsidR="00400997" w:rsidRPr="0076669D">
        <w:t xml:space="preserve">tempered by overspends </w:t>
      </w:r>
      <w:r w:rsidR="009624B4" w:rsidRPr="0076669D">
        <w:t xml:space="preserve">in </w:t>
      </w:r>
      <w:r w:rsidR="002D56B8" w:rsidRPr="0076669D">
        <w:t xml:space="preserve">Officer overtime and in </w:t>
      </w:r>
      <w:r w:rsidR="009624B4" w:rsidRPr="0076669D">
        <w:t>Supplies of</w:t>
      </w:r>
      <w:r w:rsidR="009F18C8" w:rsidRPr="0076669D">
        <w:t xml:space="preserve"> £0.</w:t>
      </w:r>
      <w:r w:rsidR="009A0F1C" w:rsidRPr="0076669D">
        <w:t>2</w:t>
      </w:r>
      <w:r w:rsidR="009F18C8" w:rsidRPr="0076669D">
        <w:t>m rel</w:t>
      </w:r>
      <w:r w:rsidR="00C83201" w:rsidRPr="0076669D">
        <w:t>a</w:t>
      </w:r>
      <w:r w:rsidR="009F18C8" w:rsidRPr="0076669D">
        <w:t xml:space="preserve">ting to </w:t>
      </w:r>
      <w:r w:rsidR="009624B4" w:rsidRPr="0076669D">
        <w:t xml:space="preserve">the aligning </w:t>
      </w:r>
      <w:r w:rsidRPr="0076669D">
        <w:t xml:space="preserve">of costs between Surrey and </w:t>
      </w:r>
      <w:r w:rsidR="009624B4" w:rsidRPr="0076669D">
        <w:t>Sussex.</w:t>
      </w:r>
    </w:p>
    <w:p w:rsidR="0039677E" w:rsidRPr="002A6429" w:rsidRDefault="00DE64BB" w:rsidP="00251560">
      <w:pPr>
        <w:pStyle w:val="ListParagraph"/>
        <w:numPr>
          <w:ilvl w:val="2"/>
          <w:numId w:val="9"/>
        </w:numPr>
        <w:tabs>
          <w:tab w:val="clear" w:pos="2160"/>
        </w:tabs>
        <w:ind w:left="2127" w:hanging="709"/>
        <w:jc w:val="both"/>
      </w:pPr>
      <w:r w:rsidRPr="002A6429">
        <w:t>Operations</w:t>
      </w:r>
      <w:r w:rsidR="00624633" w:rsidRPr="002A6429">
        <w:t xml:space="preserve"> Non Collaborated</w:t>
      </w:r>
      <w:r w:rsidRPr="002A6429">
        <w:t>:</w:t>
      </w:r>
      <w:r w:rsidR="00856EA7" w:rsidRPr="002A6429">
        <w:t xml:space="preserve"> </w:t>
      </w:r>
      <w:r w:rsidR="008A5E34" w:rsidRPr="002A6429">
        <w:rPr>
          <w:bCs/>
        </w:rPr>
        <w:t>The forecast is an under spend of £0.</w:t>
      </w:r>
      <w:r w:rsidR="006441A7" w:rsidRPr="002A6429">
        <w:rPr>
          <w:bCs/>
        </w:rPr>
        <w:t>4</w:t>
      </w:r>
      <w:r w:rsidR="008A5E34" w:rsidRPr="002A6429">
        <w:rPr>
          <w:bCs/>
        </w:rPr>
        <w:t>m which is net of over spends on police officer salary</w:t>
      </w:r>
      <w:r w:rsidR="003D4337" w:rsidRPr="002A6429">
        <w:rPr>
          <w:bCs/>
        </w:rPr>
        <w:t xml:space="preserve"> £0.</w:t>
      </w:r>
      <w:r w:rsidR="006441A7" w:rsidRPr="002A6429">
        <w:rPr>
          <w:bCs/>
        </w:rPr>
        <w:t>3</w:t>
      </w:r>
      <w:r w:rsidR="003D4337" w:rsidRPr="002A6429">
        <w:rPr>
          <w:bCs/>
        </w:rPr>
        <w:t>m</w:t>
      </w:r>
      <w:r w:rsidR="008A5E34" w:rsidRPr="002A6429">
        <w:rPr>
          <w:bCs/>
        </w:rPr>
        <w:t>, police officer overtime</w:t>
      </w:r>
      <w:r w:rsidR="003D4337" w:rsidRPr="002A6429">
        <w:rPr>
          <w:bCs/>
        </w:rPr>
        <w:t xml:space="preserve"> £0.</w:t>
      </w:r>
      <w:r w:rsidR="009A0F1C" w:rsidRPr="002A6429">
        <w:rPr>
          <w:bCs/>
        </w:rPr>
        <w:t>4</w:t>
      </w:r>
      <w:r w:rsidR="003D4337" w:rsidRPr="002A6429">
        <w:rPr>
          <w:bCs/>
        </w:rPr>
        <w:t xml:space="preserve">m, </w:t>
      </w:r>
      <w:r w:rsidR="008A5E34" w:rsidRPr="002A6429">
        <w:rPr>
          <w:bCs/>
        </w:rPr>
        <w:t>police staff salaries</w:t>
      </w:r>
      <w:r w:rsidR="003D4337" w:rsidRPr="002A6429">
        <w:rPr>
          <w:bCs/>
        </w:rPr>
        <w:t xml:space="preserve"> £0.2m</w:t>
      </w:r>
      <w:r w:rsidR="008A5E34" w:rsidRPr="002A6429">
        <w:rPr>
          <w:bCs/>
        </w:rPr>
        <w:t xml:space="preserve"> and supplies &amp; services </w:t>
      </w:r>
      <w:r w:rsidR="003D4337" w:rsidRPr="002A6429">
        <w:rPr>
          <w:bCs/>
        </w:rPr>
        <w:t>£</w:t>
      </w:r>
      <w:r w:rsidR="006441A7" w:rsidRPr="002A6429">
        <w:rPr>
          <w:bCs/>
        </w:rPr>
        <w:t>1.3</w:t>
      </w:r>
      <w:r w:rsidR="003D4337" w:rsidRPr="002A6429">
        <w:rPr>
          <w:bCs/>
        </w:rPr>
        <w:t xml:space="preserve">m. These are </w:t>
      </w:r>
      <w:r w:rsidR="008A5E34" w:rsidRPr="002A6429">
        <w:rPr>
          <w:bCs/>
        </w:rPr>
        <w:t>covered by an excess of income recovered</w:t>
      </w:r>
      <w:r w:rsidR="006441A7" w:rsidRPr="002A6429">
        <w:rPr>
          <w:bCs/>
        </w:rPr>
        <w:t xml:space="preserve"> (£2.4m)</w:t>
      </w:r>
      <w:r w:rsidR="008A5E34" w:rsidRPr="002A6429">
        <w:rPr>
          <w:bCs/>
        </w:rPr>
        <w:t>, a significant portion of which is from the camera safety partnership</w:t>
      </w:r>
      <w:r w:rsidR="003D4337" w:rsidRPr="002A6429">
        <w:rPr>
          <w:bCs/>
        </w:rPr>
        <w:t xml:space="preserve"> and charges relating to Gatwick reclaimed from Sussex</w:t>
      </w:r>
      <w:r w:rsidR="008A5E34" w:rsidRPr="002A6429">
        <w:rPr>
          <w:bCs/>
        </w:rPr>
        <w:t>.</w:t>
      </w:r>
      <w:r w:rsidR="00624633" w:rsidRPr="002A6429">
        <w:rPr>
          <w:bCs/>
        </w:rPr>
        <w:t xml:space="preserve"> There </w:t>
      </w:r>
      <w:r w:rsidR="003D4337" w:rsidRPr="002A6429">
        <w:rPr>
          <w:bCs/>
        </w:rPr>
        <w:t xml:space="preserve">is </w:t>
      </w:r>
      <w:r w:rsidR="00624633" w:rsidRPr="002A6429">
        <w:rPr>
          <w:bCs/>
        </w:rPr>
        <w:t xml:space="preserve">income that </w:t>
      </w:r>
      <w:r w:rsidR="000B1FF5" w:rsidRPr="002A6429">
        <w:rPr>
          <w:bCs/>
        </w:rPr>
        <w:t xml:space="preserve">is attributable </w:t>
      </w:r>
      <w:r w:rsidR="00624633" w:rsidRPr="002A6429">
        <w:rPr>
          <w:bCs/>
        </w:rPr>
        <w:t xml:space="preserve">to </w:t>
      </w:r>
      <w:smartTag w:uri="urn:schemas-microsoft-com:office:smarttags" w:element="place">
        <w:r w:rsidR="00624633" w:rsidRPr="002A6429">
          <w:rPr>
            <w:bCs/>
          </w:rPr>
          <w:t>Surrey</w:t>
        </w:r>
      </w:smartTag>
      <w:r w:rsidR="00624633" w:rsidRPr="002A6429">
        <w:rPr>
          <w:bCs/>
        </w:rPr>
        <w:t xml:space="preserve"> only operations such as the Epsom Derby and Magna Carta. </w:t>
      </w:r>
      <w:r w:rsidR="003D4337" w:rsidRPr="002A6429">
        <w:rPr>
          <w:bCs/>
        </w:rPr>
        <w:t xml:space="preserve">The </w:t>
      </w:r>
      <w:proofErr w:type="spellStart"/>
      <w:r w:rsidR="003D4337" w:rsidRPr="002A6429">
        <w:rPr>
          <w:bCs/>
        </w:rPr>
        <w:t>non collaborative</w:t>
      </w:r>
      <w:proofErr w:type="spellEnd"/>
      <w:r w:rsidR="003D4337" w:rsidRPr="002A6429">
        <w:rPr>
          <w:bCs/>
        </w:rPr>
        <w:t xml:space="preserve"> departments that form </w:t>
      </w:r>
      <w:r w:rsidR="00E74808" w:rsidRPr="002A6429">
        <w:rPr>
          <w:bCs/>
        </w:rPr>
        <w:t xml:space="preserve">the main part of </w:t>
      </w:r>
      <w:r w:rsidR="003D4337" w:rsidRPr="002A6429">
        <w:rPr>
          <w:bCs/>
        </w:rPr>
        <w:t xml:space="preserve">this side of the Operations Command include Safety Camera Partnership, Protection Group and charges relating to Gatwick reclaimed from </w:t>
      </w:r>
      <w:smartTag w:uri="urn:schemas-microsoft-com:office:smarttags" w:element="country-region">
        <w:smartTag w:uri="urn:schemas-microsoft-com:office:smarttags" w:element="place">
          <w:r w:rsidR="003D4337" w:rsidRPr="002A6429">
            <w:rPr>
              <w:bCs/>
            </w:rPr>
            <w:t>Sussex</w:t>
          </w:r>
        </w:smartTag>
      </w:smartTag>
      <w:r w:rsidR="003D4337" w:rsidRPr="002A6429">
        <w:rPr>
          <w:bCs/>
        </w:rPr>
        <w:t>.</w:t>
      </w:r>
    </w:p>
    <w:p w:rsidR="003629AB" w:rsidRPr="002A6429" w:rsidRDefault="0039677E" w:rsidP="00251560">
      <w:pPr>
        <w:pStyle w:val="ListParagraph"/>
        <w:numPr>
          <w:ilvl w:val="2"/>
          <w:numId w:val="9"/>
        </w:numPr>
        <w:tabs>
          <w:tab w:val="clear" w:pos="2160"/>
        </w:tabs>
        <w:ind w:left="2127" w:hanging="709"/>
        <w:jc w:val="both"/>
      </w:pPr>
      <w:r w:rsidRPr="002A6429">
        <w:rPr>
          <w:bCs/>
        </w:rPr>
        <w:t xml:space="preserve">Operations </w:t>
      </w:r>
      <w:r w:rsidR="00E040DC" w:rsidRPr="002A6429">
        <w:rPr>
          <w:bCs/>
        </w:rPr>
        <w:t>Collaborated: The</w:t>
      </w:r>
      <w:r w:rsidR="00624633" w:rsidRPr="002A6429">
        <w:rPr>
          <w:bCs/>
        </w:rPr>
        <w:t xml:space="preserve"> </w:t>
      </w:r>
      <w:r w:rsidRPr="002A6429">
        <w:rPr>
          <w:bCs/>
        </w:rPr>
        <w:t>forecast is an under spend of £0.</w:t>
      </w:r>
      <w:r w:rsidR="00DF22A7" w:rsidRPr="002A6429">
        <w:rPr>
          <w:bCs/>
        </w:rPr>
        <w:t>7</w:t>
      </w:r>
      <w:r w:rsidRPr="002A6429">
        <w:rPr>
          <w:bCs/>
        </w:rPr>
        <w:t xml:space="preserve">m arising from </w:t>
      </w:r>
      <w:r w:rsidR="00970E96" w:rsidRPr="002A6429">
        <w:rPr>
          <w:bCs/>
        </w:rPr>
        <w:t>under spends in police officer salary</w:t>
      </w:r>
      <w:r w:rsidR="003629AB" w:rsidRPr="002A6429">
        <w:rPr>
          <w:bCs/>
        </w:rPr>
        <w:t xml:space="preserve"> £</w:t>
      </w:r>
      <w:r w:rsidR="00DF22A7" w:rsidRPr="002A6429">
        <w:rPr>
          <w:bCs/>
        </w:rPr>
        <w:t>1</w:t>
      </w:r>
      <w:r w:rsidR="003629AB" w:rsidRPr="002A6429">
        <w:rPr>
          <w:bCs/>
        </w:rPr>
        <w:t>.</w:t>
      </w:r>
      <w:r w:rsidR="00DF22A7" w:rsidRPr="002A6429">
        <w:rPr>
          <w:bCs/>
        </w:rPr>
        <w:t>0m</w:t>
      </w:r>
      <w:r w:rsidR="00E74808" w:rsidRPr="002A6429">
        <w:rPr>
          <w:bCs/>
        </w:rPr>
        <w:t xml:space="preserve">, </w:t>
      </w:r>
      <w:r w:rsidR="0089792D" w:rsidRPr="002A6429">
        <w:rPr>
          <w:bCs/>
        </w:rPr>
        <w:t>police staff salary</w:t>
      </w:r>
      <w:r w:rsidR="00970E96" w:rsidRPr="002A6429">
        <w:rPr>
          <w:bCs/>
        </w:rPr>
        <w:t xml:space="preserve"> </w:t>
      </w:r>
      <w:r w:rsidR="00E74808" w:rsidRPr="002A6429">
        <w:rPr>
          <w:bCs/>
        </w:rPr>
        <w:t xml:space="preserve">underspend of </w:t>
      </w:r>
      <w:r w:rsidR="003629AB" w:rsidRPr="002A6429">
        <w:rPr>
          <w:bCs/>
        </w:rPr>
        <w:t xml:space="preserve">£0.1m </w:t>
      </w:r>
      <w:r w:rsidR="00970E96" w:rsidRPr="002A6429">
        <w:rPr>
          <w:bCs/>
        </w:rPr>
        <w:t xml:space="preserve">and </w:t>
      </w:r>
      <w:r w:rsidR="00E74808" w:rsidRPr="002A6429">
        <w:rPr>
          <w:bCs/>
        </w:rPr>
        <w:t xml:space="preserve">in </w:t>
      </w:r>
      <w:r w:rsidR="00970E96" w:rsidRPr="002A6429">
        <w:rPr>
          <w:bCs/>
        </w:rPr>
        <w:t xml:space="preserve">supplies </w:t>
      </w:r>
      <w:r w:rsidR="003629AB" w:rsidRPr="002A6429">
        <w:rPr>
          <w:bCs/>
        </w:rPr>
        <w:t>£0.</w:t>
      </w:r>
      <w:r w:rsidR="009C5AE3" w:rsidRPr="002A6429">
        <w:rPr>
          <w:bCs/>
        </w:rPr>
        <w:t>3</w:t>
      </w:r>
      <w:r w:rsidR="003629AB" w:rsidRPr="002A6429">
        <w:rPr>
          <w:bCs/>
        </w:rPr>
        <w:t xml:space="preserve">m </w:t>
      </w:r>
      <w:r w:rsidR="009C5AE3" w:rsidRPr="002A6429">
        <w:rPr>
          <w:bCs/>
        </w:rPr>
        <w:t xml:space="preserve">and training £0.1m. These are </w:t>
      </w:r>
      <w:r w:rsidR="00970E96" w:rsidRPr="002A6429">
        <w:rPr>
          <w:bCs/>
        </w:rPr>
        <w:t>offset by the cost share alignment between Surrey and Sussex shown in income</w:t>
      </w:r>
      <w:r w:rsidR="00A75ADD" w:rsidRPr="002A6429">
        <w:rPr>
          <w:bCs/>
        </w:rPr>
        <w:t xml:space="preserve"> of</w:t>
      </w:r>
      <w:r w:rsidR="003629AB" w:rsidRPr="002A6429">
        <w:rPr>
          <w:bCs/>
        </w:rPr>
        <w:t xml:space="preserve"> £0.</w:t>
      </w:r>
      <w:r w:rsidR="009C5AE3" w:rsidRPr="002A6429">
        <w:rPr>
          <w:bCs/>
        </w:rPr>
        <w:t>8</w:t>
      </w:r>
      <w:r w:rsidR="003629AB" w:rsidRPr="002A6429">
        <w:rPr>
          <w:bCs/>
        </w:rPr>
        <w:t>m.</w:t>
      </w:r>
      <w:r w:rsidR="00E74808" w:rsidRPr="002A6429">
        <w:rPr>
          <w:bCs/>
        </w:rPr>
        <w:t xml:space="preserve"> </w:t>
      </w:r>
    </w:p>
    <w:p w:rsidR="008E570B" w:rsidRPr="00465FBA" w:rsidRDefault="008E570B" w:rsidP="00251560">
      <w:pPr>
        <w:pStyle w:val="ListParagraph"/>
        <w:numPr>
          <w:ilvl w:val="2"/>
          <w:numId w:val="9"/>
        </w:numPr>
        <w:tabs>
          <w:tab w:val="clear" w:pos="2160"/>
        </w:tabs>
        <w:ind w:left="2127" w:hanging="709"/>
        <w:jc w:val="both"/>
      </w:pPr>
      <w:r w:rsidRPr="00465FBA">
        <w:rPr>
          <w:bCs/>
        </w:rPr>
        <w:t xml:space="preserve"> Probationers: </w:t>
      </w:r>
      <w:r w:rsidR="000B1FF5" w:rsidRPr="00465FBA">
        <w:rPr>
          <w:bCs/>
        </w:rPr>
        <w:t>P</w:t>
      </w:r>
      <w:r w:rsidRPr="00465FBA">
        <w:rPr>
          <w:bCs/>
        </w:rPr>
        <w:t>robationers</w:t>
      </w:r>
      <w:r w:rsidR="000B1FF5" w:rsidRPr="00465FBA">
        <w:rPr>
          <w:bCs/>
        </w:rPr>
        <w:t xml:space="preserve"> are now shown </w:t>
      </w:r>
      <w:r w:rsidRPr="00465FBA">
        <w:rPr>
          <w:bCs/>
        </w:rPr>
        <w:t>separately and there is a</w:t>
      </w:r>
      <w:r w:rsidR="00A44A08" w:rsidRPr="00465FBA">
        <w:rPr>
          <w:bCs/>
        </w:rPr>
        <w:t xml:space="preserve"> forecast </w:t>
      </w:r>
      <w:r w:rsidRPr="00465FBA">
        <w:rPr>
          <w:bCs/>
        </w:rPr>
        <w:t xml:space="preserve">over establishment of approximately 12 </w:t>
      </w:r>
      <w:r w:rsidR="00A44A08" w:rsidRPr="00465FBA">
        <w:rPr>
          <w:bCs/>
        </w:rPr>
        <w:t>officers in the year</w:t>
      </w:r>
      <w:r w:rsidRPr="00465FBA">
        <w:rPr>
          <w:bCs/>
        </w:rPr>
        <w:t>. However this is offset by variances across the force to which Probationers will move on completion of their early stages of training.</w:t>
      </w:r>
    </w:p>
    <w:p w:rsidR="00D364F9" w:rsidRPr="00465FBA" w:rsidRDefault="00FC6F65" w:rsidP="00251560">
      <w:pPr>
        <w:pStyle w:val="ListParagraph"/>
        <w:numPr>
          <w:ilvl w:val="2"/>
          <w:numId w:val="9"/>
        </w:numPr>
        <w:tabs>
          <w:tab w:val="clear" w:pos="2160"/>
        </w:tabs>
        <w:ind w:left="2127" w:hanging="709"/>
        <w:jc w:val="both"/>
      </w:pPr>
      <w:r w:rsidRPr="00465FBA">
        <w:t xml:space="preserve">Contact &amp; Deployment: </w:t>
      </w:r>
      <w:r w:rsidR="006B57C4" w:rsidRPr="00465FBA">
        <w:t>There is a</w:t>
      </w:r>
      <w:r w:rsidR="000A09AF" w:rsidRPr="00465FBA">
        <w:t xml:space="preserve"> forecast overspend </w:t>
      </w:r>
      <w:r w:rsidR="004A00B4" w:rsidRPr="00465FBA">
        <w:t xml:space="preserve">for the year </w:t>
      </w:r>
      <w:r w:rsidR="00244725" w:rsidRPr="00465FBA">
        <w:t>of £0.</w:t>
      </w:r>
      <w:r w:rsidR="00216AEF" w:rsidRPr="00465FBA">
        <w:t>1</w:t>
      </w:r>
      <w:r w:rsidR="00244725" w:rsidRPr="00465FBA">
        <w:t>m</w:t>
      </w:r>
      <w:r w:rsidR="006B57C4" w:rsidRPr="00465FBA">
        <w:t>. P</w:t>
      </w:r>
      <w:r w:rsidR="004A00B4" w:rsidRPr="00465FBA">
        <w:t xml:space="preserve">olice </w:t>
      </w:r>
      <w:r w:rsidR="00216AEF" w:rsidRPr="00465FBA">
        <w:t>Officers</w:t>
      </w:r>
      <w:r w:rsidR="00244725" w:rsidRPr="00465FBA">
        <w:t xml:space="preserve"> </w:t>
      </w:r>
      <w:r w:rsidR="006B57C4" w:rsidRPr="00465FBA">
        <w:t xml:space="preserve">reflect an </w:t>
      </w:r>
      <w:r w:rsidR="00001FE6" w:rsidRPr="00465FBA">
        <w:t>overspend</w:t>
      </w:r>
      <w:r w:rsidR="006B57C4" w:rsidRPr="00465FBA">
        <w:t xml:space="preserve"> of </w:t>
      </w:r>
      <w:r w:rsidR="00244725" w:rsidRPr="00465FBA">
        <w:t>£0.</w:t>
      </w:r>
      <w:r w:rsidR="00216AEF" w:rsidRPr="00465FBA">
        <w:t>6</w:t>
      </w:r>
      <w:r w:rsidR="00244725" w:rsidRPr="00465FBA">
        <w:t>m</w:t>
      </w:r>
      <w:r w:rsidR="00216AEF" w:rsidRPr="00465FBA">
        <w:t>.</w:t>
      </w:r>
      <w:r w:rsidR="00B61B83" w:rsidRPr="00465FBA">
        <w:t xml:space="preserve"> </w:t>
      </w:r>
      <w:r w:rsidR="00864119" w:rsidRPr="00465FBA">
        <w:t>Of this overspend £0.4m relates to PCs seconded into Contact for the Hear and Solve project</w:t>
      </w:r>
      <w:r w:rsidR="00CE00AC" w:rsidRPr="00465FBA">
        <w:t xml:space="preserve"> while t</w:t>
      </w:r>
      <w:r w:rsidR="00864119" w:rsidRPr="00465FBA">
        <w:t xml:space="preserve">he remaining balance relates to the unfunded </w:t>
      </w:r>
      <w:proofErr w:type="spellStart"/>
      <w:r w:rsidR="00864119" w:rsidRPr="00465FBA">
        <w:t>Ch</w:t>
      </w:r>
      <w:proofErr w:type="spellEnd"/>
      <w:r w:rsidR="00864119" w:rsidRPr="00465FBA">
        <w:t>/Inspector, Inspector and Sergeant posts employed to cover projects within the command</w:t>
      </w:r>
      <w:r w:rsidR="00CE00AC" w:rsidRPr="00465FBA">
        <w:t>, some of which can be set off against innovation funding.</w:t>
      </w:r>
      <w:r w:rsidR="00EC6A43" w:rsidRPr="00465FBA">
        <w:t xml:space="preserve"> </w:t>
      </w:r>
      <w:r w:rsidR="00000D30" w:rsidRPr="00465FBA">
        <w:t xml:space="preserve">There </w:t>
      </w:r>
      <w:r w:rsidR="000B1FF5" w:rsidRPr="00465FBA">
        <w:t xml:space="preserve">are </w:t>
      </w:r>
      <w:r w:rsidR="00000D30" w:rsidRPr="00465FBA">
        <w:t>underspend</w:t>
      </w:r>
      <w:r w:rsidR="000B1FF5" w:rsidRPr="00465FBA">
        <w:t>s</w:t>
      </w:r>
      <w:r w:rsidR="00000D30" w:rsidRPr="00465FBA">
        <w:t xml:space="preserve"> in staff overtime</w:t>
      </w:r>
      <w:r w:rsidR="000B1FF5" w:rsidRPr="00465FBA">
        <w:t xml:space="preserve"> £0.1m and in supplies and services £0.2m and </w:t>
      </w:r>
      <w:r w:rsidR="00000D30" w:rsidRPr="00465FBA">
        <w:t xml:space="preserve">the </w:t>
      </w:r>
      <w:proofErr w:type="spellStart"/>
      <w:r w:rsidR="00244725" w:rsidRPr="00465FBA">
        <w:rPr>
          <w:rFonts w:asciiTheme="minorHAnsi" w:hAnsiTheme="minorHAnsi" w:cstheme="minorHAnsi"/>
        </w:rPr>
        <w:t>Bluelight</w:t>
      </w:r>
      <w:proofErr w:type="spellEnd"/>
      <w:r w:rsidR="00244725" w:rsidRPr="00465FBA">
        <w:rPr>
          <w:rFonts w:asciiTheme="minorHAnsi" w:hAnsiTheme="minorHAnsi" w:cstheme="minorHAnsi"/>
        </w:rPr>
        <w:t xml:space="preserve"> project is incor</w:t>
      </w:r>
      <w:r w:rsidR="00E05DDA" w:rsidRPr="00465FBA">
        <w:rPr>
          <w:rFonts w:asciiTheme="minorHAnsi" w:hAnsiTheme="minorHAnsi" w:cstheme="minorHAnsi"/>
        </w:rPr>
        <w:t xml:space="preserve">porated in these figures </w:t>
      </w:r>
      <w:r w:rsidR="00BF72DA" w:rsidRPr="00465FBA">
        <w:rPr>
          <w:rFonts w:asciiTheme="minorHAnsi" w:hAnsiTheme="minorHAnsi" w:cstheme="minorHAnsi"/>
        </w:rPr>
        <w:t xml:space="preserve">which </w:t>
      </w:r>
      <w:r w:rsidR="00E05DDA" w:rsidRPr="00465FBA">
        <w:rPr>
          <w:rFonts w:asciiTheme="minorHAnsi" w:hAnsiTheme="minorHAnsi" w:cstheme="minorHAnsi"/>
        </w:rPr>
        <w:t>expenditure is matched by grant funding.</w:t>
      </w:r>
      <w:r w:rsidR="00B61B83" w:rsidRPr="00465FBA">
        <w:t xml:space="preserve"> </w:t>
      </w:r>
    </w:p>
    <w:p w:rsidR="00970E96" w:rsidRPr="00465FBA" w:rsidRDefault="00970E96" w:rsidP="00251560">
      <w:pPr>
        <w:pStyle w:val="ListParagraph"/>
        <w:numPr>
          <w:ilvl w:val="2"/>
          <w:numId w:val="9"/>
        </w:numPr>
        <w:tabs>
          <w:tab w:val="clear" w:pos="2160"/>
        </w:tabs>
        <w:ind w:left="2127" w:hanging="709"/>
        <w:jc w:val="both"/>
      </w:pPr>
      <w:r w:rsidRPr="00465FBA">
        <w:lastRenderedPageBreak/>
        <w:t xml:space="preserve">Criminal Justice: The </w:t>
      </w:r>
      <w:r w:rsidR="00E040DC" w:rsidRPr="00465FBA">
        <w:t>forecast</w:t>
      </w:r>
      <w:r w:rsidRPr="00465FBA">
        <w:t xml:space="preserve"> is for a £0.</w:t>
      </w:r>
      <w:r w:rsidR="00E624FF" w:rsidRPr="00465FBA">
        <w:t>6</w:t>
      </w:r>
      <w:r w:rsidRPr="00465FBA">
        <w:t xml:space="preserve">m over spend predominantly due </w:t>
      </w:r>
      <w:r w:rsidR="00603703" w:rsidRPr="00465FBA">
        <w:t xml:space="preserve">to police officer salary over spend arising </w:t>
      </w:r>
      <w:r w:rsidR="00E2222A" w:rsidRPr="00465FBA">
        <w:t xml:space="preserve">in </w:t>
      </w:r>
      <w:r w:rsidR="00603703" w:rsidRPr="00465FBA">
        <w:t xml:space="preserve">custody being over for both </w:t>
      </w:r>
      <w:r w:rsidR="00F1552D" w:rsidRPr="00465FBA">
        <w:t xml:space="preserve">additional </w:t>
      </w:r>
      <w:r w:rsidR="00603703" w:rsidRPr="00465FBA">
        <w:t xml:space="preserve">Constables and </w:t>
      </w:r>
      <w:r w:rsidR="009D289F" w:rsidRPr="00465FBA">
        <w:t xml:space="preserve">for the move of sergeants from divisions into Custody as a result of the death in </w:t>
      </w:r>
      <w:r w:rsidR="00F1552D" w:rsidRPr="00465FBA">
        <w:t>custody operation.</w:t>
      </w:r>
    </w:p>
    <w:p w:rsidR="00A56D58" w:rsidRPr="00465FBA" w:rsidRDefault="00DE64BB" w:rsidP="00251560">
      <w:pPr>
        <w:pStyle w:val="ListParagraph"/>
        <w:numPr>
          <w:ilvl w:val="2"/>
          <w:numId w:val="9"/>
        </w:numPr>
        <w:tabs>
          <w:tab w:val="clear" w:pos="2160"/>
        </w:tabs>
        <w:ind w:left="2127" w:hanging="709"/>
        <w:jc w:val="both"/>
      </w:pPr>
      <w:r w:rsidRPr="00465FBA">
        <w:t>ACPO</w:t>
      </w:r>
      <w:r w:rsidR="00483E94" w:rsidRPr="00465FBA">
        <w:t>:</w:t>
      </w:r>
      <w:r w:rsidR="00F321AC" w:rsidRPr="00465FBA">
        <w:t xml:space="preserve"> </w:t>
      </w:r>
      <w:r w:rsidR="0053367C" w:rsidRPr="00465FBA">
        <w:t xml:space="preserve">This forecast </w:t>
      </w:r>
      <w:r w:rsidR="00603703" w:rsidRPr="00465FBA">
        <w:t xml:space="preserve">is an </w:t>
      </w:r>
      <w:r w:rsidR="0053367C" w:rsidRPr="00465FBA">
        <w:t xml:space="preserve">overspend </w:t>
      </w:r>
      <w:r w:rsidR="00603703" w:rsidRPr="00465FBA">
        <w:t xml:space="preserve">of </w:t>
      </w:r>
      <w:r w:rsidR="0053367C" w:rsidRPr="00465FBA">
        <w:t>£</w:t>
      </w:r>
      <w:r w:rsidR="00B61B83" w:rsidRPr="00465FBA">
        <w:t>0.</w:t>
      </w:r>
      <w:r w:rsidR="00BF72DA" w:rsidRPr="00465FBA">
        <w:t>1</w:t>
      </w:r>
      <w:r w:rsidR="00B61B83" w:rsidRPr="00465FBA">
        <w:t>m</w:t>
      </w:r>
      <w:r w:rsidR="00603703" w:rsidRPr="00465FBA">
        <w:t xml:space="preserve">. This cost centre manages the JESIP and Op Heather </w:t>
      </w:r>
      <w:r w:rsidR="008E570B" w:rsidRPr="00465FBA">
        <w:t xml:space="preserve">legal </w:t>
      </w:r>
      <w:r w:rsidR="00603703" w:rsidRPr="00465FBA">
        <w:t xml:space="preserve">expenditure both of which are </w:t>
      </w:r>
      <w:r w:rsidR="00E040DC" w:rsidRPr="00465FBA">
        <w:t>recoverable</w:t>
      </w:r>
      <w:r w:rsidR="00603703" w:rsidRPr="00465FBA">
        <w:t xml:space="preserve">, the former from the Home </w:t>
      </w:r>
      <w:r w:rsidR="00E040DC" w:rsidRPr="00465FBA">
        <w:t>Office the</w:t>
      </w:r>
      <w:r w:rsidR="00603703" w:rsidRPr="00465FBA">
        <w:t xml:space="preserve"> latter from a specific reserve</w:t>
      </w:r>
      <w:r w:rsidR="000E24B5" w:rsidRPr="00465FBA">
        <w:t xml:space="preserve"> which is reflected in the income increase of £</w:t>
      </w:r>
      <w:r w:rsidR="00225AB5" w:rsidRPr="00465FBA">
        <w:t>1.0</w:t>
      </w:r>
      <w:r w:rsidR="000E24B5" w:rsidRPr="00465FBA">
        <w:t>m</w:t>
      </w:r>
      <w:r w:rsidR="00603703" w:rsidRPr="00465FBA">
        <w:t xml:space="preserve">. The underlying over spend </w:t>
      </w:r>
      <w:r w:rsidR="000E24B5" w:rsidRPr="00465FBA">
        <w:t xml:space="preserve">sets off the income increase and </w:t>
      </w:r>
      <w:r w:rsidR="00603703" w:rsidRPr="00465FBA">
        <w:t>is due to the staff office remaining over establishment</w:t>
      </w:r>
      <w:r w:rsidR="000E24B5" w:rsidRPr="00465FBA">
        <w:t xml:space="preserve"> £0.</w:t>
      </w:r>
      <w:r w:rsidR="00225AB5" w:rsidRPr="00465FBA">
        <w:t>5</w:t>
      </w:r>
      <w:r w:rsidR="000E24B5" w:rsidRPr="00465FBA">
        <w:t>m and Supplies of £0.4m</w:t>
      </w:r>
      <w:r w:rsidR="00603703" w:rsidRPr="00465FBA">
        <w:t>.</w:t>
      </w:r>
      <w:r w:rsidR="000E24B5" w:rsidRPr="00465FBA">
        <w:t xml:space="preserve"> </w:t>
      </w:r>
    </w:p>
    <w:p w:rsidR="00415A12" w:rsidRPr="00465FBA" w:rsidRDefault="00244725" w:rsidP="00251560">
      <w:pPr>
        <w:pStyle w:val="ListParagraph"/>
        <w:numPr>
          <w:ilvl w:val="2"/>
          <w:numId w:val="9"/>
        </w:numPr>
        <w:tabs>
          <w:tab w:val="clear" w:pos="2160"/>
        </w:tabs>
        <w:ind w:left="2127" w:hanging="709"/>
        <w:jc w:val="both"/>
      </w:pPr>
      <w:r w:rsidRPr="00465FBA">
        <w:t>DCC (</w:t>
      </w:r>
      <w:r w:rsidR="00701C6D" w:rsidRPr="00465FBA">
        <w:t>Communications &amp; Service Quality</w:t>
      </w:r>
      <w:r w:rsidRPr="00465FBA">
        <w:t>)</w:t>
      </w:r>
      <w:r w:rsidR="00D247A5" w:rsidRPr="00465FBA">
        <w:t xml:space="preserve">: </w:t>
      </w:r>
      <w:r w:rsidR="00D97008" w:rsidRPr="00465FBA">
        <w:t xml:space="preserve">The forecast </w:t>
      </w:r>
      <w:r w:rsidR="00603703" w:rsidRPr="00465FBA">
        <w:t xml:space="preserve">is an </w:t>
      </w:r>
      <w:r w:rsidR="00D97008" w:rsidRPr="00465FBA">
        <w:t>under</w:t>
      </w:r>
      <w:r w:rsidR="00603703" w:rsidRPr="00465FBA">
        <w:t xml:space="preserve"> </w:t>
      </w:r>
      <w:r w:rsidR="00D97008" w:rsidRPr="00465FBA">
        <w:t>spend of £0.</w:t>
      </w:r>
      <w:r w:rsidR="00DA71DA" w:rsidRPr="00465FBA">
        <w:t>5</w:t>
      </w:r>
      <w:r w:rsidR="00D97008" w:rsidRPr="00465FBA">
        <w:t>m, the majority of which £0.</w:t>
      </w:r>
      <w:r w:rsidR="00B07BA8" w:rsidRPr="00465FBA">
        <w:t>2</w:t>
      </w:r>
      <w:r w:rsidR="00D97008" w:rsidRPr="00465FBA">
        <w:t xml:space="preserve">m </w:t>
      </w:r>
      <w:r w:rsidR="00DA71DA" w:rsidRPr="00465FBA">
        <w:t xml:space="preserve">in staff pay </w:t>
      </w:r>
      <w:r w:rsidR="00D97008" w:rsidRPr="00465FBA">
        <w:t xml:space="preserve">is </w:t>
      </w:r>
      <w:r w:rsidR="005C3BD9" w:rsidRPr="00465FBA">
        <w:t>due to</w:t>
      </w:r>
      <w:r w:rsidR="00D97008" w:rsidRPr="00465FBA">
        <w:t xml:space="preserve"> vacancies in the department but </w:t>
      </w:r>
      <w:r w:rsidR="00B07BA8" w:rsidRPr="00465FBA">
        <w:t xml:space="preserve">which </w:t>
      </w:r>
      <w:r w:rsidR="00DA71DA" w:rsidRPr="00465FBA">
        <w:t xml:space="preserve">could </w:t>
      </w:r>
      <w:r w:rsidR="00A33697" w:rsidRPr="00465FBA">
        <w:t>r</w:t>
      </w:r>
      <w:r w:rsidR="00D97008" w:rsidRPr="00465FBA">
        <w:t xml:space="preserve">educe </w:t>
      </w:r>
      <w:r w:rsidR="00DA71DA" w:rsidRPr="00465FBA">
        <w:t xml:space="preserve">slightly </w:t>
      </w:r>
      <w:r w:rsidR="00D97008" w:rsidRPr="00465FBA">
        <w:t xml:space="preserve">over the </w:t>
      </w:r>
      <w:r w:rsidR="008E570B" w:rsidRPr="00465FBA">
        <w:t xml:space="preserve">remaining months </w:t>
      </w:r>
      <w:r w:rsidR="00B07BA8" w:rsidRPr="00465FBA">
        <w:t>as recruitment improves</w:t>
      </w:r>
      <w:r w:rsidR="00A76EC1" w:rsidRPr="00465FBA">
        <w:t xml:space="preserve">. </w:t>
      </w:r>
    </w:p>
    <w:p w:rsidR="00603703" w:rsidRPr="00465FBA" w:rsidRDefault="00DE64BB" w:rsidP="00251560">
      <w:pPr>
        <w:pStyle w:val="ListParagraph"/>
        <w:numPr>
          <w:ilvl w:val="2"/>
          <w:numId w:val="9"/>
        </w:numPr>
        <w:tabs>
          <w:tab w:val="clear" w:pos="2160"/>
        </w:tabs>
        <w:ind w:left="2127" w:hanging="709"/>
        <w:jc w:val="both"/>
      </w:pPr>
      <w:r w:rsidRPr="00465FBA">
        <w:t>PSD</w:t>
      </w:r>
      <w:r w:rsidR="002601DB" w:rsidRPr="00465FBA">
        <w:t xml:space="preserve">: </w:t>
      </w:r>
      <w:r w:rsidR="000E29BE" w:rsidRPr="00465FBA">
        <w:t xml:space="preserve">The </w:t>
      </w:r>
      <w:r w:rsidR="00A76EC1" w:rsidRPr="00465FBA">
        <w:t xml:space="preserve">forecast </w:t>
      </w:r>
      <w:r w:rsidR="00603703" w:rsidRPr="00465FBA">
        <w:t xml:space="preserve">is </w:t>
      </w:r>
      <w:r w:rsidR="00DA71DA" w:rsidRPr="00465FBA">
        <w:t xml:space="preserve">to break even over the year although there are individual variances </w:t>
      </w:r>
      <w:r w:rsidR="00A76EC1" w:rsidRPr="00465FBA">
        <w:t xml:space="preserve">in supplies </w:t>
      </w:r>
      <w:r w:rsidR="00DA71DA" w:rsidRPr="00465FBA">
        <w:t xml:space="preserve">being </w:t>
      </w:r>
      <w:r w:rsidR="00A76EC1" w:rsidRPr="00465FBA">
        <w:t>£0.</w:t>
      </w:r>
      <w:r w:rsidR="00DA71DA" w:rsidRPr="00465FBA">
        <w:t>1</w:t>
      </w:r>
      <w:r w:rsidR="00A76EC1" w:rsidRPr="00465FBA">
        <w:t>m</w:t>
      </w:r>
      <w:r w:rsidR="00DA71DA" w:rsidRPr="00465FBA">
        <w:t xml:space="preserve"> over. This is as a result of </w:t>
      </w:r>
      <w:r w:rsidR="00A76140" w:rsidRPr="00465FBA">
        <w:t xml:space="preserve">the </w:t>
      </w:r>
      <w:r w:rsidR="00A76EC1" w:rsidRPr="00465FBA">
        <w:t xml:space="preserve">outsourcing of departmental legal work to local </w:t>
      </w:r>
      <w:r w:rsidR="00A76140" w:rsidRPr="00465FBA">
        <w:t xml:space="preserve">law </w:t>
      </w:r>
      <w:r w:rsidR="00A76EC1" w:rsidRPr="00465FBA">
        <w:t>firms</w:t>
      </w:r>
      <w:r w:rsidR="00A76140" w:rsidRPr="00465FBA">
        <w:t xml:space="preserve"> and th</w:t>
      </w:r>
      <w:r w:rsidR="00A76EC1" w:rsidRPr="00465FBA">
        <w:t>is over</w:t>
      </w:r>
      <w:r w:rsidR="00603703" w:rsidRPr="00465FBA">
        <w:t xml:space="preserve"> </w:t>
      </w:r>
      <w:r w:rsidR="00A76EC1" w:rsidRPr="00465FBA">
        <w:t xml:space="preserve">spend is </w:t>
      </w:r>
      <w:r w:rsidR="00DA71DA" w:rsidRPr="00465FBA">
        <w:t xml:space="preserve">mostly </w:t>
      </w:r>
      <w:r w:rsidR="00A76EC1" w:rsidRPr="00465FBA">
        <w:t>offset by an underspend in staff vacancies of £0.1m</w:t>
      </w:r>
      <w:r w:rsidR="00124EE7" w:rsidRPr="00465FBA">
        <w:t>.</w:t>
      </w:r>
    </w:p>
    <w:p w:rsidR="00D364F9" w:rsidRPr="00465FBA" w:rsidRDefault="00DE64BB" w:rsidP="00251560">
      <w:pPr>
        <w:pStyle w:val="ListParagraph"/>
        <w:numPr>
          <w:ilvl w:val="2"/>
          <w:numId w:val="9"/>
        </w:numPr>
        <w:tabs>
          <w:tab w:val="clear" w:pos="2160"/>
        </w:tabs>
        <w:ind w:left="2127" w:hanging="709"/>
        <w:jc w:val="both"/>
      </w:pPr>
      <w:r w:rsidRPr="00465FBA">
        <w:t>Force Improvement</w:t>
      </w:r>
      <w:r w:rsidR="00B03CC7" w:rsidRPr="00465FBA">
        <w:t xml:space="preserve">: </w:t>
      </w:r>
      <w:r w:rsidR="008E43C9" w:rsidRPr="00465FBA">
        <w:t>The</w:t>
      </w:r>
      <w:r w:rsidR="00F670B9" w:rsidRPr="00465FBA">
        <w:t xml:space="preserve"> </w:t>
      </w:r>
      <w:r w:rsidR="004E56F8" w:rsidRPr="00465FBA">
        <w:t xml:space="preserve">forecast </w:t>
      </w:r>
      <w:r w:rsidR="00F670B9" w:rsidRPr="00465FBA">
        <w:t xml:space="preserve">is an </w:t>
      </w:r>
      <w:r w:rsidR="00E7075F" w:rsidRPr="00465FBA">
        <w:t>over</w:t>
      </w:r>
      <w:r w:rsidR="00F670B9" w:rsidRPr="00465FBA">
        <w:t xml:space="preserve"> </w:t>
      </w:r>
      <w:r w:rsidR="00AD7CEC" w:rsidRPr="00465FBA">
        <w:t xml:space="preserve">spend </w:t>
      </w:r>
      <w:r w:rsidR="00244725" w:rsidRPr="00465FBA">
        <w:t>of £</w:t>
      </w:r>
      <w:r w:rsidR="00BC4EAA" w:rsidRPr="00465FBA">
        <w:t>0.</w:t>
      </w:r>
      <w:r w:rsidR="00465FBA" w:rsidRPr="00465FBA">
        <w:t>6</w:t>
      </w:r>
      <w:r w:rsidR="00541646" w:rsidRPr="00465FBA">
        <w:t>m</w:t>
      </w:r>
      <w:r w:rsidR="00F670B9" w:rsidRPr="00465FBA">
        <w:t>. The Force savings plan and cost of implementing change are operated in this cost centre as well as the central change team.</w:t>
      </w:r>
      <w:r w:rsidR="00244725" w:rsidRPr="00465FBA">
        <w:t xml:space="preserve"> </w:t>
      </w:r>
      <w:r w:rsidR="00F670B9" w:rsidRPr="00465FBA">
        <w:t xml:space="preserve">As such the </w:t>
      </w:r>
      <w:r w:rsidR="00E040DC" w:rsidRPr="00465FBA">
        <w:t xml:space="preserve">variance represents the savings not </w:t>
      </w:r>
      <w:r w:rsidR="00FA29AE" w:rsidRPr="00465FBA">
        <w:t xml:space="preserve">yet </w:t>
      </w:r>
      <w:r w:rsidR="00E040DC" w:rsidRPr="00465FBA">
        <w:t xml:space="preserve">taken from departments </w:t>
      </w:r>
      <w:r w:rsidR="00BC4EAA" w:rsidRPr="00465FBA">
        <w:t xml:space="preserve">after their </w:t>
      </w:r>
      <w:r w:rsidR="00E040DC" w:rsidRPr="00465FBA">
        <w:t>reviews</w:t>
      </w:r>
      <w:r w:rsidR="00FA29AE" w:rsidRPr="00465FBA">
        <w:t xml:space="preserve">. </w:t>
      </w:r>
      <w:r w:rsidR="00BC4EAA" w:rsidRPr="00465FBA">
        <w:t>T</w:t>
      </w:r>
      <w:r w:rsidR="00FA29AE" w:rsidRPr="00465FBA">
        <w:t xml:space="preserve">he savings are </w:t>
      </w:r>
      <w:r w:rsidR="00BC4EAA" w:rsidRPr="00465FBA">
        <w:t xml:space="preserve">however </w:t>
      </w:r>
      <w:r w:rsidR="00F670B9" w:rsidRPr="00465FBA">
        <w:t>on course to be achieved</w:t>
      </w:r>
      <w:r w:rsidR="00FA29AE" w:rsidRPr="00465FBA">
        <w:t xml:space="preserve"> in year</w:t>
      </w:r>
      <w:r w:rsidR="00F670B9" w:rsidRPr="00465FBA">
        <w:t>.</w:t>
      </w:r>
    </w:p>
    <w:p w:rsidR="00D364F9" w:rsidRPr="00465FBA" w:rsidRDefault="00DE64BB" w:rsidP="00251560">
      <w:pPr>
        <w:pStyle w:val="ListParagraph"/>
        <w:numPr>
          <w:ilvl w:val="2"/>
          <w:numId w:val="9"/>
        </w:numPr>
        <w:tabs>
          <w:tab w:val="clear" w:pos="2160"/>
        </w:tabs>
        <w:ind w:left="2127" w:hanging="709"/>
        <w:jc w:val="both"/>
      </w:pPr>
      <w:r w:rsidRPr="00465FBA">
        <w:t>Shared Business Service Centre:</w:t>
      </w:r>
      <w:r w:rsidR="00B03CC7" w:rsidRPr="00465FBA">
        <w:t xml:space="preserve"> </w:t>
      </w:r>
      <w:r w:rsidR="00996F75" w:rsidRPr="00465FBA">
        <w:t xml:space="preserve">The </w:t>
      </w:r>
      <w:r w:rsidR="00F670B9" w:rsidRPr="00465FBA">
        <w:t>forecast is a</w:t>
      </w:r>
      <w:r w:rsidR="008E570B" w:rsidRPr="00465FBA">
        <w:t xml:space="preserve"> marginal </w:t>
      </w:r>
      <w:r w:rsidR="00B03CC7" w:rsidRPr="00465FBA">
        <w:t>under</w:t>
      </w:r>
      <w:r w:rsidR="00F670B9" w:rsidRPr="00465FBA">
        <w:t xml:space="preserve"> </w:t>
      </w:r>
      <w:r w:rsidR="00B03CC7" w:rsidRPr="00465FBA">
        <w:t xml:space="preserve">spend </w:t>
      </w:r>
      <w:r w:rsidR="00F670B9" w:rsidRPr="00465FBA">
        <w:t xml:space="preserve">which </w:t>
      </w:r>
      <w:r w:rsidR="00996F75" w:rsidRPr="00465FBA">
        <w:t xml:space="preserve">arises </w:t>
      </w:r>
      <w:r w:rsidR="00D32D6E" w:rsidRPr="00465FBA">
        <w:t xml:space="preserve">mainly </w:t>
      </w:r>
      <w:r w:rsidR="00B03CC7" w:rsidRPr="00465FBA">
        <w:t xml:space="preserve">from </w:t>
      </w:r>
      <w:r w:rsidR="00AD7CEC" w:rsidRPr="00465FBA">
        <w:t>staff vacancies</w:t>
      </w:r>
      <w:r w:rsidR="00804560" w:rsidRPr="00465FBA">
        <w:t xml:space="preserve"> </w:t>
      </w:r>
      <w:r w:rsidR="001C53E0" w:rsidRPr="00465FBA">
        <w:t xml:space="preserve">£0.2m </w:t>
      </w:r>
      <w:r w:rsidR="007270A2" w:rsidRPr="00465FBA">
        <w:t>being he</w:t>
      </w:r>
      <w:r w:rsidR="00F614EB" w:rsidRPr="00465FBA">
        <w:t>l</w:t>
      </w:r>
      <w:r w:rsidR="007270A2" w:rsidRPr="00465FBA">
        <w:t>d during the restructure</w:t>
      </w:r>
      <w:r w:rsidR="000A7048" w:rsidRPr="00465FBA">
        <w:t xml:space="preserve"> </w:t>
      </w:r>
      <w:r w:rsidR="007270A2" w:rsidRPr="00465FBA">
        <w:t xml:space="preserve">and a </w:t>
      </w:r>
      <w:r w:rsidR="00E4302B" w:rsidRPr="00465FBA">
        <w:t xml:space="preserve">small </w:t>
      </w:r>
      <w:r w:rsidR="001C53E0" w:rsidRPr="00465FBA">
        <w:t xml:space="preserve">increase in agency </w:t>
      </w:r>
      <w:r w:rsidR="00865C38" w:rsidRPr="00465FBA">
        <w:t xml:space="preserve">and supplies </w:t>
      </w:r>
      <w:r w:rsidR="001C53E0" w:rsidRPr="00465FBA">
        <w:t xml:space="preserve">costs which is offset against </w:t>
      </w:r>
      <w:r w:rsidR="008E570B" w:rsidRPr="00465FBA">
        <w:t xml:space="preserve">the </w:t>
      </w:r>
      <w:r w:rsidR="001C53E0" w:rsidRPr="00465FBA">
        <w:t>staff vacancies.</w:t>
      </w:r>
    </w:p>
    <w:p w:rsidR="003577B0" w:rsidRPr="00FE410E" w:rsidRDefault="00DE64BB" w:rsidP="00251560">
      <w:pPr>
        <w:pStyle w:val="ListParagraph"/>
        <w:numPr>
          <w:ilvl w:val="2"/>
          <w:numId w:val="9"/>
        </w:numPr>
        <w:tabs>
          <w:tab w:val="clear" w:pos="2160"/>
        </w:tabs>
        <w:ind w:left="2127" w:hanging="709"/>
        <w:jc w:val="both"/>
      </w:pPr>
      <w:r w:rsidRPr="00465FBA">
        <w:t>ICT:</w:t>
      </w:r>
      <w:r w:rsidR="00B03CC7" w:rsidRPr="00465FBA">
        <w:t xml:space="preserve"> </w:t>
      </w:r>
      <w:r w:rsidR="00996F75" w:rsidRPr="00465FBA">
        <w:t xml:space="preserve">The </w:t>
      </w:r>
      <w:r w:rsidR="00B54122" w:rsidRPr="00465FBA">
        <w:t xml:space="preserve">forecast </w:t>
      </w:r>
      <w:r w:rsidR="00F670B9" w:rsidRPr="00465FBA">
        <w:t xml:space="preserve">is an </w:t>
      </w:r>
      <w:r w:rsidR="00996F75" w:rsidRPr="00465FBA">
        <w:t xml:space="preserve">over-spend for the year </w:t>
      </w:r>
      <w:r w:rsidR="00F670B9" w:rsidRPr="00465FBA">
        <w:t>of</w:t>
      </w:r>
      <w:r w:rsidR="00996F75" w:rsidRPr="00465FBA">
        <w:t xml:space="preserve"> </w:t>
      </w:r>
      <w:r w:rsidR="00804560" w:rsidRPr="00465FBA">
        <w:t>£0.</w:t>
      </w:r>
      <w:r w:rsidR="00465FBA" w:rsidRPr="00465FBA">
        <w:t>7</w:t>
      </w:r>
      <w:r w:rsidR="00804560" w:rsidRPr="00465FBA">
        <w:t>m</w:t>
      </w:r>
      <w:r w:rsidR="00F670B9" w:rsidRPr="00465FBA">
        <w:t xml:space="preserve">. This is made up from </w:t>
      </w:r>
      <w:r w:rsidR="00FD1B4B" w:rsidRPr="00465FBA">
        <w:t xml:space="preserve">an </w:t>
      </w:r>
      <w:r w:rsidR="00B03CC7" w:rsidRPr="00465FBA">
        <w:t xml:space="preserve">under spend </w:t>
      </w:r>
      <w:r w:rsidR="008E3B8F" w:rsidRPr="00465FBA">
        <w:t>of £0.</w:t>
      </w:r>
      <w:r w:rsidR="00465FBA" w:rsidRPr="00465FBA">
        <w:t>7</w:t>
      </w:r>
      <w:r w:rsidR="008E3B8F" w:rsidRPr="00465FBA">
        <w:t xml:space="preserve">m </w:t>
      </w:r>
      <w:r w:rsidR="00F670B9" w:rsidRPr="00465FBA">
        <w:t xml:space="preserve">in </w:t>
      </w:r>
      <w:r w:rsidR="00B03CC7" w:rsidRPr="00465FBA">
        <w:t>police staff</w:t>
      </w:r>
      <w:r w:rsidR="00FD1B4B" w:rsidRPr="00465FBA">
        <w:t xml:space="preserve"> </w:t>
      </w:r>
      <w:r w:rsidR="00865C38" w:rsidRPr="00465FBA">
        <w:t xml:space="preserve">pay </w:t>
      </w:r>
      <w:r w:rsidR="00FD1B4B" w:rsidRPr="00465FBA">
        <w:t xml:space="preserve">which is </w:t>
      </w:r>
      <w:r w:rsidR="00AD7CEC" w:rsidRPr="00465FBA">
        <w:t xml:space="preserve">offset by </w:t>
      </w:r>
      <w:r w:rsidR="00B03CC7" w:rsidRPr="00465FBA">
        <w:t xml:space="preserve">agency </w:t>
      </w:r>
      <w:r w:rsidR="00AD7CEC" w:rsidRPr="00465FBA">
        <w:t xml:space="preserve">expenditure </w:t>
      </w:r>
      <w:r w:rsidR="008E570B" w:rsidRPr="00465FBA">
        <w:t xml:space="preserve">overspend </w:t>
      </w:r>
      <w:r w:rsidR="00F670B9" w:rsidRPr="00465FBA">
        <w:t xml:space="preserve">of </w:t>
      </w:r>
      <w:r w:rsidR="007E59CF" w:rsidRPr="00465FBA">
        <w:t>£0.</w:t>
      </w:r>
      <w:r w:rsidR="00571D76" w:rsidRPr="00465FBA">
        <w:t>5</w:t>
      </w:r>
      <w:r w:rsidR="007E59CF" w:rsidRPr="00465FBA">
        <w:t>m</w:t>
      </w:r>
      <w:r w:rsidR="00E4302B" w:rsidRPr="00465FBA">
        <w:t xml:space="preserve"> </w:t>
      </w:r>
      <w:r w:rsidR="00F670B9" w:rsidRPr="00465FBA">
        <w:t xml:space="preserve">for contractors </w:t>
      </w:r>
      <w:r w:rsidR="00E4302B" w:rsidRPr="00465FBA">
        <w:t xml:space="preserve">and </w:t>
      </w:r>
      <w:r w:rsidR="008E570B" w:rsidRPr="00465FBA">
        <w:t xml:space="preserve">£0.1m </w:t>
      </w:r>
      <w:r w:rsidR="00E040DC" w:rsidRPr="00465FBA">
        <w:t>finder’s</w:t>
      </w:r>
      <w:r w:rsidR="00E4302B" w:rsidRPr="00465FBA">
        <w:t xml:space="preserve"> fees paid to </w:t>
      </w:r>
      <w:r w:rsidR="00F670B9" w:rsidRPr="00465FBA">
        <w:t>recruitment</w:t>
      </w:r>
      <w:r w:rsidR="00E4302B" w:rsidRPr="00465FBA">
        <w:t xml:space="preserve"> search firms</w:t>
      </w:r>
      <w:r w:rsidR="007E59CF" w:rsidRPr="00465FBA">
        <w:t xml:space="preserve">. </w:t>
      </w:r>
      <w:r w:rsidR="00E4302B" w:rsidRPr="00465FBA">
        <w:t>There is an over</w:t>
      </w:r>
      <w:r w:rsidR="00F670B9" w:rsidRPr="00465FBA">
        <w:t xml:space="preserve"> </w:t>
      </w:r>
      <w:r w:rsidR="00E4302B" w:rsidRPr="00465FBA">
        <w:t xml:space="preserve">spend in Supplies </w:t>
      </w:r>
      <w:r w:rsidR="00F670B9" w:rsidRPr="00465FBA">
        <w:t xml:space="preserve">of </w:t>
      </w:r>
      <w:r w:rsidR="00E4302B" w:rsidRPr="00465FBA">
        <w:t>£0.</w:t>
      </w:r>
      <w:r w:rsidR="00865C38" w:rsidRPr="00465FBA">
        <w:t>7</w:t>
      </w:r>
      <w:r w:rsidR="00E4302B" w:rsidRPr="00465FBA">
        <w:t xml:space="preserve">m arising from </w:t>
      </w:r>
      <w:r w:rsidR="00865C38" w:rsidRPr="00465FBA">
        <w:t xml:space="preserve">the one-off </w:t>
      </w:r>
      <w:r w:rsidR="00E4302B" w:rsidRPr="00465FBA">
        <w:t xml:space="preserve">set </w:t>
      </w:r>
      <w:r w:rsidR="00E4302B" w:rsidRPr="00FE410E">
        <w:t xml:space="preserve">up costs for </w:t>
      </w:r>
      <w:r w:rsidR="00F670B9" w:rsidRPr="00FE410E">
        <w:t xml:space="preserve">the </w:t>
      </w:r>
      <w:r w:rsidR="00E4302B" w:rsidRPr="00FE410E">
        <w:t>Data</w:t>
      </w:r>
      <w:r w:rsidR="00F670B9" w:rsidRPr="00FE410E">
        <w:t xml:space="preserve"> </w:t>
      </w:r>
      <w:r w:rsidR="006F0682" w:rsidRPr="00FE410E">
        <w:t>Centre</w:t>
      </w:r>
      <w:r w:rsidR="00FE200C" w:rsidRPr="00FE410E">
        <w:t xml:space="preserve"> which is</w:t>
      </w:r>
      <w:r w:rsidR="00EA2E72" w:rsidRPr="00FE410E">
        <w:t xml:space="preserve"> </w:t>
      </w:r>
      <w:r w:rsidR="000E3527" w:rsidRPr="00FE410E">
        <w:t>no</w:t>
      </w:r>
      <w:r w:rsidR="00EA2E72" w:rsidRPr="00FE410E">
        <w:t>n</w:t>
      </w:r>
      <w:r w:rsidR="000E3527" w:rsidRPr="00FE410E">
        <w:t xml:space="preserve"> recurrent.</w:t>
      </w:r>
    </w:p>
    <w:p w:rsidR="006F0682" w:rsidRPr="00FE410E" w:rsidRDefault="00DE64BB" w:rsidP="00251560">
      <w:pPr>
        <w:pStyle w:val="ListParagraph"/>
        <w:numPr>
          <w:ilvl w:val="2"/>
          <w:numId w:val="9"/>
        </w:numPr>
        <w:tabs>
          <w:tab w:val="clear" w:pos="2160"/>
        </w:tabs>
        <w:ind w:left="2127" w:hanging="709"/>
        <w:jc w:val="both"/>
      </w:pPr>
      <w:r w:rsidRPr="00FE410E">
        <w:t>F&amp;S</w:t>
      </w:r>
      <w:r w:rsidR="006F0682" w:rsidRPr="00FE410E">
        <w:t xml:space="preserve"> Non Collaborated</w:t>
      </w:r>
      <w:r w:rsidRPr="00FE410E">
        <w:t>:</w:t>
      </w:r>
      <w:r w:rsidR="008E3B8F" w:rsidRPr="00FE410E">
        <w:t xml:space="preserve"> </w:t>
      </w:r>
      <w:r w:rsidR="00E83C11" w:rsidRPr="00FE410E">
        <w:t>The</w:t>
      </w:r>
      <w:r w:rsidR="006F0682" w:rsidRPr="00FE410E">
        <w:t xml:space="preserve"> forecast </w:t>
      </w:r>
      <w:r w:rsidR="00E83C11" w:rsidRPr="00FE410E">
        <w:t>is a</w:t>
      </w:r>
      <w:r w:rsidR="008E3B8F" w:rsidRPr="00FE410E">
        <w:t xml:space="preserve">n </w:t>
      </w:r>
      <w:r w:rsidR="006F0682" w:rsidRPr="00FE410E">
        <w:t xml:space="preserve">over </w:t>
      </w:r>
      <w:r w:rsidR="008E3B8F" w:rsidRPr="00FE410E">
        <w:t xml:space="preserve">spend </w:t>
      </w:r>
      <w:r w:rsidR="005664FC" w:rsidRPr="00FE410E">
        <w:t>of £</w:t>
      </w:r>
      <w:r w:rsidR="00F41B0D" w:rsidRPr="00FE410E">
        <w:t>0</w:t>
      </w:r>
      <w:r w:rsidR="005664FC" w:rsidRPr="00FE410E">
        <w:t>.</w:t>
      </w:r>
      <w:r w:rsidR="00D46420" w:rsidRPr="00FE410E">
        <w:t>6</w:t>
      </w:r>
      <w:r w:rsidR="005664FC" w:rsidRPr="00FE410E">
        <w:t>m</w:t>
      </w:r>
      <w:r w:rsidR="006F0682" w:rsidRPr="00FE410E">
        <w:t xml:space="preserve"> with a staff salary under spend of £0.</w:t>
      </w:r>
      <w:r w:rsidR="00D46420" w:rsidRPr="00FE410E">
        <w:t>1</w:t>
      </w:r>
      <w:r w:rsidR="006F0682" w:rsidRPr="00FE410E">
        <w:t>m</w:t>
      </w:r>
      <w:r w:rsidR="00EC1A8D" w:rsidRPr="00FE410E">
        <w:t xml:space="preserve"> while the transport overspend </w:t>
      </w:r>
      <w:r w:rsidR="00203670" w:rsidRPr="00FE410E">
        <w:t>£0.</w:t>
      </w:r>
      <w:r w:rsidR="00BF72DA" w:rsidRPr="00FE410E">
        <w:t>1</w:t>
      </w:r>
      <w:r w:rsidR="005C3BD9" w:rsidRPr="00FE410E">
        <w:t>m</w:t>
      </w:r>
      <w:r w:rsidR="00203670" w:rsidRPr="00FE410E">
        <w:t xml:space="preserve"> </w:t>
      </w:r>
      <w:r w:rsidR="00EC1A8D" w:rsidRPr="00FE410E">
        <w:t>arises from an under recovery from the workshop</w:t>
      </w:r>
      <w:r w:rsidR="000E5118" w:rsidRPr="00FE410E">
        <w:t>.</w:t>
      </w:r>
      <w:r w:rsidR="007F36E7" w:rsidRPr="00FE410E">
        <w:t xml:space="preserve"> The majority of the overspend is the top up of the insurance reserve £0.</w:t>
      </w:r>
      <w:r w:rsidR="00D46420" w:rsidRPr="00FE410E">
        <w:t>5</w:t>
      </w:r>
      <w:r w:rsidR="007F36E7" w:rsidRPr="00FE410E">
        <w:t xml:space="preserve">m, based on </w:t>
      </w:r>
      <w:r w:rsidR="009058FD" w:rsidRPr="00FE410E">
        <w:t>the insurance fund audit carried out by Arthur J Gallagher.</w:t>
      </w:r>
    </w:p>
    <w:p w:rsidR="00804560" w:rsidRPr="00FE410E" w:rsidRDefault="000E5118" w:rsidP="00251560">
      <w:pPr>
        <w:pStyle w:val="ListParagraph"/>
        <w:numPr>
          <w:ilvl w:val="2"/>
          <w:numId w:val="9"/>
        </w:numPr>
        <w:tabs>
          <w:tab w:val="clear" w:pos="2160"/>
        </w:tabs>
        <w:ind w:left="2127" w:hanging="709"/>
        <w:jc w:val="both"/>
      </w:pPr>
      <w:r w:rsidRPr="00FE410E">
        <w:t xml:space="preserve">F&amp;S Collaboration: The forecast </w:t>
      </w:r>
      <w:r w:rsidR="00BF72DA" w:rsidRPr="00FE410E">
        <w:t xml:space="preserve">is </w:t>
      </w:r>
      <w:r w:rsidR="007F36E7" w:rsidRPr="00FE410E">
        <w:t xml:space="preserve">to be on budget at year end although there is </w:t>
      </w:r>
      <w:r w:rsidRPr="00FE410E">
        <w:t xml:space="preserve">an under spend </w:t>
      </w:r>
      <w:r w:rsidR="007F36E7" w:rsidRPr="00FE410E">
        <w:t xml:space="preserve">arising </w:t>
      </w:r>
      <w:r w:rsidRPr="00FE410E">
        <w:t>from staff vacancies in Procurement &amp; Fleet</w:t>
      </w:r>
      <w:r w:rsidR="004D199A" w:rsidRPr="00FE410E">
        <w:t xml:space="preserve"> </w:t>
      </w:r>
      <w:r w:rsidR="007F36E7" w:rsidRPr="00FE410E">
        <w:t>(</w:t>
      </w:r>
      <w:r w:rsidR="004D199A" w:rsidRPr="00FE410E">
        <w:t>£0.2m</w:t>
      </w:r>
      <w:r w:rsidR="007F36E7" w:rsidRPr="00FE410E">
        <w:t>)</w:t>
      </w:r>
      <w:r w:rsidR="004D199A" w:rsidRPr="00FE410E">
        <w:t xml:space="preserve"> </w:t>
      </w:r>
      <w:r w:rsidR="00EC1A8D" w:rsidRPr="00FE410E">
        <w:t xml:space="preserve">while there is </w:t>
      </w:r>
      <w:r w:rsidR="00D46420" w:rsidRPr="00FE410E">
        <w:t xml:space="preserve">a forecast </w:t>
      </w:r>
      <w:r w:rsidR="00EC1A8D" w:rsidRPr="00FE410E">
        <w:t>overspend of £0.</w:t>
      </w:r>
      <w:r w:rsidR="00465FBA" w:rsidRPr="00FE410E">
        <w:t>1</w:t>
      </w:r>
      <w:r w:rsidR="00EC1A8D" w:rsidRPr="00FE410E">
        <w:t>m in agency staff</w:t>
      </w:r>
      <w:r w:rsidR="0031197D" w:rsidRPr="00FE410E">
        <w:t xml:space="preserve"> to cover </w:t>
      </w:r>
      <w:r w:rsidR="0040371E" w:rsidRPr="00FE410E">
        <w:t>the</w:t>
      </w:r>
      <w:r w:rsidR="007F36E7" w:rsidRPr="00FE410E">
        <w:t>se</w:t>
      </w:r>
      <w:r w:rsidR="0040371E" w:rsidRPr="00FE410E">
        <w:t xml:space="preserve"> </w:t>
      </w:r>
      <w:r w:rsidR="0031197D" w:rsidRPr="00FE410E">
        <w:t>vacancies</w:t>
      </w:r>
      <w:r w:rsidRPr="00FE410E">
        <w:t>.</w:t>
      </w:r>
    </w:p>
    <w:p w:rsidR="000E5118" w:rsidRPr="00FE410E" w:rsidRDefault="004B1B29" w:rsidP="00251560">
      <w:pPr>
        <w:pStyle w:val="ListParagraph"/>
        <w:numPr>
          <w:ilvl w:val="2"/>
          <w:numId w:val="9"/>
        </w:numPr>
        <w:tabs>
          <w:tab w:val="clear" w:pos="2160"/>
        </w:tabs>
        <w:ind w:left="2127" w:hanging="709"/>
        <w:jc w:val="both"/>
      </w:pPr>
      <w:r w:rsidRPr="00FE410E">
        <w:t>Human Resources: The</w:t>
      </w:r>
      <w:r w:rsidR="000E5118" w:rsidRPr="00FE410E">
        <w:t xml:space="preserve"> forecast </w:t>
      </w:r>
      <w:r w:rsidRPr="00FE410E">
        <w:t xml:space="preserve">is a net </w:t>
      </w:r>
      <w:r w:rsidR="00533B8E" w:rsidRPr="00FE410E">
        <w:t>underspend o</w:t>
      </w:r>
      <w:r w:rsidRPr="00FE410E">
        <w:t>f £</w:t>
      </w:r>
      <w:r w:rsidR="00EC1A8D" w:rsidRPr="00FE410E">
        <w:t>0.</w:t>
      </w:r>
      <w:r w:rsidR="00465FBA" w:rsidRPr="00FE410E">
        <w:t>4</w:t>
      </w:r>
      <w:r w:rsidRPr="00FE410E">
        <w:t xml:space="preserve">m. </w:t>
      </w:r>
      <w:r w:rsidR="00C0360A" w:rsidRPr="00FE410E">
        <w:t xml:space="preserve">The majority of this </w:t>
      </w:r>
      <w:r w:rsidRPr="00FE410E">
        <w:t>is</w:t>
      </w:r>
      <w:r w:rsidR="00533B8E" w:rsidRPr="00FE410E">
        <w:t xml:space="preserve"> in Officer </w:t>
      </w:r>
      <w:r w:rsidR="0031197D" w:rsidRPr="00FE410E">
        <w:t>underspend of £0.</w:t>
      </w:r>
      <w:r w:rsidR="00465FBA" w:rsidRPr="00FE410E">
        <w:t>3</w:t>
      </w:r>
      <w:r w:rsidR="0031197D" w:rsidRPr="00FE410E">
        <w:t>m</w:t>
      </w:r>
      <w:r w:rsidR="00533B8E" w:rsidRPr="00FE410E">
        <w:t xml:space="preserve"> being fewer seconded officers being charged to HR than was budgeted for. Addi</w:t>
      </w:r>
      <w:r w:rsidR="006B2FCC" w:rsidRPr="00FE410E">
        <w:t>tion</w:t>
      </w:r>
      <w:r w:rsidR="00533B8E" w:rsidRPr="00FE410E">
        <w:t xml:space="preserve">ally 4 learner detectives moved out to departments </w:t>
      </w:r>
      <w:r w:rsidR="006B2FCC" w:rsidRPr="00FE410E">
        <w:t xml:space="preserve">further </w:t>
      </w:r>
      <w:r w:rsidR="00533B8E" w:rsidRPr="00FE410E">
        <w:t>impacting on the underspend</w:t>
      </w:r>
      <w:r w:rsidR="0040371E" w:rsidRPr="00FE410E">
        <w:t>.</w:t>
      </w:r>
      <w:r w:rsidR="0031197D" w:rsidRPr="00FE410E">
        <w:t xml:space="preserve"> </w:t>
      </w:r>
    </w:p>
    <w:p w:rsidR="0045156F" w:rsidRPr="002A0673" w:rsidRDefault="0045156F" w:rsidP="00251560">
      <w:pPr>
        <w:pStyle w:val="ListParagraph"/>
        <w:numPr>
          <w:ilvl w:val="2"/>
          <w:numId w:val="9"/>
        </w:numPr>
        <w:tabs>
          <w:tab w:val="clear" w:pos="2160"/>
        </w:tabs>
        <w:ind w:left="2127" w:hanging="709"/>
        <w:jc w:val="both"/>
      </w:pPr>
      <w:r w:rsidRPr="00FE410E">
        <w:t xml:space="preserve">Corporate : The corporate overspend £2.9m arises mainly from </w:t>
      </w:r>
      <w:r w:rsidR="009058FD" w:rsidRPr="00FE410E">
        <w:t xml:space="preserve">the revenue contribution to capital for the investment in operational equipment in support of the revised policing model that goes live in April also funding for Tasers and the </w:t>
      </w:r>
      <w:r w:rsidR="009058FD" w:rsidRPr="00FE410E">
        <w:lastRenderedPageBreak/>
        <w:t xml:space="preserve">associated equipment for the anticipated uplift in firearms capability in the county. The staff pension fund is </w:t>
      </w:r>
      <w:r w:rsidR="00467466" w:rsidRPr="00FE410E">
        <w:t>in</w:t>
      </w:r>
      <w:r w:rsidR="009058FD" w:rsidRPr="00FE410E">
        <w:t xml:space="preserve"> deficit and the latest analysis by Hymans Robertson shows an improvement however to narrow the deficit additional funding has been </w:t>
      </w:r>
      <w:r w:rsidR="009058FD" w:rsidRPr="002A0673">
        <w:t>provided.</w:t>
      </w:r>
    </w:p>
    <w:p w:rsidR="00DB55ED" w:rsidRPr="002A0673" w:rsidRDefault="00DB55ED" w:rsidP="00DB55ED"/>
    <w:p w:rsidR="00230119" w:rsidRPr="002A0673" w:rsidRDefault="00230119" w:rsidP="00251560">
      <w:pPr>
        <w:pStyle w:val="ListParagraph"/>
        <w:numPr>
          <w:ilvl w:val="0"/>
          <w:numId w:val="37"/>
        </w:numPr>
        <w:ind w:left="1077" w:hanging="357"/>
        <w:jc w:val="both"/>
        <w:rPr>
          <w:rFonts w:ascii="Verdana" w:hAnsi="Verdana"/>
          <w:b/>
          <w:sz w:val="20"/>
          <w:szCs w:val="20"/>
        </w:rPr>
      </w:pPr>
      <w:r w:rsidRPr="002A0673">
        <w:rPr>
          <w:rFonts w:ascii="Verdana" w:hAnsi="Verdana"/>
          <w:b/>
          <w:sz w:val="20"/>
          <w:szCs w:val="20"/>
        </w:rPr>
        <w:t>Savings</w:t>
      </w:r>
    </w:p>
    <w:p w:rsidR="009F44FA" w:rsidRPr="002A0673" w:rsidRDefault="00230119" w:rsidP="009F44FA">
      <w:pPr>
        <w:pStyle w:val="ListParagraph"/>
        <w:numPr>
          <w:ilvl w:val="1"/>
          <w:numId w:val="38"/>
        </w:numPr>
        <w:jc w:val="both"/>
        <w:rPr>
          <w:b/>
        </w:rPr>
      </w:pPr>
      <w:r w:rsidRPr="002A0673">
        <w:rPr>
          <w:rFonts w:asciiTheme="minorHAnsi" w:hAnsiTheme="minorHAnsi" w:cstheme="minorHAnsi"/>
        </w:rPr>
        <w:t>The latest Strategic Change Savings schedule (</w:t>
      </w:r>
      <w:r w:rsidR="00053403" w:rsidRPr="002A0673">
        <w:rPr>
          <w:rFonts w:asciiTheme="minorHAnsi" w:hAnsiTheme="minorHAnsi" w:cstheme="minorHAnsi"/>
        </w:rPr>
        <w:t>11</w:t>
      </w:r>
      <w:r w:rsidRPr="002A0673">
        <w:rPr>
          <w:rFonts w:asciiTheme="minorHAnsi" w:hAnsiTheme="minorHAnsi" w:cstheme="minorHAnsi"/>
        </w:rPr>
        <w:t>/</w:t>
      </w:r>
      <w:r w:rsidR="00420A7D" w:rsidRPr="002A0673">
        <w:rPr>
          <w:rFonts w:asciiTheme="minorHAnsi" w:hAnsiTheme="minorHAnsi" w:cstheme="minorHAnsi"/>
        </w:rPr>
        <w:t>01</w:t>
      </w:r>
      <w:r w:rsidRPr="002A0673">
        <w:rPr>
          <w:rFonts w:asciiTheme="minorHAnsi" w:hAnsiTheme="minorHAnsi" w:cstheme="minorHAnsi"/>
        </w:rPr>
        <w:t>/201</w:t>
      </w:r>
      <w:r w:rsidR="00420A7D" w:rsidRPr="002A0673">
        <w:rPr>
          <w:rFonts w:asciiTheme="minorHAnsi" w:hAnsiTheme="minorHAnsi" w:cstheme="minorHAnsi"/>
        </w:rPr>
        <w:t>6</w:t>
      </w:r>
      <w:r w:rsidRPr="002A0673">
        <w:rPr>
          <w:rFonts w:asciiTheme="minorHAnsi" w:hAnsiTheme="minorHAnsi" w:cstheme="minorHAnsi"/>
        </w:rPr>
        <w:t>) shows an under achievement of savings of £0.</w:t>
      </w:r>
      <w:r w:rsidR="00C62498" w:rsidRPr="002A0673">
        <w:rPr>
          <w:rFonts w:asciiTheme="minorHAnsi" w:hAnsiTheme="minorHAnsi" w:cstheme="minorHAnsi"/>
        </w:rPr>
        <w:t>1</w:t>
      </w:r>
      <w:r w:rsidRPr="002A0673">
        <w:rPr>
          <w:rFonts w:asciiTheme="minorHAnsi" w:hAnsiTheme="minorHAnsi" w:cstheme="minorHAnsi"/>
        </w:rPr>
        <w:t>m, as can be seen in the table below.</w:t>
      </w:r>
    </w:p>
    <w:p w:rsidR="004700DC" w:rsidRPr="002A0673" w:rsidRDefault="00230119" w:rsidP="00B656C9">
      <w:pPr>
        <w:pStyle w:val="ListParagraph"/>
        <w:numPr>
          <w:ilvl w:val="1"/>
          <w:numId w:val="38"/>
        </w:numPr>
        <w:jc w:val="both"/>
        <w:rPr>
          <w:rFonts w:asciiTheme="minorHAnsi" w:hAnsiTheme="minorHAnsi" w:cstheme="minorHAnsi"/>
        </w:rPr>
      </w:pPr>
      <w:r w:rsidRPr="002A0673">
        <w:rPr>
          <w:rFonts w:asciiTheme="minorHAnsi" w:hAnsiTheme="minorHAnsi" w:cstheme="minorHAnsi"/>
        </w:rPr>
        <w:t>In summary there is a savings target of £8.3m and the forecast is an under achievement by £0.</w:t>
      </w:r>
      <w:r w:rsidR="00C62498" w:rsidRPr="002A0673">
        <w:rPr>
          <w:rFonts w:asciiTheme="minorHAnsi" w:hAnsiTheme="minorHAnsi" w:cstheme="minorHAnsi"/>
        </w:rPr>
        <w:t>1</w:t>
      </w:r>
      <w:r w:rsidRPr="002A0673">
        <w:rPr>
          <w:rFonts w:asciiTheme="minorHAnsi" w:hAnsiTheme="minorHAnsi" w:cstheme="minorHAnsi"/>
        </w:rPr>
        <w:t xml:space="preserve">m. The level of confidence in the savings is graded either, </w:t>
      </w:r>
      <w:r w:rsidR="000E3527" w:rsidRPr="002A0673">
        <w:rPr>
          <w:rFonts w:asciiTheme="minorHAnsi" w:hAnsiTheme="minorHAnsi" w:cstheme="minorHAnsi"/>
        </w:rPr>
        <w:t xml:space="preserve">purple, </w:t>
      </w:r>
      <w:r w:rsidRPr="002A0673">
        <w:rPr>
          <w:rFonts w:asciiTheme="minorHAnsi" w:hAnsiTheme="minorHAnsi" w:cstheme="minorHAnsi"/>
        </w:rPr>
        <w:t>red</w:t>
      </w:r>
      <w:r w:rsidR="00A75ADD" w:rsidRPr="002A0673">
        <w:rPr>
          <w:rFonts w:asciiTheme="minorHAnsi" w:hAnsiTheme="minorHAnsi" w:cstheme="minorHAnsi"/>
        </w:rPr>
        <w:t>,</w:t>
      </w:r>
      <w:r w:rsidRPr="002A0673">
        <w:rPr>
          <w:rFonts w:asciiTheme="minorHAnsi" w:hAnsiTheme="minorHAnsi" w:cstheme="minorHAnsi"/>
        </w:rPr>
        <w:t xml:space="preserve"> amber or green and the projects in </w:t>
      </w:r>
      <w:r w:rsidR="000E3527" w:rsidRPr="002A0673">
        <w:rPr>
          <w:rFonts w:asciiTheme="minorHAnsi" w:hAnsiTheme="minorHAnsi" w:cstheme="minorHAnsi"/>
        </w:rPr>
        <w:t>purple are £0.</w:t>
      </w:r>
      <w:r w:rsidR="0067276F" w:rsidRPr="002A0673">
        <w:rPr>
          <w:rFonts w:asciiTheme="minorHAnsi" w:hAnsiTheme="minorHAnsi" w:cstheme="minorHAnsi"/>
        </w:rPr>
        <w:t>1</w:t>
      </w:r>
      <w:r w:rsidR="000E3527" w:rsidRPr="002A0673">
        <w:rPr>
          <w:rFonts w:asciiTheme="minorHAnsi" w:hAnsiTheme="minorHAnsi" w:cstheme="minorHAnsi"/>
        </w:rPr>
        <w:t xml:space="preserve">m, </w:t>
      </w:r>
      <w:r w:rsidRPr="002A0673">
        <w:rPr>
          <w:rFonts w:asciiTheme="minorHAnsi" w:hAnsiTheme="minorHAnsi" w:cstheme="minorHAnsi"/>
        </w:rPr>
        <w:t>red are £</w:t>
      </w:r>
      <w:r w:rsidR="00310EF2" w:rsidRPr="002A0673">
        <w:rPr>
          <w:rFonts w:asciiTheme="minorHAnsi" w:hAnsiTheme="minorHAnsi" w:cstheme="minorHAnsi"/>
        </w:rPr>
        <w:t>0</w:t>
      </w:r>
      <w:r w:rsidRPr="002A0673">
        <w:rPr>
          <w:rFonts w:asciiTheme="minorHAnsi" w:hAnsiTheme="minorHAnsi" w:cstheme="minorHAnsi"/>
        </w:rPr>
        <w:t>.</w:t>
      </w:r>
      <w:r w:rsidR="00053403" w:rsidRPr="002A0673">
        <w:rPr>
          <w:rFonts w:asciiTheme="minorHAnsi" w:hAnsiTheme="minorHAnsi" w:cstheme="minorHAnsi"/>
        </w:rPr>
        <w:t>4</w:t>
      </w:r>
      <w:r w:rsidRPr="002A0673">
        <w:rPr>
          <w:rFonts w:asciiTheme="minorHAnsi" w:hAnsiTheme="minorHAnsi" w:cstheme="minorHAnsi"/>
        </w:rPr>
        <w:t>m, with £1.</w:t>
      </w:r>
      <w:r w:rsidR="00867F21" w:rsidRPr="002A0673">
        <w:rPr>
          <w:rFonts w:asciiTheme="minorHAnsi" w:hAnsiTheme="minorHAnsi" w:cstheme="minorHAnsi"/>
        </w:rPr>
        <w:t>0</w:t>
      </w:r>
      <w:r w:rsidRPr="002A0673">
        <w:rPr>
          <w:rFonts w:asciiTheme="minorHAnsi" w:hAnsiTheme="minorHAnsi" w:cstheme="minorHAnsi"/>
        </w:rPr>
        <w:t xml:space="preserve"> amber and the remainder £</w:t>
      </w:r>
      <w:r w:rsidR="00867F21" w:rsidRPr="002A0673">
        <w:rPr>
          <w:rFonts w:asciiTheme="minorHAnsi" w:hAnsiTheme="minorHAnsi" w:cstheme="minorHAnsi"/>
        </w:rPr>
        <w:t>6.2</w:t>
      </w:r>
      <w:r w:rsidR="00571D76" w:rsidRPr="002A0673">
        <w:rPr>
          <w:rFonts w:asciiTheme="minorHAnsi" w:hAnsiTheme="minorHAnsi" w:cstheme="minorHAnsi"/>
        </w:rPr>
        <w:t>m</w:t>
      </w:r>
      <w:r w:rsidRPr="002A0673">
        <w:rPr>
          <w:rFonts w:asciiTheme="minorHAnsi" w:hAnsiTheme="minorHAnsi" w:cstheme="minorHAnsi"/>
        </w:rPr>
        <w:t xml:space="preserve"> in green. There is a </w:t>
      </w:r>
      <w:r w:rsidR="003D3DC7" w:rsidRPr="002A0673">
        <w:rPr>
          <w:rFonts w:asciiTheme="minorHAnsi" w:hAnsiTheme="minorHAnsi" w:cstheme="minorHAnsi"/>
        </w:rPr>
        <w:t xml:space="preserve">reasonable </w:t>
      </w:r>
      <w:r w:rsidRPr="002A0673">
        <w:rPr>
          <w:rFonts w:asciiTheme="minorHAnsi" w:hAnsiTheme="minorHAnsi" w:cstheme="minorHAnsi"/>
        </w:rPr>
        <w:t>level of confidence that the savings will be achieved in this financial year.</w:t>
      </w:r>
    </w:p>
    <w:p w:rsidR="004700DC" w:rsidRPr="00D5381C" w:rsidRDefault="004700DC" w:rsidP="004700DC">
      <w:pPr>
        <w:jc w:val="both"/>
        <w:rPr>
          <w:rFonts w:asciiTheme="minorHAnsi" w:hAnsiTheme="minorHAnsi" w:cstheme="minorHAnsi"/>
          <w:color w:val="548DD4" w:themeColor="text2" w:themeTint="99"/>
        </w:rPr>
      </w:pPr>
    </w:p>
    <w:p w:rsidR="004700DC" w:rsidRPr="00D5381C" w:rsidRDefault="004700DC" w:rsidP="004700DC">
      <w:pPr>
        <w:ind w:left="1418"/>
        <w:jc w:val="both"/>
        <w:rPr>
          <w:rFonts w:asciiTheme="minorHAnsi" w:hAnsiTheme="minorHAnsi" w:cstheme="minorHAnsi"/>
          <w:color w:val="548DD4" w:themeColor="text2" w:themeTint="99"/>
        </w:rPr>
      </w:pPr>
      <w:r w:rsidRPr="00D5381C">
        <w:rPr>
          <w:noProof/>
          <w:color w:val="548DD4" w:themeColor="text2" w:themeTint="99"/>
          <w:lang w:eastAsia="en-GB"/>
        </w:rPr>
        <w:drawing>
          <wp:inline distT="0" distB="0" distL="0" distR="0" wp14:anchorId="672D62B9" wp14:editId="53315189">
            <wp:extent cx="5506720" cy="1883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6720" cy="1883410"/>
                    </a:xfrm>
                    <a:prstGeom prst="rect">
                      <a:avLst/>
                    </a:prstGeom>
                    <a:noFill/>
                    <a:ln>
                      <a:noFill/>
                    </a:ln>
                  </pic:spPr>
                </pic:pic>
              </a:graphicData>
            </a:graphic>
          </wp:inline>
        </w:drawing>
      </w:r>
    </w:p>
    <w:p w:rsidR="00242E8D" w:rsidRPr="00D5381C" w:rsidRDefault="00242E8D" w:rsidP="00242E8D">
      <w:pPr>
        <w:jc w:val="both"/>
        <w:rPr>
          <w:rFonts w:asciiTheme="minorHAnsi" w:hAnsiTheme="minorHAnsi" w:cstheme="minorHAnsi"/>
          <w:color w:val="548DD4" w:themeColor="text2" w:themeTint="99"/>
        </w:rPr>
      </w:pPr>
    </w:p>
    <w:p w:rsidR="008E373E" w:rsidRPr="00B97663" w:rsidRDefault="008E373E" w:rsidP="00242E8D">
      <w:pPr>
        <w:jc w:val="both"/>
        <w:rPr>
          <w:rFonts w:asciiTheme="minorHAnsi" w:hAnsiTheme="minorHAnsi" w:cstheme="minorHAnsi"/>
        </w:rPr>
      </w:pPr>
    </w:p>
    <w:p w:rsidR="00343C70" w:rsidRPr="00B97663" w:rsidRDefault="00343C70" w:rsidP="00251560">
      <w:pPr>
        <w:pStyle w:val="ListParagraph"/>
        <w:numPr>
          <w:ilvl w:val="0"/>
          <w:numId w:val="35"/>
        </w:numPr>
        <w:ind w:left="1134" w:right="147" w:hanging="425"/>
        <w:jc w:val="both"/>
        <w:rPr>
          <w:rFonts w:ascii="Verdana" w:hAnsi="Verdana"/>
          <w:b/>
          <w:bCs/>
          <w:sz w:val="20"/>
          <w:szCs w:val="20"/>
        </w:rPr>
      </w:pPr>
      <w:r w:rsidRPr="00B97663">
        <w:rPr>
          <w:rFonts w:ascii="Verdana" w:hAnsi="Verdana"/>
          <w:b/>
          <w:bCs/>
          <w:sz w:val="20"/>
          <w:szCs w:val="20"/>
        </w:rPr>
        <w:t xml:space="preserve">Capital </w:t>
      </w:r>
      <w:r w:rsidR="00D5122D" w:rsidRPr="00B97663">
        <w:rPr>
          <w:rFonts w:ascii="Verdana" w:hAnsi="Verdana"/>
          <w:b/>
          <w:bCs/>
          <w:sz w:val="20"/>
          <w:szCs w:val="20"/>
        </w:rPr>
        <w:t xml:space="preserve">Budget </w:t>
      </w:r>
      <w:r w:rsidRPr="00B97663">
        <w:rPr>
          <w:rFonts w:ascii="Verdana" w:hAnsi="Verdana"/>
          <w:b/>
          <w:bCs/>
          <w:sz w:val="20"/>
          <w:szCs w:val="20"/>
        </w:rPr>
        <w:t>Position</w:t>
      </w:r>
    </w:p>
    <w:p w:rsidR="00230119" w:rsidRPr="00B97663" w:rsidRDefault="00230119" w:rsidP="00251560">
      <w:pPr>
        <w:pStyle w:val="ListParagraph"/>
        <w:numPr>
          <w:ilvl w:val="1"/>
          <w:numId w:val="35"/>
        </w:numPr>
        <w:tabs>
          <w:tab w:val="clear" w:pos="2232"/>
        </w:tabs>
        <w:ind w:left="2127" w:hanging="709"/>
        <w:jc w:val="both"/>
      </w:pPr>
      <w:r w:rsidRPr="00B97663">
        <w:t>The approved capital programme for the year is £1</w:t>
      </w:r>
      <w:r w:rsidR="009058FD" w:rsidRPr="00B97663">
        <w:t>3</w:t>
      </w:r>
      <w:r w:rsidRPr="00B97663">
        <w:t>.</w:t>
      </w:r>
      <w:r w:rsidR="00F1713A" w:rsidRPr="00B97663">
        <w:t>7</w:t>
      </w:r>
      <w:r w:rsidRPr="00B97663">
        <w:t xml:space="preserve">m. Detail of the capital programme is provided in appendix </w:t>
      </w:r>
      <w:r w:rsidR="00384761" w:rsidRPr="00B97663">
        <w:t>D</w:t>
      </w:r>
      <w:r w:rsidRPr="00B97663">
        <w:t>.</w:t>
      </w:r>
    </w:p>
    <w:p w:rsidR="00230119" w:rsidRPr="00B97663" w:rsidRDefault="00230119" w:rsidP="00251560">
      <w:pPr>
        <w:pStyle w:val="ListParagraph"/>
        <w:numPr>
          <w:ilvl w:val="1"/>
          <w:numId w:val="35"/>
        </w:numPr>
        <w:ind w:left="2127" w:hanging="709"/>
        <w:jc w:val="both"/>
      </w:pPr>
      <w:r w:rsidRPr="00B97663">
        <w:t>The significant capital projects are IT and Fleet replacement schemes, Digital Audio Interviewing, ERP upgrade, new desktop project, Air-conditioning, OPR Estate restructure and the CC6 Telephony scheme.</w:t>
      </w:r>
    </w:p>
    <w:p w:rsidR="00230119" w:rsidRPr="00B97663" w:rsidRDefault="00230119" w:rsidP="00251560">
      <w:pPr>
        <w:pStyle w:val="ListParagraph"/>
        <w:numPr>
          <w:ilvl w:val="1"/>
          <w:numId w:val="35"/>
        </w:numPr>
        <w:ind w:left="2127" w:hanging="709"/>
        <w:jc w:val="both"/>
      </w:pPr>
      <w:r w:rsidRPr="00B97663">
        <w:t>Expenditure for the year to date is £</w:t>
      </w:r>
      <w:r w:rsidR="001D6F40" w:rsidRPr="00B97663">
        <w:t>4.</w:t>
      </w:r>
      <w:r w:rsidR="00B97663" w:rsidRPr="00B97663">
        <w:t>2</w:t>
      </w:r>
      <w:r w:rsidRPr="00B97663">
        <w:t>m with orders committed of a further £</w:t>
      </w:r>
      <w:r w:rsidR="00B42B55" w:rsidRPr="00B97663">
        <w:t>1.</w:t>
      </w:r>
      <w:r w:rsidR="00B97663" w:rsidRPr="00B97663">
        <w:t>7</w:t>
      </w:r>
      <w:r w:rsidRPr="00B97663">
        <w:t xml:space="preserve">m. There </w:t>
      </w:r>
      <w:r w:rsidR="00B42B55" w:rsidRPr="00B97663">
        <w:t xml:space="preserve">is </w:t>
      </w:r>
      <w:r w:rsidRPr="00B97663">
        <w:t>a small number of schemes signalling marginal over spends which are being monitored. There is currently £</w:t>
      </w:r>
      <w:r w:rsidR="00F553C8" w:rsidRPr="00B97663">
        <w:t>0.2</w:t>
      </w:r>
      <w:r w:rsidRPr="00B97663">
        <w:t xml:space="preserve">m un-allocated as at month </w:t>
      </w:r>
      <w:r w:rsidR="00B97663" w:rsidRPr="00B97663">
        <w:t>10</w:t>
      </w:r>
      <w:r w:rsidRPr="00B97663">
        <w:t xml:space="preserve"> and the rate of expenditure </w:t>
      </w:r>
      <w:r w:rsidR="00523E22" w:rsidRPr="00B97663">
        <w:t xml:space="preserve">is </w:t>
      </w:r>
      <w:r w:rsidRPr="00B97663">
        <w:t xml:space="preserve">being monitored in order to </w:t>
      </w:r>
      <w:r w:rsidR="009C6331" w:rsidRPr="00B97663">
        <w:t>improve</w:t>
      </w:r>
      <w:r w:rsidRPr="00B97663">
        <w:t xml:space="preserve"> on the completion of the schemes in year. </w:t>
      </w:r>
      <w:r w:rsidR="00905393" w:rsidRPr="00B97663">
        <w:t>E</w:t>
      </w:r>
      <w:r w:rsidR="00B32A2A" w:rsidRPr="00B97663">
        <w:t xml:space="preserve">stimated slippage into the 2016/17 financial </w:t>
      </w:r>
      <w:r w:rsidR="00501109" w:rsidRPr="00B97663">
        <w:t xml:space="preserve">year </w:t>
      </w:r>
      <w:r w:rsidR="00B32A2A" w:rsidRPr="00B97663">
        <w:t>is forecast to be £</w:t>
      </w:r>
      <w:r w:rsidR="00B97663" w:rsidRPr="00B97663">
        <w:t>3.2</w:t>
      </w:r>
      <w:r w:rsidR="00B32A2A" w:rsidRPr="00B97663">
        <w:t>m</w:t>
      </w:r>
      <w:r w:rsidR="00905393" w:rsidRPr="00B97663">
        <w:t xml:space="preserve"> as at month </w:t>
      </w:r>
      <w:r w:rsidR="00B97663" w:rsidRPr="00B97663">
        <w:t>10</w:t>
      </w:r>
      <w:r w:rsidR="00501109" w:rsidRPr="00B97663">
        <w:t>,</w:t>
      </w:r>
      <w:r w:rsidR="009058FD" w:rsidRPr="00B97663">
        <w:t xml:space="preserve"> this is anticipated to be revised </w:t>
      </w:r>
      <w:r w:rsidR="00501109" w:rsidRPr="00B97663">
        <w:t xml:space="preserve">upward </w:t>
      </w:r>
      <w:r w:rsidR="009058FD" w:rsidRPr="00B97663">
        <w:t>following the next Financial Board.</w:t>
      </w:r>
    </w:p>
    <w:p w:rsidR="00230119" w:rsidRPr="00B97663" w:rsidRDefault="00230119" w:rsidP="00251560">
      <w:pPr>
        <w:pStyle w:val="ListParagraph"/>
        <w:numPr>
          <w:ilvl w:val="1"/>
          <w:numId w:val="35"/>
        </w:numPr>
        <w:ind w:left="2127" w:hanging="709"/>
        <w:jc w:val="both"/>
      </w:pPr>
      <w:r w:rsidRPr="00B97663">
        <w:t>Capital expenditure is financed from grants received from the Home Office £1.2m, capital receipts from the sale of assets</w:t>
      </w:r>
      <w:r w:rsidR="00367BC1" w:rsidRPr="00B97663">
        <w:t xml:space="preserve"> £11.</w:t>
      </w:r>
      <w:r w:rsidR="001E0196" w:rsidRPr="00B97663">
        <w:t>5</w:t>
      </w:r>
      <w:r w:rsidR="00367BC1" w:rsidRPr="00B97663">
        <w:t>m</w:t>
      </w:r>
      <w:r w:rsidRPr="00B97663">
        <w:t xml:space="preserve">, revenue transfer funding and if necessary borrowing. At present </w:t>
      </w:r>
      <w:r w:rsidR="00981432" w:rsidRPr="00B97663">
        <w:t>borrowing</w:t>
      </w:r>
      <w:r w:rsidRPr="00B97663">
        <w:t xml:space="preserve"> is not required due to the size of recent receipts from police buildings and house sales.</w:t>
      </w:r>
    </w:p>
    <w:p w:rsidR="00343C70" w:rsidRPr="0010591E" w:rsidRDefault="00343C70" w:rsidP="006D06F3">
      <w:pPr>
        <w:pStyle w:val="ListParagraph"/>
        <w:numPr>
          <w:ilvl w:val="0"/>
          <w:numId w:val="35"/>
        </w:numPr>
        <w:tabs>
          <w:tab w:val="clear" w:pos="1800"/>
        </w:tabs>
        <w:ind w:left="1077" w:hanging="357"/>
        <w:jc w:val="both"/>
        <w:rPr>
          <w:rFonts w:ascii="Verdana" w:hAnsi="Verdana"/>
          <w:b/>
          <w:bCs/>
          <w:sz w:val="20"/>
          <w:szCs w:val="20"/>
        </w:rPr>
      </w:pPr>
      <w:r w:rsidRPr="0010591E">
        <w:rPr>
          <w:rFonts w:ascii="Verdana" w:hAnsi="Verdana"/>
          <w:b/>
          <w:bCs/>
          <w:sz w:val="20"/>
          <w:szCs w:val="20"/>
        </w:rPr>
        <w:lastRenderedPageBreak/>
        <w:t>Reserves</w:t>
      </w:r>
    </w:p>
    <w:p w:rsidR="00981432" w:rsidRPr="0010591E" w:rsidRDefault="004E25F9" w:rsidP="00251560">
      <w:pPr>
        <w:pStyle w:val="ListParagraph"/>
        <w:numPr>
          <w:ilvl w:val="1"/>
          <w:numId w:val="35"/>
        </w:numPr>
        <w:tabs>
          <w:tab w:val="clear" w:pos="2232"/>
        </w:tabs>
        <w:ind w:left="2127" w:hanging="709"/>
        <w:jc w:val="both"/>
      </w:pPr>
      <w:r w:rsidRPr="0010591E">
        <w:t>G</w:t>
      </w:r>
      <w:r w:rsidR="00343C70" w:rsidRPr="0010591E">
        <w:t>en</w:t>
      </w:r>
      <w:r w:rsidR="0027789C" w:rsidRPr="0010591E">
        <w:t xml:space="preserve">eral </w:t>
      </w:r>
      <w:r w:rsidR="005E6350" w:rsidRPr="0010591E">
        <w:t xml:space="preserve">reserves </w:t>
      </w:r>
      <w:r w:rsidR="00375409" w:rsidRPr="0010591E">
        <w:t xml:space="preserve">at year </w:t>
      </w:r>
      <w:r w:rsidR="00A85759" w:rsidRPr="0010591E">
        <w:t xml:space="preserve">end (2014/15) </w:t>
      </w:r>
      <w:r w:rsidR="00375409" w:rsidRPr="0010591E">
        <w:t xml:space="preserve">were £12.9m followed by approved adjustments that included the use of reserves to reduce the staff pension deficit, </w:t>
      </w:r>
      <w:r w:rsidR="00B47DCE" w:rsidRPr="0010591E">
        <w:t xml:space="preserve">a revision to specific reserves and a transfer to general reserves from </w:t>
      </w:r>
      <w:r w:rsidR="00A85759" w:rsidRPr="0010591E">
        <w:t xml:space="preserve">the </w:t>
      </w:r>
      <w:r w:rsidR="00B47DCE" w:rsidRPr="0010591E">
        <w:t>surplus on the collection fund the balance is £</w:t>
      </w:r>
      <w:r w:rsidR="005F21DE" w:rsidRPr="0010591E">
        <w:t>1</w:t>
      </w:r>
      <w:r w:rsidR="00F341B6" w:rsidRPr="0010591E">
        <w:t>1</w:t>
      </w:r>
      <w:r w:rsidR="005B1F80" w:rsidRPr="0010591E">
        <w:t>.6</w:t>
      </w:r>
      <w:r w:rsidR="00B47DCE" w:rsidRPr="0010591E">
        <w:t>m. Th</w:t>
      </w:r>
      <w:r w:rsidR="00981432" w:rsidRPr="0010591E">
        <w:t xml:space="preserve">e specific reserves </w:t>
      </w:r>
      <w:r w:rsidR="00A85759" w:rsidRPr="0010591E">
        <w:t>total £10.</w:t>
      </w:r>
      <w:r w:rsidR="007D30A7" w:rsidRPr="0010591E">
        <w:t>3</w:t>
      </w:r>
      <w:r w:rsidR="00A85759" w:rsidRPr="0010591E">
        <w:t xml:space="preserve">m and </w:t>
      </w:r>
      <w:r w:rsidR="00981432" w:rsidRPr="0010591E">
        <w:t>consist of; t</w:t>
      </w:r>
      <w:r w:rsidR="007E7CE1" w:rsidRPr="0010591E">
        <w:t>he Chief Constable</w:t>
      </w:r>
      <w:r w:rsidR="008721A0" w:rsidRPr="0010591E">
        <w:t>’s</w:t>
      </w:r>
      <w:r w:rsidR="007E7CE1" w:rsidRPr="0010591E">
        <w:t xml:space="preserve"> Operational Reserve</w:t>
      </w:r>
      <w:r w:rsidR="00561339" w:rsidRPr="0010591E">
        <w:t xml:space="preserve"> </w:t>
      </w:r>
      <w:r w:rsidR="005664FC" w:rsidRPr="0010591E">
        <w:t>£1.0m</w:t>
      </w:r>
      <w:r w:rsidR="005C1CF6" w:rsidRPr="0010591E">
        <w:t>,</w:t>
      </w:r>
      <w:r w:rsidR="00561339" w:rsidRPr="0010591E">
        <w:t xml:space="preserve"> Operation Heather reserve</w:t>
      </w:r>
      <w:r w:rsidR="007E7CE1" w:rsidRPr="0010591E">
        <w:t xml:space="preserve"> </w:t>
      </w:r>
      <w:r w:rsidR="005664FC" w:rsidRPr="0010591E">
        <w:t>£1.3m</w:t>
      </w:r>
      <w:r w:rsidR="005C1CF6" w:rsidRPr="0010591E">
        <w:t>, Training reserve £1.0m and Estate reserve of £0.5m</w:t>
      </w:r>
      <w:r w:rsidR="00981432" w:rsidRPr="0010591E">
        <w:t>, Insurance reserve £4.4m and Ill Health reserve £2.</w:t>
      </w:r>
      <w:r w:rsidR="00A774FA" w:rsidRPr="0010591E">
        <w:t>1</w:t>
      </w:r>
      <w:r w:rsidR="00981432" w:rsidRPr="0010591E">
        <w:t>m.</w:t>
      </w:r>
    </w:p>
    <w:p w:rsidR="005664FC" w:rsidRPr="0010591E" w:rsidRDefault="00A85759" w:rsidP="00251560">
      <w:pPr>
        <w:pStyle w:val="ListParagraph"/>
        <w:numPr>
          <w:ilvl w:val="1"/>
          <w:numId w:val="35"/>
        </w:numPr>
        <w:tabs>
          <w:tab w:val="clear" w:pos="2232"/>
        </w:tabs>
        <w:ind w:left="2127" w:hanging="709"/>
        <w:jc w:val="both"/>
      </w:pPr>
      <w:r w:rsidRPr="0010591E">
        <w:t xml:space="preserve">The balances on the following reserves will decrease during the year, Operation Heather, Estate </w:t>
      </w:r>
      <w:r w:rsidR="00F341B6" w:rsidRPr="0010591E">
        <w:t xml:space="preserve">Maintenance </w:t>
      </w:r>
      <w:r w:rsidRPr="0010591E">
        <w:t>and Training.</w:t>
      </w:r>
    </w:p>
    <w:p w:rsidR="00C0792B" w:rsidRPr="0010591E" w:rsidRDefault="00C0792B" w:rsidP="005664FC">
      <w:pPr>
        <w:pStyle w:val="ListParagraph"/>
        <w:ind w:left="1512"/>
        <w:jc w:val="both"/>
      </w:pPr>
    </w:p>
    <w:p w:rsidR="00E97E55" w:rsidRPr="0010591E" w:rsidRDefault="00E97E55" w:rsidP="00251560">
      <w:pPr>
        <w:pStyle w:val="ListParagraph"/>
        <w:numPr>
          <w:ilvl w:val="0"/>
          <w:numId w:val="35"/>
        </w:numPr>
        <w:spacing w:line="360" w:lineRule="auto"/>
        <w:ind w:left="1077" w:right="147" w:hanging="357"/>
        <w:jc w:val="both"/>
        <w:rPr>
          <w:rFonts w:ascii="Verdana" w:hAnsi="Verdana" w:cs="Verdana"/>
          <w:b/>
          <w:bCs/>
          <w:sz w:val="20"/>
          <w:szCs w:val="20"/>
        </w:rPr>
      </w:pPr>
      <w:r w:rsidRPr="0010591E">
        <w:rPr>
          <w:rFonts w:ascii="Verdana" w:hAnsi="Verdana" w:cs="Verdana"/>
          <w:b/>
          <w:bCs/>
          <w:sz w:val="20"/>
          <w:szCs w:val="20"/>
        </w:rPr>
        <w:t>Risks</w:t>
      </w:r>
    </w:p>
    <w:p w:rsidR="00E97E55" w:rsidRPr="0010591E" w:rsidRDefault="00E97E55" w:rsidP="006D06F3">
      <w:pPr>
        <w:pStyle w:val="ListParagraph"/>
        <w:numPr>
          <w:ilvl w:val="1"/>
          <w:numId w:val="35"/>
        </w:numPr>
        <w:tabs>
          <w:tab w:val="clear" w:pos="2232"/>
        </w:tabs>
        <w:ind w:left="2234" w:hanging="816"/>
        <w:jc w:val="both"/>
      </w:pPr>
      <w:r w:rsidRPr="0010591E">
        <w:t xml:space="preserve">The inability to </w:t>
      </w:r>
      <w:r w:rsidR="00B05C74" w:rsidRPr="0010591E">
        <w:t xml:space="preserve">control financial expenditure </w:t>
      </w:r>
      <w:r w:rsidR="00F10C37" w:rsidRPr="0010591E">
        <w:t>and achieve value for money would</w:t>
      </w:r>
      <w:r w:rsidR="00B05C74" w:rsidRPr="0010591E">
        <w:t xml:space="preserve"> impact on achieving performance objectives and attract negative attention that affects the Force’s reputation.</w:t>
      </w:r>
      <w:r w:rsidR="00674115" w:rsidRPr="0010591E">
        <w:t xml:space="preserve"> The following are highlighted requiring attention;</w:t>
      </w:r>
    </w:p>
    <w:p w:rsidR="00D364F9" w:rsidRPr="0010591E" w:rsidRDefault="00674115" w:rsidP="006D06F3">
      <w:pPr>
        <w:pStyle w:val="ListParagraph"/>
        <w:numPr>
          <w:ilvl w:val="1"/>
          <w:numId w:val="35"/>
        </w:numPr>
        <w:tabs>
          <w:tab w:val="clear" w:pos="2232"/>
        </w:tabs>
        <w:ind w:left="2234" w:hanging="816"/>
        <w:jc w:val="both"/>
      </w:pPr>
      <w:r w:rsidRPr="0010591E">
        <w:t>ICT are experiencing difficulties with resourcing levels which is leading to more ex</w:t>
      </w:r>
      <w:r w:rsidR="00A85759" w:rsidRPr="0010591E">
        <w:t>p</w:t>
      </w:r>
      <w:r w:rsidRPr="0010591E">
        <w:t>ensive sho</w:t>
      </w:r>
      <w:r w:rsidR="00A85759" w:rsidRPr="0010591E">
        <w:t>r</w:t>
      </w:r>
      <w:r w:rsidRPr="0010591E">
        <w:t xml:space="preserve">t term arrangements being put in place and is a distraction to the SMT. This is leading to slippage in delivering planned projects for the Force. A Gold group is operating to manage the position. </w:t>
      </w:r>
      <w:r w:rsidR="003C49E8" w:rsidRPr="0010591E">
        <w:t>W</w:t>
      </w:r>
      <w:r w:rsidR="008006CA" w:rsidRPr="0010591E">
        <w:t xml:space="preserve">ork </w:t>
      </w:r>
      <w:r w:rsidR="007D2A0A" w:rsidRPr="0010591E">
        <w:t xml:space="preserve">is </w:t>
      </w:r>
      <w:r w:rsidR="003C49E8" w:rsidRPr="0010591E">
        <w:t xml:space="preserve">continuing </w:t>
      </w:r>
      <w:r w:rsidRPr="0010591E">
        <w:t xml:space="preserve">to </w:t>
      </w:r>
      <w:r w:rsidR="008006CA" w:rsidRPr="0010591E">
        <w:t xml:space="preserve">get </w:t>
      </w:r>
      <w:r w:rsidR="0010591E" w:rsidRPr="0010591E">
        <w:t xml:space="preserve">to </w:t>
      </w:r>
      <w:r w:rsidRPr="0010591E">
        <w:t xml:space="preserve">a normalised </w:t>
      </w:r>
      <w:r w:rsidR="008006CA" w:rsidRPr="0010591E">
        <w:t>position for the Datacentre contract which will ensure budgets are spent as planned thus reducing the need to use underspends in certain areas to cover overspends for unbudgeted contract change notices in others.</w:t>
      </w:r>
      <w:r w:rsidR="005C1CF6" w:rsidRPr="0010591E">
        <w:t xml:space="preserve"> </w:t>
      </w:r>
      <w:r w:rsidR="003C49E8" w:rsidRPr="0010591E">
        <w:t>There is c</w:t>
      </w:r>
      <w:r w:rsidR="005C1CF6" w:rsidRPr="0010591E">
        <w:t>ontinued focus on spend control linked to the “Making IT Better” project to identify and minimise cost leakage.</w:t>
      </w:r>
    </w:p>
    <w:p w:rsidR="00F73682" w:rsidRPr="0010591E" w:rsidRDefault="00F73682" w:rsidP="006D06F3">
      <w:pPr>
        <w:pStyle w:val="ListParagraph"/>
        <w:numPr>
          <w:ilvl w:val="1"/>
          <w:numId w:val="35"/>
        </w:numPr>
        <w:tabs>
          <w:tab w:val="clear" w:pos="2232"/>
        </w:tabs>
        <w:ind w:left="2234" w:hanging="816"/>
        <w:jc w:val="both"/>
      </w:pPr>
      <w:r w:rsidRPr="0010591E">
        <w:t xml:space="preserve">Two </w:t>
      </w:r>
      <w:r w:rsidR="00334F31" w:rsidRPr="0010591E">
        <w:t xml:space="preserve">national </w:t>
      </w:r>
      <w:r w:rsidRPr="0010591E">
        <w:t xml:space="preserve">reviews are underway which will have </w:t>
      </w:r>
      <w:r w:rsidR="00334F31" w:rsidRPr="0010591E">
        <w:t xml:space="preserve">a </w:t>
      </w:r>
      <w:r w:rsidRPr="0010591E">
        <w:t>resourcing requirement, the Goddard and Under Cover Policing reviews. The impact of this work is being assessed. The PCC has given consent to draw on reserves if necessary.</w:t>
      </w:r>
    </w:p>
    <w:p w:rsidR="00D364F9" w:rsidRPr="0010591E" w:rsidRDefault="00D364F9" w:rsidP="00D364F9">
      <w:pPr>
        <w:jc w:val="both"/>
      </w:pPr>
    </w:p>
    <w:p w:rsidR="00E97E55" w:rsidRPr="0010591E" w:rsidRDefault="00E97E55" w:rsidP="006D06F3">
      <w:pPr>
        <w:numPr>
          <w:ilvl w:val="0"/>
          <w:numId w:val="35"/>
        </w:numPr>
        <w:tabs>
          <w:tab w:val="clear" w:pos="1800"/>
        </w:tabs>
        <w:spacing w:before="0" w:line="360" w:lineRule="auto"/>
        <w:ind w:left="1077" w:right="147" w:hanging="357"/>
        <w:jc w:val="both"/>
        <w:rPr>
          <w:b/>
          <w:bCs/>
        </w:rPr>
      </w:pPr>
      <w:r w:rsidRPr="0010591E">
        <w:rPr>
          <w:b/>
          <w:bCs/>
        </w:rPr>
        <w:t>Decision[s] Required</w:t>
      </w:r>
    </w:p>
    <w:p w:rsidR="008B6B78" w:rsidRPr="0010591E" w:rsidRDefault="001D7B78" w:rsidP="006D06F3">
      <w:pPr>
        <w:pStyle w:val="ListParagraph"/>
        <w:numPr>
          <w:ilvl w:val="1"/>
          <w:numId w:val="35"/>
        </w:numPr>
        <w:tabs>
          <w:tab w:val="clear" w:pos="2232"/>
        </w:tabs>
        <w:ind w:left="2268" w:hanging="850"/>
      </w:pPr>
      <w:r w:rsidRPr="0010591E">
        <w:t>This report is for information.</w:t>
      </w:r>
    </w:p>
    <w:p w:rsidR="00403D81" w:rsidRPr="00D5381C" w:rsidRDefault="00403D81" w:rsidP="006D06F3">
      <w:pPr>
        <w:ind w:left="2268" w:hanging="850"/>
        <w:rPr>
          <w:color w:val="548DD4" w:themeColor="text2" w:themeTint="99"/>
        </w:rPr>
      </w:pPr>
    </w:p>
    <w:p w:rsidR="001970AC" w:rsidRPr="00D5381C" w:rsidRDefault="001970AC" w:rsidP="006D06F3">
      <w:pPr>
        <w:ind w:left="2268" w:hanging="850"/>
        <w:rPr>
          <w:color w:val="548DD4" w:themeColor="text2" w:themeTint="99"/>
        </w:rPr>
      </w:pPr>
    </w:p>
    <w:p w:rsidR="001970AC" w:rsidRDefault="001970AC" w:rsidP="006D06F3">
      <w:pPr>
        <w:ind w:left="2268" w:hanging="850"/>
        <w:sectPr w:rsidR="001970AC" w:rsidSect="00B15FC4">
          <w:headerReference w:type="default" r:id="rId15"/>
          <w:footerReference w:type="default" r:id="rId16"/>
          <w:pgSz w:w="11906" w:h="16838" w:code="9"/>
          <w:pgMar w:top="720" w:right="1559" w:bottom="720" w:left="720" w:header="1440" w:footer="369" w:gutter="0"/>
          <w:cols w:space="720"/>
          <w:noEndnote/>
          <w:docGrid w:linePitch="360"/>
        </w:sectPr>
      </w:pPr>
    </w:p>
    <w:p w:rsidR="008D4F79" w:rsidRDefault="008E373E" w:rsidP="005C1CF6">
      <w:pPr>
        <w:widowControl/>
        <w:spacing w:before="0" w:after="0"/>
        <w:jc w:val="center"/>
      </w:pPr>
      <w:bookmarkStart w:id="0" w:name="RANGE!A1:R77"/>
      <w:bookmarkEnd w:id="0"/>
      <w:r w:rsidRPr="008E373E">
        <w:rPr>
          <w:noProof/>
          <w:lang w:eastAsia="en-GB"/>
        </w:rPr>
        <w:lastRenderedPageBreak/>
        <w:drawing>
          <wp:inline distT="0" distB="0" distL="0" distR="0">
            <wp:extent cx="8919452" cy="614449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38482" cy="6157608"/>
                    </a:xfrm>
                    <a:prstGeom prst="rect">
                      <a:avLst/>
                    </a:prstGeom>
                    <a:noFill/>
                    <a:ln>
                      <a:noFill/>
                    </a:ln>
                  </pic:spPr>
                </pic:pic>
              </a:graphicData>
            </a:graphic>
          </wp:inline>
        </w:drawing>
      </w:r>
    </w:p>
    <w:p w:rsidR="00154143" w:rsidRDefault="008E373E" w:rsidP="008D4F79">
      <w:pPr>
        <w:widowControl/>
        <w:spacing w:before="0" w:after="0"/>
        <w:jc w:val="center"/>
        <w:rPr>
          <w:rFonts w:ascii="Arial" w:hAnsi="Arial" w:cs="Arial"/>
          <w:color w:val="FF0000"/>
          <w:sz w:val="16"/>
          <w:szCs w:val="16"/>
          <w:lang w:eastAsia="en-GB"/>
        </w:rPr>
      </w:pPr>
      <w:r w:rsidRPr="008E373E">
        <w:rPr>
          <w:noProof/>
          <w:lang w:eastAsia="en-GB"/>
        </w:rPr>
        <w:lastRenderedPageBreak/>
        <w:drawing>
          <wp:inline distT="0" distB="0" distL="0" distR="0">
            <wp:extent cx="9777730" cy="59908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7730" cy="5990846"/>
                    </a:xfrm>
                    <a:prstGeom prst="rect">
                      <a:avLst/>
                    </a:prstGeom>
                    <a:noFill/>
                    <a:ln>
                      <a:noFill/>
                    </a:ln>
                  </pic:spPr>
                </pic:pic>
              </a:graphicData>
            </a:graphic>
          </wp:inline>
        </w:drawing>
      </w:r>
    </w:p>
    <w:p w:rsidR="00154143" w:rsidRDefault="00154143" w:rsidP="008D4F79">
      <w:pPr>
        <w:widowControl/>
        <w:spacing w:before="0" w:after="0"/>
        <w:jc w:val="center"/>
        <w:rPr>
          <w:rFonts w:ascii="Arial" w:hAnsi="Arial" w:cs="Arial"/>
          <w:color w:val="FF0000"/>
          <w:sz w:val="16"/>
          <w:szCs w:val="16"/>
          <w:lang w:eastAsia="en-GB"/>
        </w:rPr>
      </w:pPr>
    </w:p>
    <w:p w:rsidR="001970AC" w:rsidRDefault="001970AC" w:rsidP="005A6E3E">
      <w:pPr>
        <w:widowControl/>
        <w:spacing w:before="0" w:after="0"/>
        <w:jc w:val="center"/>
        <w:rPr>
          <w:noProof/>
          <w:lang w:eastAsia="en-GB"/>
        </w:rPr>
        <w:sectPr w:rsidR="001970AC" w:rsidSect="001970AC">
          <w:pgSz w:w="16838" w:h="11906" w:orient="landscape"/>
          <w:pgMar w:top="426" w:right="720" w:bottom="720" w:left="720" w:header="567" w:footer="369" w:gutter="0"/>
          <w:cols w:space="720"/>
          <w:noEndnote/>
          <w:docGrid w:linePitch="360"/>
        </w:sectPr>
      </w:pPr>
    </w:p>
    <w:p w:rsidR="00D27FED" w:rsidRDefault="008E373E" w:rsidP="00CA0961">
      <w:pPr>
        <w:pStyle w:val="ListParagraph"/>
        <w:spacing w:line="360" w:lineRule="auto"/>
        <w:ind w:left="360" w:right="146"/>
        <w:jc w:val="center"/>
        <w:rPr>
          <w:noProof/>
          <w:lang w:eastAsia="en-GB"/>
        </w:rPr>
      </w:pPr>
      <w:r w:rsidRPr="008E373E">
        <w:rPr>
          <w:noProof/>
          <w:lang w:eastAsia="en-GB"/>
        </w:rPr>
        <w:lastRenderedPageBreak/>
        <w:drawing>
          <wp:inline distT="0" distB="0" distL="0" distR="0">
            <wp:extent cx="9367961" cy="6112697"/>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2978" cy="6148596"/>
                    </a:xfrm>
                    <a:prstGeom prst="rect">
                      <a:avLst/>
                    </a:prstGeom>
                    <a:noFill/>
                    <a:ln>
                      <a:noFill/>
                    </a:ln>
                  </pic:spPr>
                </pic:pic>
              </a:graphicData>
            </a:graphic>
          </wp:inline>
        </w:drawing>
      </w:r>
      <w:r w:rsidR="006606F1">
        <w:rPr>
          <w:noProof/>
          <w:lang w:eastAsia="en-GB"/>
        </w:rPr>
        <w:t xml:space="preserve"> </w:t>
      </w:r>
    </w:p>
    <w:p w:rsidR="009D44C1" w:rsidRDefault="00D27FED" w:rsidP="00CA0961">
      <w:pPr>
        <w:pStyle w:val="ListParagraph"/>
        <w:spacing w:line="360" w:lineRule="auto"/>
        <w:ind w:left="360" w:right="146"/>
        <w:jc w:val="center"/>
        <w:rPr>
          <w:noProof/>
          <w:lang w:eastAsia="en-GB"/>
        </w:rPr>
      </w:pPr>
      <w:bookmarkStart w:id="1" w:name="_GoBack"/>
      <w:r w:rsidRPr="00D27FED">
        <w:rPr>
          <w:noProof/>
          <w:lang w:eastAsia="en-GB"/>
        </w:rPr>
        <w:lastRenderedPageBreak/>
        <w:drawing>
          <wp:inline distT="0" distB="0" distL="0" distR="0">
            <wp:extent cx="8399081" cy="6172766"/>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99081" cy="6172766"/>
                    </a:xfrm>
                    <a:prstGeom prst="rect">
                      <a:avLst/>
                    </a:prstGeom>
                    <a:noFill/>
                    <a:ln>
                      <a:noFill/>
                    </a:ln>
                  </pic:spPr>
                </pic:pic>
              </a:graphicData>
            </a:graphic>
          </wp:inline>
        </w:drawing>
      </w:r>
      <w:bookmarkEnd w:id="1"/>
    </w:p>
    <w:sectPr w:rsidR="009D44C1" w:rsidSect="002B111C">
      <w:pgSz w:w="16839" w:h="11907" w:orient="landscape" w:code="9"/>
      <w:pgMar w:top="720" w:right="720" w:bottom="720" w:left="720" w:header="567" w:footer="36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59" w:rsidRDefault="00A85759">
      <w:r>
        <w:separator/>
      </w:r>
    </w:p>
  </w:endnote>
  <w:endnote w:type="continuationSeparator" w:id="0">
    <w:p w:rsidR="00A85759" w:rsidRDefault="00A8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91268"/>
      <w:docPartObj>
        <w:docPartGallery w:val="Page Numbers (Bottom of Page)"/>
        <w:docPartUnique/>
      </w:docPartObj>
    </w:sdtPr>
    <w:sdtEndPr>
      <w:rPr>
        <w:noProof/>
      </w:rPr>
    </w:sdtEndPr>
    <w:sdtContent>
      <w:p w:rsidR="00A85759" w:rsidRDefault="00A85759">
        <w:pPr>
          <w:pStyle w:val="Footer"/>
          <w:jc w:val="center"/>
        </w:pPr>
        <w:r>
          <w:fldChar w:fldCharType="begin"/>
        </w:r>
        <w:r>
          <w:instrText xml:space="preserve"> PAGE   \* MERGEFORMAT </w:instrText>
        </w:r>
        <w:r>
          <w:fldChar w:fldCharType="separate"/>
        </w:r>
        <w:r w:rsidR="004A3FCF">
          <w:rPr>
            <w:noProof/>
          </w:rPr>
          <w:t>1</w:t>
        </w:r>
        <w:r>
          <w:rPr>
            <w:noProof/>
          </w:rPr>
          <w:fldChar w:fldCharType="end"/>
        </w:r>
      </w:p>
    </w:sdtContent>
  </w:sdt>
  <w:p w:rsidR="00A85759" w:rsidRDefault="00A85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59" w:rsidRDefault="00A85759">
      <w:r>
        <w:separator/>
      </w:r>
    </w:p>
  </w:footnote>
  <w:footnote w:type="continuationSeparator" w:id="0">
    <w:p w:rsidR="00A85759" w:rsidRDefault="00A85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59" w:rsidRDefault="00A85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9FE"/>
    <w:multiLevelType w:val="hybridMultilevel"/>
    <w:tmpl w:val="630C3B20"/>
    <w:lvl w:ilvl="0" w:tplc="08090001">
      <w:start w:val="1"/>
      <w:numFmt w:val="bullet"/>
      <w:lvlText w:val=""/>
      <w:lvlJc w:val="left"/>
      <w:pPr>
        <w:tabs>
          <w:tab w:val="num" w:pos="1582"/>
        </w:tabs>
        <w:ind w:left="1582" w:hanging="360"/>
      </w:pPr>
      <w:rPr>
        <w:rFonts w:ascii="Symbol" w:hAnsi="Symbol" w:cs="Symbol" w:hint="default"/>
      </w:rPr>
    </w:lvl>
    <w:lvl w:ilvl="1" w:tplc="08090003" w:tentative="1">
      <w:start w:val="1"/>
      <w:numFmt w:val="bullet"/>
      <w:lvlText w:val="o"/>
      <w:lvlJc w:val="left"/>
      <w:pPr>
        <w:tabs>
          <w:tab w:val="num" w:pos="2302"/>
        </w:tabs>
        <w:ind w:left="2302" w:hanging="360"/>
      </w:pPr>
      <w:rPr>
        <w:rFonts w:ascii="Courier New" w:hAnsi="Courier New" w:cs="Courier New" w:hint="default"/>
      </w:rPr>
    </w:lvl>
    <w:lvl w:ilvl="2" w:tplc="08090005" w:tentative="1">
      <w:start w:val="1"/>
      <w:numFmt w:val="bullet"/>
      <w:lvlText w:val=""/>
      <w:lvlJc w:val="left"/>
      <w:pPr>
        <w:tabs>
          <w:tab w:val="num" w:pos="3022"/>
        </w:tabs>
        <w:ind w:left="3022" w:hanging="360"/>
      </w:pPr>
      <w:rPr>
        <w:rFonts w:ascii="Wingdings" w:hAnsi="Wingdings" w:cs="Wingdings" w:hint="default"/>
      </w:rPr>
    </w:lvl>
    <w:lvl w:ilvl="3" w:tplc="08090001" w:tentative="1">
      <w:start w:val="1"/>
      <w:numFmt w:val="bullet"/>
      <w:lvlText w:val=""/>
      <w:lvlJc w:val="left"/>
      <w:pPr>
        <w:tabs>
          <w:tab w:val="num" w:pos="3742"/>
        </w:tabs>
        <w:ind w:left="3742" w:hanging="360"/>
      </w:pPr>
      <w:rPr>
        <w:rFonts w:ascii="Symbol" w:hAnsi="Symbol" w:cs="Symbol" w:hint="default"/>
      </w:rPr>
    </w:lvl>
    <w:lvl w:ilvl="4" w:tplc="08090003" w:tentative="1">
      <w:start w:val="1"/>
      <w:numFmt w:val="bullet"/>
      <w:lvlText w:val="o"/>
      <w:lvlJc w:val="left"/>
      <w:pPr>
        <w:tabs>
          <w:tab w:val="num" w:pos="4462"/>
        </w:tabs>
        <w:ind w:left="4462" w:hanging="360"/>
      </w:pPr>
      <w:rPr>
        <w:rFonts w:ascii="Courier New" w:hAnsi="Courier New" w:cs="Courier New" w:hint="default"/>
      </w:rPr>
    </w:lvl>
    <w:lvl w:ilvl="5" w:tplc="08090005" w:tentative="1">
      <w:start w:val="1"/>
      <w:numFmt w:val="bullet"/>
      <w:lvlText w:val=""/>
      <w:lvlJc w:val="left"/>
      <w:pPr>
        <w:tabs>
          <w:tab w:val="num" w:pos="5182"/>
        </w:tabs>
        <w:ind w:left="5182" w:hanging="360"/>
      </w:pPr>
      <w:rPr>
        <w:rFonts w:ascii="Wingdings" w:hAnsi="Wingdings" w:cs="Wingdings" w:hint="default"/>
      </w:rPr>
    </w:lvl>
    <w:lvl w:ilvl="6" w:tplc="08090001" w:tentative="1">
      <w:start w:val="1"/>
      <w:numFmt w:val="bullet"/>
      <w:lvlText w:val=""/>
      <w:lvlJc w:val="left"/>
      <w:pPr>
        <w:tabs>
          <w:tab w:val="num" w:pos="5902"/>
        </w:tabs>
        <w:ind w:left="5902" w:hanging="360"/>
      </w:pPr>
      <w:rPr>
        <w:rFonts w:ascii="Symbol" w:hAnsi="Symbol" w:cs="Symbol" w:hint="default"/>
      </w:rPr>
    </w:lvl>
    <w:lvl w:ilvl="7" w:tplc="08090003" w:tentative="1">
      <w:start w:val="1"/>
      <w:numFmt w:val="bullet"/>
      <w:lvlText w:val="o"/>
      <w:lvlJc w:val="left"/>
      <w:pPr>
        <w:tabs>
          <w:tab w:val="num" w:pos="6622"/>
        </w:tabs>
        <w:ind w:left="6622" w:hanging="360"/>
      </w:pPr>
      <w:rPr>
        <w:rFonts w:ascii="Courier New" w:hAnsi="Courier New" w:cs="Courier New" w:hint="default"/>
      </w:rPr>
    </w:lvl>
    <w:lvl w:ilvl="8" w:tplc="08090005" w:tentative="1">
      <w:start w:val="1"/>
      <w:numFmt w:val="bullet"/>
      <w:lvlText w:val=""/>
      <w:lvlJc w:val="left"/>
      <w:pPr>
        <w:tabs>
          <w:tab w:val="num" w:pos="7342"/>
        </w:tabs>
        <w:ind w:left="7342" w:hanging="360"/>
      </w:pPr>
      <w:rPr>
        <w:rFonts w:ascii="Wingdings" w:hAnsi="Wingdings" w:cs="Wingdings" w:hint="default"/>
      </w:rPr>
    </w:lvl>
  </w:abstractNum>
  <w:abstractNum w:abstractNumId="1">
    <w:nsid w:val="06BD22F1"/>
    <w:multiLevelType w:val="multilevel"/>
    <w:tmpl w:val="98B629AA"/>
    <w:lvl w:ilvl="0">
      <w:start w:val="4"/>
      <w:numFmt w:val="decimal"/>
      <w:lvlText w:val="%1."/>
      <w:lvlJc w:val="left"/>
      <w:pPr>
        <w:tabs>
          <w:tab w:val="num" w:pos="862"/>
        </w:tabs>
        <w:ind w:left="862" w:hanging="360"/>
      </w:pPr>
      <w:rPr>
        <w:rFonts w:hint="default"/>
        <w:b/>
        <w:bCs/>
      </w:rPr>
    </w:lvl>
    <w:lvl w:ilvl="1">
      <w:start w:val="1"/>
      <w:numFmt w:val="decimal"/>
      <w:isLgl/>
      <w:lvlText w:val="%1.%2"/>
      <w:lvlJc w:val="left"/>
      <w:pPr>
        <w:tabs>
          <w:tab w:val="num" w:pos="862"/>
        </w:tabs>
        <w:ind w:left="862" w:hanging="360"/>
      </w:pPr>
      <w:rPr>
        <w:rFonts w:hint="default"/>
        <w:b w:val="0"/>
        <w:bCs w:val="0"/>
      </w:rPr>
    </w:lvl>
    <w:lvl w:ilvl="2">
      <w:start w:val="1"/>
      <w:numFmt w:val="decimal"/>
      <w:isLgl/>
      <w:lvlText w:val="%1.%2.%3"/>
      <w:lvlJc w:val="left"/>
      <w:pPr>
        <w:tabs>
          <w:tab w:val="num" w:pos="1222"/>
        </w:tabs>
        <w:ind w:left="1222" w:hanging="720"/>
      </w:pPr>
      <w:rPr>
        <w:rFonts w:hint="default"/>
      </w:rPr>
    </w:lvl>
    <w:lvl w:ilvl="3">
      <w:start w:val="1"/>
      <w:numFmt w:val="decimal"/>
      <w:isLgl/>
      <w:lvlText w:val="%1.%2.%3.%4"/>
      <w:lvlJc w:val="left"/>
      <w:pPr>
        <w:tabs>
          <w:tab w:val="num" w:pos="1222"/>
        </w:tabs>
        <w:ind w:left="1222" w:hanging="720"/>
      </w:pPr>
      <w:rPr>
        <w:rFonts w:hint="default"/>
      </w:rPr>
    </w:lvl>
    <w:lvl w:ilvl="4">
      <w:start w:val="1"/>
      <w:numFmt w:val="decimal"/>
      <w:isLgl/>
      <w:lvlText w:val="%1.%2.%3.%4.%5"/>
      <w:lvlJc w:val="left"/>
      <w:pPr>
        <w:tabs>
          <w:tab w:val="num" w:pos="1582"/>
        </w:tabs>
        <w:ind w:left="1582" w:hanging="1080"/>
      </w:pPr>
      <w:rPr>
        <w:rFonts w:hint="default"/>
      </w:rPr>
    </w:lvl>
    <w:lvl w:ilvl="5">
      <w:start w:val="1"/>
      <w:numFmt w:val="decimal"/>
      <w:isLgl/>
      <w:lvlText w:val="%1.%2.%3.%4.%5.%6"/>
      <w:lvlJc w:val="left"/>
      <w:pPr>
        <w:tabs>
          <w:tab w:val="num" w:pos="1582"/>
        </w:tabs>
        <w:ind w:left="1582" w:hanging="1080"/>
      </w:pPr>
      <w:rPr>
        <w:rFonts w:hint="default"/>
      </w:rPr>
    </w:lvl>
    <w:lvl w:ilvl="6">
      <w:start w:val="1"/>
      <w:numFmt w:val="decimal"/>
      <w:isLgl/>
      <w:lvlText w:val="%1.%2.%3.%4.%5.%6.%7"/>
      <w:lvlJc w:val="left"/>
      <w:pPr>
        <w:tabs>
          <w:tab w:val="num" w:pos="1942"/>
        </w:tabs>
        <w:ind w:left="1942" w:hanging="1440"/>
      </w:pPr>
      <w:rPr>
        <w:rFonts w:hint="default"/>
      </w:rPr>
    </w:lvl>
    <w:lvl w:ilvl="7">
      <w:start w:val="1"/>
      <w:numFmt w:val="decimal"/>
      <w:isLgl/>
      <w:lvlText w:val="%1.%2.%3.%4.%5.%6.%7.%8"/>
      <w:lvlJc w:val="left"/>
      <w:pPr>
        <w:tabs>
          <w:tab w:val="num" w:pos="1942"/>
        </w:tabs>
        <w:ind w:left="1942" w:hanging="1440"/>
      </w:pPr>
      <w:rPr>
        <w:rFonts w:hint="default"/>
      </w:rPr>
    </w:lvl>
    <w:lvl w:ilvl="8">
      <w:start w:val="1"/>
      <w:numFmt w:val="decimal"/>
      <w:isLgl/>
      <w:lvlText w:val="%1.%2.%3.%4.%5.%6.%7.%8.%9"/>
      <w:lvlJc w:val="left"/>
      <w:pPr>
        <w:tabs>
          <w:tab w:val="num" w:pos="2302"/>
        </w:tabs>
        <w:ind w:left="2302" w:hanging="1800"/>
      </w:pPr>
      <w:rPr>
        <w:rFonts w:hint="default"/>
      </w:rPr>
    </w:lvl>
  </w:abstractNum>
  <w:abstractNum w:abstractNumId="2">
    <w:nsid w:val="0A631714"/>
    <w:multiLevelType w:val="multilevel"/>
    <w:tmpl w:val="23561778"/>
    <w:lvl w:ilvl="0">
      <w:start w:val="4"/>
      <w:numFmt w:val="decimal"/>
      <w:lvlText w:val="%1"/>
      <w:lvlJc w:val="left"/>
      <w:pPr>
        <w:ind w:left="360" w:hanging="360"/>
      </w:pPr>
      <w:rPr>
        <w:rFonts w:asciiTheme="minorHAnsi" w:hAnsiTheme="minorHAnsi" w:cstheme="minorHAnsi" w:hint="default"/>
        <w:b w:val="0"/>
        <w:sz w:val="22"/>
      </w:rPr>
    </w:lvl>
    <w:lvl w:ilvl="1">
      <w:start w:val="1"/>
      <w:numFmt w:val="decimal"/>
      <w:lvlText w:val="%1.%2"/>
      <w:lvlJc w:val="left"/>
      <w:pPr>
        <w:ind w:left="2138" w:hanging="720"/>
      </w:pPr>
      <w:rPr>
        <w:rFonts w:asciiTheme="minorHAnsi" w:hAnsiTheme="minorHAnsi" w:cstheme="minorHAnsi" w:hint="default"/>
        <w:b w:val="0"/>
        <w:sz w:val="22"/>
      </w:rPr>
    </w:lvl>
    <w:lvl w:ilvl="2">
      <w:start w:val="1"/>
      <w:numFmt w:val="decimal"/>
      <w:lvlText w:val="%1.%2.%3"/>
      <w:lvlJc w:val="left"/>
      <w:pPr>
        <w:ind w:left="3556" w:hanging="720"/>
      </w:pPr>
      <w:rPr>
        <w:rFonts w:asciiTheme="minorHAnsi" w:hAnsiTheme="minorHAnsi" w:cstheme="minorHAnsi" w:hint="default"/>
        <w:b w:val="0"/>
        <w:sz w:val="22"/>
      </w:rPr>
    </w:lvl>
    <w:lvl w:ilvl="3">
      <w:start w:val="1"/>
      <w:numFmt w:val="decimal"/>
      <w:lvlText w:val="%1.%2.%3.%4"/>
      <w:lvlJc w:val="left"/>
      <w:pPr>
        <w:ind w:left="5334" w:hanging="1080"/>
      </w:pPr>
      <w:rPr>
        <w:rFonts w:asciiTheme="minorHAnsi" w:hAnsiTheme="minorHAnsi" w:cstheme="minorHAnsi" w:hint="default"/>
        <w:b w:val="0"/>
        <w:sz w:val="22"/>
      </w:rPr>
    </w:lvl>
    <w:lvl w:ilvl="4">
      <w:start w:val="1"/>
      <w:numFmt w:val="decimal"/>
      <w:lvlText w:val="%1.%2.%3.%4.%5"/>
      <w:lvlJc w:val="left"/>
      <w:pPr>
        <w:ind w:left="7112" w:hanging="1440"/>
      </w:pPr>
      <w:rPr>
        <w:rFonts w:asciiTheme="minorHAnsi" w:hAnsiTheme="minorHAnsi" w:cstheme="minorHAnsi" w:hint="default"/>
        <w:b w:val="0"/>
        <w:sz w:val="22"/>
      </w:rPr>
    </w:lvl>
    <w:lvl w:ilvl="5">
      <w:start w:val="1"/>
      <w:numFmt w:val="decimal"/>
      <w:lvlText w:val="%1.%2.%3.%4.%5.%6"/>
      <w:lvlJc w:val="left"/>
      <w:pPr>
        <w:ind w:left="8530" w:hanging="1440"/>
      </w:pPr>
      <w:rPr>
        <w:rFonts w:asciiTheme="minorHAnsi" w:hAnsiTheme="minorHAnsi" w:cstheme="minorHAnsi" w:hint="default"/>
        <w:b w:val="0"/>
        <w:sz w:val="22"/>
      </w:rPr>
    </w:lvl>
    <w:lvl w:ilvl="6">
      <w:start w:val="1"/>
      <w:numFmt w:val="decimal"/>
      <w:lvlText w:val="%1.%2.%3.%4.%5.%6.%7"/>
      <w:lvlJc w:val="left"/>
      <w:pPr>
        <w:ind w:left="10308" w:hanging="1800"/>
      </w:pPr>
      <w:rPr>
        <w:rFonts w:asciiTheme="minorHAnsi" w:hAnsiTheme="minorHAnsi" w:cstheme="minorHAnsi" w:hint="default"/>
        <w:b w:val="0"/>
        <w:sz w:val="22"/>
      </w:rPr>
    </w:lvl>
    <w:lvl w:ilvl="7">
      <w:start w:val="1"/>
      <w:numFmt w:val="decimal"/>
      <w:lvlText w:val="%1.%2.%3.%4.%5.%6.%7.%8"/>
      <w:lvlJc w:val="left"/>
      <w:pPr>
        <w:ind w:left="12086" w:hanging="2160"/>
      </w:pPr>
      <w:rPr>
        <w:rFonts w:asciiTheme="minorHAnsi" w:hAnsiTheme="minorHAnsi" w:cstheme="minorHAnsi" w:hint="default"/>
        <w:b w:val="0"/>
        <w:sz w:val="22"/>
      </w:rPr>
    </w:lvl>
    <w:lvl w:ilvl="8">
      <w:start w:val="1"/>
      <w:numFmt w:val="decimal"/>
      <w:lvlText w:val="%1.%2.%3.%4.%5.%6.%7.%8.%9"/>
      <w:lvlJc w:val="left"/>
      <w:pPr>
        <w:ind w:left="13504" w:hanging="2160"/>
      </w:pPr>
      <w:rPr>
        <w:rFonts w:asciiTheme="minorHAnsi" w:hAnsiTheme="minorHAnsi" w:cstheme="minorHAnsi" w:hint="default"/>
        <w:b w:val="0"/>
        <w:sz w:val="22"/>
      </w:rPr>
    </w:lvl>
  </w:abstractNum>
  <w:abstractNum w:abstractNumId="3">
    <w:nsid w:val="0E395A75"/>
    <w:multiLevelType w:val="multilevel"/>
    <w:tmpl w:val="1A64D550"/>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502"/>
        </w:tabs>
        <w:ind w:left="502" w:hanging="360"/>
      </w:pPr>
      <w:rPr>
        <w:rFonts w:hint="default"/>
        <w:b w:val="0"/>
        <w:bCs w:val="0"/>
      </w:rPr>
    </w:lvl>
    <w:lvl w:ilvl="2">
      <w:start w:val="1"/>
      <w:numFmt w:val="decimal"/>
      <w:lvlText w:val="%1.%2.%3"/>
      <w:lvlJc w:val="left"/>
      <w:pPr>
        <w:tabs>
          <w:tab w:val="num" w:pos="1004"/>
        </w:tabs>
        <w:ind w:left="1004" w:hanging="720"/>
      </w:pPr>
      <w:rPr>
        <w:rFonts w:hint="default"/>
        <w:b w:val="0"/>
        <w:bCs w:val="0"/>
      </w:rPr>
    </w:lvl>
    <w:lvl w:ilvl="3">
      <w:start w:val="1"/>
      <w:numFmt w:val="decimal"/>
      <w:lvlText w:val="%1.%2.%3.%4"/>
      <w:lvlJc w:val="left"/>
      <w:pPr>
        <w:tabs>
          <w:tab w:val="num" w:pos="1146"/>
        </w:tabs>
        <w:ind w:left="1146" w:hanging="720"/>
      </w:pPr>
      <w:rPr>
        <w:rFonts w:hint="default"/>
        <w:b w:val="0"/>
        <w:bCs w:val="0"/>
      </w:rPr>
    </w:lvl>
    <w:lvl w:ilvl="4">
      <w:start w:val="1"/>
      <w:numFmt w:val="decimal"/>
      <w:lvlText w:val="%1.%2.%3.%4.%5"/>
      <w:lvlJc w:val="left"/>
      <w:pPr>
        <w:tabs>
          <w:tab w:val="num" w:pos="1648"/>
        </w:tabs>
        <w:ind w:left="1648" w:hanging="1080"/>
      </w:pPr>
      <w:rPr>
        <w:rFonts w:hint="default"/>
        <w:b w:val="0"/>
        <w:bCs w:val="0"/>
      </w:rPr>
    </w:lvl>
    <w:lvl w:ilvl="5">
      <w:start w:val="1"/>
      <w:numFmt w:val="decimal"/>
      <w:lvlText w:val="%1.%2.%3.%4.%5.%6"/>
      <w:lvlJc w:val="left"/>
      <w:pPr>
        <w:tabs>
          <w:tab w:val="num" w:pos="1790"/>
        </w:tabs>
        <w:ind w:left="1790" w:hanging="1080"/>
      </w:pPr>
      <w:rPr>
        <w:rFonts w:hint="default"/>
        <w:b w:val="0"/>
        <w:bCs w:val="0"/>
      </w:rPr>
    </w:lvl>
    <w:lvl w:ilvl="6">
      <w:start w:val="1"/>
      <w:numFmt w:val="decimal"/>
      <w:lvlText w:val="%1.%2.%3.%4.%5.%6.%7"/>
      <w:lvlJc w:val="left"/>
      <w:pPr>
        <w:tabs>
          <w:tab w:val="num" w:pos="2292"/>
        </w:tabs>
        <w:ind w:left="2292" w:hanging="1440"/>
      </w:pPr>
      <w:rPr>
        <w:rFonts w:hint="default"/>
        <w:b w:val="0"/>
        <w:bCs w:val="0"/>
      </w:rPr>
    </w:lvl>
    <w:lvl w:ilvl="7">
      <w:start w:val="1"/>
      <w:numFmt w:val="decimal"/>
      <w:lvlText w:val="%1.%2.%3.%4.%5.%6.%7.%8"/>
      <w:lvlJc w:val="left"/>
      <w:pPr>
        <w:tabs>
          <w:tab w:val="num" w:pos="2434"/>
        </w:tabs>
        <w:ind w:left="2434" w:hanging="1440"/>
      </w:pPr>
      <w:rPr>
        <w:rFonts w:hint="default"/>
        <w:b w:val="0"/>
        <w:bCs w:val="0"/>
      </w:rPr>
    </w:lvl>
    <w:lvl w:ilvl="8">
      <w:start w:val="1"/>
      <w:numFmt w:val="decimal"/>
      <w:lvlText w:val="%1.%2.%3.%4.%5.%6.%7.%8.%9"/>
      <w:lvlJc w:val="left"/>
      <w:pPr>
        <w:tabs>
          <w:tab w:val="num" w:pos="2936"/>
        </w:tabs>
        <w:ind w:left="2936" w:hanging="1800"/>
      </w:pPr>
      <w:rPr>
        <w:rFonts w:hint="default"/>
        <w:b w:val="0"/>
        <w:bCs w:val="0"/>
      </w:rPr>
    </w:lvl>
  </w:abstractNum>
  <w:abstractNum w:abstractNumId="4">
    <w:nsid w:val="0FFF4D5D"/>
    <w:multiLevelType w:val="singleLevel"/>
    <w:tmpl w:val="0809000F"/>
    <w:lvl w:ilvl="0">
      <w:start w:val="1"/>
      <w:numFmt w:val="decimal"/>
      <w:lvlText w:val="%1."/>
      <w:lvlJc w:val="left"/>
      <w:pPr>
        <w:tabs>
          <w:tab w:val="num" w:pos="360"/>
        </w:tabs>
        <w:ind w:left="360" w:hanging="360"/>
      </w:pPr>
    </w:lvl>
  </w:abstractNum>
  <w:abstractNum w:abstractNumId="5">
    <w:nsid w:val="11BD3AD5"/>
    <w:multiLevelType w:val="multilevel"/>
    <w:tmpl w:val="BF18845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cs="Symbol" w:hint="default"/>
        <w:b/>
        <w:bCs/>
        <w:color w:val="auto"/>
        <w:sz w:val="20"/>
        <w:szCs w:val="20"/>
      </w:rPr>
    </w:lvl>
    <w:lvl w:ilvl="2">
      <w:start w:val="1"/>
      <w:numFmt w:val="bullet"/>
      <w:lvlText w:val=""/>
      <w:lvlJc w:val="left"/>
      <w:pPr>
        <w:tabs>
          <w:tab w:val="num" w:pos="1440"/>
        </w:tabs>
        <w:ind w:left="1224" w:hanging="504"/>
      </w:pPr>
      <w:rPr>
        <w:rFonts w:ascii="Symbol" w:hAnsi="Symbol" w:cs="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8064BB4"/>
    <w:multiLevelType w:val="hybridMultilevel"/>
    <w:tmpl w:val="9C6C6362"/>
    <w:lvl w:ilvl="0" w:tplc="B2805FA4">
      <w:start w:val="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7D83CEF"/>
    <w:multiLevelType w:val="singleLevel"/>
    <w:tmpl w:val="08090017"/>
    <w:lvl w:ilvl="0">
      <w:start w:val="1"/>
      <w:numFmt w:val="lowerLetter"/>
      <w:lvlText w:val="%1)"/>
      <w:lvlJc w:val="left"/>
      <w:pPr>
        <w:tabs>
          <w:tab w:val="num" w:pos="360"/>
        </w:tabs>
        <w:ind w:left="360" w:hanging="360"/>
      </w:pPr>
    </w:lvl>
  </w:abstractNum>
  <w:abstractNum w:abstractNumId="8">
    <w:nsid w:val="31024CB2"/>
    <w:multiLevelType w:val="singleLevel"/>
    <w:tmpl w:val="0809000F"/>
    <w:lvl w:ilvl="0">
      <w:start w:val="1"/>
      <w:numFmt w:val="decimal"/>
      <w:lvlText w:val="%1."/>
      <w:lvlJc w:val="left"/>
      <w:pPr>
        <w:tabs>
          <w:tab w:val="num" w:pos="360"/>
        </w:tabs>
        <w:ind w:left="360" w:hanging="360"/>
      </w:pPr>
    </w:lvl>
  </w:abstractNum>
  <w:abstractNum w:abstractNumId="9">
    <w:nsid w:val="348752E1"/>
    <w:multiLevelType w:val="multilevel"/>
    <w:tmpl w:val="DE3A0690"/>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nsid w:val="37380D35"/>
    <w:multiLevelType w:val="singleLevel"/>
    <w:tmpl w:val="0809000F"/>
    <w:lvl w:ilvl="0">
      <w:start w:val="1"/>
      <w:numFmt w:val="decimal"/>
      <w:lvlText w:val="%1."/>
      <w:lvlJc w:val="left"/>
      <w:pPr>
        <w:tabs>
          <w:tab w:val="num" w:pos="360"/>
        </w:tabs>
        <w:ind w:left="360" w:hanging="360"/>
      </w:pPr>
    </w:lvl>
  </w:abstractNum>
  <w:abstractNum w:abstractNumId="11">
    <w:nsid w:val="3D6E5313"/>
    <w:multiLevelType w:val="multilevel"/>
    <w:tmpl w:val="78E41F32"/>
    <w:lvl w:ilvl="0">
      <w:start w:val="3"/>
      <w:numFmt w:val="decimal"/>
      <w:lvlText w:val="%1"/>
      <w:lvlJc w:val="left"/>
      <w:pPr>
        <w:ind w:left="360" w:hanging="36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2">
    <w:nsid w:val="4150653D"/>
    <w:multiLevelType w:val="hybridMultilevel"/>
    <w:tmpl w:val="A5645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4C0F8E"/>
    <w:multiLevelType w:val="multilevel"/>
    <w:tmpl w:val="1840B6F8"/>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rPr>
        <w:rFonts w:ascii="Verdana" w:hAnsi="Verdana" w:cs="Verdana" w:hint="default"/>
        <w:b/>
        <w:bCs/>
        <w:color w:val="auto"/>
        <w:sz w:val="20"/>
        <w:szCs w:val="20"/>
      </w:rPr>
    </w:lvl>
    <w:lvl w:ilvl="2">
      <w:start w:val="1"/>
      <w:numFmt w:val="decimal"/>
      <w:lvlText w:val="%1.%2.%3."/>
      <w:lvlJc w:val="left"/>
      <w:pPr>
        <w:tabs>
          <w:tab w:val="num" w:pos="2160"/>
        </w:tabs>
        <w:ind w:left="1944" w:hanging="504"/>
      </w:pPr>
      <w:rPr>
        <w:color w:val="auto"/>
      </w:r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4">
    <w:nsid w:val="42D80A74"/>
    <w:multiLevelType w:val="hybridMultilevel"/>
    <w:tmpl w:val="F4867D68"/>
    <w:lvl w:ilvl="0" w:tplc="63CCF248">
      <w:start w:val="4"/>
      <w:numFmt w:val="bullet"/>
      <w:lvlText w:val=""/>
      <w:lvlJc w:val="left"/>
      <w:pPr>
        <w:tabs>
          <w:tab w:val="num" w:pos="862"/>
        </w:tabs>
        <w:ind w:left="862" w:hanging="360"/>
      </w:pPr>
      <w:rPr>
        <w:rFonts w:ascii="Symbol" w:eastAsia="Times New Roman" w:hAnsi="Symbol" w:hint="default"/>
      </w:rPr>
    </w:lvl>
    <w:lvl w:ilvl="1" w:tplc="ED7416F6">
      <w:start w:val="4"/>
      <w:numFmt w:val="decimal"/>
      <w:lvlText w:val="%2."/>
      <w:lvlJc w:val="left"/>
      <w:pPr>
        <w:tabs>
          <w:tab w:val="num" w:pos="1582"/>
        </w:tabs>
        <w:ind w:left="1582" w:hanging="360"/>
      </w:pPr>
      <w:rPr>
        <w:rFonts w:hint="default"/>
        <w:b/>
        <w:bCs/>
      </w:rPr>
    </w:lvl>
    <w:lvl w:ilvl="2" w:tplc="08090005" w:tentative="1">
      <w:start w:val="1"/>
      <w:numFmt w:val="bullet"/>
      <w:lvlText w:val=""/>
      <w:lvlJc w:val="left"/>
      <w:pPr>
        <w:tabs>
          <w:tab w:val="num" w:pos="2302"/>
        </w:tabs>
        <w:ind w:left="2302" w:hanging="360"/>
      </w:pPr>
      <w:rPr>
        <w:rFonts w:ascii="Wingdings" w:hAnsi="Wingdings" w:cs="Wingdings" w:hint="default"/>
      </w:rPr>
    </w:lvl>
    <w:lvl w:ilvl="3" w:tplc="08090001" w:tentative="1">
      <w:start w:val="1"/>
      <w:numFmt w:val="bullet"/>
      <w:lvlText w:val=""/>
      <w:lvlJc w:val="left"/>
      <w:pPr>
        <w:tabs>
          <w:tab w:val="num" w:pos="3022"/>
        </w:tabs>
        <w:ind w:left="3022" w:hanging="360"/>
      </w:pPr>
      <w:rPr>
        <w:rFonts w:ascii="Symbol" w:hAnsi="Symbol" w:cs="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cs="Wingdings" w:hint="default"/>
      </w:rPr>
    </w:lvl>
    <w:lvl w:ilvl="6" w:tplc="08090001" w:tentative="1">
      <w:start w:val="1"/>
      <w:numFmt w:val="bullet"/>
      <w:lvlText w:val=""/>
      <w:lvlJc w:val="left"/>
      <w:pPr>
        <w:tabs>
          <w:tab w:val="num" w:pos="5182"/>
        </w:tabs>
        <w:ind w:left="5182" w:hanging="360"/>
      </w:pPr>
      <w:rPr>
        <w:rFonts w:ascii="Symbol" w:hAnsi="Symbol" w:cs="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cs="Wingdings" w:hint="default"/>
      </w:rPr>
    </w:lvl>
  </w:abstractNum>
  <w:abstractNum w:abstractNumId="15">
    <w:nsid w:val="466F40A2"/>
    <w:multiLevelType w:val="multilevel"/>
    <w:tmpl w:val="00FAF9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Verdana" w:hAnsi="Verdana" w:cs="Verdana" w:hint="default"/>
        <w:b/>
        <w:bCs/>
        <w:color w:val="auto"/>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83A14BA"/>
    <w:multiLevelType w:val="hybridMultilevel"/>
    <w:tmpl w:val="96A0EA5C"/>
    <w:lvl w:ilvl="0" w:tplc="B2805FA4">
      <w:start w:val="4"/>
      <w:numFmt w:val="decimal"/>
      <w:lvlText w:val="%1"/>
      <w:lvlJc w:val="left"/>
      <w:pPr>
        <w:ind w:left="1080" w:hanging="36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nsid w:val="4CDE1CB3"/>
    <w:multiLevelType w:val="hybridMultilevel"/>
    <w:tmpl w:val="1744F6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4F360F2F"/>
    <w:multiLevelType w:val="multilevel"/>
    <w:tmpl w:val="1840B6F8"/>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rPr>
        <w:rFonts w:ascii="Verdana" w:hAnsi="Verdana" w:cs="Verdana" w:hint="default"/>
        <w:b/>
        <w:bCs/>
        <w:color w:val="auto"/>
        <w:sz w:val="20"/>
        <w:szCs w:val="20"/>
      </w:rPr>
    </w:lvl>
    <w:lvl w:ilvl="2">
      <w:start w:val="1"/>
      <w:numFmt w:val="decimal"/>
      <w:lvlText w:val="%1.%2.%3."/>
      <w:lvlJc w:val="left"/>
      <w:pPr>
        <w:tabs>
          <w:tab w:val="num" w:pos="2160"/>
        </w:tabs>
        <w:ind w:left="1944" w:hanging="504"/>
      </w:pPr>
      <w:rPr>
        <w:color w:val="auto"/>
      </w:r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9">
    <w:nsid w:val="55AE408D"/>
    <w:multiLevelType w:val="multilevel"/>
    <w:tmpl w:val="00FAF9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Verdana" w:hAnsi="Verdana" w:cs="Verdana" w:hint="default"/>
        <w:b/>
        <w:bCs/>
        <w:color w:val="auto"/>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9531E16"/>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21">
    <w:nsid w:val="5B6D2334"/>
    <w:multiLevelType w:val="singleLevel"/>
    <w:tmpl w:val="536A9824"/>
    <w:lvl w:ilvl="0">
      <w:start w:val="1"/>
      <w:numFmt w:val="lowerLetter"/>
      <w:lvlText w:val="(%1)"/>
      <w:lvlJc w:val="left"/>
      <w:pPr>
        <w:tabs>
          <w:tab w:val="num" w:pos="720"/>
        </w:tabs>
        <w:ind w:left="720" w:hanging="720"/>
      </w:pPr>
      <w:rPr>
        <w:rFonts w:hint="default"/>
      </w:rPr>
    </w:lvl>
  </w:abstractNum>
  <w:abstractNum w:abstractNumId="22">
    <w:nsid w:val="5B8C4367"/>
    <w:multiLevelType w:val="multilevel"/>
    <w:tmpl w:val="34922BD6"/>
    <w:lvl w:ilvl="0">
      <w:start w:val="5"/>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ascii="Verdana" w:hAnsi="Verdana" w:cs="Verdana" w:hint="default"/>
        <w:b w:val="0"/>
        <w:bCs/>
        <w:color w:val="auto"/>
        <w:sz w:val="20"/>
        <w:szCs w:val="20"/>
      </w:rPr>
    </w:lvl>
    <w:lvl w:ilvl="2">
      <w:start w:val="1"/>
      <w:numFmt w:val="decimal"/>
      <w:lvlText w:val="%1.%2.%3."/>
      <w:lvlJc w:val="left"/>
      <w:pPr>
        <w:tabs>
          <w:tab w:val="num" w:pos="2880"/>
        </w:tabs>
        <w:ind w:left="2664" w:hanging="504"/>
      </w:pPr>
      <w:rPr>
        <w:rFonts w:hint="default"/>
        <w:color w:val="auto"/>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3">
    <w:nsid w:val="5E250AC9"/>
    <w:multiLevelType w:val="hybridMultilevel"/>
    <w:tmpl w:val="FE7C8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9D5F41"/>
    <w:multiLevelType w:val="multilevel"/>
    <w:tmpl w:val="7F2C2A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2FE759A"/>
    <w:multiLevelType w:val="singleLevel"/>
    <w:tmpl w:val="0809000F"/>
    <w:lvl w:ilvl="0">
      <w:start w:val="1"/>
      <w:numFmt w:val="decimal"/>
      <w:lvlText w:val="%1."/>
      <w:lvlJc w:val="left"/>
      <w:pPr>
        <w:tabs>
          <w:tab w:val="num" w:pos="360"/>
        </w:tabs>
        <w:ind w:left="360" w:hanging="360"/>
      </w:pPr>
    </w:lvl>
  </w:abstractNum>
  <w:abstractNum w:abstractNumId="26">
    <w:nsid w:val="6359228D"/>
    <w:multiLevelType w:val="singleLevel"/>
    <w:tmpl w:val="6AE0AC64"/>
    <w:lvl w:ilvl="0">
      <w:start w:val="1"/>
      <w:numFmt w:val="bullet"/>
      <w:pStyle w:val="Normalbulletedindent"/>
      <w:lvlText w:val=""/>
      <w:lvlJc w:val="left"/>
      <w:pPr>
        <w:tabs>
          <w:tab w:val="num" w:pos="360"/>
        </w:tabs>
        <w:ind w:left="360" w:hanging="360"/>
      </w:pPr>
      <w:rPr>
        <w:rFonts w:ascii="Symbol" w:hAnsi="Symbol" w:cs="Symbol" w:hint="default"/>
      </w:rPr>
    </w:lvl>
  </w:abstractNum>
  <w:abstractNum w:abstractNumId="27">
    <w:nsid w:val="63C25386"/>
    <w:multiLevelType w:val="multilevel"/>
    <w:tmpl w:val="1840B6F8"/>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rPr>
        <w:rFonts w:ascii="Verdana" w:hAnsi="Verdana" w:cs="Verdana" w:hint="default"/>
        <w:b/>
        <w:bCs/>
        <w:color w:val="auto"/>
        <w:sz w:val="20"/>
        <w:szCs w:val="20"/>
      </w:rPr>
    </w:lvl>
    <w:lvl w:ilvl="2">
      <w:start w:val="1"/>
      <w:numFmt w:val="decimal"/>
      <w:lvlText w:val="%1.%2.%3."/>
      <w:lvlJc w:val="left"/>
      <w:pPr>
        <w:tabs>
          <w:tab w:val="num" w:pos="2160"/>
        </w:tabs>
        <w:ind w:left="1944" w:hanging="504"/>
      </w:pPr>
      <w:rPr>
        <w:color w:val="auto"/>
      </w:r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nsid w:val="68166235"/>
    <w:multiLevelType w:val="multilevel"/>
    <w:tmpl w:val="BF18845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cs="Symbol" w:hint="default"/>
        <w:b/>
        <w:bCs/>
        <w:color w:val="auto"/>
        <w:sz w:val="20"/>
        <w:szCs w:val="20"/>
      </w:rPr>
    </w:lvl>
    <w:lvl w:ilvl="2">
      <w:start w:val="1"/>
      <w:numFmt w:val="bullet"/>
      <w:lvlText w:val=""/>
      <w:lvlJc w:val="left"/>
      <w:pPr>
        <w:tabs>
          <w:tab w:val="num" w:pos="1440"/>
        </w:tabs>
        <w:ind w:left="1224" w:hanging="504"/>
      </w:pPr>
      <w:rPr>
        <w:rFonts w:ascii="Symbol" w:hAnsi="Symbol" w:cs="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9D6015B"/>
    <w:multiLevelType w:val="multilevel"/>
    <w:tmpl w:val="EEAE0D3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8A0F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A80A88"/>
    <w:multiLevelType w:val="multilevel"/>
    <w:tmpl w:val="27322326"/>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cs="Symbol" w:hint="default"/>
        <w:b/>
        <w:bCs/>
        <w:color w:val="auto"/>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141261D"/>
    <w:multiLevelType w:val="hybridMultilevel"/>
    <w:tmpl w:val="9A78596A"/>
    <w:lvl w:ilvl="0" w:tplc="0809000F">
      <w:start w:val="1"/>
      <w:numFmt w:val="decimal"/>
      <w:lvlText w:val="%1."/>
      <w:lvlJc w:val="left"/>
      <w:pPr>
        <w:tabs>
          <w:tab w:val="num" w:pos="720"/>
        </w:tabs>
        <w:ind w:left="720" w:hanging="360"/>
      </w:pPr>
      <w:rPr>
        <w:rFonts w:hint="default"/>
      </w:rPr>
    </w:lvl>
    <w:lvl w:ilvl="1" w:tplc="7418196C">
      <w:start w:val="5"/>
      <w:numFmt w:val="decimal"/>
      <w:lvlText w:val="%2.1"/>
      <w:lvlJc w:val="left"/>
      <w:pPr>
        <w:tabs>
          <w:tab w:val="num" w:pos="1440"/>
        </w:tabs>
        <w:ind w:left="1440" w:hanging="360"/>
      </w:pPr>
      <w:rPr>
        <w:rFonts w:hint="default"/>
        <w:color w:val="auto"/>
      </w:rPr>
    </w:lvl>
    <w:lvl w:ilvl="2" w:tplc="C79406B8">
      <w:start w:val="1"/>
      <w:numFmt w:val="decimal"/>
      <w:lvlText w:val="%3)"/>
      <w:lvlJc w:val="left"/>
      <w:pPr>
        <w:tabs>
          <w:tab w:val="num" w:pos="2355"/>
        </w:tabs>
        <w:ind w:left="2355" w:hanging="375"/>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60C69F2"/>
    <w:multiLevelType w:val="hybridMultilevel"/>
    <w:tmpl w:val="511ACA60"/>
    <w:lvl w:ilvl="0" w:tplc="08090001">
      <w:start w:val="1"/>
      <w:numFmt w:val="bullet"/>
      <w:lvlText w:val=""/>
      <w:lvlJc w:val="left"/>
      <w:pPr>
        <w:tabs>
          <w:tab w:val="num" w:pos="1222"/>
        </w:tabs>
        <w:ind w:left="1222" w:hanging="360"/>
      </w:pPr>
      <w:rPr>
        <w:rFonts w:ascii="Symbol" w:hAnsi="Symbol" w:cs="Symbol" w:hint="default"/>
      </w:rPr>
    </w:lvl>
    <w:lvl w:ilvl="1" w:tplc="08090003" w:tentative="1">
      <w:start w:val="1"/>
      <w:numFmt w:val="bullet"/>
      <w:lvlText w:val="o"/>
      <w:lvlJc w:val="left"/>
      <w:pPr>
        <w:tabs>
          <w:tab w:val="num" w:pos="1942"/>
        </w:tabs>
        <w:ind w:left="1942" w:hanging="360"/>
      </w:pPr>
      <w:rPr>
        <w:rFonts w:ascii="Courier New" w:hAnsi="Courier New" w:cs="Courier New" w:hint="default"/>
      </w:rPr>
    </w:lvl>
    <w:lvl w:ilvl="2" w:tplc="08090005" w:tentative="1">
      <w:start w:val="1"/>
      <w:numFmt w:val="bullet"/>
      <w:lvlText w:val=""/>
      <w:lvlJc w:val="left"/>
      <w:pPr>
        <w:tabs>
          <w:tab w:val="num" w:pos="2662"/>
        </w:tabs>
        <w:ind w:left="2662" w:hanging="360"/>
      </w:pPr>
      <w:rPr>
        <w:rFonts w:ascii="Wingdings" w:hAnsi="Wingdings" w:cs="Wingdings" w:hint="default"/>
      </w:rPr>
    </w:lvl>
    <w:lvl w:ilvl="3" w:tplc="08090001" w:tentative="1">
      <w:start w:val="1"/>
      <w:numFmt w:val="bullet"/>
      <w:lvlText w:val=""/>
      <w:lvlJc w:val="left"/>
      <w:pPr>
        <w:tabs>
          <w:tab w:val="num" w:pos="3382"/>
        </w:tabs>
        <w:ind w:left="3382" w:hanging="360"/>
      </w:pPr>
      <w:rPr>
        <w:rFonts w:ascii="Symbol" w:hAnsi="Symbol" w:cs="Symbol" w:hint="default"/>
      </w:rPr>
    </w:lvl>
    <w:lvl w:ilvl="4" w:tplc="08090003" w:tentative="1">
      <w:start w:val="1"/>
      <w:numFmt w:val="bullet"/>
      <w:lvlText w:val="o"/>
      <w:lvlJc w:val="left"/>
      <w:pPr>
        <w:tabs>
          <w:tab w:val="num" w:pos="4102"/>
        </w:tabs>
        <w:ind w:left="4102" w:hanging="360"/>
      </w:pPr>
      <w:rPr>
        <w:rFonts w:ascii="Courier New" w:hAnsi="Courier New" w:cs="Courier New" w:hint="default"/>
      </w:rPr>
    </w:lvl>
    <w:lvl w:ilvl="5" w:tplc="08090005" w:tentative="1">
      <w:start w:val="1"/>
      <w:numFmt w:val="bullet"/>
      <w:lvlText w:val=""/>
      <w:lvlJc w:val="left"/>
      <w:pPr>
        <w:tabs>
          <w:tab w:val="num" w:pos="4822"/>
        </w:tabs>
        <w:ind w:left="4822" w:hanging="360"/>
      </w:pPr>
      <w:rPr>
        <w:rFonts w:ascii="Wingdings" w:hAnsi="Wingdings" w:cs="Wingdings" w:hint="default"/>
      </w:rPr>
    </w:lvl>
    <w:lvl w:ilvl="6" w:tplc="08090001" w:tentative="1">
      <w:start w:val="1"/>
      <w:numFmt w:val="bullet"/>
      <w:lvlText w:val=""/>
      <w:lvlJc w:val="left"/>
      <w:pPr>
        <w:tabs>
          <w:tab w:val="num" w:pos="5542"/>
        </w:tabs>
        <w:ind w:left="5542" w:hanging="360"/>
      </w:pPr>
      <w:rPr>
        <w:rFonts w:ascii="Symbol" w:hAnsi="Symbol" w:cs="Symbol" w:hint="default"/>
      </w:rPr>
    </w:lvl>
    <w:lvl w:ilvl="7" w:tplc="08090003" w:tentative="1">
      <w:start w:val="1"/>
      <w:numFmt w:val="bullet"/>
      <w:lvlText w:val="o"/>
      <w:lvlJc w:val="left"/>
      <w:pPr>
        <w:tabs>
          <w:tab w:val="num" w:pos="6262"/>
        </w:tabs>
        <w:ind w:left="6262" w:hanging="360"/>
      </w:pPr>
      <w:rPr>
        <w:rFonts w:ascii="Courier New" w:hAnsi="Courier New" w:cs="Courier New" w:hint="default"/>
      </w:rPr>
    </w:lvl>
    <w:lvl w:ilvl="8" w:tplc="08090005" w:tentative="1">
      <w:start w:val="1"/>
      <w:numFmt w:val="bullet"/>
      <w:lvlText w:val=""/>
      <w:lvlJc w:val="left"/>
      <w:pPr>
        <w:tabs>
          <w:tab w:val="num" w:pos="6982"/>
        </w:tabs>
        <w:ind w:left="6982" w:hanging="360"/>
      </w:pPr>
      <w:rPr>
        <w:rFonts w:ascii="Wingdings" w:hAnsi="Wingdings" w:cs="Wingdings" w:hint="default"/>
      </w:rPr>
    </w:lvl>
  </w:abstractNum>
  <w:abstractNum w:abstractNumId="34">
    <w:nsid w:val="77CF20DD"/>
    <w:multiLevelType w:val="multilevel"/>
    <w:tmpl w:val="D8F271B0"/>
    <w:lvl w:ilvl="0">
      <w:start w:val="2"/>
      <w:numFmt w:val="decimal"/>
      <w:lvlText w:val="%1"/>
      <w:lvlJc w:val="left"/>
      <w:pPr>
        <w:tabs>
          <w:tab w:val="num" w:pos="360"/>
        </w:tabs>
        <w:ind w:left="360" w:hanging="360"/>
      </w:pPr>
      <w:rPr>
        <w:rFonts w:hint="default"/>
        <w:b w:val="0"/>
        <w:bCs w:val="0"/>
      </w:rPr>
    </w:lvl>
    <w:lvl w:ilvl="1">
      <w:start w:val="2"/>
      <w:numFmt w:val="decimal"/>
      <w:lvlText w:val="%1.%2"/>
      <w:lvlJc w:val="left"/>
      <w:pPr>
        <w:tabs>
          <w:tab w:val="num" w:pos="502"/>
        </w:tabs>
        <w:ind w:left="502" w:hanging="360"/>
      </w:pPr>
      <w:rPr>
        <w:rFonts w:hint="default"/>
        <w:b w:val="0"/>
        <w:bCs w:val="0"/>
      </w:rPr>
    </w:lvl>
    <w:lvl w:ilvl="2">
      <w:start w:val="1"/>
      <w:numFmt w:val="decimal"/>
      <w:lvlText w:val="%1.%2.%3"/>
      <w:lvlJc w:val="left"/>
      <w:pPr>
        <w:tabs>
          <w:tab w:val="num" w:pos="1004"/>
        </w:tabs>
        <w:ind w:left="1004" w:hanging="720"/>
      </w:pPr>
      <w:rPr>
        <w:rFonts w:hint="default"/>
        <w:b w:val="0"/>
        <w:bCs w:val="0"/>
      </w:rPr>
    </w:lvl>
    <w:lvl w:ilvl="3">
      <w:start w:val="1"/>
      <w:numFmt w:val="decimal"/>
      <w:lvlText w:val="%1.%2.%3.%4"/>
      <w:lvlJc w:val="left"/>
      <w:pPr>
        <w:tabs>
          <w:tab w:val="num" w:pos="1146"/>
        </w:tabs>
        <w:ind w:left="1146" w:hanging="720"/>
      </w:pPr>
      <w:rPr>
        <w:rFonts w:hint="default"/>
        <w:b w:val="0"/>
        <w:bCs w:val="0"/>
      </w:rPr>
    </w:lvl>
    <w:lvl w:ilvl="4">
      <w:start w:val="1"/>
      <w:numFmt w:val="decimal"/>
      <w:lvlText w:val="%1.%2.%3.%4.%5"/>
      <w:lvlJc w:val="left"/>
      <w:pPr>
        <w:tabs>
          <w:tab w:val="num" w:pos="1648"/>
        </w:tabs>
        <w:ind w:left="1648" w:hanging="1080"/>
      </w:pPr>
      <w:rPr>
        <w:rFonts w:hint="default"/>
        <w:b w:val="0"/>
        <w:bCs w:val="0"/>
      </w:rPr>
    </w:lvl>
    <w:lvl w:ilvl="5">
      <w:start w:val="1"/>
      <w:numFmt w:val="decimal"/>
      <w:lvlText w:val="%1.%2.%3.%4.%5.%6"/>
      <w:lvlJc w:val="left"/>
      <w:pPr>
        <w:tabs>
          <w:tab w:val="num" w:pos="1790"/>
        </w:tabs>
        <w:ind w:left="1790" w:hanging="1080"/>
      </w:pPr>
      <w:rPr>
        <w:rFonts w:hint="default"/>
        <w:b w:val="0"/>
        <w:bCs w:val="0"/>
      </w:rPr>
    </w:lvl>
    <w:lvl w:ilvl="6">
      <w:start w:val="1"/>
      <w:numFmt w:val="decimal"/>
      <w:lvlText w:val="%1.%2.%3.%4.%5.%6.%7"/>
      <w:lvlJc w:val="left"/>
      <w:pPr>
        <w:tabs>
          <w:tab w:val="num" w:pos="2292"/>
        </w:tabs>
        <w:ind w:left="2292" w:hanging="1440"/>
      </w:pPr>
      <w:rPr>
        <w:rFonts w:hint="default"/>
        <w:b w:val="0"/>
        <w:bCs w:val="0"/>
      </w:rPr>
    </w:lvl>
    <w:lvl w:ilvl="7">
      <w:start w:val="1"/>
      <w:numFmt w:val="decimal"/>
      <w:lvlText w:val="%1.%2.%3.%4.%5.%6.%7.%8"/>
      <w:lvlJc w:val="left"/>
      <w:pPr>
        <w:tabs>
          <w:tab w:val="num" w:pos="2434"/>
        </w:tabs>
        <w:ind w:left="2434" w:hanging="1440"/>
      </w:pPr>
      <w:rPr>
        <w:rFonts w:hint="default"/>
        <w:b w:val="0"/>
        <w:bCs w:val="0"/>
      </w:rPr>
    </w:lvl>
    <w:lvl w:ilvl="8">
      <w:start w:val="1"/>
      <w:numFmt w:val="decimal"/>
      <w:lvlText w:val="%1.%2.%3.%4.%5.%6.%7.%8.%9"/>
      <w:lvlJc w:val="left"/>
      <w:pPr>
        <w:tabs>
          <w:tab w:val="num" w:pos="2936"/>
        </w:tabs>
        <w:ind w:left="2936" w:hanging="1800"/>
      </w:pPr>
      <w:rPr>
        <w:rFonts w:hint="default"/>
        <w:b w:val="0"/>
        <w:bCs w:val="0"/>
      </w:rPr>
    </w:lvl>
  </w:abstractNum>
  <w:abstractNum w:abstractNumId="35">
    <w:nsid w:val="7A846E3B"/>
    <w:multiLevelType w:val="hybridMultilevel"/>
    <w:tmpl w:val="17ECFD1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7B51194C"/>
    <w:multiLevelType w:val="multilevel"/>
    <w:tmpl w:val="22D000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7">
    <w:nsid w:val="7F507259"/>
    <w:multiLevelType w:val="multilevel"/>
    <w:tmpl w:val="27322326"/>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cs="Symbol" w:hint="default"/>
        <w:b/>
        <w:bCs/>
        <w:color w:val="auto"/>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7"/>
  </w:num>
  <w:num w:numId="3">
    <w:abstractNumId w:val="8"/>
  </w:num>
  <w:num w:numId="4">
    <w:abstractNumId w:val="4"/>
  </w:num>
  <w:num w:numId="5">
    <w:abstractNumId w:val="10"/>
  </w:num>
  <w:num w:numId="6">
    <w:abstractNumId w:val="25"/>
  </w:num>
  <w:num w:numId="7">
    <w:abstractNumId w:val="20"/>
  </w:num>
  <w:num w:numId="8">
    <w:abstractNumId w:val="26"/>
  </w:num>
  <w:num w:numId="9">
    <w:abstractNumId w:val="27"/>
  </w:num>
  <w:num w:numId="10">
    <w:abstractNumId w:val="30"/>
  </w:num>
  <w:num w:numId="11">
    <w:abstractNumId w:val="37"/>
  </w:num>
  <w:num w:numId="12">
    <w:abstractNumId w:val="31"/>
  </w:num>
  <w:num w:numId="13">
    <w:abstractNumId w:val="28"/>
  </w:num>
  <w:num w:numId="14">
    <w:abstractNumId w:val="15"/>
  </w:num>
  <w:num w:numId="15">
    <w:abstractNumId w:val="5"/>
  </w:num>
  <w:num w:numId="16">
    <w:abstractNumId w:val="3"/>
  </w:num>
  <w:num w:numId="17">
    <w:abstractNumId w:val="34"/>
  </w:num>
  <w:num w:numId="18">
    <w:abstractNumId w:val="32"/>
  </w:num>
  <w:num w:numId="19">
    <w:abstractNumId w:val="36"/>
  </w:num>
  <w:num w:numId="20">
    <w:abstractNumId w:val="1"/>
  </w:num>
  <w:num w:numId="21">
    <w:abstractNumId w:val="0"/>
  </w:num>
  <w:num w:numId="22">
    <w:abstractNumId w:val="33"/>
  </w:num>
  <w:num w:numId="23">
    <w:abstractNumId w:val="14"/>
  </w:num>
  <w:num w:numId="24">
    <w:abstractNumId w:val="19"/>
  </w:num>
  <w:num w:numId="25">
    <w:abstractNumId w:val="12"/>
  </w:num>
  <w:num w:numId="26">
    <w:abstractNumId w:val="23"/>
  </w:num>
  <w:num w:numId="27">
    <w:abstractNumId w:val="24"/>
  </w:num>
  <w:num w:numId="28">
    <w:abstractNumId w:val="35"/>
  </w:num>
  <w:num w:numId="29">
    <w:abstractNumId w:val="29"/>
  </w:num>
  <w:num w:numId="30">
    <w:abstractNumId w:val="9"/>
  </w:num>
  <w:num w:numId="31">
    <w:abstractNumId w:val="17"/>
  </w:num>
  <w:num w:numId="32">
    <w:abstractNumId w:val="13"/>
  </w:num>
  <w:num w:numId="33">
    <w:abstractNumId w:val="11"/>
  </w:num>
  <w:num w:numId="34">
    <w:abstractNumId w:val="18"/>
  </w:num>
  <w:num w:numId="35">
    <w:abstractNumId w:val="22"/>
  </w:num>
  <w:num w:numId="36">
    <w:abstractNumId w:val="6"/>
  </w:num>
  <w:num w:numId="37">
    <w:abstractNumId w:val="1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A8"/>
    <w:rsid w:val="00000D30"/>
    <w:rsid w:val="00001FE6"/>
    <w:rsid w:val="0000230D"/>
    <w:rsid w:val="0000248C"/>
    <w:rsid w:val="00004BFA"/>
    <w:rsid w:val="000108A4"/>
    <w:rsid w:val="000147CA"/>
    <w:rsid w:val="00016DAD"/>
    <w:rsid w:val="000226D5"/>
    <w:rsid w:val="00024156"/>
    <w:rsid w:val="00026763"/>
    <w:rsid w:val="000301F9"/>
    <w:rsid w:val="00031FF8"/>
    <w:rsid w:val="00032824"/>
    <w:rsid w:val="00032910"/>
    <w:rsid w:val="000378F6"/>
    <w:rsid w:val="00042150"/>
    <w:rsid w:val="00043198"/>
    <w:rsid w:val="00046C0C"/>
    <w:rsid w:val="00047394"/>
    <w:rsid w:val="0005044F"/>
    <w:rsid w:val="000514E1"/>
    <w:rsid w:val="00051F9F"/>
    <w:rsid w:val="00053403"/>
    <w:rsid w:val="00053FE0"/>
    <w:rsid w:val="0005661D"/>
    <w:rsid w:val="0005789E"/>
    <w:rsid w:val="000605A0"/>
    <w:rsid w:val="000629FE"/>
    <w:rsid w:val="000630D5"/>
    <w:rsid w:val="00064E2A"/>
    <w:rsid w:val="00065FB9"/>
    <w:rsid w:val="00072282"/>
    <w:rsid w:val="00072611"/>
    <w:rsid w:val="0007307E"/>
    <w:rsid w:val="00073400"/>
    <w:rsid w:val="000742EC"/>
    <w:rsid w:val="000753C5"/>
    <w:rsid w:val="00082342"/>
    <w:rsid w:val="00082812"/>
    <w:rsid w:val="000851FE"/>
    <w:rsid w:val="000856B0"/>
    <w:rsid w:val="0008784E"/>
    <w:rsid w:val="000902B2"/>
    <w:rsid w:val="00092291"/>
    <w:rsid w:val="000926B6"/>
    <w:rsid w:val="00093EE5"/>
    <w:rsid w:val="000940AB"/>
    <w:rsid w:val="000953A4"/>
    <w:rsid w:val="00095849"/>
    <w:rsid w:val="00095A28"/>
    <w:rsid w:val="000965AA"/>
    <w:rsid w:val="000973B6"/>
    <w:rsid w:val="000A09AF"/>
    <w:rsid w:val="000A129F"/>
    <w:rsid w:val="000A515B"/>
    <w:rsid w:val="000A7048"/>
    <w:rsid w:val="000A7C1E"/>
    <w:rsid w:val="000B04DC"/>
    <w:rsid w:val="000B0DFC"/>
    <w:rsid w:val="000B1FF5"/>
    <w:rsid w:val="000B34EA"/>
    <w:rsid w:val="000B4477"/>
    <w:rsid w:val="000B693E"/>
    <w:rsid w:val="000C16CD"/>
    <w:rsid w:val="000C4BFF"/>
    <w:rsid w:val="000C5094"/>
    <w:rsid w:val="000C5E68"/>
    <w:rsid w:val="000C6C0F"/>
    <w:rsid w:val="000C7EA2"/>
    <w:rsid w:val="000D0F9B"/>
    <w:rsid w:val="000D1699"/>
    <w:rsid w:val="000D17B4"/>
    <w:rsid w:val="000D4609"/>
    <w:rsid w:val="000D4D37"/>
    <w:rsid w:val="000D6888"/>
    <w:rsid w:val="000E24B5"/>
    <w:rsid w:val="000E29BE"/>
    <w:rsid w:val="000E32E2"/>
    <w:rsid w:val="000E3527"/>
    <w:rsid w:val="000E4DAA"/>
    <w:rsid w:val="000E5118"/>
    <w:rsid w:val="000E57C9"/>
    <w:rsid w:val="000E7DDB"/>
    <w:rsid w:val="000F478B"/>
    <w:rsid w:val="00100870"/>
    <w:rsid w:val="0010213B"/>
    <w:rsid w:val="0010591E"/>
    <w:rsid w:val="00105F7B"/>
    <w:rsid w:val="00106412"/>
    <w:rsid w:val="00111EBF"/>
    <w:rsid w:val="001150C9"/>
    <w:rsid w:val="0011562A"/>
    <w:rsid w:val="001166C6"/>
    <w:rsid w:val="001202F4"/>
    <w:rsid w:val="00120C7B"/>
    <w:rsid w:val="001235F2"/>
    <w:rsid w:val="00124EE7"/>
    <w:rsid w:val="00125991"/>
    <w:rsid w:val="0013419B"/>
    <w:rsid w:val="00135277"/>
    <w:rsid w:val="00136394"/>
    <w:rsid w:val="001452A0"/>
    <w:rsid w:val="00146A8E"/>
    <w:rsid w:val="00147ECB"/>
    <w:rsid w:val="00150501"/>
    <w:rsid w:val="00151E24"/>
    <w:rsid w:val="00154143"/>
    <w:rsid w:val="00154A26"/>
    <w:rsid w:val="00156F96"/>
    <w:rsid w:val="001668FD"/>
    <w:rsid w:val="00171364"/>
    <w:rsid w:val="0017362F"/>
    <w:rsid w:val="001767F2"/>
    <w:rsid w:val="00177038"/>
    <w:rsid w:val="001816BB"/>
    <w:rsid w:val="00182D45"/>
    <w:rsid w:val="001912AC"/>
    <w:rsid w:val="00193D1D"/>
    <w:rsid w:val="00194302"/>
    <w:rsid w:val="00195D59"/>
    <w:rsid w:val="00195EBF"/>
    <w:rsid w:val="00196044"/>
    <w:rsid w:val="001970AC"/>
    <w:rsid w:val="0019789F"/>
    <w:rsid w:val="001A047D"/>
    <w:rsid w:val="001A0525"/>
    <w:rsid w:val="001A0909"/>
    <w:rsid w:val="001A4481"/>
    <w:rsid w:val="001A4926"/>
    <w:rsid w:val="001A4FDA"/>
    <w:rsid w:val="001A59CC"/>
    <w:rsid w:val="001A6284"/>
    <w:rsid w:val="001A642D"/>
    <w:rsid w:val="001A6F55"/>
    <w:rsid w:val="001B08F8"/>
    <w:rsid w:val="001B2A0E"/>
    <w:rsid w:val="001B2C37"/>
    <w:rsid w:val="001B30ED"/>
    <w:rsid w:val="001B58D8"/>
    <w:rsid w:val="001B6DA2"/>
    <w:rsid w:val="001C02A2"/>
    <w:rsid w:val="001C3C4F"/>
    <w:rsid w:val="001C41FF"/>
    <w:rsid w:val="001C53E0"/>
    <w:rsid w:val="001C699B"/>
    <w:rsid w:val="001C7770"/>
    <w:rsid w:val="001D2532"/>
    <w:rsid w:val="001D2ADA"/>
    <w:rsid w:val="001D4184"/>
    <w:rsid w:val="001D5A9E"/>
    <w:rsid w:val="001D6F40"/>
    <w:rsid w:val="001D7B78"/>
    <w:rsid w:val="001E0196"/>
    <w:rsid w:val="001F58FF"/>
    <w:rsid w:val="00200438"/>
    <w:rsid w:val="00203670"/>
    <w:rsid w:val="002044CB"/>
    <w:rsid w:val="00204CF9"/>
    <w:rsid w:val="00205D7F"/>
    <w:rsid w:val="002065CB"/>
    <w:rsid w:val="0021506C"/>
    <w:rsid w:val="002166CB"/>
    <w:rsid w:val="00216AEF"/>
    <w:rsid w:val="002172CD"/>
    <w:rsid w:val="00225AB5"/>
    <w:rsid w:val="00225B0E"/>
    <w:rsid w:val="00226826"/>
    <w:rsid w:val="00227FA4"/>
    <w:rsid w:val="00230119"/>
    <w:rsid w:val="002313A9"/>
    <w:rsid w:val="0023427F"/>
    <w:rsid w:val="002345ED"/>
    <w:rsid w:val="00241E20"/>
    <w:rsid w:val="00242817"/>
    <w:rsid w:val="00242E8D"/>
    <w:rsid w:val="00244725"/>
    <w:rsid w:val="00245C2E"/>
    <w:rsid w:val="00246C38"/>
    <w:rsid w:val="00251560"/>
    <w:rsid w:val="002565BD"/>
    <w:rsid w:val="002601DB"/>
    <w:rsid w:val="0026222E"/>
    <w:rsid w:val="00263EA1"/>
    <w:rsid w:val="00264330"/>
    <w:rsid w:val="00266178"/>
    <w:rsid w:val="00267EC3"/>
    <w:rsid w:val="002701D1"/>
    <w:rsid w:val="00274116"/>
    <w:rsid w:val="00276C3A"/>
    <w:rsid w:val="00277844"/>
    <w:rsid w:val="0027789C"/>
    <w:rsid w:val="00282DA9"/>
    <w:rsid w:val="00286DF9"/>
    <w:rsid w:val="00287B23"/>
    <w:rsid w:val="00291D35"/>
    <w:rsid w:val="00292275"/>
    <w:rsid w:val="00294EEE"/>
    <w:rsid w:val="00295335"/>
    <w:rsid w:val="002A0673"/>
    <w:rsid w:val="002A08B6"/>
    <w:rsid w:val="002A45FA"/>
    <w:rsid w:val="002A5B78"/>
    <w:rsid w:val="002A6429"/>
    <w:rsid w:val="002B03CF"/>
    <w:rsid w:val="002B111C"/>
    <w:rsid w:val="002B21AE"/>
    <w:rsid w:val="002B2C82"/>
    <w:rsid w:val="002B58F0"/>
    <w:rsid w:val="002B6931"/>
    <w:rsid w:val="002C0B72"/>
    <w:rsid w:val="002C141B"/>
    <w:rsid w:val="002C2793"/>
    <w:rsid w:val="002C5FDF"/>
    <w:rsid w:val="002C71B1"/>
    <w:rsid w:val="002D56B8"/>
    <w:rsid w:val="002D5D10"/>
    <w:rsid w:val="002D6174"/>
    <w:rsid w:val="002D73A9"/>
    <w:rsid w:val="002E1F85"/>
    <w:rsid w:val="002E2380"/>
    <w:rsid w:val="002E5DFF"/>
    <w:rsid w:val="002E69A5"/>
    <w:rsid w:val="002E6F47"/>
    <w:rsid w:val="002F5732"/>
    <w:rsid w:val="0030095D"/>
    <w:rsid w:val="00301A13"/>
    <w:rsid w:val="00301F47"/>
    <w:rsid w:val="00302DDC"/>
    <w:rsid w:val="0030385B"/>
    <w:rsid w:val="00306304"/>
    <w:rsid w:val="003076E8"/>
    <w:rsid w:val="00310EF2"/>
    <w:rsid w:val="00311250"/>
    <w:rsid w:val="0031197D"/>
    <w:rsid w:val="003132D4"/>
    <w:rsid w:val="00313EE4"/>
    <w:rsid w:val="00315029"/>
    <w:rsid w:val="003156AD"/>
    <w:rsid w:val="00317598"/>
    <w:rsid w:val="00322CE7"/>
    <w:rsid w:val="0032662F"/>
    <w:rsid w:val="00326A55"/>
    <w:rsid w:val="00327B61"/>
    <w:rsid w:val="00334F31"/>
    <w:rsid w:val="00335CA5"/>
    <w:rsid w:val="00343594"/>
    <w:rsid w:val="00343882"/>
    <w:rsid w:val="00343C70"/>
    <w:rsid w:val="003447A8"/>
    <w:rsid w:val="00344CDD"/>
    <w:rsid w:val="003468CE"/>
    <w:rsid w:val="0034743C"/>
    <w:rsid w:val="0035061E"/>
    <w:rsid w:val="00350961"/>
    <w:rsid w:val="00353374"/>
    <w:rsid w:val="00353403"/>
    <w:rsid w:val="00353A08"/>
    <w:rsid w:val="003544AE"/>
    <w:rsid w:val="0035491A"/>
    <w:rsid w:val="003557D7"/>
    <w:rsid w:val="003577B0"/>
    <w:rsid w:val="0036250D"/>
    <w:rsid w:val="003629AB"/>
    <w:rsid w:val="00362BAC"/>
    <w:rsid w:val="00363355"/>
    <w:rsid w:val="00363829"/>
    <w:rsid w:val="00363C67"/>
    <w:rsid w:val="00365319"/>
    <w:rsid w:val="00365F23"/>
    <w:rsid w:val="00367BC1"/>
    <w:rsid w:val="00370D0E"/>
    <w:rsid w:val="00373893"/>
    <w:rsid w:val="00375409"/>
    <w:rsid w:val="00376B3D"/>
    <w:rsid w:val="00384761"/>
    <w:rsid w:val="003865AD"/>
    <w:rsid w:val="00386DEA"/>
    <w:rsid w:val="00386F6A"/>
    <w:rsid w:val="00391126"/>
    <w:rsid w:val="00392F81"/>
    <w:rsid w:val="00393171"/>
    <w:rsid w:val="00395CCC"/>
    <w:rsid w:val="0039677E"/>
    <w:rsid w:val="0039730F"/>
    <w:rsid w:val="003975CE"/>
    <w:rsid w:val="003A3113"/>
    <w:rsid w:val="003A3A60"/>
    <w:rsid w:val="003A48FF"/>
    <w:rsid w:val="003A67EB"/>
    <w:rsid w:val="003B0631"/>
    <w:rsid w:val="003B2518"/>
    <w:rsid w:val="003B2B21"/>
    <w:rsid w:val="003B59E9"/>
    <w:rsid w:val="003B7CDD"/>
    <w:rsid w:val="003C025B"/>
    <w:rsid w:val="003C0BBE"/>
    <w:rsid w:val="003C197A"/>
    <w:rsid w:val="003C2840"/>
    <w:rsid w:val="003C311C"/>
    <w:rsid w:val="003C49E8"/>
    <w:rsid w:val="003C7944"/>
    <w:rsid w:val="003C7B2F"/>
    <w:rsid w:val="003D00D9"/>
    <w:rsid w:val="003D067E"/>
    <w:rsid w:val="003D2331"/>
    <w:rsid w:val="003D3727"/>
    <w:rsid w:val="003D3DC7"/>
    <w:rsid w:val="003D3FF8"/>
    <w:rsid w:val="003D4337"/>
    <w:rsid w:val="003D48DC"/>
    <w:rsid w:val="003D59BF"/>
    <w:rsid w:val="003D5A4F"/>
    <w:rsid w:val="003D7424"/>
    <w:rsid w:val="003E074F"/>
    <w:rsid w:val="003E077B"/>
    <w:rsid w:val="003E1C6D"/>
    <w:rsid w:val="003E40E3"/>
    <w:rsid w:val="003E541D"/>
    <w:rsid w:val="003E6D6F"/>
    <w:rsid w:val="003F0010"/>
    <w:rsid w:val="003F0447"/>
    <w:rsid w:val="003F06DA"/>
    <w:rsid w:val="003F2336"/>
    <w:rsid w:val="003F324A"/>
    <w:rsid w:val="003F3C12"/>
    <w:rsid w:val="003F4F1D"/>
    <w:rsid w:val="00400377"/>
    <w:rsid w:val="00400997"/>
    <w:rsid w:val="00401379"/>
    <w:rsid w:val="0040371E"/>
    <w:rsid w:val="00403D81"/>
    <w:rsid w:val="004052D5"/>
    <w:rsid w:val="0040623A"/>
    <w:rsid w:val="00406697"/>
    <w:rsid w:val="004072C3"/>
    <w:rsid w:val="004103A2"/>
    <w:rsid w:val="00415A12"/>
    <w:rsid w:val="00420A7D"/>
    <w:rsid w:val="00421ADB"/>
    <w:rsid w:val="00421F61"/>
    <w:rsid w:val="00426820"/>
    <w:rsid w:val="00427B43"/>
    <w:rsid w:val="004305A4"/>
    <w:rsid w:val="00431574"/>
    <w:rsid w:val="00431A72"/>
    <w:rsid w:val="004379AB"/>
    <w:rsid w:val="00440752"/>
    <w:rsid w:val="00441683"/>
    <w:rsid w:val="00443A87"/>
    <w:rsid w:val="004473AB"/>
    <w:rsid w:val="0045156F"/>
    <w:rsid w:val="00452189"/>
    <w:rsid w:val="00452F58"/>
    <w:rsid w:val="0045316A"/>
    <w:rsid w:val="00453988"/>
    <w:rsid w:val="00455668"/>
    <w:rsid w:val="00455B89"/>
    <w:rsid w:val="00457316"/>
    <w:rsid w:val="00457BA8"/>
    <w:rsid w:val="00463A98"/>
    <w:rsid w:val="004640E0"/>
    <w:rsid w:val="00465055"/>
    <w:rsid w:val="004650FB"/>
    <w:rsid w:val="00465FBA"/>
    <w:rsid w:val="00467466"/>
    <w:rsid w:val="004700DC"/>
    <w:rsid w:val="0047060A"/>
    <w:rsid w:val="00472C37"/>
    <w:rsid w:val="00473192"/>
    <w:rsid w:val="004740CB"/>
    <w:rsid w:val="00475139"/>
    <w:rsid w:val="00475B8E"/>
    <w:rsid w:val="00476867"/>
    <w:rsid w:val="004802AF"/>
    <w:rsid w:val="00483E94"/>
    <w:rsid w:val="004864EB"/>
    <w:rsid w:val="00491FF6"/>
    <w:rsid w:val="00492035"/>
    <w:rsid w:val="00494444"/>
    <w:rsid w:val="004A00B4"/>
    <w:rsid w:val="004A3FCF"/>
    <w:rsid w:val="004A5956"/>
    <w:rsid w:val="004A711A"/>
    <w:rsid w:val="004B08CD"/>
    <w:rsid w:val="004B1B29"/>
    <w:rsid w:val="004B2820"/>
    <w:rsid w:val="004B3CFB"/>
    <w:rsid w:val="004B3FBC"/>
    <w:rsid w:val="004B5641"/>
    <w:rsid w:val="004B5A71"/>
    <w:rsid w:val="004B6D91"/>
    <w:rsid w:val="004B7510"/>
    <w:rsid w:val="004C0D93"/>
    <w:rsid w:val="004C164A"/>
    <w:rsid w:val="004C2C50"/>
    <w:rsid w:val="004C3FF0"/>
    <w:rsid w:val="004C602D"/>
    <w:rsid w:val="004D077C"/>
    <w:rsid w:val="004D199A"/>
    <w:rsid w:val="004D2910"/>
    <w:rsid w:val="004D299E"/>
    <w:rsid w:val="004D4ED0"/>
    <w:rsid w:val="004E1D12"/>
    <w:rsid w:val="004E22BB"/>
    <w:rsid w:val="004E25F9"/>
    <w:rsid w:val="004E3226"/>
    <w:rsid w:val="004E56F8"/>
    <w:rsid w:val="004E74F7"/>
    <w:rsid w:val="004F028A"/>
    <w:rsid w:val="004F044F"/>
    <w:rsid w:val="004F0F17"/>
    <w:rsid w:val="004F41C9"/>
    <w:rsid w:val="004F43BE"/>
    <w:rsid w:val="004F50BD"/>
    <w:rsid w:val="004F66FE"/>
    <w:rsid w:val="00500EA0"/>
    <w:rsid w:val="00501109"/>
    <w:rsid w:val="0050355A"/>
    <w:rsid w:val="005037EC"/>
    <w:rsid w:val="005051F5"/>
    <w:rsid w:val="005055B5"/>
    <w:rsid w:val="005101EC"/>
    <w:rsid w:val="00511E12"/>
    <w:rsid w:val="005123CD"/>
    <w:rsid w:val="00512961"/>
    <w:rsid w:val="00512C63"/>
    <w:rsid w:val="00514C7F"/>
    <w:rsid w:val="00516AA8"/>
    <w:rsid w:val="00517CC5"/>
    <w:rsid w:val="005209C3"/>
    <w:rsid w:val="00520A13"/>
    <w:rsid w:val="00523E22"/>
    <w:rsid w:val="00527C73"/>
    <w:rsid w:val="00530EF5"/>
    <w:rsid w:val="0053367C"/>
    <w:rsid w:val="0053374F"/>
    <w:rsid w:val="00533B8E"/>
    <w:rsid w:val="00535F2D"/>
    <w:rsid w:val="00537B68"/>
    <w:rsid w:val="00541646"/>
    <w:rsid w:val="00544841"/>
    <w:rsid w:val="00545948"/>
    <w:rsid w:val="00547A71"/>
    <w:rsid w:val="0055112D"/>
    <w:rsid w:val="00556DE8"/>
    <w:rsid w:val="0055786F"/>
    <w:rsid w:val="00557B7D"/>
    <w:rsid w:val="00560352"/>
    <w:rsid w:val="00561339"/>
    <w:rsid w:val="0056632A"/>
    <w:rsid w:val="005664FC"/>
    <w:rsid w:val="00571D76"/>
    <w:rsid w:val="00577F76"/>
    <w:rsid w:val="00580120"/>
    <w:rsid w:val="0058251B"/>
    <w:rsid w:val="005828FB"/>
    <w:rsid w:val="00584B30"/>
    <w:rsid w:val="00585917"/>
    <w:rsid w:val="00595C63"/>
    <w:rsid w:val="005A3D8D"/>
    <w:rsid w:val="005A6E3E"/>
    <w:rsid w:val="005B1F80"/>
    <w:rsid w:val="005B3BEF"/>
    <w:rsid w:val="005B3CB2"/>
    <w:rsid w:val="005C0F5D"/>
    <w:rsid w:val="005C1CF6"/>
    <w:rsid w:val="005C2FAA"/>
    <w:rsid w:val="005C3588"/>
    <w:rsid w:val="005C3BD9"/>
    <w:rsid w:val="005C5EF7"/>
    <w:rsid w:val="005D728B"/>
    <w:rsid w:val="005E25DD"/>
    <w:rsid w:val="005E286A"/>
    <w:rsid w:val="005E3B26"/>
    <w:rsid w:val="005E6350"/>
    <w:rsid w:val="005E707C"/>
    <w:rsid w:val="005E7BFC"/>
    <w:rsid w:val="005F21DE"/>
    <w:rsid w:val="005F43CB"/>
    <w:rsid w:val="005F721A"/>
    <w:rsid w:val="006002CA"/>
    <w:rsid w:val="00603703"/>
    <w:rsid w:val="00606CB1"/>
    <w:rsid w:val="006100F5"/>
    <w:rsid w:val="006103FD"/>
    <w:rsid w:val="00616147"/>
    <w:rsid w:val="00624633"/>
    <w:rsid w:val="00625FC1"/>
    <w:rsid w:val="00631D8F"/>
    <w:rsid w:val="0063262F"/>
    <w:rsid w:val="00635948"/>
    <w:rsid w:val="00637D45"/>
    <w:rsid w:val="00640037"/>
    <w:rsid w:val="00640745"/>
    <w:rsid w:val="00640F0A"/>
    <w:rsid w:val="00643A26"/>
    <w:rsid w:val="006441A7"/>
    <w:rsid w:val="006447F9"/>
    <w:rsid w:val="00646F82"/>
    <w:rsid w:val="00650A95"/>
    <w:rsid w:val="00660640"/>
    <w:rsid w:val="006606F1"/>
    <w:rsid w:val="006622D2"/>
    <w:rsid w:val="006625FC"/>
    <w:rsid w:val="006645B4"/>
    <w:rsid w:val="00664A37"/>
    <w:rsid w:val="00664B42"/>
    <w:rsid w:val="00665CF6"/>
    <w:rsid w:val="00665DFD"/>
    <w:rsid w:val="00670912"/>
    <w:rsid w:val="0067276F"/>
    <w:rsid w:val="00673243"/>
    <w:rsid w:val="00674115"/>
    <w:rsid w:val="00674760"/>
    <w:rsid w:val="00675E5B"/>
    <w:rsid w:val="0068263E"/>
    <w:rsid w:val="00684EB9"/>
    <w:rsid w:val="006946B5"/>
    <w:rsid w:val="00694A6F"/>
    <w:rsid w:val="006965B9"/>
    <w:rsid w:val="006A2B1E"/>
    <w:rsid w:val="006A2E52"/>
    <w:rsid w:val="006A3AF8"/>
    <w:rsid w:val="006A41E1"/>
    <w:rsid w:val="006A5B55"/>
    <w:rsid w:val="006A65A5"/>
    <w:rsid w:val="006A690B"/>
    <w:rsid w:val="006B0737"/>
    <w:rsid w:val="006B0983"/>
    <w:rsid w:val="006B19BA"/>
    <w:rsid w:val="006B25D5"/>
    <w:rsid w:val="006B2FCC"/>
    <w:rsid w:val="006B3D47"/>
    <w:rsid w:val="006B4B38"/>
    <w:rsid w:val="006B57C4"/>
    <w:rsid w:val="006B5D11"/>
    <w:rsid w:val="006B5D7B"/>
    <w:rsid w:val="006B60AF"/>
    <w:rsid w:val="006B6443"/>
    <w:rsid w:val="006B7178"/>
    <w:rsid w:val="006C264E"/>
    <w:rsid w:val="006C2EB7"/>
    <w:rsid w:val="006C658C"/>
    <w:rsid w:val="006C692A"/>
    <w:rsid w:val="006D06F3"/>
    <w:rsid w:val="006D1397"/>
    <w:rsid w:val="006D1657"/>
    <w:rsid w:val="006D1CE2"/>
    <w:rsid w:val="006D274A"/>
    <w:rsid w:val="006D2B21"/>
    <w:rsid w:val="006D3A6F"/>
    <w:rsid w:val="006D3A95"/>
    <w:rsid w:val="006D4A5B"/>
    <w:rsid w:val="006D794F"/>
    <w:rsid w:val="006E0321"/>
    <w:rsid w:val="006E0F5C"/>
    <w:rsid w:val="006E1111"/>
    <w:rsid w:val="006E4D33"/>
    <w:rsid w:val="006E61DB"/>
    <w:rsid w:val="006E780D"/>
    <w:rsid w:val="006F020E"/>
    <w:rsid w:val="006F0682"/>
    <w:rsid w:val="006F1F88"/>
    <w:rsid w:val="006F2D08"/>
    <w:rsid w:val="006F2E43"/>
    <w:rsid w:val="006F3302"/>
    <w:rsid w:val="006F3362"/>
    <w:rsid w:val="006F36DB"/>
    <w:rsid w:val="006F4289"/>
    <w:rsid w:val="006F4D05"/>
    <w:rsid w:val="006F5A32"/>
    <w:rsid w:val="006F5E57"/>
    <w:rsid w:val="00701C6D"/>
    <w:rsid w:val="00702DBC"/>
    <w:rsid w:val="007040DD"/>
    <w:rsid w:val="00704B84"/>
    <w:rsid w:val="007074A4"/>
    <w:rsid w:val="00711260"/>
    <w:rsid w:val="00711F7B"/>
    <w:rsid w:val="00712DC0"/>
    <w:rsid w:val="0071482E"/>
    <w:rsid w:val="007156F6"/>
    <w:rsid w:val="00717D78"/>
    <w:rsid w:val="0072068B"/>
    <w:rsid w:val="00720CE9"/>
    <w:rsid w:val="00720E7F"/>
    <w:rsid w:val="00722968"/>
    <w:rsid w:val="00723441"/>
    <w:rsid w:val="00723670"/>
    <w:rsid w:val="00724724"/>
    <w:rsid w:val="0072557C"/>
    <w:rsid w:val="007261F7"/>
    <w:rsid w:val="007270A2"/>
    <w:rsid w:val="00731769"/>
    <w:rsid w:val="00732989"/>
    <w:rsid w:val="007345BE"/>
    <w:rsid w:val="007436EB"/>
    <w:rsid w:val="00746759"/>
    <w:rsid w:val="00746974"/>
    <w:rsid w:val="00750066"/>
    <w:rsid w:val="00752376"/>
    <w:rsid w:val="0075305E"/>
    <w:rsid w:val="00754B5D"/>
    <w:rsid w:val="0075544A"/>
    <w:rsid w:val="0075596A"/>
    <w:rsid w:val="007572E6"/>
    <w:rsid w:val="00760F53"/>
    <w:rsid w:val="0076555F"/>
    <w:rsid w:val="007659C3"/>
    <w:rsid w:val="00765EF3"/>
    <w:rsid w:val="0076669D"/>
    <w:rsid w:val="00766D72"/>
    <w:rsid w:val="007716B9"/>
    <w:rsid w:val="00771FEE"/>
    <w:rsid w:val="00772D5A"/>
    <w:rsid w:val="007763C3"/>
    <w:rsid w:val="00777714"/>
    <w:rsid w:val="00777DA8"/>
    <w:rsid w:val="00780AB2"/>
    <w:rsid w:val="007824CA"/>
    <w:rsid w:val="00782E56"/>
    <w:rsid w:val="007852EC"/>
    <w:rsid w:val="00786FC0"/>
    <w:rsid w:val="00792DCA"/>
    <w:rsid w:val="00793931"/>
    <w:rsid w:val="00793ED3"/>
    <w:rsid w:val="00794200"/>
    <w:rsid w:val="007942B1"/>
    <w:rsid w:val="007948C5"/>
    <w:rsid w:val="007953A2"/>
    <w:rsid w:val="00795DEA"/>
    <w:rsid w:val="007A3339"/>
    <w:rsid w:val="007A6C61"/>
    <w:rsid w:val="007B01BC"/>
    <w:rsid w:val="007B0C78"/>
    <w:rsid w:val="007B163F"/>
    <w:rsid w:val="007B401E"/>
    <w:rsid w:val="007B751B"/>
    <w:rsid w:val="007C035B"/>
    <w:rsid w:val="007C1FBD"/>
    <w:rsid w:val="007C2309"/>
    <w:rsid w:val="007C36B9"/>
    <w:rsid w:val="007C52BC"/>
    <w:rsid w:val="007D2A0A"/>
    <w:rsid w:val="007D2DB4"/>
    <w:rsid w:val="007D30A7"/>
    <w:rsid w:val="007D7F39"/>
    <w:rsid w:val="007E0035"/>
    <w:rsid w:val="007E0143"/>
    <w:rsid w:val="007E0D3D"/>
    <w:rsid w:val="007E0E58"/>
    <w:rsid w:val="007E176E"/>
    <w:rsid w:val="007E46FD"/>
    <w:rsid w:val="007E47D2"/>
    <w:rsid w:val="007E4CC6"/>
    <w:rsid w:val="007E525C"/>
    <w:rsid w:val="007E59CF"/>
    <w:rsid w:val="007E7211"/>
    <w:rsid w:val="007E7CE1"/>
    <w:rsid w:val="007F36E7"/>
    <w:rsid w:val="007F5383"/>
    <w:rsid w:val="007F6BE6"/>
    <w:rsid w:val="007F732E"/>
    <w:rsid w:val="008006CA"/>
    <w:rsid w:val="00801031"/>
    <w:rsid w:val="0080230A"/>
    <w:rsid w:val="00803E66"/>
    <w:rsid w:val="00804560"/>
    <w:rsid w:val="008055A3"/>
    <w:rsid w:val="00805BD0"/>
    <w:rsid w:val="0080674E"/>
    <w:rsid w:val="00806F9F"/>
    <w:rsid w:val="00811DBB"/>
    <w:rsid w:val="00812063"/>
    <w:rsid w:val="00812ADC"/>
    <w:rsid w:val="00817621"/>
    <w:rsid w:val="008203A2"/>
    <w:rsid w:val="0082282D"/>
    <w:rsid w:val="00822B85"/>
    <w:rsid w:val="008263C2"/>
    <w:rsid w:val="00827989"/>
    <w:rsid w:val="008310AF"/>
    <w:rsid w:val="00831335"/>
    <w:rsid w:val="008332B8"/>
    <w:rsid w:val="008349F5"/>
    <w:rsid w:val="00834C2D"/>
    <w:rsid w:val="008353C6"/>
    <w:rsid w:val="008400FC"/>
    <w:rsid w:val="00840DA3"/>
    <w:rsid w:val="00841341"/>
    <w:rsid w:val="008422BC"/>
    <w:rsid w:val="00845753"/>
    <w:rsid w:val="008457E4"/>
    <w:rsid w:val="00846009"/>
    <w:rsid w:val="0084604F"/>
    <w:rsid w:val="00846F45"/>
    <w:rsid w:val="00847C4C"/>
    <w:rsid w:val="00854DD1"/>
    <w:rsid w:val="00854FD1"/>
    <w:rsid w:val="008562A6"/>
    <w:rsid w:val="008567E9"/>
    <w:rsid w:val="00856EA7"/>
    <w:rsid w:val="00860ED2"/>
    <w:rsid w:val="00864119"/>
    <w:rsid w:val="008657EF"/>
    <w:rsid w:val="00865C38"/>
    <w:rsid w:val="00867892"/>
    <w:rsid w:val="00867A19"/>
    <w:rsid w:val="00867F21"/>
    <w:rsid w:val="008721A0"/>
    <w:rsid w:val="008726B7"/>
    <w:rsid w:val="00872BCC"/>
    <w:rsid w:val="00872E3C"/>
    <w:rsid w:val="0087306A"/>
    <w:rsid w:val="00873742"/>
    <w:rsid w:val="00873DF7"/>
    <w:rsid w:val="00873E1B"/>
    <w:rsid w:val="00876DB9"/>
    <w:rsid w:val="008808BE"/>
    <w:rsid w:val="00882178"/>
    <w:rsid w:val="0088275B"/>
    <w:rsid w:val="00883E92"/>
    <w:rsid w:val="00884807"/>
    <w:rsid w:val="00885550"/>
    <w:rsid w:val="008907BA"/>
    <w:rsid w:val="00893F27"/>
    <w:rsid w:val="00894FCD"/>
    <w:rsid w:val="0089792D"/>
    <w:rsid w:val="008A1947"/>
    <w:rsid w:val="008A1C99"/>
    <w:rsid w:val="008A2257"/>
    <w:rsid w:val="008A22B8"/>
    <w:rsid w:val="008A3B69"/>
    <w:rsid w:val="008A4289"/>
    <w:rsid w:val="008A564B"/>
    <w:rsid w:val="008A5A3D"/>
    <w:rsid w:val="008A5E34"/>
    <w:rsid w:val="008B2082"/>
    <w:rsid w:val="008B3962"/>
    <w:rsid w:val="008B6B78"/>
    <w:rsid w:val="008C01D1"/>
    <w:rsid w:val="008C1A6C"/>
    <w:rsid w:val="008C1E9A"/>
    <w:rsid w:val="008C629B"/>
    <w:rsid w:val="008D4F79"/>
    <w:rsid w:val="008D57D4"/>
    <w:rsid w:val="008D60BA"/>
    <w:rsid w:val="008E00ED"/>
    <w:rsid w:val="008E1510"/>
    <w:rsid w:val="008E265C"/>
    <w:rsid w:val="008E297A"/>
    <w:rsid w:val="008E2E4C"/>
    <w:rsid w:val="008E373E"/>
    <w:rsid w:val="008E3B8F"/>
    <w:rsid w:val="008E43C9"/>
    <w:rsid w:val="008E4598"/>
    <w:rsid w:val="008E566E"/>
    <w:rsid w:val="008E570B"/>
    <w:rsid w:val="008E600F"/>
    <w:rsid w:val="008E721D"/>
    <w:rsid w:val="008F3739"/>
    <w:rsid w:val="008F457A"/>
    <w:rsid w:val="008F49FC"/>
    <w:rsid w:val="008F4DD5"/>
    <w:rsid w:val="008F66B4"/>
    <w:rsid w:val="008F6D59"/>
    <w:rsid w:val="008F6EFB"/>
    <w:rsid w:val="008F7884"/>
    <w:rsid w:val="00900A4E"/>
    <w:rsid w:val="0090428A"/>
    <w:rsid w:val="00905393"/>
    <w:rsid w:val="009058FD"/>
    <w:rsid w:val="0090684A"/>
    <w:rsid w:val="0091067F"/>
    <w:rsid w:val="00910800"/>
    <w:rsid w:val="00912BAD"/>
    <w:rsid w:val="009132E5"/>
    <w:rsid w:val="0091740F"/>
    <w:rsid w:val="009174A5"/>
    <w:rsid w:val="00920BFA"/>
    <w:rsid w:val="009215A2"/>
    <w:rsid w:val="00923404"/>
    <w:rsid w:val="00924DEA"/>
    <w:rsid w:val="0092553E"/>
    <w:rsid w:val="00936279"/>
    <w:rsid w:val="00936777"/>
    <w:rsid w:val="0093714C"/>
    <w:rsid w:val="00942560"/>
    <w:rsid w:val="00944E0A"/>
    <w:rsid w:val="00946923"/>
    <w:rsid w:val="0095346C"/>
    <w:rsid w:val="00956832"/>
    <w:rsid w:val="009570E5"/>
    <w:rsid w:val="00957FC2"/>
    <w:rsid w:val="00961DB7"/>
    <w:rsid w:val="00961DDC"/>
    <w:rsid w:val="009624B4"/>
    <w:rsid w:val="00963E0B"/>
    <w:rsid w:val="009648C7"/>
    <w:rsid w:val="0096493F"/>
    <w:rsid w:val="0096778C"/>
    <w:rsid w:val="00970E96"/>
    <w:rsid w:val="009735B8"/>
    <w:rsid w:val="009749B3"/>
    <w:rsid w:val="009750F2"/>
    <w:rsid w:val="0097709F"/>
    <w:rsid w:val="00977607"/>
    <w:rsid w:val="00977A38"/>
    <w:rsid w:val="00981432"/>
    <w:rsid w:val="00984093"/>
    <w:rsid w:val="009855A8"/>
    <w:rsid w:val="00985C3F"/>
    <w:rsid w:val="00986E4E"/>
    <w:rsid w:val="00987672"/>
    <w:rsid w:val="00987AA2"/>
    <w:rsid w:val="009951E9"/>
    <w:rsid w:val="00996F75"/>
    <w:rsid w:val="009A0F1C"/>
    <w:rsid w:val="009A10BD"/>
    <w:rsid w:val="009A2105"/>
    <w:rsid w:val="009A31C6"/>
    <w:rsid w:val="009A36EE"/>
    <w:rsid w:val="009A6630"/>
    <w:rsid w:val="009B1848"/>
    <w:rsid w:val="009B2106"/>
    <w:rsid w:val="009B39FB"/>
    <w:rsid w:val="009B5ABF"/>
    <w:rsid w:val="009B7D1E"/>
    <w:rsid w:val="009B7D38"/>
    <w:rsid w:val="009C0860"/>
    <w:rsid w:val="009C0D3A"/>
    <w:rsid w:val="009C12E8"/>
    <w:rsid w:val="009C33E6"/>
    <w:rsid w:val="009C3E4E"/>
    <w:rsid w:val="009C441E"/>
    <w:rsid w:val="009C5AE3"/>
    <w:rsid w:val="009C627A"/>
    <w:rsid w:val="009C6331"/>
    <w:rsid w:val="009C7260"/>
    <w:rsid w:val="009D009A"/>
    <w:rsid w:val="009D0D5A"/>
    <w:rsid w:val="009D1596"/>
    <w:rsid w:val="009D289F"/>
    <w:rsid w:val="009D3200"/>
    <w:rsid w:val="009D44C1"/>
    <w:rsid w:val="009D5159"/>
    <w:rsid w:val="009E15B1"/>
    <w:rsid w:val="009E1770"/>
    <w:rsid w:val="009E3BB2"/>
    <w:rsid w:val="009E44C4"/>
    <w:rsid w:val="009E4536"/>
    <w:rsid w:val="009E526C"/>
    <w:rsid w:val="009F18C8"/>
    <w:rsid w:val="009F1AB7"/>
    <w:rsid w:val="009F213F"/>
    <w:rsid w:val="009F39C0"/>
    <w:rsid w:val="009F434F"/>
    <w:rsid w:val="009F44FA"/>
    <w:rsid w:val="009F4E74"/>
    <w:rsid w:val="009F65A8"/>
    <w:rsid w:val="00A01280"/>
    <w:rsid w:val="00A0365B"/>
    <w:rsid w:val="00A04DE3"/>
    <w:rsid w:val="00A050BA"/>
    <w:rsid w:val="00A056F7"/>
    <w:rsid w:val="00A059B6"/>
    <w:rsid w:val="00A07453"/>
    <w:rsid w:val="00A07A53"/>
    <w:rsid w:val="00A15C19"/>
    <w:rsid w:val="00A17815"/>
    <w:rsid w:val="00A22E30"/>
    <w:rsid w:val="00A25528"/>
    <w:rsid w:val="00A26116"/>
    <w:rsid w:val="00A26B8D"/>
    <w:rsid w:val="00A27F09"/>
    <w:rsid w:val="00A30ED8"/>
    <w:rsid w:val="00A31EC7"/>
    <w:rsid w:val="00A3288C"/>
    <w:rsid w:val="00A33697"/>
    <w:rsid w:val="00A33A7F"/>
    <w:rsid w:val="00A33C33"/>
    <w:rsid w:val="00A33F85"/>
    <w:rsid w:val="00A37FD8"/>
    <w:rsid w:val="00A44A08"/>
    <w:rsid w:val="00A45E3B"/>
    <w:rsid w:val="00A45F11"/>
    <w:rsid w:val="00A51D3F"/>
    <w:rsid w:val="00A51D53"/>
    <w:rsid w:val="00A5361B"/>
    <w:rsid w:val="00A5492F"/>
    <w:rsid w:val="00A566AB"/>
    <w:rsid w:val="00A56D58"/>
    <w:rsid w:val="00A6031A"/>
    <w:rsid w:val="00A642CC"/>
    <w:rsid w:val="00A71386"/>
    <w:rsid w:val="00A75ADD"/>
    <w:rsid w:val="00A75ECA"/>
    <w:rsid w:val="00A76140"/>
    <w:rsid w:val="00A76EC1"/>
    <w:rsid w:val="00A774FA"/>
    <w:rsid w:val="00A81D71"/>
    <w:rsid w:val="00A82002"/>
    <w:rsid w:val="00A85759"/>
    <w:rsid w:val="00A8711E"/>
    <w:rsid w:val="00A9301F"/>
    <w:rsid w:val="00A955DA"/>
    <w:rsid w:val="00AA1591"/>
    <w:rsid w:val="00AA1C5A"/>
    <w:rsid w:val="00AA37D9"/>
    <w:rsid w:val="00AB0B90"/>
    <w:rsid w:val="00AB5006"/>
    <w:rsid w:val="00AB618E"/>
    <w:rsid w:val="00AB6E5D"/>
    <w:rsid w:val="00AB78D9"/>
    <w:rsid w:val="00AC37E1"/>
    <w:rsid w:val="00AC478C"/>
    <w:rsid w:val="00AC49B5"/>
    <w:rsid w:val="00AC503C"/>
    <w:rsid w:val="00AC50FB"/>
    <w:rsid w:val="00AD00D5"/>
    <w:rsid w:val="00AD0577"/>
    <w:rsid w:val="00AD058D"/>
    <w:rsid w:val="00AD110D"/>
    <w:rsid w:val="00AD1344"/>
    <w:rsid w:val="00AD3B2B"/>
    <w:rsid w:val="00AD3DA7"/>
    <w:rsid w:val="00AD7C5E"/>
    <w:rsid w:val="00AD7CEC"/>
    <w:rsid w:val="00AE1501"/>
    <w:rsid w:val="00AE48EC"/>
    <w:rsid w:val="00AE51D4"/>
    <w:rsid w:val="00AE6AF4"/>
    <w:rsid w:val="00AE7C73"/>
    <w:rsid w:val="00AF0CFE"/>
    <w:rsid w:val="00AF0F72"/>
    <w:rsid w:val="00AF4506"/>
    <w:rsid w:val="00AF521B"/>
    <w:rsid w:val="00AF677A"/>
    <w:rsid w:val="00AF7E50"/>
    <w:rsid w:val="00B0028E"/>
    <w:rsid w:val="00B004D3"/>
    <w:rsid w:val="00B02F4E"/>
    <w:rsid w:val="00B03924"/>
    <w:rsid w:val="00B03CC7"/>
    <w:rsid w:val="00B04D08"/>
    <w:rsid w:val="00B05536"/>
    <w:rsid w:val="00B05C74"/>
    <w:rsid w:val="00B07BA8"/>
    <w:rsid w:val="00B07EDE"/>
    <w:rsid w:val="00B11C58"/>
    <w:rsid w:val="00B15FC4"/>
    <w:rsid w:val="00B168C5"/>
    <w:rsid w:val="00B225FB"/>
    <w:rsid w:val="00B302C4"/>
    <w:rsid w:val="00B316BA"/>
    <w:rsid w:val="00B32A2A"/>
    <w:rsid w:val="00B35454"/>
    <w:rsid w:val="00B419EE"/>
    <w:rsid w:val="00B42268"/>
    <w:rsid w:val="00B42B55"/>
    <w:rsid w:val="00B42F5B"/>
    <w:rsid w:val="00B45654"/>
    <w:rsid w:val="00B4662B"/>
    <w:rsid w:val="00B47DCE"/>
    <w:rsid w:val="00B511AF"/>
    <w:rsid w:val="00B53F0B"/>
    <w:rsid w:val="00B54122"/>
    <w:rsid w:val="00B54A12"/>
    <w:rsid w:val="00B553B8"/>
    <w:rsid w:val="00B61B83"/>
    <w:rsid w:val="00B6476B"/>
    <w:rsid w:val="00B649A7"/>
    <w:rsid w:val="00B6627D"/>
    <w:rsid w:val="00B67522"/>
    <w:rsid w:val="00B6761C"/>
    <w:rsid w:val="00B72057"/>
    <w:rsid w:val="00B73B77"/>
    <w:rsid w:val="00B81CB4"/>
    <w:rsid w:val="00B825ED"/>
    <w:rsid w:val="00B87DD0"/>
    <w:rsid w:val="00B91946"/>
    <w:rsid w:val="00B96D77"/>
    <w:rsid w:val="00B9722A"/>
    <w:rsid w:val="00B97663"/>
    <w:rsid w:val="00BA0A66"/>
    <w:rsid w:val="00BA2D42"/>
    <w:rsid w:val="00BA366D"/>
    <w:rsid w:val="00BA3B55"/>
    <w:rsid w:val="00BA4457"/>
    <w:rsid w:val="00BA5FF7"/>
    <w:rsid w:val="00BB3437"/>
    <w:rsid w:val="00BB5257"/>
    <w:rsid w:val="00BB6CFE"/>
    <w:rsid w:val="00BC0DD5"/>
    <w:rsid w:val="00BC196E"/>
    <w:rsid w:val="00BC1B66"/>
    <w:rsid w:val="00BC3251"/>
    <w:rsid w:val="00BC4EAA"/>
    <w:rsid w:val="00BC59CA"/>
    <w:rsid w:val="00BC6110"/>
    <w:rsid w:val="00BC70D6"/>
    <w:rsid w:val="00BD767F"/>
    <w:rsid w:val="00BD7DAD"/>
    <w:rsid w:val="00BE1543"/>
    <w:rsid w:val="00BE1FBF"/>
    <w:rsid w:val="00BE535D"/>
    <w:rsid w:val="00BF3BE3"/>
    <w:rsid w:val="00BF43C1"/>
    <w:rsid w:val="00BF4888"/>
    <w:rsid w:val="00BF4C1D"/>
    <w:rsid w:val="00BF72DA"/>
    <w:rsid w:val="00C01AD2"/>
    <w:rsid w:val="00C0360A"/>
    <w:rsid w:val="00C03E15"/>
    <w:rsid w:val="00C04208"/>
    <w:rsid w:val="00C04505"/>
    <w:rsid w:val="00C04B94"/>
    <w:rsid w:val="00C051BD"/>
    <w:rsid w:val="00C05D9E"/>
    <w:rsid w:val="00C06A84"/>
    <w:rsid w:val="00C0792B"/>
    <w:rsid w:val="00C12180"/>
    <w:rsid w:val="00C13D47"/>
    <w:rsid w:val="00C157CA"/>
    <w:rsid w:val="00C16432"/>
    <w:rsid w:val="00C201B6"/>
    <w:rsid w:val="00C2111C"/>
    <w:rsid w:val="00C212C2"/>
    <w:rsid w:val="00C21733"/>
    <w:rsid w:val="00C21FA9"/>
    <w:rsid w:val="00C22CC2"/>
    <w:rsid w:val="00C22DE8"/>
    <w:rsid w:val="00C24D29"/>
    <w:rsid w:val="00C2696A"/>
    <w:rsid w:val="00C30430"/>
    <w:rsid w:val="00C30C3B"/>
    <w:rsid w:val="00C312E2"/>
    <w:rsid w:val="00C332C1"/>
    <w:rsid w:val="00C338D0"/>
    <w:rsid w:val="00C44082"/>
    <w:rsid w:val="00C444C7"/>
    <w:rsid w:val="00C44714"/>
    <w:rsid w:val="00C4597C"/>
    <w:rsid w:val="00C46094"/>
    <w:rsid w:val="00C502B6"/>
    <w:rsid w:val="00C51E14"/>
    <w:rsid w:val="00C53D8C"/>
    <w:rsid w:val="00C54471"/>
    <w:rsid w:val="00C54A6D"/>
    <w:rsid w:val="00C6177A"/>
    <w:rsid w:val="00C62498"/>
    <w:rsid w:val="00C639F7"/>
    <w:rsid w:val="00C66F00"/>
    <w:rsid w:val="00C77B1F"/>
    <w:rsid w:val="00C803CE"/>
    <w:rsid w:val="00C80502"/>
    <w:rsid w:val="00C823AD"/>
    <w:rsid w:val="00C83201"/>
    <w:rsid w:val="00C838B3"/>
    <w:rsid w:val="00C83D7F"/>
    <w:rsid w:val="00C85077"/>
    <w:rsid w:val="00C9423F"/>
    <w:rsid w:val="00C94390"/>
    <w:rsid w:val="00C96C7F"/>
    <w:rsid w:val="00C97709"/>
    <w:rsid w:val="00C97AE6"/>
    <w:rsid w:val="00CA055D"/>
    <w:rsid w:val="00CA0659"/>
    <w:rsid w:val="00CA0961"/>
    <w:rsid w:val="00CA16EC"/>
    <w:rsid w:val="00CA3B04"/>
    <w:rsid w:val="00CA4903"/>
    <w:rsid w:val="00CA5167"/>
    <w:rsid w:val="00CA673E"/>
    <w:rsid w:val="00CB181C"/>
    <w:rsid w:val="00CB1A59"/>
    <w:rsid w:val="00CB27AB"/>
    <w:rsid w:val="00CB5354"/>
    <w:rsid w:val="00CB5A61"/>
    <w:rsid w:val="00CB7392"/>
    <w:rsid w:val="00CC08EE"/>
    <w:rsid w:val="00CC1EA6"/>
    <w:rsid w:val="00CC6978"/>
    <w:rsid w:val="00CD122F"/>
    <w:rsid w:val="00CD25DD"/>
    <w:rsid w:val="00CD6766"/>
    <w:rsid w:val="00CE00AC"/>
    <w:rsid w:val="00CE10E7"/>
    <w:rsid w:val="00CE241B"/>
    <w:rsid w:val="00CE3665"/>
    <w:rsid w:val="00CE7BE4"/>
    <w:rsid w:val="00D05D71"/>
    <w:rsid w:val="00D11529"/>
    <w:rsid w:val="00D127B7"/>
    <w:rsid w:val="00D163B2"/>
    <w:rsid w:val="00D167BA"/>
    <w:rsid w:val="00D17F3C"/>
    <w:rsid w:val="00D17FAB"/>
    <w:rsid w:val="00D21778"/>
    <w:rsid w:val="00D225F2"/>
    <w:rsid w:val="00D24509"/>
    <w:rsid w:val="00D247A5"/>
    <w:rsid w:val="00D253FB"/>
    <w:rsid w:val="00D25941"/>
    <w:rsid w:val="00D27FED"/>
    <w:rsid w:val="00D320D6"/>
    <w:rsid w:val="00D32D6E"/>
    <w:rsid w:val="00D33A73"/>
    <w:rsid w:val="00D3422C"/>
    <w:rsid w:val="00D364F9"/>
    <w:rsid w:val="00D3671D"/>
    <w:rsid w:val="00D37063"/>
    <w:rsid w:val="00D37745"/>
    <w:rsid w:val="00D41352"/>
    <w:rsid w:val="00D41C5E"/>
    <w:rsid w:val="00D44A86"/>
    <w:rsid w:val="00D46400"/>
    <w:rsid w:val="00D46420"/>
    <w:rsid w:val="00D475E5"/>
    <w:rsid w:val="00D478B9"/>
    <w:rsid w:val="00D5122D"/>
    <w:rsid w:val="00D525BE"/>
    <w:rsid w:val="00D5381C"/>
    <w:rsid w:val="00D551C7"/>
    <w:rsid w:val="00D60977"/>
    <w:rsid w:val="00D60C50"/>
    <w:rsid w:val="00D62DD6"/>
    <w:rsid w:val="00D70837"/>
    <w:rsid w:val="00D70D2D"/>
    <w:rsid w:val="00D73B82"/>
    <w:rsid w:val="00D7507B"/>
    <w:rsid w:val="00D765A9"/>
    <w:rsid w:val="00D8137D"/>
    <w:rsid w:val="00D81585"/>
    <w:rsid w:val="00D821DE"/>
    <w:rsid w:val="00D84E63"/>
    <w:rsid w:val="00D85620"/>
    <w:rsid w:val="00D85772"/>
    <w:rsid w:val="00D869A6"/>
    <w:rsid w:val="00D870D6"/>
    <w:rsid w:val="00D877EE"/>
    <w:rsid w:val="00D91697"/>
    <w:rsid w:val="00D92C0D"/>
    <w:rsid w:val="00D97008"/>
    <w:rsid w:val="00D97446"/>
    <w:rsid w:val="00DA0011"/>
    <w:rsid w:val="00DA2928"/>
    <w:rsid w:val="00DA3BAA"/>
    <w:rsid w:val="00DA4766"/>
    <w:rsid w:val="00DA655C"/>
    <w:rsid w:val="00DA71DA"/>
    <w:rsid w:val="00DA7567"/>
    <w:rsid w:val="00DA767A"/>
    <w:rsid w:val="00DA7F25"/>
    <w:rsid w:val="00DB1150"/>
    <w:rsid w:val="00DB1E6B"/>
    <w:rsid w:val="00DB55ED"/>
    <w:rsid w:val="00DB568A"/>
    <w:rsid w:val="00DB5B98"/>
    <w:rsid w:val="00DB63FC"/>
    <w:rsid w:val="00DC27F9"/>
    <w:rsid w:val="00DC2FF2"/>
    <w:rsid w:val="00DC3DA0"/>
    <w:rsid w:val="00DC44CD"/>
    <w:rsid w:val="00DD32D5"/>
    <w:rsid w:val="00DD4715"/>
    <w:rsid w:val="00DD4BEB"/>
    <w:rsid w:val="00DD5C07"/>
    <w:rsid w:val="00DD7D4B"/>
    <w:rsid w:val="00DE1A5C"/>
    <w:rsid w:val="00DE2E24"/>
    <w:rsid w:val="00DE513A"/>
    <w:rsid w:val="00DE5DF7"/>
    <w:rsid w:val="00DE64BB"/>
    <w:rsid w:val="00DF031F"/>
    <w:rsid w:val="00DF22A7"/>
    <w:rsid w:val="00DF2916"/>
    <w:rsid w:val="00DF791A"/>
    <w:rsid w:val="00E01944"/>
    <w:rsid w:val="00E02D23"/>
    <w:rsid w:val="00E040DC"/>
    <w:rsid w:val="00E042D6"/>
    <w:rsid w:val="00E05DDA"/>
    <w:rsid w:val="00E10164"/>
    <w:rsid w:val="00E14EB2"/>
    <w:rsid w:val="00E16332"/>
    <w:rsid w:val="00E17F0A"/>
    <w:rsid w:val="00E21965"/>
    <w:rsid w:val="00E2222A"/>
    <w:rsid w:val="00E22BC6"/>
    <w:rsid w:val="00E2570E"/>
    <w:rsid w:val="00E269A5"/>
    <w:rsid w:val="00E30239"/>
    <w:rsid w:val="00E30B6F"/>
    <w:rsid w:val="00E31E4D"/>
    <w:rsid w:val="00E34164"/>
    <w:rsid w:val="00E344EF"/>
    <w:rsid w:val="00E41077"/>
    <w:rsid w:val="00E4302B"/>
    <w:rsid w:val="00E44370"/>
    <w:rsid w:val="00E44823"/>
    <w:rsid w:val="00E451F2"/>
    <w:rsid w:val="00E464B8"/>
    <w:rsid w:val="00E50183"/>
    <w:rsid w:val="00E50663"/>
    <w:rsid w:val="00E52A11"/>
    <w:rsid w:val="00E54CE2"/>
    <w:rsid w:val="00E55049"/>
    <w:rsid w:val="00E558A2"/>
    <w:rsid w:val="00E55BA7"/>
    <w:rsid w:val="00E56B1E"/>
    <w:rsid w:val="00E60723"/>
    <w:rsid w:val="00E61942"/>
    <w:rsid w:val="00E624FF"/>
    <w:rsid w:val="00E66165"/>
    <w:rsid w:val="00E665D9"/>
    <w:rsid w:val="00E7075F"/>
    <w:rsid w:val="00E70A86"/>
    <w:rsid w:val="00E71933"/>
    <w:rsid w:val="00E71D1C"/>
    <w:rsid w:val="00E72679"/>
    <w:rsid w:val="00E74808"/>
    <w:rsid w:val="00E76165"/>
    <w:rsid w:val="00E7639F"/>
    <w:rsid w:val="00E770D4"/>
    <w:rsid w:val="00E811FF"/>
    <w:rsid w:val="00E81DAF"/>
    <w:rsid w:val="00E82BA3"/>
    <w:rsid w:val="00E83B21"/>
    <w:rsid w:val="00E83C11"/>
    <w:rsid w:val="00E84DE3"/>
    <w:rsid w:val="00E8531D"/>
    <w:rsid w:val="00E85640"/>
    <w:rsid w:val="00E8735A"/>
    <w:rsid w:val="00E873D9"/>
    <w:rsid w:val="00E9007E"/>
    <w:rsid w:val="00E909DA"/>
    <w:rsid w:val="00E92C07"/>
    <w:rsid w:val="00E93FEF"/>
    <w:rsid w:val="00E94067"/>
    <w:rsid w:val="00E9550C"/>
    <w:rsid w:val="00E95BD5"/>
    <w:rsid w:val="00E95DED"/>
    <w:rsid w:val="00E95F8D"/>
    <w:rsid w:val="00E96DB3"/>
    <w:rsid w:val="00E97428"/>
    <w:rsid w:val="00E97E55"/>
    <w:rsid w:val="00EA26FC"/>
    <w:rsid w:val="00EA27C0"/>
    <w:rsid w:val="00EA2E72"/>
    <w:rsid w:val="00EA365C"/>
    <w:rsid w:val="00EA4317"/>
    <w:rsid w:val="00EA4B14"/>
    <w:rsid w:val="00EB030A"/>
    <w:rsid w:val="00EB0EC6"/>
    <w:rsid w:val="00EB36F7"/>
    <w:rsid w:val="00EB5184"/>
    <w:rsid w:val="00EB693D"/>
    <w:rsid w:val="00EB7A26"/>
    <w:rsid w:val="00EC11B5"/>
    <w:rsid w:val="00EC14FD"/>
    <w:rsid w:val="00EC1847"/>
    <w:rsid w:val="00EC1A8D"/>
    <w:rsid w:val="00EC2FF7"/>
    <w:rsid w:val="00EC54C6"/>
    <w:rsid w:val="00EC615B"/>
    <w:rsid w:val="00EC67E2"/>
    <w:rsid w:val="00EC6A43"/>
    <w:rsid w:val="00ED010D"/>
    <w:rsid w:val="00ED173E"/>
    <w:rsid w:val="00ED5B93"/>
    <w:rsid w:val="00ED6A1D"/>
    <w:rsid w:val="00ED6A70"/>
    <w:rsid w:val="00ED76B9"/>
    <w:rsid w:val="00EE0338"/>
    <w:rsid w:val="00EE28F1"/>
    <w:rsid w:val="00EE2AEE"/>
    <w:rsid w:val="00EE3233"/>
    <w:rsid w:val="00EE430F"/>
    <w:rsid w:val="00EE4A63"/>
    <w:rsid w:val="00EE67C6"/>
    <w:rsid w:val="00EE6D7F"/>
    <w:rsid w:val="00EF3C5D"/>
    <w:rsid w:val="00EF3F12"/>
    <w:rsid w:val="00EF613B"/>
    <w:rsid w:val="00EF64AE"/>
    <w:rsid w:val="00F01D48"/>
    <w:rsid w:val="00F0249D"/>
    <w:rsid w:val="00F02ADD"/>
    <w:rsid w:val="00F03685"/>
    <w:rsid w:val="00F0594E"/>
    <w:rsid w:val="00F06999"/>
    <w:rsid w:val="00F10C37"/>
    <w:rsid w:val="00F1367C"/>
    <w:rsid w:val="00F1541C"/>
    <w:rsid w:val="00F154A9"/>
    <w:rsid w:val="00F1552D"/>
    <w:rsid w:val="00F15992"/>
    <w:rsid w:val="00F1713A"/>
    <w:rsid w:val="00F1768C"/>
    <w:rsid w:val="00F25ACC"/>
    <w:rsid w:val="00F321AC"/>
    <w:rsid w:val="00F32AC7"/>
    <w:rsid w:val="00F32FCA"/>
    <w:rsid w:val="00F341B6"/>
    <w:rsid w:val="00F35622"/>
    <w:rsid w:val="00F35970"/>
    <w:rsid w:val="00F40B36"/>
    <w:rsid w:val="00F41185"/>
    <w:rsid w:val="00F41B0D"/>
    <w:rsid w:val="00F41C86"/>
    <w:rsid w:val="00F45CA4"/>
    <w:rsid w:val="00F46399"/>
    <w:rsid w:val="00F47130"/>
    <w:rsid w:val="00F4794E"/>
    <w:rsid w:val="00F50C53"/>
    <w:rsid w:val="00F51A0E"/>
    <w:rsid w:val="00F54E5B"/>
    <w:rsid w:val="00F553C8"/>
    <w:rsid w:val="00F5666F"/>
    <w:rsid w:val="00F60C0D"/>
    <w:rsid w:val="00F614EB"/>
    <w:rsid w:val="00F64918"/>
    <w:rsid w:val="00F670B9"/>
    <w:rsid w:val="00F674DB"/>
    <w:rsid w:val="00F7125A"/>
    <w:rsid w:val="00F7357A"/>
    <w:rsid w:val="00F73682"/>
    <w:rsid w:val="00F749ED"/>
    <w:rsid w:val="00F74D3B"/>
    <w:rsid w:val="00F804A3"/>
    <w:rsid w:val="00F80D1D"/>
    <w:rsid w:val="00F81812"/>
    <w:rsid w:val="00F82756"/>
    <w:rsid w:val="00F84D17"/>
    <w:rsid w:val="00F871B9"/>
    <w:rsid w:val="00F90137"/>
    <w:rsid w:val="00F91D71"/>
    <w:rsid w:val="00F9291D"/>
    <w:rsid w:val="00F92922"/>
    <w:rsid w:val="00F92EAB"/>
    <w:rsid w:val="00F92F89"/>
    <w:rsid w:val="00F95CFE"/>
    <w:rsid w:val="00FA1C70"/>
    <w:rsid w:val="00FA29AE"/>
    <w:rsid w:val="00FA2B45"/>
    <w:rsid w:val="00FA3215"/>
    <w:rsid w:val="00FA3491"/>
    <w:rsid w:val="00FA460C"/>
    <w:rsid w:val="00FA4963"/>
    <w:rsid w:val="00FA6895"/>
    <w:rsid w:val="00FC105F"/>
    <w:rsid w:val="00FC2416"/>
    <w:rsid w:val="00FC2A9F"/>
    <w:rsid w:val="00FC4D60"/>
    <w:rsid w:val="00FC6619"/>
    <w:rsid w:val="00FC6F65"/>
    <w:rsid w:val="00FD179E"/>
    <w:rsid w:val="00FD1B4B"/>
    <w:rsid w:val="00FD317C"/>
    <w:rsid w:val="00FD40B0"/>
    <w:rsid w:val="00FD78B4"/>
    <w:rsid w:val="00FE200C"/>
    <w:rsid w:val="00FE410E"/>
    <w:rsid w:val="00FF0209"/>
    <w:rsid w:val="00FF031C"/>
    <w:rsid w:val="00FF162F"/>
    <w:rsid w:val="00FF2CD3"/>
    <w:rsid w:val="00FF390E"/>
    <w:rsid w:val="00FF4F13"/>
    <w:rsid w:val="00FF7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94"/>
    <w:pPr>
      <w:widowControl w:val="0"/>
      <w:spacing w:before="100" w:after="100"/>
    </w:pPr>
    <w:rPr>
      <w:rFonts w:ascii="Verdana" w:hAnsi="Verdana" w:cs="Verdana"/>
      <w:sz w:val="20"/>
      <w:szCs w:val="20"/>
      <w:lang w:eastAsia="en-US"/>
    </w:rPr>
  </w:style>
  <w:style w:type="paragraph" w:styleId="Heading1">
    <w:name w:val="heading 1"/>
    <w:basedOn w:val="Normal"/>
    <w:next w:val="Normal"/>
    <w:link w:val="Heading1Char"/>
    <w:uiPriority w:val="99"/>
    <w:qFormat/>
    <w:rsid w:val="00343594"/>
    <w:pPr>
      <w:keepNext/>
      <w:ind w:right="505"/>
      <w:jc w:val="center"/>
      <w:outlineLvl w:val="0"/>
    </w:pPr>
    <w:rPr>
      <w:b/>
      <w:bCs/>
      <w:caps/>
      <w:u w:val="single"/>
    </w:rPr>
  </w:style>
  <w:style w:type="paragraph" w:styleId="Heading2">
    <w:name w:val="heading 2"/>
    <w:basedOn w:val="Normal"/>
    <w:next w:val="Normal"/>
    <w:link w:val="Heading2Char"/>
    <w:uiPriority w:val="99"/>
    <w:qFormat/>
    <w:rsid w:val="00343594"/>
    <w:pPr>
      <w:keepNext/>
      <w:spacing w:before="240" w:after="60"/>
      <w:outlineLvl w:val="1"/>
    </w:pPr>
    <w:rPr>
      <w:b/>
      <w:bCs/>
      <w:caps/>
    </w:rPr>
  </w:style>
  <w:style w:type="paragraph" w:styleId="Heading3">
    <w:name w:val="heading 3"/>
    <w:basedOn w:val="Normal"/>
    <w:next w:val="Normal"/>
    <w:link w:val="Heading3Char"/>
    <w:uiPriority w:val="99"/>
    <w:qFormat/>
    <w:rsid w:val="00343594"/>
    <w:pPr>
      <w:keepNext/>
      <w:outlineLvl w:val="2"/>
    </w:pPr>
    <w:rPr>
      <w:b/>
      <w:bCs/>
    </w:rPr>
  </w:style>
  <w:style w:type="paragraph" w:styleId="Heading4">
    <w:name w:val="heading 4"/>
    <w:basedOn w:val="Normal"/>
    <w:next w:val="Normal"/>
    <w:link w:val="Heading4Char"/>
    <w:uiPriority w:val="99"/>
    <w:unhideWhenUsed/>
    <w:qFormat/>
    <w:rsid w:val="00AB0B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Pr>
      <w:rFonts w:ascii="Cambria" w:hAnsi="Cambria" w:cs="Cambria"/>
      <w:b/>
      <w:bCs/>
      <w:sz w:val="26"/>
      <w:szCs w:val="26"/>
      <w:lang w:eastAsia="en-US"/>
    </w:rPr>
  </w:style>
  <w:style w:type="paragraph" w:styleId="z-BottomofForm">
    <w:name w:val="HTML Bottom of Form"/>
    <w:basedOn w:val="Normal"/>
    <w:next w:val="Normal"/>
    <w:link w:val="z-BottomofFormChar"/>
    <w:hidden/>
    <w:uiPriority w:val="99"/>
    <w:rsid w:val="00343594"/>
    <w:pPr>
      <w:pBdr>
        <w:top w:val="double" w:sz="2" w:space="0" w:color="000000"/>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styleId="z-TopofForm">
    <w:name w:val="HTML Top of Form"/>
    <w:basedOn w:val="Normal"/>
    <w:next w:val="Normal"/>
    <w:link w:val="z-TopofFormChar"/>
    <w:hidden/>
    <w:uiPriority w:val="99"/>
    <w:rsid w:val="00343594"/>
    <w:pPr>
      <w:pBdr>
        <w:bottom w:val="double" w:sz="2" w:space="0" w:color="000000"/>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customStyle="1" w:styleId="NormalBoldUnderline">
    <w:name w:val="Normal Bold Underline"/>
    <w:basedOn w:val="Normal"/>
    <w:uiPriority w:val="99"/>
    <w:rsid w:val="00343594"/>
    <w:pPr>
      <w:jc w:val="both"/>
    </w:pPr>
    <w:rPr>
      <w:b/>
      <w:bCs/>
      <w:u w:val="single"/>
    </w:rPr>
  </w:style>
  <w:style w:type="paragraph" w:styleId="Header">
    <w:name w:val="header"/>
    <w:basedOn w:val="Normal"/>
    <w:link w:val="HeaderChar"/>
    <w:uiPriority w:val="99"/>
    <w:rsid w:val="00343594"/>
    <w:pPr>
      <w:tabs>
        <w:tab w:val="center" w:pos="4153"/>
        <w:tab w:val="right" w:pos="8306"/>
      </w:tabs>
    </w:pPr>
  </w:style>
  <w:style w:type="character" w:customStyle="1" w:styleId="HeaderChar">
    <w:name w:val="Header Char"/>
    <w:basedOn w:val="DefaultParagraphFont"/>
    <w:link w:val="Header"/>
    <w:uiPriority w:val="99"/>
    <w:rsid w:val="00AE1501"/>
    <w:rPr>
      <w:rFonts w:ascii="Verdana" w:hAnsi="Verdana" w:cs="Verdana"/>
      <w:snapToGrid w:val="0"/>
      <w:lang w:eastAsia="en-US"/>
    </w:rPr>
  </w:style>
  <w:style w:type="paragraph" w:customStyle="1" w:styleId="Normalbulletedindent">
    <w:name w:val="Normal bulleted indent"/>
    <w:basedOn w:val="Normal"/>
    <w:uiPriority w:val="99"/>
    <w:rsid w:val="00343594"/>
    <w:pPr>
      <w:numPr>
        <w:numId w:val="8"/>
      </w:numPr>
      <w:spacing w:before="0"/>
      <w:ind w:left="357" w:hanging="357"/>
    </w:pPr>
  </w:style>
  <w:style w:type="paragraph" w:styleId="Footer">
    <w:name w:val="footer"/>
    <w:basedOn w:val="Normal"/>
    <w:link w:val="FooterChar"/>
    <w:uiPriority w:val="99"/>
    <w:rsid w:val="00343594"/>
    <w:pPr>
      <w:tabs>
        <w:tab w:val="center" w:pos="4153"/>
        <w:tab w:val="right" w:pos="8306"/>
      </w:tabs>
    </w:pPr>
  </w:style>
  <w:style w:type="character" w:customStyle="1" w:styleId="FooterChar">
    <w:name w:val="Footer Char"/>
    <w:basedOn w:val="DefaultParagraphFont"/>
    <w:link w:val="Footer"/>
    <w:uiPriority w:val="99"/>
    <w:rPr>
      <w:rFonts w:ascii="Verdana" w:hAnsi="Verdana" w:cs="Verdana"/>
      <w:sz w:val="20"/>
      <w:szCs w:val="20"/>
      <w:lang w:eastAsia="en-US"/>
    </w:rPr>
  </w:style>
  <w:style w:type="paragraph" w:styleId="ListParagraph">
    <w:name w:val="List Paragraph"/>
    <w:basedOn w:val="Normal"/>
    <w:uiPriority w:val="99"/>
    <w:qFormat/>
    <w:rsid w:val="00C97709"/>
    <w:pPr>
      <w:widowControl/>
      <w:spacing w:before="0" w:after="200" w:line="276" w:lineRule="auto"/>
      <w:ind w:left="720"/>
      <w:contextualSpacing/>
    </w:pPr>
    <w:rPr>
      <w:rFonts w:ascii="Calibri" w:hAnsi="Calibri" w:cs="Calibri"/>
      <w:sz w:val="22"/>
      <w:szCs w:val="22"/>
    </w:rPr>
  </w:style>
  <w:style w:type="paragraph" w:styleId="BalloonText">
    <w:name w:val="Balloon Text"/>
    <w:basedOn w:val="Normal"/>
    <w:link w:val="BalloonTextChar"/>
    <w:uiPriority w:val="99"/>
    <w:semiHidden/>
    <w:rsid w:val="005459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48"/>
    <w:rPr>
      <w:rFonts w:ascii="Tahoma" w:hAnsi="Tahoma" w:cs="Tahoma"/>
      <w:snapToGrid w:val="0"/>
      <w:sz w:val="16"/>
      <w:szCs w:val="16"/>
      <w:lang w:eastAsia="en-US"/>
    </w:rPr>
  </w:style>
  <w:style w:type="paragraph" w:styleId="FootnoteText">
    <w:name w:val="footnote text"/>
    <w:basedOn w:val="Normal"/>
    <w:link w:val="FootnoteTextChar"/>
    <w:semiHidden/>
    <w:rsid w:val="008A3B69"/>
    <w:pPr>
      <w:widowControl/>
      <w:spacing w:before="0" w:after="0"/>
    </w:pPr>
    <w:rPr>
      <w:rFonts w:ascii="Times New Roman" w:hAnsi="Times New Roman" w:cs="Times New Roman"/>
      <w:lang w:eastAsia="en-GB"/>
    </w:rPr>
  </w:style>
  <w:style w:type="character" w:customStyle="1" w:styleId="FootnoteTextChar">
    <w:name w:val="Footnote Text Char"/>
    <w:basedOn w:val="DefaultParagraphFont"/>
    <w:link w:val="FootnoteText"/>
    <w:semiHidden/>
    <w:rsid w:val="008A3B69"/>
    <w:rPr>
      <w:sz w:val="20"/>
      <w:szCs w:val="20"/>
    </w:rPr>
  </w:style>
  <w:style w:type="character" w:styleId="FootnoteReference">
    <w:name w:val="footnote reference"/>
    <w:semiHidden/>
    <w:rsid w:val="008A3B69"/>
    <w:rPr>
      <w:vertAlign w:val="superscript"/>
    </w:rPr>
  </w:style>
  <w:style w:type="paragraph" w:styleId="EndnoteText">
    <w:name w:val="endnote text"/>
    <w:basedOn w:val="Normal"/>
    <w:link w:val="EndnoteTextChar"/>
    <w:uiPriority w:val="99"/>
    <w:semiHidden/>
    <w:unhideWhenUsed/>
    <w:rsid w:val="008A3B69"/>
    <w:pPr>
      <w:spacing w:before="0" w:after="0"/>
    </w:pPr>
  </w:style>
  <w:style w:type="character" w:customStyle="1" w:styleId="EndnoteTextChar">
    <w:name w:val="Endnote Text Char"/>
    <w:basedOn w:val="DefaultParagraphFont"/>
    <w:link w:val="EndnoteText"/>
    <w:uiPriority w:val="99"/>
    <w:semiHidden/>
    <w:rsid w:val="008A3B69"/>
    <w:rPr>
      <w:rFonts w:ascii="Verdana" w:hAnsi="Verdana" w:cs="Verdana"/>
      <w:sz w:val="20"/>
      <w:szCs w:val="20"/>
      <w:lang w:eastAsia="en-US"/>
    </w:rPr>
  </w:style>
  <w:style w:type="character" w:styleId="EndnoteReference">
    <w:name w:val="endnote reference"/>
    <w:basedOn w:val="DefaultParagraphFont"/>
    <w:uiPriority w:val="99"/>
    <w:semiHidden/>
    <w:unhideWhenUsed/>
    <w:rsid w:val="008A3B69"/>
    <w:rPr>
      <w:vertAlign w:val="superscript"/>
    </w:rPr>
  </w:style>
  <w:style w:type="character" w:customStyle="1" w:styleId="Heading4Char">
    <w:name w:val="Heading 4 Char"/>
    <w:basedOn w:val="DefaultParagraphFont"/>
    <w:link w:val="Heading4"/>
    <w:uiPriority w:val="9"/>
    <w:semiHidden/>
    <w:rsid w:val="00AB0B90"/>
    <w:rPr>
      <w:rFonts w:asciiTheme="majorHAnsi" w:eastAsiaTheme="majorEastAsia" w:hAnsiTheme="majorHAnsi" w:cstheme="majorBidi"/>
      <w:b/>
      <w:bCs/>
      <w:i/>
      <w:iCs/>
      <w:color w:val="4F81BD" w:themeColor="accent1"/>
      <w:sz w:val="20"/>
      <w:szCs w:val="20"/>
      <w:lang w:eastAsia="en-US"/>
    </w:rPr>
  </w:style>
  <w:style w:type="table" w:styleId="TableGrid">
    <w:name w:val="Table Grid"/>
    <w:basedOn w:val="TableNormal"/>
    <w:uiPriority w:val="59"/>
    <w:rsid w:val="00A30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455668"/>
    <w:pPr>
      <w:widowControl/>
      <w:spacing w:before="0" w:after="120" w:line="240" w:lineRule="exact"/>
    </w:pPr>
    <w:rPr>
      <w:rFonts w:cs="Times New Roman"/>
      <w:lang w:val="en-US"/>
    </w:rPr>
  </w:style>
  <w:style w:type="paragraph" w:styleId="Revision">
    <w:name w:val="Revision"/>
    <w:hidden/>
    <w:uiPriority w:val="99"/>
    <w:semiHidden/>
    <w:rsid w:val="00D525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94"/>
    <w:pPr>
      <w:widowControl w:val="0"/>
      <w:spacing w:before="100" w:after="100"/>
    </w:pPr>
    <w:rPr>
      <w:rFonts w:ascii="Verdana" w:hAnsi="Verdana" w:cs="Verdana"/>
      <w:sz w:val="20"/>
      <w:szCs w:val="20"/>
      <w:lang w:eastAsia="en-US"/>
    </w:rPr>
  </w:style>
  <w:style w:type="paragraph" w:styleId="Heading1">
    <w:name w:val="heading 1"/>
    <w:basedOn w:val="Normal"/>
    <w:next w:val="Normal"/>
    <w:link w:val="Heading1Char"/>
    <w:uiPriority w:val="99"/>
    <w:qFormat/>
    <w:rsid w:val="00343594"/>
    <w:pPr>
      <w:keepNext/>
      <w:ind w:right="505"/>
      <w:jc w:val="center"/>
      <w:outlineLvl w:val="0"/>
    </w:pPr>
    <w:rPr>
      <w:b/>
      <w:bCs/>
      <w:caps/>
      <w:u w:val="single"/>
    </w:rPr>
  </w:style>
  <w:style w:type="paragraph" w:styleId="Heading2">
    <w:name w:val="heading 2"/>
    <w:basedOn w:val="Normal"/>
    <w:next w:val="Normal"/>
    <w:link w:val="Heading2Char"/>
    <w:uiPriority w:val="99"/>
    <w:qFormat/>
    <w:rsid w:val="00343594"/>
    <w:pPr>
      <w:keepNext/>
      <w:spacing w:before="240" w:after="60"/>
      <w:outlineLvl w:val="1"/>
    </w:pPr>
    <w:rPr>
      <w:b/>
      <w:bCs/>
      <w:caps/>
    </w:rPr>
  </w:style>
  <w:style w:type="paragraph" w:styleId="Heading3">
    <w:name w:val="heading 3"/>
    <w:basedOn w:val="Normal"/>
    <w:next w:val="Normal"/>
    <w:link w:val="Heading3Char"/>
    <w:uiPriority w:val="99"/>
    <w:qFormat/>
    <w:rsid w:val="00343594"/>
    <w:pPr>
      <w:keepNext/>
      <w:outlineLvl w:val="2"/>
    </w:pPr>
    <w:rPr>
      <w:b/>
      <w:bCs/>
    </w:rPr>
  </w:style>
  <w:style w:type="paragraph" w:styleId="Heading4">
    <w:name w:val="heading 4"/>
    <w:basedOn w:val="Normal"/>
    <w:next w:val="Normal"/>
    <w:link w:val="Heading4Char"/>
    <w:uiPriority w:val="99"/>
    <w:unhideWhenUsed/>
    <w:qFormat/>
    <w:rsid w:val="00AB0B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Pr>
      <w:rFonts w:ascii="Cambria" w:hAnsi="Cambria" w:cs="Cambria"/>
      <w:b/>
      <w:bCs/>
      <w:sz w:val="26"/>
      <w:szCs w:val="26"/>
      <w:lang w:eastAsia="en-US"/>
    </w:rPr>
  </w:style>
  <w:style w:type="paragraph" w:styleId="z-BottomofForm">
    <w:name w:val="HTML Bottom of Form"/>
    <w:basedOn w:val="Normal"/>
    <w:next w:val="Normal"/>
    <w:link w:val="z-BottomofFormChar"/>
    <w:hidden/>
    <w:uiPriority w:val="99"/>
    <w:rsid w:val="00343594"/>
    <w:pPr>
      <w:pBdr>
        <w:top w:val="double" w:sz="2" w:space="0" w:color="000000"/>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styleId="z-TopofForm">
    <w:name w:val="HTML Top of Form"/>
    <w:basedOn w:val="Normal"/>
    <w:next w:val="Normal"/>
    <w:link w:val="z-TopofFormChar"/>
    <w:hidden/>
    <w:uiPriority w:val="99"/>
    <w:rsid w:val="00343594"/>
    <w:pPr>
      <w:pBdr>
        <w:bottom w:val="double" w:sz="2" w:space="0" w:color="000000"/>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customStyle="1" w:styleId="NormalBoldUnderline">
    <w:name w:val="Normal Bold Underline"/>
    <w:basedOn w:val="Normal"/>
    <w:uiPriority w:val="99"/>
    <w:rsid w:val="00343594"/>
    <w:pPr>
      <w:jc w:val="both"/>
    </w:pPr>
    <w:rPr>
      <w:b/>
      <w:bCs/>
      <w:u w:val="single"/>
    </w:rPr>
  </w:style>
  <w:style w:type="paragraph" w:styleId="Header">
    <w:name w:val="header"/>
    <w:basedOn w:val="Normal"/>
    <w:link w:val="HeaderChar"/>
    <w:uiPriority w:val="99"/>
    <w:rsid w:val="00343594"/>
    <w:pPr>
      <w:tabs>
        <w:tab w:val="center" w:pos="4153"/>
        <w:tab w:val="right" w:pos="8306"/>
      </w:tabs>
    </w:pPr>
  </w:style>
  <w:style w:type="character" w:customStyle="1" w:styleId="HeaderChar">
    <w:name w:val="Header Char"/>
    <w:basedOn w:val="DefaultParagraphFont"/>
    <w:link w:val="Header"/>
    <w:uiPriority w:val="99"/>
    <w:rsid w:val="00AE1501"/>
    <w:rPr>
      <w:rFonts w:ascii="Verdana" w:hAnsi="Verdana" w:cs="Verdana"/>
      <w:snapToGrid w:val="0"/>
      <w:lang w:eastAsia="en-US"/>
    </w:rPr>
  </w:style>
  <w:style w:type="paragraph" w:customStyle="1" w:styleId="Normalbulletedindent">
    <w:name w:val="Normal bulleted indent"/>
    <w:basedOn w:val="Normal"/>
    <w:uiPriority w:val="99"/>
    <w:rsid w:val="00343594"/>
    <w:pPr>
      <w:numPr>
        <w:numId w:val="8"/>
      </w:numPr>
      <w:spacing w:before="0"/>
      <w:ind w:left="357" w:hanging="357"/>
    </w:pPr>
  </w:style>
  <w:style w:type="paragraph" w:styleId="Footer">
    <w:name w:val="footer"/>
    <w:basedOn w:val="Normal"/>
    <w:link w:val="FooterChar"/>
    <w:uiPriority w:val="99"/>
    <w:rsid w:val="00343594"/>
    <w:pPr>
      <w:tabs>
        <w:tab w:val="center" w:pos="4153"/>
        <w:tab w:val="right" w:pos="8306"/>
      </w:tabs>
    </w:pPr>
  </w:style>
  <w:style w:type="character" w:customStyle="1" w:styleId="FooterChar">
    <w:name w:val="Footer Char"/>
    <w:basedOn w:val="DefaultParagraphFont"/>
    <w:link w:val="Footer"/>
    <w:uiPriority w:val="99"/>
    <w:rPr>
      <w:rFonts w:ascii="Verdana" w:hAnsi="Verdana" w:cs="Verdana"/>
      <w:sz w:val="20"/>
      <w:szCs w:val="20"/>
      <w:lang w:eastAsia="en-US"/>
    </w:rPr>
  </w:style>
  <w:style w:type="paragraph" w:styleId="ListParagraph">
    <w:name w:val="List Paragraph"/>
    <w:basedOn w:val="Normal"/>
    <w:uiPriority w:val="99"/>
    <w:qFormat/>
    <w:rsid w:val="00C97709"/>
    <w:pPr>
      <w:widowControl/>
      <w:spacing w:before="0" w:after="200" w:line="276" w:lineRule="auto"/>
      <w:ind w:left="720"/>
      <w:contextualSpacing/>
    </w:pPr>
    <w:rPr>
      <w:rFonts w:ascii="Calibri" w:hAnsi="Calibri" w:cs="Calibri"/>
      <w:sz w:val="22"/>
      <w:szCs w:val="22"/>
    </w:rPr>
  </w:style>
  <w:style w:type="paragraph" w:styleId="BalloonText">
    <w:name w:val="Balloon Text"/>
    <w:basedOn w:val="Normal"/>
    <w:link w:val="BalloonTextChar"/>
    <w:uiPriority w:val="99"/>
    <w:semiHidden/>
    <w:rsid w:val="005459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48"/>
    <w:rPr>
      <w:rFonts w:ascii="Tahoma" w:hAnsi="Tahoma" w:cs="Tahoma"/>
      <w:snapToGrid w:val="0"/>
      <w:sz w:val="16"/>
      <w:szCs w:val="16"/>
      <w:lang w:eastAsia="en-US"/>
    </w:rPr>
  </w:style>
  <w:style w:type="paragraph" w:styleId="FootnoteText">
    <w:name w:val="footnote text"/>
    <w:basedOn w:val="Normal"/>
    <w:link w:val="FootnoteTextChar"/>
    <w:semiHidden/>
    <w:rsid w:val="008A3B69"/>
    <w:pPr>
      <w:widowControl/>
      <w:spacing w:before="0" w:after="0"/>
    </w:pPr>
    <w:rPr>
      <w:rFonts w:ascii="Times New Roman" w:hAnsi="Times New Roman" w:cs="Times New Roman"/>
      <w:lang w:eastAsia="en-GB"/>
    </w:rPr>
  </w:style>
  <w:style w:type="character" w:customStyle="1" w:styleId="FootnoteTextChar">
    <w:name w:val="Footnote Text Char"/>
    <w:basedOn w:val="DefaultParagraphFont"/>
    <w:link w:val="FootnoteText"/>
    <w:semiHidden/>
    <w:rsid w:val="008A3B69"/>
    <w:rPr>
      <w:sz w:val="20"/>
      <w:szCs w:val="20"/>
    </w:rPr>
  </w:style>
  <w:style w:type="character" w:styleId="FootnoteReference">
    <w:name w:val="footnote reference"/>
    <w:semiHidden/>
    <w:rsid w:val="008A3B69"/>
    <w:rPr>
      <w:vertAlign w:val="superscript"/>
    </w:rPr>
  </w:style>
  <w:style w:type="paragraph" w:styleId="EndnoteText">
    <w:name w:val="endnote text"/>
    <w:basedOn w:val="Normal"/>
    <w:link w:val="EndnoteTextChar"/>
    <w:uiPriority w:val="99"/>
    <w:semiHidden/>
    <w:unhideWhenUsed/>
    <w:rsid w:val="008A3B69"/>
    <w:pPr>
      <w:spacing w:before="0" w:after="0"/>
    </w:pPr>
  </w:style>
  <w:style w:type="character" w:customStyle="1" w:styleId="EndnoteTextChar">
    <w:name w:val="Endnote Text Char"/>
    <w:basedOn w:val="DefaultParagraphFont"/>
    <w:link w:val="EndnoteText"/>
    <w:uiPriority w:val="99"/>
    <w:semiHidden/>
    <w:rsid w:val="008A3B69"/>
    <w:rPr>
      <w:rFonts w:ascii="Verdana" w:hAnsi="Verdana" w:cs="Verdana"/>
      <w:sz w:val="20"/>
      <w:szCs w:val="20"/>
      <w:lang w:eastAsia="en-US"/>
    </w:rPr>
  </w:style>
  <w:style w:type="character" w:styleId="EndnoteReference">
    <w:name w:val="endnote reference"/>
    <w:basedOn w:val="DefaultParagraphFont"/>
    <w:uiPriority w:val="99"/>
    <w:semiHidden/>
    <w:unhideWhenUsed/>
    <w:rsid w:val="008A3B69"/>
    <w:rPr>
      <w:vertAlign w:val="superscript"/>
    </w:rPr>
  </w:style>
  <w:style w:type="character" w:customStyle="1" w:styleId="Heading4Char">
    <w:name w:val="Heading 4 Char"/>
    <w:basedOn w:val="DefaultParagraphFont"/>
    <w:link w:val="Heading4"/>
    <w:uiPriority w:val="9"/>
    <w:semiHidden/>
    <w:rsid w:val="00AB0B90"/>
    <w:rPr>
      <w:rFonts w:asciiTheme="majorHAnsi" w:eastAsiaTheme="majorEastAsia" w:hAnsiTheme="majorHAnsi" w:cstheme="majorBidi"/>
      <w:b/>
      <w:bCs/>
      <w:i/>
      <w:iCs/>
      <w:color w:val="4F81BD" w:themeColor="accent1"/>
      <w:sz w:val="20"/>
      <w:szCs w:val="20"/>
      <w:lang w:eastAsia="en-US"/>
    </w:rPr>
  </w:style>
  <w:style w:type="table" w:styleId="TableGrid">
    <w:name w:val="Table Grid"/>
    <w:basedOn w:val="TableNormal"/>
    <w:uiPriority w:val="59"/>
    <w:rsid w:val="00A30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455668"/>
    <w:pPr>
      <w:widowControl/>
      <w:spacing w:before="0" w:after="120" w:line="240" w:lineRule="exact"/>
    </w:pPr>
    <w:rPr>
      <w:rFonts w:cs="Times New Roman"/>
      <w:lang w:val="en-US"/>
    </w:rPr>
  </w:style>
  <w:style w:type="paragraph" w:styleId="Revision">
    <w:name w:val="Revision"/>
    <w:hidden/>
    <w:uiPriority w:val="99"/>
    <w:semiHidden/>
    <w:rsid w:val="00D525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844">
      <w:bodyDiv w:val="1"/>
      <w:marLeft w:val="0"/>
      <w:marRight w:val="0"/>
      <w:marTop w:val="0"/>
      <w:marBottom w:val="0"/>
      <w:divBdr>
        <w:top w:val="none" w:sz="0" w:space="0" w:color="auto"/>
        <w:left w:val="none" w:sz="0" w:space="0" w:color="auto"/>
        <w:bottom w:val="none" w:sz="0" w:space="0" w:color="auto"/>
        <w:right w:val="none" w:sz="0" w:space="0" w:color="auto"/>
      </w:divBdr>
    </w:div>
    <w:div w:id="68844127">
      <w:bodyDiv w:val="1"/>
      <w:marLeft w:val="0"/>
      <w:marRight w:val="0"/>
      <w:marTop w:val="0"/>
      <w:marBottom w:val="0"/>
      <w:divBdr>
        <w:top w:val="none" w:sz="0" w:space="0" w:color="auto"/>
        <w:left w:val="none" w:sz="0" w:space="0" w:color="auto"/>
        <w:bottom w:val="none" w:sz="0" w:space="0" w:color="auto"/>
        <w:right w:val="none" w:sz="0" w:space="0" w:color="auto"/>
      </w:divBdr>
    </w:div>
    <w:div w:id="216627226">
      <w:bodyDiv w:val="1"/>
      <w:marLeft w:val="0"/>
      <w:marRight w:val="0"/>
      <w:marTop w:val="0"/>
      <w:marBottom w:val="0"/>
      <w:divBdr>
        <w:top w:val="none" w:sz="0" w:space="0" w:color="auto"/>
        <w:left w:val="none" w:sz="0" w:space="0" w:color="auto"/>
        <w:bottom w:val="none" w:sz="0" w:space="0" w:color="auto"/>
        <w:right w:val="none" w:sz="0" w:space="0" w:color="auto"/>
      </w:divBdr>
    </w:div>
    <w:div w:id="297490352">
      <w:bodyDiv w:val="1"/>
      <w:marLeft w:val="0"/>
      <w:marRight w:val="0"/>
      <w:marTop w:val="0"/>
      <w:marBottom w:val="0"/>
      <w:divBdr>
        <w:top w:val="none" w:sz="0" w:space="0" w:color="auto"/>
        <w:left w:val="none" w:sz="0" w:space="0" w:color="auto"/>
        <w:bottom w:val="none" w:sz="0" w:space="0" w:color="auto"/>
        <w:right w:val="none" w:sz="0" w:space="0" w:color="auto"/>
      </w:divBdr>
    </w:div>
    <w:div w:id="358315198">
      <w:bodyDiv w:val="1"/>
      <w:marLeft w:val="0"/>
      <w:marRight w:val="0"/>
      <w:marTop w:val="0"/>
      <w:marBottom w:val="0"/>
      <w:divBdr>
        <w:top w:val="none" w:sz="0" w:space="0" w:color="auto"/>
        <w:left w:val="none" w:sz="0" w:space="0" w:color="auto"/>
        <w:bottom w:val="none" w:sz="0" w:space="0" w:color="auto"/>
        <w:right w:val="none" w:sz="0" w:space="0" w:color="auto"/>
      </w:divBdr>
    </w:div>
    <w:div w:id="572395913">
      <w:bodyDiv w:val="1"/>
      <w:marLeft w:val="0"/>
      <w:marRight w:val="0"/>
      <w:marTop w:val="0"/>
      <w:marBottom w:val="0"/>
      <w:divBdr>
        <w:top w:val="none" w:sz="0" w:space="0" w:color="auto"/>
        <w:left w:val="none" w:sz="0" w:space="0" w:color="auto"/>
        <w:bottom w:val="none" w:sz="0" w:space="0" w:color="auto"/>
        <w:right w:val="none" w:sz="0" w:space="0" w:color="auto"/>
      </w:divBdr>
    </w:div>
    <w:div w:id="583030355">
      <w:bodyDiv w:val="1"/>
      <w:marLeft w:val="0"/>
      <w:marRight w:val="0"/>
      <w:marTop w:val="0"/>
      <w:marBottom w:val="0"/>
      <w:divBdr>
        <w:top w:val="none" w:sz="0" w:space="0" w:color="auto"/>
        <w:left w:val="none" w:sz="0" w:space="0" w:color="auto"/>
        <w:bottom w:val="none" w:sz="0" w:space="0" w:color="auto"/>
        <w:right w:val="none" w:sz="0" w:space="0" w:color="auto"/>
      </w:divBdr>
    </w:div>
    <w:div w:id="583537402">
      <w:bodyDiv w:val="1"/>
      <w:marLeft w:val="0"/>
      <w:marRight w:val="0"/>
      <w:marTop w:val="0"/>
      <w:marBottom w:val="0"/>
      <w:divBdr>
        <w:top w:val="none" w:sz="0" w:space="0" w:color="auto"/>
        <w:left w:val="none" w:sz="0" w:space="0" w:color="auto"/>
        <w:bottom w:val="none" w:sz="0" w:space="0" w:color="auto"/>
        <w:right w:val="none" w:sz="0" w:space="0" w:color="auto"/>
      </w:divBdr>
    </w:div>
    <w:div w:id="790636705">
      <w:bodyDiv w:val="1"/>
      <w:marLeft w:val="0"/>
      <w:marRight w:val="0"/>
      <w:marTop w:val="0"/>
      <w:marBottom w:val="0"/>
      <w:divBdr>
        <w:top w:val="none" w:sz="0" w:space="0" w:color="auto"/>
        <w:left w:val="none" w:sz="0" w:space="0" w:color="auto"/>
        <w:bottom w:val="none" w:sz="0" w:space="0" w:color="auto"/>
        <w:right w:val="none" w:sz="0" w:space="0" w:color="auto"/>
      </w:divBdr>
    </w:div>
    <w:div w:id="834881728">
      <w:bodyDiv w:val="1"/>
      <w:marLeft w:val="0"/>
      <w:marRight w:val="0"/>
      <w:marTop w:val="0"/>
      <w:marBottom w:val="0"/>
      <w:divBdr>
        <w:top w:val="none" w:sz="0" w:space="0" w:color="auto"/>
        <w:left w:val="none" w:sz="0" w:space="0" w:color="auto"/>
        <w:bottom w:val="none" w:sz="0" w:space="0" w:color="auto"/>
        <w:right w:val="none" w:sz="0" w:space="0" w:color="auto"/>
      </w:divBdr>
    </w:div>
    <w:div w:id="866059846">
      <w:bodyDiv w:val="1"/>
      <w:marLeft w:val="0"/>
      <w:marRight w:val="0"/>
      <w:marTop w:val="0"/>
      <w:marBottom w:val="0"/>
      <w:divBdr>
        <w:top w:val="none" w:sz="0" w:space="0" w:color="auto"/>
        <w:left w:val="none" w:sz="0" w:space="0" w:color="auto"/>
        <w:bottom w:val="none" w:sz="0" w:space="0" w:color="auto"/>
        <w:right w:val="none" w:sz="0" w:space="0" w:color="auto"/>
      </w:divBdr>
    </w:div>
    <w:div w:id="878126959">
      <w:bodyDiv w:val="1"/>
      <w:marLeft w:val="0"/>
      <w:marRight w:val="0"/>
      <w:marTop w:val="0"/>
      <w:marBottom w:val="0"/>
      <w:divBdr>
        <w:top w:val="none" w:sz="0" w:space="0" w:color="auto"/>
        <w:left w:val="none" w:sz="0" w:space="0" w:color="auto"/>
        <w:bottom w:val="none" w:sz="0" w:space="0" w:color="auto"/>
        <w:right w:val="none" w:sz="0" w:space="0" w:color="auto"/>
      </w:divBdr>
    </w:div>
    <w:div w:id="917133979">
      <w:bodyDiv w:val="1"/>
      <w:marLeft w:val="0"/>
      <w:marRight w:val="0"/>
      <w:marTop w:val="0"/>
      <w:marBottom w:val="0"/>
      <w:divBdr>
        <w:top w:val="none" w:sz="0" w:space="0" w:color="auto"/>
        <w:left w:val="none" w:sz="0" w:space="0" w:color="auto"/>
        <w:bottom w:val="none" w:sz="0" w:space="0" w:color="auto"/>
        <w:right w:val="none" w:sz="0" w:space="0" w:color="auto"/>
      </w:divBdr>
    </w:div>
    <w:div w:id="930628136">
      <w:bodyDiv w:val="1"/>
      <w:marLeft w:val="0"/>
      <w:marRight w:val="0"/>
      <w:marTop w:val="0"/>
      <w:marBottom w:val="0"/>
      <w:divBdr>
        <w:top w:val="none" w:sz="0" w:space="0" w:color="auto"/>
        <w:left w:val="none" w:sz="0" w:space="0" w:color="auto"/>
        <w:bottom w:val="none" w:sz="0" w:space="0" w:color="auto"/>
        <w:right w:val="none" w:sz="0" w:space="0" w:color="auto"/>
      </w:divBdr>
    </w:div>
    <w:div w:id="1097288934">
      <w:bodyDiv w:val="1"/>
      <w:marLeft w:val="0"/>
      <w:marRight w:val="0"/>
      <w:marTop w:val="0"/>
      <w:marBottom w:val="0"/>
      <w:divBdr>
        <w:top w:val="none" w:sz="0" w:space="0" w:color="auto"/>
        <w:left w:val="none" w:sz="0" w:space="0" w:color="auto"/>
        <w:bottom w:val="none" w:sz="0" w:space="0" w:color="auto"/>
        <w:right w:val="none" w:sz="0" w:space="0" w:color="auto"/>
      </w:divBdr>
    </w:div>
    <w:div w:id="1161197954">
      <w:bodyDiv w:val="1"/>
      <w:marLeft w:val="0"/>
      <w:marRight w:val="0"/>
      <w:marTop w:val="0"/>
      <w:marBottom w:val="0"/>
      <w:divBdr>
        <w:top w:val="none" w:sz="0" w:space="0" w:color="auto"/>
        <w:left w:val="none" w:sz="0" w:space="0" w:color="auto"/>
        <w:bottom w:val="none" w:sz="0" w:space="0" w:color="auto"/>
        <w:right w:val="none" w:sz="0" w:space="0" w:color="auto"/>
      </w:divBdr>
    </w:div>
    <w:div w:id="1185946732">
      <w:bodyDiv w:val="1"/>
      <w:marLeft w:val="0"/>
      <w:marRight w:val="0"/>
      <w:marTop w:val="0"/>
      <w:marBottom w:val="0"/>
      <w:divBdr>
        <w:top w:val="none" w:sz="0" w:space="0" w:color="auto"/>
        <w:left w:val="none" w:sz="0" w:space="0" w:color="auto"/>
        <w:bottom w:val="none" w:sz="0" w:space="0" w:color="auto"/>
        <w:right w:val="none" w:sz="0" w:space="0" w:color="auto"/>
      </w:divBdr>
    </w:div>
    <w:div w:id="1213887468">
      <w:bodyDiv w:val="1"/>
      <w:marLeft w:val="0"/>
      <w:marRight w:val="0"/>
      <w:marTop w:val="0"/>
      <w:marBottom w:val="0"/>
      <w:divBdr>
        <w:top w:val="none" w:sz="0" w:space="0" w:color="auto"/>
        <w:left w:val="none" w:sz="0" w:space="0" w:color="auto"/>
        <w:bottom w:val="none" w:sz="0" w:space="0" w:color="auto"/>
        <w:right w:val="none" w:sz="0" w:space="0" w:color="auto"/>
      </w:divBdr>
    </w:div>
    <w:div w:id="1310134703">
      <w:bodyDiv w:val="1"/>
      <w:marLeft w:val="0"/>
      <w:marRight w:val="0"/>
      <w:marTop w:val="0"/>
      <w:marBottom w:val="0"/>
      <w:divBdr>
        <w:top w:val="none" w:sz="0" w:space="0" w:color="auto"/>
        <w:left w:val="none" w:sz="0" w:space="0" w:color="auto"/>
        <w:bottom w:val="none" w:sz="0" w:space="0" w:color="auto"/>
        <w:right w:val="none" w:sz="0" w:space="0" w:color="auto"/>
      </w:divBdr>
    </w:div>
    <w:div w:id="1333753804">
      <w:bodyDiv w:val="1"/>
      <w:marLeft w:val="0"/>
      <w:marRight w:val="0"/>
      <w:marTop w:val="0"/>
      <w:marBottom w:val="0"/>
      <w:divBdr>
        <w:top w:val="none" w:sz="0" w:space="0" w:color="auto"/>
        <w:left w:val="none" w:sz="0" w:space="0" w:color="auto"/>
        <w:bottom w:val="none" w:sz="0" w:space="0" w:color="auto"/>
        <w:right w:val="none" w:sz="0" w:space="0" w:color="auto"/>
      </w:divBdr>
    </w:div>
    <w:div w:id="1369183828">
      <w:bodyDiv w:val="1"/>
      <w:marLeft w:val="0"/>
      <w:marRight w:val="0"/>
      <w:marTop w:val="0"/>
      <w:marBottom w:val="0"/>
      <w:divBdr>
        <w:top w:val="none" w:sz="0" w:space="0" w:color="auto"/>
        <w:left w:val="none" w:sz="0" w:space="0" w:color="auto"/>
        <w:bottom w:val="none" w:sz="0" w:space="0" w:color="auto"/>
        <w:right w:val="none" w:sz="0" w:space="0" w:color="auto"/>
      </w:divBdr>
    </w:div>
    <w:div w:id="1373312465">
      <w:bodyDiv w:val="1"/>
      <w:marLeft w:val="0"/>
      <w:marRight w:val="0"/>
      <w:marTop w:val="0"/>
      <w:marBottom w:val="0"/>
      <w:divBdr>
        <w:top w:val="none" w:sz="0" w:space="0" w:color="auto"/>
        <w:left w:val="none" w:sz="0" w:space="0" w:color="auto"/>
        <w:bottom w:val="none" w:sz="0" w:space="0" w:color="auto"/>
        <w:right w:val="none" w:sz="0" w:space="0" w:color="auto"/>
      </w:divBdr>
    </w:div>
    <w:div w:id="1396665037">
      <w:bodyDiv w:val="1"/>
      <w:marLeft w:val="0"/>
      <w:marRight w:val="0"/>
      <w:marTop w:val="0"/>
      <w:marBottom w:val="0"/>
      <w:divBdr>
        <w:top w:val="none" w:sz="0" w:space="0" w:color="auto"/>
        <w:left w:val="none" w:sz="0" w:space="0" w:color="auto"/>
        <w:bottom w:val="none" w:sz="0" w:space="0" w:color="auto"/>
        <w:right w:val="none" w:sz="0" w:space="0" w:color="auto"/>
      </w:divBdr>
    </w:div>
    <w:div w:id="1468932586">
      <w:bodyDiv w:val="1"/>
      <w:marLeft w:val="0"/>
      <w:marRight w:val="0"/>
      <w:marTop w:val="0"/>
      <w:marBottom w:val="0"/>
      <w:divBdr>
        <w:top w:val="none" w:sz="0" w:space="0" w:color="auto"/>
        <w:left w:val="none" w:sz="0" w:space="0" w:color="auto"/>
        <w:bottom w:val="none" w:sz="0" w:space="0" w:color="auto"/>
        <w:right w:val="none" w:sz="0" w:space="0" w:color="auto"/>
      </w:divBdr>
    </w:div>
    <w:div w:id="1471942154">
      <w:bodyDiv w:val="1"/>
      <w:marLeft w:val="0"/>
      <w:marRight w:val="0"/>
      <w:marTop w:val="0"/>
      <w:marBottom w:val="0"/>
      <w:divBdr>
        <w:top w:val="none" w:sz="0" w:space="0" w:color="auto"/>
        <w:left w:val="none" w:sz="0" w:space="0" w:color="auto"/>
        <w:bottom w:val="none" w:sz="0" w:space="0" w:color="auto"/>
        <w:right w:val="none" w:sz="0" w:space="0" w:color="auto"/>
      </w:divBdr>
    </w:div>
    <w:div w:id="1505591093">
      <w:marLeft w:val="0"/>
      <w:marRight w:val="0"/>
      <w:marTop w:val="0"/>
      <w:marBottom w:val="0"/>
      <w:divBdr>
        <w:top w:val="none" w:sz="0" w:space="0" w:color="auto"/>
        <w:left w:val="none" w:sz="0" w:space="0" w:color="auto"/>
        <w:bottom w:val="none" w:sz="0" w:space="0" w:color="auto"/>
        <w:right w:val="none" w:sz="0" w:space="0" w:color="auto"/>
      </w:divBdr>
    </w:div>
    <w:div w:id="1505591094">
      <w:marLeft w:val="0"/>
      <w:marRight w:val="0"/>
      <w:marTop w:val="0"/>
      <w:marBottom w:val="0"/>
      <w:divBdr>
        <w:top w:val="none" w:sz="0" w:space="0" w:color="auto"/>
        <w:left w:val="none" w:sz="0" w:space="0" w:color="auto"/>
        <w:bottom w:val="none" w:sz="0" w:space="0" w:color="auto"/>
        <w:right w:val="none" w:sz="0" w:space="0" w:color="auto"/>
      </w:divBdr>
    </w:div>
    <w:div w:id="1512449766">
      <w:bodyDiv w:val="1"/>
      <w:marLeft w:val="0"/>
      <w:marRight w:val="0"/>
      <w:marTop w:val="0"/>
      <w:marBottom w:val="0"/>
      <w:divBdr>
        <w:top w:val="none" w:sz="0" w:space="0" w:color="auto"/>
        <w:left w:val="none" w:sz="0" w:space="0" w:color="auto"/>
        <w:bottom w:val="none" w:sz="0" w:space="0" w:color="auto"/>
        <w:right w:val="none" w:sz="0" w:space="0" w:color="auto"/>
      </w:divBdr>
    </w:div>
    <w:div w:id="1539510001">
      <w:bodyDiv w:val="1"/>
      <w:marLeft w:val="0"/>
      <w:marRight w:val="0"/>
      <w:marTop w:val="0"/>
      <w:marBottom w:val="0"/>
      <w:divBdr>
        <w:top w:val="none" w:sz="0" w:space="0" w:color="auto"/>
        <w:left w:val="none" w:sz="0" w:space="0" w:color="auto"/>
        <w:bottom w:val="none" w:sz="0" w:space="0" w:color="auto"/>
        <w:right w:val="none" w:sz="0" w:space="0" w:color="auto"/>
      </w:divBdr>
    </w:div>
    <w:div w:id="1636136480">
      <w:bodyDiv w:val="1"/>
      <w:marLeft w:val="0"/>
      <w:marRight w:val="0"/>
      <w:marTop w:val="0"/>
      <w:marBottom w:val="0"/>
      <w:divBdr>
        <w:top w:val="none" w:sz="0" w:space="0" w:color="auto"/>
        <w:left w:val="none" w:sz="0" w:space="0" w:color="auto"/>
        <w:bottom w:val="none" w:sz="0" w:space="0" w:color="auto"/>
        <w:right w:val="none" w:sz="0" w:space="0" w:color="auto"/>
      </w:divBdr>
    </w:div>
    <w:div w:id="1646930753">
      <w:bodyDiv w:val="1"/>
      <w:marLeft w:val="0"/>
      <w:marRight w:val="0"/>
      <w:marTop w:val="0"/>
      <w:marBottom w:val="0"/>
      <w:divBdr>
        <w:top w:val="none" w:sz="0" w:space="0" w:color="auto"/>
        <w:left w:val="none" w:sz="0" w:space="0" w:color="auto"/>
        <w:bottom w:val="none" w:sz="0" w:space="0" w:color="auto"/>
        <w:right w:val="none" w:sz="0" w:space="0" w:color="auto"/>
      </w:divBdr>
    </w:div>
    <w:div w:id="1684623270">
      <w:bodyDiv w:val="1"/>
      <w:marLeft w:val="0"/>
      <w:marRight w:val="0"/>
      <w:marTop w:val="0"/>
      <w:marBottom w:val="0"/>
      <w:divBdr>
        <w:top w:val="none" w:sz="0" w:space="0" w:color="auto"/>
        <w:left w:val="none" w:sz="0" w:space="0" w:color="auto"/>
        <w:bottom w:val="none" w:sz="0" w:space="0" w:color="auto"/>
        <w:right w:val="none" w:sz="0" w:space="0" w:color="auto"/>
      </w:divBdr>
    </w:div>
    <w:div w:id="1841654810">
      <w:bodyDiv w:val="1"/>
      <w:marLeft w:val="0"/>
      <w:marRight w:val="0"/>
      <w:marTop w:val="0"/>
      <w:marBottom w:val="0"/>
      <w:divBdr>
        <w:top w:val="none" w:sz="0" w:space="0" w:color="auto"/>
        <w:left w:val="none" w:sz="0" w:space="0" w:color="auto"/>
        <w:bottom w:val="none" w:sz="0" w:space="0" w:color="auto"/>
        <w:right w:val="none" w:sz="0" w:space="0" w:color="auto"/>
      </w:divBdr>
    </w:div>
    <w:div w:id="1878078787">
      <w:bodyDiv w:val="1"/>
      <w:marLeft w:val="0"/>
      <w:marRight w:val="0"/>
      <w:marTop w:val="0"/>
      <w:marBottom w:val="0"/>
      <w:divBdr>
        <w:top w:val="none" w:sz="0" w:space="0" w:color="auto"/>
        <w:left w:val="none" w:sz="0" w:space="0" w:color="auto"/>
        <w:bottom w:val="none" w:sz="0" w:space="0" w:color="auto"/>
        <w:right w:val="none" w:sz="0" w:space="0" w:color="auto"/>
      </w:divBdr>
    </w:div>
    <w:div w:id="2007897932">
      <w:bodyDiv w:val="1"/>
      <w:marLeft w:val="0"/>
      <w:marRight w:val="0"/>
      <w:marTop w:val="0"/>
      <w:marBottom w:val="0"/>
      <w:divBdr>
        <w:top w:val="none" w:sz="0" w:space="0" w:color="auto"/>
        <w:left w:val="none" w:sz="0" w:space="0" w:color="auto"/>
        <w:bottom w:val="none" w:sz="0" w:space="0" w:color="auto"/>
        <w:right w:val="none" w:sz="0" w:space="0" w:color="auto"/>
      </w:divBdr>
    </w:div>
    <w:div w:id="2015187468">
      <w:bodyDiv w:val="1"/>
      <w:marLeft w:val="0"/>
      <w:marRight w:val="0"/>
      <w:marTop w:val="0"/>
      <w:marBottom w:val="0"/>
      <w:divBdr>
        <w:top w:val="none" w:sz="0" w:space="0" w:color="auto"/>
        <w:left w:val="none" w:sz="0" w:space="0" w:color="auto"/>
        <w:bottom w:val="none" w:sz="0" w:space="0" w:color="auto"/>
        <w:right w:val="none" w:sz="0" w:space="0" w:color="auto"/>
      </w:divBdr>
    </w:div>
    <w:div w:id="21404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nuals_guidelines\users_handbook\paper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4AC2CCCD4F741AF46E3755D45B4BF" ma:contentTypeVersion="1" ma:contentTypeDescription="Create a new document." ma:contentTypeScope="" ma:versionID="21a85b4951d95014f2aafefa5dcb1f04">
  <xsd:schema xmlns:xsd="http://www.w3.org/2001/XMLSchema" xmlns:xs="http://www.w3.org/2001/XMLSchema" xmlns:p="http://schemas.microsoft.com/office/2006/metadata/properties" xmlns:ns1="http://schemas.microsoft.com/sharepoint/v3" xmlns:ns2="162b0733-4a0b-48f2-94e4-6ca0618b91a8" xmlns:ns3="0949f742-9e1b-43b1-96df-da5eb7dffbe6" targetNamespace="http://schemas.microsoft.com/office/2006/metadata/properties" ma:root="true" ma:fieldsID="64d8f8690e3bfcc6f2b18df66726d955" ns1:_="" ns2:_="" ns3:_="">
    <xsd:import namespace="http://schemas.microsoft.com/sharepoint/v3"/>
    <xsd:import namespace="162b0733-4a0b-48f2-94e4-6ca0618b91a8"/>
    <xsd:import namespace="0949f742-9e1b-43b1-96df-da5eb7dffbe6"/>
    <xsd:element name="properties">
      <xsd:complexType>
        <xsd:sequence>
          <xsd:element name="documentManagement">
            <xsd:complexType>
              <xsd:all>
                <xsd:element ref="ns2:_dlc_DocId" minOccurs="0"/>
                <xsd:element ref="ns2:_dlc_DocIdUrl" minOccurs="0"/>
                <xsd:element ref="ns2:_dlc_DocIdPersistId" minOccurs="0"/>
                <xsd:element ref="ns2:GPMS_x0020_Marking"/>
                <xsd:element ref="ns3:TaxKeywordTaxHTField" minOccurs="0"/>
                <xsd:element ref="ns3:TaxCatchAll" minOccurs="0"/>
                <xsd:element ref="ns3:TaxCatchAllLabel" minOccurs="0"/>
                <xsd:element ref="ns1:_dlc_Exempt" minOccurs="0"/>
                <xsd:element ref="ns1:_dlc_ExpireDateSaved" minOccurs="0"/>
                <xsd:element ref="ns1:_dlc_ExpireDat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hidden="true" ma:internalName="_dlc_ExpireDate" ma:readOnly="true">
      <xsd:simpleType>
        <xsd:restriction base="dms:DateTime"/>
      </xsd:simpleType>
    </xsd:element>
    <xsd:element name="PublishingStartDate" ma:index="19" nillable="true" ma:displayName="Scheduling Start Date" ma:internalName="PublishingStartDate">
      <xsd:simpleType>
        <xsd:restriction base="dms:Unknown"/>
      </xsd:simpleType>
    </xsd:element>
    <xsd:element name="PublishingExpirationDate" ma:index="2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2b0733-4a0b-48f2-94e4-6ca0618b91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PMS_x0020_Marking" ma:index="11" ma:displayName="GPMS Marking" ma:default="Not Protectively Marked" ma:format="Dropdown" ma:internalName="GPMS_x0020_Marking">
      <xsd:simpleType>
        <xsd:restriction base="dms:Choice">
          <xsd:enumeration value="Not Protectively Marked"/>
          <xsd:enumeration value="Restricted"/>
          <xsd:enumeration value="Confidential"/>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0949f742-9e1b-43b1-96df-da5eb7dffbe6"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9667b5c1-534b-4958-8db5-d415171a3fb6"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56a61764-4420-4750-8b0a-260d7fd1e619}" ma:internalName="TaxCatchAll" ma:showField="CatchAllData" ma:web="0949f742-9e1b-43b1-96df-da5eb7dffbe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56a61764-4420-4750-8b0a-260d7fd1e619}" ma:internalName="TaxCatchAllLabel" ma:readOnly="true" ma:showField="CatchAllDataLabel" ma:web="0949f742-9e1b-43b1-96df-da5eb7dff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olicyDirtyBag xmlns="microsoft.office.server.policy.changes">
  <Microsoft.Office.RecordsManagement.PolicyFeatures.Expiration op="Change"/>
</PolicyDirtyBag>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949f742-9e1b-43b1-96df-da5eb7dffbe6"/>
    <PublishingExpirationDate xmlns="http://schemas.microsoft.com/sharepoint/v3" xsi:nil="true"/>
    <GPMS_x0020_Marking xmlns="162b0733-4a0b-48f2-94e4-6ca0618b91a8">Not Protectively Marked</GPMS_x0020_Marking>
    <PublishingStartDate xmlns="http://schemas.microsoft.com/sharepoint/v3" xsi:nil="true"/>
    <TaxKeywordTaxHTField xmlns="0949f742-9e1b-43b1-96df-da5eb7dffbe6">
      <Terms xmlns="http://schemas.microsoft.com/office/infopath/2007/PartnerControls"/>
    </TaxKeywordTaxHTField>
    <_dlc_ExpireDateSaved xmlns="http://schemas.microsoft.com/sharepoint/v3" xsi:nil="true"/>
    <_dlc_ExpireDate xmlns="http://schemas.microsoft.com/sharepoint/v3">2022-05-01T08:13:10+00:00</_dlc_ExpireDate>
    <_dlc_DocId xmlns="162b0733-4a0b-48f2-94e4-6ca0618b91a8">SSUNZACT5CRY-121-10</_dlc_DocId>
    <_dlc_DocIdUrl xmlns="162b0733-4a0b-48f2-94e4-6ca0618b91a8">
      <Url>http://splash/sites/Joint/fppb/_layouts/DocIdRedir.aspx?ID=SSUNZACT5CRY-121-10</Url>
      <Description>SSUNZACT5CRY-121-10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0A4C-9D3A-4A32-831E-A68DADA27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2b0733-4a0b-48f2-94e4-6ca0618b91a8"/>
    <ds:schemaRef ds:uri="0949f742-9e1b-43b1-96df-da5eb7dff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25481-E29B-4586-804B-6D76607B78E0}">
  <ds:schemaRefs>
    <ds:schemaRef ds:uri="microsoft.office.server.policy.changes"/>
  </ds:schemaRefs>
</ds:datastoreItem>
</file>

<file path=customXml/itemProps3.xml><?xml version="1.0" encoding="utf-8"?>
<ds:datastoreItem xmlns:ds="http://schemas.openxmlformats.org/officeDocument/2006/customXml" ds:itemID="{CB1BEEFA-CF3D-46AF-B472-F4F3FE18DA96}">
  <ds:schemaRefs>
    <ds:schemaRef ds:uri="http://schemas.microsoft.com/sharepoint/events"/>
  </ds:schemaRefs>
</ds:datastoreItem>
</file>

<file path=customXml/itemProps4.xml><?xml version="1.0" encoding="utf-8"?>
<ds:datastoreItem xmlns:ds="http://schemas.openxmlformats.org/officeDocument/2006/customXml" ds:itemID="{13EE934C-40AA-4A87-9E5C-E284DB7A7ECA}">
  <ds:schemaRefs>
    <ds:schemaRef ds:uri="http://schemas.microsoft.com/sharepoint/v3/contenttype/forms"/>
  </ds:schemaRefs>
</ds:datastoreItem>
</file>

<file path=customXml/itemProps5.xml><?xml version="1.0" encoding="utf-8"?>
<ds:datastoreItem xmlns:ds="http://schemas.openxmlformats.org/officeDocument/2006/customXml" ds:itemID="{F13907CB-DA06-4686-9873-E575A9B28FBA}">
  <ds:schemaRefs>
    <ds:schemaRef ds:uri="162b0733-4a0b-48f2-94e4-6ca0618b91a8"/>
    <ds:schemaRef ds:uri="http://purl.org/dc/elements/1.1/"/>
    <ds:schemaRef ds:uri="http://purl.org/dc/dcmitype/"/>
    <ds:schemaRef ds:uri="http://schemas.microsoft.com/sharepoint/v3"/>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949f742-9e1b-43b1-96df-da5eb7dffbe6"/>
    <ds:schemaRef ds:uri="http://www.w3.org/XML/1998/namespace"/>
  </ds:schemaRefs>
</ds:datastoreItem>
</file>

<file path=customXml/itemProps6.xml><?xml version="1.0" encoding="utf-8"?>
<ds:datastoreItem xmlns:ds="http://schemas.openxmlformats.org/officeDocument/2006/customXml" ds:itemID="{38C6BBDC-3E67-43DF-9505-DC392D40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papers_template</Template>
  <TotalTime>1</TotalTime>
  <Pages>11</Pages>
  <Words>2819</Words>
  <Characters>16072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Title of Paper</vt:lpstr>
    </vt:vector>
  </TitlesOfParts>
  <Manager>Keith Bailey, ACPO Programme Support Manager</Manager>
  <Company>ACPO</Company>
  <LinksUpToDate>false</LinksUpToDate>
  <CharactersWithSpaces>18854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creator>keith</dc:creator>
  <cp:lastModifiedBy>Bundy, Paul 7922</cp:lastModifiedBy>
  <cp:revision>2</cp:revision>
  <cp:lastPrinted>2016-02-18T09:05:00Z</cp:lastPrinted>
  <dcterms:created xsi:type="dcterms:W3CDTF">2016-02-24T16:02:00Z</dcterms:created>
  <dcterms:modified xsi:type="dcterms:W3CDTF">2016-02-24T16:02:00Z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ontentTypeId">
    <vt:lpwstr>0x010100CC24AC2CCCD4F741AF46E3755D45B4BF</vt:lpwstr>
  </property>
  <property fmtid="{D5CDD505-2E9C-101B-9397-08002B2CF9AE}" pid="4" name="_dlc_policyId">
    <vt:lpwstr>0x010100F58A340A4D4DD84495766C979F18A2D3|1094192060</vt:lpwstr>
  </property>
  <property fmtid="{D5CDD505-2E9C-101B-9397-08002B2CF9AE}" pid="5" name="ItemRetentionFormula">
    <vt:lpwstr>&lt;formula id="Microsoft.Office.RecordsManagement.PolicyFeatures.Expiration.Formula.BuiltIn"&gt;&lt;number&gt;7&lt;/number&gt;&lt;property&gt;Created&lt;/property&gt;&lt;propertyId&gt;8c06beca-0777-48f7-91c7-6da68bc07b69&lt;/propertyId&gt;&lt;period&gt;years&lt;/period&gt;&lt;/formula&gt;</vt:lpwstr>
  </property>
  <property fmtid="{D5CDD505-2E9C-101B-9397-08002B2CF9AE}" pid="6" name="_dlc_DocIdItemGuid">
    <vt:lpwstr>664ffde6-f50a-4b4e-bf04-7261f4d1038d</vt:lpwstr>
  </property>
  <property fmtid="{D5CDD505-2E9C-101B-9397-08002B2CF9AE}" pid="7" name="TaxKeyword">
    <vt:lpwstr/>
  </property>
</Properties>
</file>