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0" w:type="dxa"/>
          <w:right w:w="0" w:type="dxa"/>
        </w:tblCellMar>
        <w:tblLook w:val="0000" w:firstRow="0" w:lastRow="0" w:firstColumn="0" w:lastColumn="0" w:noHBand="0" w:noVBand="0"/>
      </w:tblPr>
      <w:tblGrid>
        <w:gridCol w:w="8485"/>
      </w:tblGrid>
      <w:tr w:rsidR="00A03D18" w:rsidRPr="00A03D18" w14:paraId="38D90D6C" w14:textId="77777777" w:rsidTr="00A03D18">
        <w:trPr>
          <w:trHeight w:val="2836"/>
          <w:jc w:val="center"/>
        </w:trPr>
        <w:tc>
          <w:tcPr>
            <w:tcW w:w="8485" w:type="dxa"/>
          </w:tcPr>
          <w:p w14:paraId="4B5AC2C3" w14:textId="77777777" w:rsidR="00A03D18" w:rsidRPr="00A03D18" w:rsidRDefault="00E30741" w:rsidP="00FB7D8C">
            <w:pPr>
              <w:tabs>
                <w:tab w:val="left" w:pos="354"/>
              </w:tabs>
              <w:spacing w:after="160" w:line="259" w:lineRule="auto"/>
              <w:jc w:val="center"/>
              <w:rPr>
                <w:rFonts w:ascii="Arial" w:hAnsi="Arial" w:cs="Arial"/>
              </w:rPr>
            </w:pPr>
            <w:r w:rsidRPr="00A03D18">
              <w:rPr>
                <w:rFonts w:ascii="Arial" w:hAnsi="Arial" w:cs="Arial"/>
                <w:noProof/>
                <w:lang w:eastAsia="en-GB"/>
              </w:rPr>
              <w:drawing>
                <wp:inline distT="0" distB="0" distL="0" distR="0" wp14:anchorId="0ADD709B" wp14:editId="6C358DD2">
                  <wp:extent cx="1243965" cy="1252220"/>
                  <wp:effectExtent l="0" t="0" r="0" b="5080"/>
                  <wp:docPr id="1" name="Picture 3" descr="SurreyCrest_Col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reyCrest_Colour (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3965" cy="1252220"/>
                          </a:xfrm>
                          <a:prstGeom prst="rect">
                            <a:avLst/>
                          </a:prstGeom>
                          <a:noFill/>
                          <a:ln>
                            <a:noFill/>
                          </a:ln>
                        </pic:spPr>
                      </pic:pic>
                    </a:graphicData>
                  </a:graphic>
                </wp:inline>
              </w:drawing>
            </w:r>
          </w:p>
          <w:tbl>
            <w:tblPr>
              <w:tblW w:w="8161" w:type="dxa"/>
              <w:jc w:val="center"/>
              <w:tblBorders>
                <w:top w:val="single" w:sz="18" w:space="0" w:color="003C7D"/>
                <w:left w:val="single" w:sz="4" w:space="0" w:color="003C7D"/>
                <w:bottom w:val="single" w:sz="18" w:space="0" w:color="003C7D"/>
                <w:right w:val="single" w:sz="4" w:space="0" w:color="003C7D"/>
                <w:insideH w:val="single" w:sz="4" w:space="0" w:color="003C7D"/>
                <w:insideV w:val="single" w:sz="4" w:space="0" w:color="003C7D"/>
              </w:tblBorders>
              <w:tblLayout w:type="fixed"/>
              <w:tblLook w:val="01E0" w:firstRow="1" w:lastRow="1" w:firstColumn="1" w:lastColumn="1" w:noHBand="0" w:noVBand="0"/>
            </w:tblPr>
            <w:tblGrid>
              <w:gridCol w:w="2970"/>
              <w:gridCol w:w="5163"/>
              <w:gridCol w:w="28"/>
            </w:tblGrid>
            <w:tr w:rsidR="00A03D18" w:rsidRPr="00A03D18" w14:paraId="5D4BEAB7" w14:textId="77777777" w:rsidTr="00A80A87">
              <w:trPr>
                <w:gridAfter w:val="1"/>
                <w:wAfter w:w="28" w:type="dxa"/>
                <w:trHeight w:val="291"/>
                <w:jc w:val="center"/>
              </w:trPr>
              <w:tc>
                <w:tcPr>
                  <w:tcW w:w="2970" w:type="dxa"/>
                  <w:tcBorders>
                    <w:bottom w:val="single" w:sz="12" w:space="0" w:color="003C7D"/>
                  </w:tcBorders>
                  <w:shd w:val="clear" w:color="auto" w:fill="auto"/>
                  <w:vAlign w:val="center"/>
                </w:tcPr>
                <w:p w14:paraId="73EE9C56" w14:textId="77777777" w:rsidR="00A03D18" w:rsidRPr="00A03D18" w:rsidRDefault="00A03D18" w:rsidP="00FB7D8C">
                  <w:pPr>
                    <w:tabs>
                      <w:tab w:val="left" w:pos="354"/>
                    </w:tabs>
                    <w:spacing w:before="60" w:after="60" w:line="259" w:lineRule="auto"/>
                    <w:rPr>
                      <w:rFonts w:ascii="Arial" w:hAnsi="Arial" w:cs="Arial"/>
                      <w:b/>
                    </w:rPr>
                  </w:pPr>
                  <w:r w:rsidRPr="00A03D18">
                    <w:rPr>
                      <w:rFonts w:ascii="Arial" w:hAnsi="Arial" w:cs="Arial"/>
                      <w:b/>
                    </w:rPr>
                    <w:t>Required for:</w:t>
                  </w:r>
                </w:p>
              </w:tc>
              <w:tc>
                <w:tcPr>
                  <w:tcW w:w="5163" w:type="dxa"/>
                  <w:tcBorders>
                    <w:bottom w:val="single" w:sz="12" w:space="0" w:color="003C7D"/>
                  </w:tcBorders>
                  <w:shd w:val="clear" w:color="auto" w:fill="auto"/>
                  <w:vAlign w:val="center"/>
                </w:tcPr>
                <w:p w14:paraId="23F085DB" w14:textId="65D6EC16" w:rsidR="00A03D18" w:rsidRPr="00A03D18" w:rsidRDefault="002436C4" w:rsidP="00FB7D8C">
                  <w:pPr>
                    <w:tabs>
                      <w:tab w:val="left" w:pos="354"/>
                    </w:tabs>
                    <w:spacing w:before="60" w:after="60" w:line="259" w:lineRule="auto"/>
                    <w:rPr>
                      <w:rFonts w:ascii="Arial" w:hAnsi="Arial" w:cs="Arial"/>
                    </w:rPr>
                  </w:pPr>
                  <w:r>
                    <w:rPr>
                      <w:rFonts w:ascii="Arial" w:hAnsi="Arial" w:cs="Arial"/>
                    </w:rPr>
                    <w:t>Joint Audit Committee</w:t>
                  </w:r>
                </w:p>
              </w:tc>
            </w:tr>
            <w:tr w:rsidR="00A03D18" w:rsidRPr="00A03D18" w14:paraId="4B90E9BD" w14:textId="77777777" w:rsidTr="00A80A87">
              <w:trPr>
                <w:gridAfter w:val="1"/>
                <w:wAfter w:w="28" w:type="dxa"/>
                <w:trHeight w:val="299"/>
                <w:jc w:val="center"/>
              </w:trPr>
              <w:tc>
                <w:tcPr>
                  <w:tcW w:w="2970" w:type="dxa"/>
                  <w:tcBorders>
                    <w:top w:val="single" w:sz="12" w:space="0" w:color="003C7D"/>
                    <w:left w:val="single" w:sz="2" w:space="0" w:color="003C7D"/>
                    <w:bottom w:val="single" w:sz="2" w:space="0" w:color="003C7D"/>
                    <w:right w:val="single" w:sz="2" w:space="0" w:color="003C7D"/>
                  </w:tcBorders>
                  <w:shd w:val="clear" w:color="auto" w:fill="D9D9D9"/>
                  <w:vAlign w:val="center"/>
                </w:tcPr>
                <w:p w14:paraId="4478453F" w14:textId="77777777" w:rsidR="00A03D18" w:rsidRPr="00A03D18" w:rsidRDefault="00A03D18" w:rsidP="00FB7D8C">
                  <w:pPr>
                    <w:tabs>
                      <w:tab w:val="left" w:pos="354"/>
                    </w:tabs>
                    <w:spacing w:before="60" w:after="60" w:line="259" w:lineRule="auto"/>
                    <w:rPr>
                      <w:rFonts w:ascii="Arial" w:hAnsi="Arial" w:cs="Arial"/>
                      <w:b/>
                    </w:rPr>
                  </w:pPr>
                  <w:r w:rsidRPr="00A03D18">
                    <w:rPr>
                      <w:rFonts w:ascii="Arial" w:hAnsi="Arial" w:cs="Arial"/>
                      <w:b/>
                    </w:rPr>
                    <w:t>Security Classification:</w:t>
                  </w:r>
                </w:p>
              </w:tc>
              <w:tc>
                <w:tcPr>
                  <w:tcW w:w="5163" w:type="dxa"/>
                  <w:tcBorders>
                    <w:top w:val="single" w:sz="12" w:space="0" w:color="003C7D"/>
                    <w:left w:val="single" w:sz="2" w:space="0" w:color="003C7D"/>
                    <w:bottom w:val="single" w:sz="2" w:space="0" w:color="003C7D"/>
                    <w:right w:val="single" w:sz="2" w:space="0" w:color="003C7D"/>
                  </w:tcBorders>
                  <w:shd w:val="clear" w:color="auto" w:fill="D9D9D9"/>
                  <w:vAlign w:val="center"/>
                </w:tcPr>
                <w:p w14:paraId="550568C3" w14:textId="77777777" w:rsidR="00A03D18" w:rsidRPr="00A03D18" w:rsidRDefault="00A03D18" w:rsidP="00FB7D8C">
                  <w:pPr>
                    <w:tabs>
                      <w:tab w:val="left" w:pos="354"/>
                    </w:tabs>
                    <w:spacing w:before="60" w:after="60" w:line="259" w:lineRule="auto"/>
                    <w:rPr>
                      <w:rFonts w:ascii="Arial" w:hAnsi="Arial" w:cs="Arial"/>
                      <w:b/>
                    </w:rPr>
                  </w:pPr>
                  <w:r w:rsidRPr="00A03D18">
                    <w:rPr>
                      <w:rFonts w:ascii="Arial" w:hAnsi="Arial" w:cs="Arial"/>
                      <w:b/>
                    </w:rPr>
                    <w:t>Official</w:t>
                  </w:r>
                </w:p>
              </w:tc>
            </w:tr>
            <w:tr w:rsidR="00A03D18" w:rsidRPr="00A03D18" w14:paraId="772E69C0" w14:textId="77777777" w:rsidTr="00A80A87">
              <w:trPr>
                <w:gridAfter w:val="1"/>
                <w:wAfter w:w="28" w:type="dxa"/>
                <w:trHeight w:val="299"/>
                <w:jc w:val="center"/>
              </w:trPr>
              <w:tc>
                <w:tcPr>
                  <w:tcW w:w="2970" w:type="dxa"/>
                  <w:tcBorders>
                    <w:top w:val="single" w:sz="2" w:space="0" w:color="003C7D"/>
                    <w:bottom w:val="single" w:sz="4" w:space="0" w:color="auto"/>
                  </w:tcBorders>
                  <w:shd w:val="clear" w:color="auto" w:fill="D9D9D9"/>
                  <w:vAlign w:val="center"/>
                </w:tcPr>
                <w:p w14:paraId="1163DCE4" w14:textId="77777777" w:rsidR="00A03D18" w:rsidRPr="00A03D18" w:rsidRDefault="00A03D18" w:rsidP="00FB7D8C">
                  <w:pPr>
                    <w:tabs>
                      <w:tab w:val="left" w:pos="354"/>
                    </w:tabs>
                    <w:spacing w:before="60" w:after="60" w:line="259" w:lineRule="auto"/>
                    <w:rPr>
                      <w:rFonts w:ascii="Arial" w:hAnsi="Arial" w:cs="Arial"/>
                      <w:b/>
                    </w:rPr>
                  </w:pPr>
                  <w:r w:rsidRPr="00A03D18">
                    <w:rPr>
                      <w:rFonts w:ascii="Arial" w:hAnsi="Arial" w:cs="Arial"/>
                      <w:b/>
                    </w:rPr>
                    <w:t>Handling information if required:</w:t>
                  </w:r>
                </w:p>
              </w:tc>
              <w:tc>
                <w:tcPr>
                  <w:tcW w:w="5163" w:type="dxa"/>
                  <w:tcBorders>
                    <w:top w:val="single" w:sz="2" w:space="0" w:color="003C7D"/>
                    <w:bottom w:val="single" w:sz="4" w:space="0" w:color="auto"/>
                  </w:tcBorders>
                  <w:shd w:val="clear" w:color="auto" w:fill="D9D9D9"/>
                  <w:vAlign w:val="center"/>
                </w:tcPr>
                <w:p w14:paraId="3F1DD984" w14:textId="77777777" w:rsidR="00A03D18" w:rsidRPr="00A03D18" w:rsidRDefault="00A03D18" w:rsidP="00FB7D8C">
                  <w:pPr>
                    <w:tabs>
                      <w:tab w:val="left" w:pos="354"/>
                    </w:tabs>
                    <w:spacing w:before="60" w:after="60" w:line="259" w:lineRule="auto"/>
                    <w:rPr>
                      <w:rFonts w:ascii="Arial" w:hAnsi="Arial" w:cs="Arial"/>
                    </w:rPr>
                  </w:pPr>
                  <w:r w:rsidRPr="00A03D18">
                    <w:rPr>
                      <w:rFonts w:ascii="Arial" w:hAnsi="Arial" w:cs="Arial"/>
                    </w:rPr>
                    <w:t>n/a</w:t>
                  </w:r>
                </w:p>
              </w:tc>
            </w:tr>
            <w:tr w:rsidR="00A03D18" w:rsidRPr="00A03D18" w14:paraId="2656A249" w14:textId="77777777" w:rsidTr="00A80A87">
              <w:trPr>
                <w:gridAfter w:val="1"/>
                <w:wAfter w:w="28" w:type="dxa"/>
                <w:trHeight w:val="291"/>
                <w:jc w:val="center"/>
              </w:trPr>
              <w:tc>
                <w:tcPr>
                  <w:tcW w:w="2970" w:type="dxa"/>
                  <w:tcBorders>
                    <w:top w:val="single" w:sz="4" w:space="0" w:color="auto"/>
                    <w:bottom w:val="single" w:sz="12" w:space="0" w:color="003C7D"/>
                  </w:tcBorders>
                  <w:shd w:val="clear" w:color="auto" w:fill="D9D9D9"/>
                  <w:vAlign w:val="center"/>
                </w:tcPr>
                <w:p w14:paraId="4A9BF1EC" w14:textId="77777777" w:rsidR="00A03D18" w:rsidRPr="00A03D18" w:rsidRDefault="00A03D18" w:rsidP="00FB7D8C">
                  <w:pPr>
                    <w:tabs>
                      <w:tab w:val="left" w:pos="354"/>
                    </w:tabs>
                    <w:spacing w:before="60" w:after="60" w:line="259" w:lineRule="auto"/>
                    <w:rPr>
                      <w:rFonts w:ascii="Arial" w:hAnsi="Arial" w:cs="Arial"/>
                      <w:b/>
                    </w:rPr>
                  </w:pPr>
                  <w:r w:rsidRPr="00A03D18">
                    <w:rPr>
                      <w:rFonts w:ascii="Arial" w:hAnsi="Arial" w:cs="Arial"/>
                      <w:b/>
                    </w:rPr>
                    <w:t>Suitable for publication:</w:t>
                  </w:r>
                </w:p>
              </w:tc>
              <w:tc>
                <w:tcPr>
                  <w:tcW w:w="5163" w:type="dxa"/>
                  <w:tcBorders>
                    <w:top w:val="single" w:sz="4" w:space="0" w:color="auto"/>
                    <w:bottom w:val="single" w:sz="12" w:space="0" w:color="003C7D"/>
                  </w:tcBorders>
                  <w:shd w:val="clear" w:color="auto" w:fill="D9D9D9"/>
                  <w:vAlign w:val="center"/>
                </w:tcPr>
                <w:p w14:paraId="5B9CB849" w14:textId="77777777" w:rsidR="00A03D18" w:rsidRPr="00A03D18" w:rsidRDefault="00A03D18" w:rsidP="00FB7D8C">
                  <w:pPr>
                    <w:tabs>
                      <w:tab w:val="left" w:pos="354"/>
                    </w:tabs>
                    <w:spacing w:before="60" w:after="60" w:line="259" w:lineRule="auto"/>
                    <w:rPr>
                      <w:rFonts w:ascii="Arial" w:hAnsi="Arial" w:cs="Arial"/>
                    </w:rPr>
                  </w:pPr>
                  <w:r w:rsidRPr="00A03D18">
                    <w:rPr>
                      <w:rFonts w:ascii="Arial" w:hAnsi="Arial" w:cs="Arial"/>
                      <w:i/>
                    </w:rPr>
                    <w:t xml:space="preserve">Yes </w:t>
                  </w:r>
                </w:p>
              </w:tc>
            </w:tr>
            <w:tr w:rsidR="00A03D18" w:rsidRPr="00A03D18" w14:paraId="633DF731" w14:textId="77777777" w:rsidTr="00A80A87">
              <w:trPr>
                <w:gridAfter w:val="1"/>
                <w:wAfter w:w="28" w:type="dxa"/>
                <w:trHeight w:val="299"/>
                <w:jc w:val="center"/>
              </w:trPr>
              <w:tc>
                <w:tcPr>
                  <w:tcW w:w="2970" w:type="dxa"/>
                  <w:tcBorders>
                    <w:top w:val="single" w:sz="12" w:space="0" w:color="003C7D"/>
                    <w:bottom w:val="single" w:sz="4" w:space="0" w:color="003C7D"/>
                  </w:tcBorders>
                  <w:shd w:val="clear" w:color="auto" w:fill="auto"/>
                  <w:vAlign w:val="center"/>
                </w:tcPr>
                <w:p w14:paraId="649C9539" w14:textId="77777777" w:rsidR="00A03D18" w:rsidRPr="00A03D18" w:rsidRDefault="00A03D18" w:rsidP="00FB7D8C">
                  <w:pPr>
                    <w:tabs>
                      <w:tab w:val="left" w:pos="354"/>
                    </w:tabs>
                    <w:spacing w:before="60" w:after="60" w:line="259" w:lineRule="auto"/>
                    <w:rPr>
                      <w:rFonts w:ascii="Arial" w:hAnsi="Arial" w:cs="Arial"/>
                      <w:b/>
                    </w:rPr>
                  </w:pPr>
                  <w:r w:rsidRPr="00A03D18">
                    <w:rPr>
                      <w:rFonts w:ascii="Arial" w:hAnsi="Arial" w:cs="Arial"/>
                      <w:b/>
                    </w:rPr>
                    <w:t>Title:</w:t>
                  </w:r>
                </w:p>
              </w:tc>
              <w:tc>
                <w:tcPr>
                  <w:tcW w:w="5163" w:type="dxa"/>
                  <w:tcBorders>
                    <w:top w:val="single" w:sz="12" w:space="0" w:color="003C7D"/>
                    <w:bottom w:val="single" w:sz="4" w:space="0" w:color="003C7D"/>
                  </w:tcBorders>
                  <w:shd w:val="clear" w:color="auto" w:fill="auto"/>
                  <w:vAlign w:val="center"/>
                </w:tcPr>
                <w:p w14:paraId="66158937" w14:textId="77777777" w:rsidR="00A03D18" w:rsidRPr="000F2ABB" w:rsidRDefault="00224444" w:rsidP="000F2ABB">
                  <w:pPr>
                    <w:tabs>
                      <w:tab w:val="left" w:pos="354"/>
                    </w:tabs>
                    <w:spacing w:after="0" w:line="240" w:lineRule="auto"/>
                    <w:rPr>
                      <w:rFonts w:ascii="Arial" w:eastAsia="Times New Roman" w:hAnsi="Arial" w:cs="Arial"/>
                      <w:sz w:val="24"/>
                      <w:szCs w:val="24"/>
                      <w:lang w:eastAsia="en-GB"/>
                    </w:rPr>
                  </w:pPr>
                  <w:r w:rsidRPr="000F2ABB">
                    <w:rPr>
                      <w:rFonts w:ascii="Arial" w:eastAsia="Times New Roman" w:hAnsi="Arial" w:cs="Arial"/>
                      <w:sz w:val="24"/>
                      <w:szCs w:val="24"/>
                      <w:lang w:eastAsia="en-GB"/>
                    </w:rPr>
                    <w:t>20</w:t>
                  </w:r>
                  <w:r w:rsidR="00E15181" w:rsidRPr="000F2ABB">
                    <w:rPr>
                      <w:rFonts w:ascii="Arial" w:eastAsia="Times New Roman" w:hAnsi="Arial" w:cs="Arial"/>
                      <w:sz w:val="24"/>
                      <w:szCs w:val="24"/>
                      <w:lang w:eastAsia="en-GB"/>
                    </w:rPr>
                    <w:t>20</w:t>
                  </w:r>
                  <w:r w:rsidRPr="000F2ABB">
                    <w:rPr>
                      <w:rFonts w:ascii="Arial" w:eastAsia="Times New Roman" w:hAnsi="Arial" w:cs="Arial"/>
                      <w:sz w:val="24"/>
                      <w:szCs w:val="24"/>
                      <w:lang w:eastAsia="en-GB"/>
                    </w:rPr>
                    <w:t>/2</w:t>
                  </w:r>
                  <w:r w:rsidR="00E15181" w:rsidRPr="000F2ABB">
                    <w:rPr>
                      <w:rFonts w:ascii="Arial" w:eastAsia="Times New Roman" w:hAnsi="Arial" w:cs="Arial"/>
                      <w:sz w:val="24"/>
                      <w:szCs w:val="24"/>
                      <w:lang w:eastAsia="en-GB"/>
                    </w:rPr>
                    <w:t>1</w:t>
                  </w:r>
                  <w:r w:rsidR="00A03D18" w:rsidRPr="000F2ABB">
                    <w:rPr>
                      <w:rFonts w:ascii="Arial" w:eastAsia="Times New Roman" w:hAnsi="Arial" w:cs="Arial"/>
                      <w:sz w:val="24"/>
                      <w:szCs w:val="24"/>
                      <w:lang w:eastAsia="en-GB"/>
                    </w:rPr>
                    <w:t xml:space="preserve"> </w:t>
                  </w:r>
                  <w:r w:rsidR="00CE71C4" w:rsidRPr="000F2ABB">
                    <w:rPr>
                      <w:rFonts w:ascii="Arial" w:eastAsia="Times New Roman" w:hAnsi="Arial" w:cs="Arial"/>
                      <w:sz w:val="24"/>
                      <w:szCs w:val="24"/>
                      <w:lang w:eastAsia="en-GB"/>
                    </w:rPr>
                    <w:t>Outturn</w:t>
                  </w:r>
                  <w:r w:rsidR="00E64671" w:rsidRPr="000F2ABB">
                    <w:rPr>
                      <w:rFonts w:ascii="Arial" w:eastAsia="Times New Roman" w:hAnsi="Arial" w:cs="Arial"/>
                      <w:sz w:val="24"/>
                      <w:szCs w:val="24"/>
                      <w:lang w:eastAsia="en-GB"/>
                    </w:rPr>
                    <w:t xml:space="preserve"> </w:t>
                  </w:r>
                  <w:r w:rsidR="00A03D18" w:rsidRPr="000F2ABB">
                    <w:rPr>
                      <w:rFonts w:ascii="Arial" w:eastAsia="Times New Roman" w:hAnsi="Arial" w:cs="Arial"/>
                      <w:sz w:val="24"/>
                      <w:szCs w:val="24"/>
                      <w:lang w:eastAsia="en-GB"/>
                    </w:rPr>
                    <w:t xml:space="preserve">Treasury Management </w:t>
                  </w:r>
                  <w:r w:rsidR="00E64671" w:rsidRPr="000F2ABB">
                    <w:rPr>
                      <w:rFonts w:ascii="Arial" w:eastAsia="Times New Roman" w:hAnsi="Arial" w:cs="Arial"/>
                      <w:sz w:val="24"/>
                      <w:szCs w:val="24"/>
                      <w:lang w:eastAsia="en-GB"/>
                    </w:rPr>
                    <w:t>report</w:t>
                  </w:r>
                </w:p>
              </w:tc>
            </w:tr>
            <w:tr w:rsidR="00A03D18" w:rsidRPr="00A03D18" w14:paraId="7CEAE312" w14:textId="77777777" w:rsidTr="00A80A87">
              <w:trPr>
                <w:gridAfter w:val="1"/>
                <w:wAfter w:w="28" w:type="dxa"/>
                <w:trHeight w:val="398"/>
                <w:jc w:val="center"/>
              </w:trPr>
              <w:tc>
                <w:tcPr>
                  <w:tcW w:w="2970" w:type="dxa"/>
                  <w:tcBorders>
                    <w:top w:val="single" w:sz="4" w:space="0" w:color="003C7D"/>
                  </w:tcBorders>
                  <w:shd w:val="clear" w:color="auto" w:fill="auto"/>
                  <w:vAlign w:val="center"/>
                </w:tcPr>
                <w:p w14:paraId="5B410870" w14:textId="77777777" w:rsidR="00A03D18" w:rsidRPr="00A03D18" w:rsidRDefault="00A03D18" w:rsidP="00FB7D8C">
                  <w:pPr>
                    <w:tabs>
                      <w:tab w:val="left" w:pos="354"/>
                    </w:tabs>
                    <w:spacing w:before="60" w:after="60" w:line="259" w:lineRule="auto"/>
                    <w:rPr>
                      <w:rFonts w:ascii="Arial" w:hAnsi="Arial" w:cs="Arial"/>
                      <w:b/>
                    </w:rPr>
                  </w:pPr>
                  <w:r w:rsidRPr="00A03D18">
                    <w:rPr>
                      <w:rFonts w:ascii="Arial" w:hAnsi="Arial" w:cs="Arial"/>
                      <w:b/>
                    </w:rPr>
                    <w:t>Version:</w:t>
                  </w:r>
                </w:p>
              </w:tc>
              <w:tc>
                <w:tcPr>
                  <w:tcW w:w="5163" w:type="dxa"/>
                  <w:tcBorders>
                    <w:top w:val="single" w:sz="4" w:space="0" w:color="003C7D"/>
                  </w:tcBorders>
                  <w:shd w:val="clear" w:color="auto" w:fill="auto"/>
                  <w:vAlign w:val="center"/>
                </w:tcPr>
                <w:p w14:paraId="68ED9145" w14:textId="77777777" w:rsidR="00A03D18" w:rsidRPr="000F2ABB" w:rsidRDefault="00A03D18" w:rsidP="00FB7D8C">
                  <w:pPr>
                    <w:tabs>
                      <w:tab w:val="left" w:pos="354"/>
                    </w:tabs>
                    <w:spacing w:before="60" w:after="60" w:line="259" w:lineRule="auto"/>
                    <w:rPr>
                      <w:rFonts w:ascii="Arial" w:hAnsi="Arial" w:cs="Arial"/>
                      <w:sz w:val="24"/>
                      <w:szCs w:val="24"/>
                    </w:rPr>
                  </w:pPr>
                  <w:r w:rsidRPr="000F2ABB">
                    <w:rPr>
                      <w:rFonts w:ascii="Arial" w:hAnsi="Arial" w:cs="Arial"/>
                      <w:sz w:val="24"/>
                      <w:szCs w:val="24"/>
                    </w:rPr>
                    <w:t>n/a</w:t>
                  </w:r>
                </w:p>
              </w:tc>
            </w:tr>
            <w:tr w:rsidR="00A03D18" w:rsidRPr="00A03D18" w14:paraId="6DED4EFE" w14:textId="77777777" w:rsidTr="00A80A87">
              <w:trPr>
                <w:gridAfter w:val="1"/>
                <w:wAfter w:w="28" w:type="dxa"/>
                <w:trHeight w:val="433"/>
                <w:jc w:val="center"/>
              </w:trPr>
              <w:tc>
                <w:tcPr>
                  <w:tcW w:w="2970" w:type="dxa"/>
                  <w:shd w:val="clear" w:color="auto" w:fill="auto"/>
                  <w:vAlign w:val="center"/>
                </w:tcPr>
                <w:p w14:paraId="5A163607" w14:textId="77777777" w:rsidR="00A03D18" w:rsidRPr="00A03D18" w:rsidRDefault="00A03D18" w:rsidP="00FB7D8C">
                  <w:pPr>
                    <w:tabs>
                      <w:tab w:val="left" w:pos="354"/>
                    </w:tabs>
                    <w:spacing w:before="60" w:after="60" w:line="259" w:lineRule="auto"/>
                    <w:rPr>
                      <w:rFonts w:ascii="Arial" w:hAnsi="Arial" w:cs="Arial"/>
                      <w:b/>
                    </w:rPr>
                  </w:pPr>
                  <w:r w:rsidRPr="00A03D18">
                    <w:rPr>
                      <w:rFonts w:ascii="Arial" w:hAnsi="Arial" w:cs="Arial"/>
                      <w:b/>
                    </w:rPr>
                    <w:t>Purpose:</w:t>
                  </w:r>
                </w:p>
              </w:tc>
              <w:tc>
                <w:tcPr>
                  <w:tcW w:w="5163" w:type="dxa"/>
                  <w:shd w:val="clear" w:color="auto" w:fill="auto"/>
                  <w:vAlign w:val="center"/>
                </w:tcPr>
                <w:p w14:paraId="21239A90" w14:textId="77777777" w:rsidR="00E64671" w:rsidRPr="000F2ABB" w:rsidRDefault="004F6B50" w:rsidP="004F6B50">
                  <w:pPr>
                    <w:tabs>
                      <w:tab w:val="left" w:pos="354"/>
                    </w:tabs>
                    <w:spacing w:after="0" w:line="240" w:lineRule="auto"/>
                    <w:jc w:val="both"/>
                    <w:rPr>
                      <w:rFonts w:ascii="Arial" w:eastAsia="Times New Roman" w:hAnsi="Arial" w:cs="Arial"/>
                      <w:sz w:val="24"/>
                      <w:szCs w:val="24"/>
                      <w:lang w:eastAsia="en-GB"/>
                    </w:rPr>
                  </w:pPr>
                  <w:r w:rsidRPr="000F2ABB">
                    <w:rPr>
                      <w:rFonts w:ascii="Arial" w:eastAsia="Times New Roman" w:hAnsi="Arial" w:cs="Arial"/>
                      <w:sz w:val="24"/>
                      <w:szCs w:val="24"/>
                      <w:lang w:eastAsia="en-GB"/>
                    </w:rPr>
                    <w:t>T</w:t>
                  </w:r>
                  <w:r w:rsidR="00E64671" w:rsidRPr="000F2ABB">
                    <w:rPr>
                      <w:rFonts w:ascii="Arial" w:eastAsia="Times New Roman" w:hAnsi="Arial" w:cs="Arial"/>
                      <w:sz w:val="24"/>
                      <w:szCs w:val="24"/>
                      <w:lang w:eastAsia="en-GB"/>
                    </w:rPr>
                    <w:t>o review the annual activity and performance of the treasury management function.</w:t>
                  </w:r>
                </w:p>
              </w:tc>
            </w:tr>
            <w:tr w:rsidR="00A03D18" w:rsidRPr="00A03D18" w14:paraId="0FD2B5CD" w14:textId="77777777" w:rsidTr="00A80A87">
              <w:trPr>
                <w:gridAfter w:val="1"/>
                <w:wAfter w:w="28" w:type="dxa"/>
                <w:trHeight w:val="299"/>
                <w:jc w:val="center"/>
              </w:trPr>
              <w:tc>
                <w:tcPr>
                  <w:tcW w:w="2970" w:type="dxa"/>
                  <w:shd w:val="clear" w:color="auto" w:fill="auto"/>
                  <w:vAlign w:val="center"/>
                </w:tcPr>
                <w:p w14:paraId="43FC4775" w14:textId="77777777" w:rsidR="00A03D18" w:rsidRPr="00A03D18" w:rsidRDefault="00A03D18" w:rsidP="00FB7D8C">
                  <w:pPr>
                    <w:tabs>
                      <w:tab w:val="left" w:pos="354"/>
                    </w:tabs>
                    <w:spacing w:before="60" w:after="60" w:line="259" w:lineRule="auto"/>
                    <w:rPr>
                      <w:rFonts w:ascii="Arial" w:hAnsi="Arial" w:cs="Arial"/>
                      <w:b/>
                    </w:rPr>
                  </w:pPr>
                  <w:r w:rsidRPr="00A03D18">
                    <w:rPr>
                      <w:rFonts w:ascii="Arial" w:hAnsi="Arial" w:cs="Arial"/>
                      <w:b/>
                    </w:rPr>
                    <w:t>ACPO / Strategic Lead:</w:t>
                  </w:r>
                </w:p>
              </w:tc>
              <w:tc>
                <w:tcPr>
                  <w:tcW w:w="5163" w:type="dxa"/>
                  <w:shd w:val="clear" w:color="auto" w:fill="auto"/>
                  <w:vAlign w:val="center"/>
                </w:tcPr>
                <w:p w14:paraId="404E1D9C" w14:textId="77777777" w:rsidR="00A03D18" w:rsidRPr="000F2ABB" w:rsidRDefault="00A03D18" w:rsidP="00FB7D8C">
                  <w:pPr>
                    <w:tabs>
                      <w:tab w:val="left" w:pos="354"/>
                    </w:tabs>
                    <w:spacing w:before="60" w:after="60" w:line="259" w:lineRule="auto"/>
                    <w:rPr>
                      <w:rFonts w:ascii="Arial" w:hAnsi="Arial" w:cs="Arial"/>
                      <w:sz w:val="24"/>
                      <w:szCs w:val="24"/>
                    </w:rPr>
                  </w:pPr>
                  <w:r w:rsidRPr="000F2ABB">
                    <w:rPr>
                      <w:rFonts w:ascii="Arial" w:hAnsi="Arial" w:cs="Arial"/>
                      <w:sz w:val="24"/>
                      <w:szCs w:val="24"/>
                    </w:rPr>
                    <w:t>PCC</w:t>
                  </w:r>
                </w:p>
              </w:tc>
            </w:tr>
            <w:tr w:rsidR="00A03D18" w:rsidRPr="00A03D18" w14:paraId="3B75100E" w14:textId="77777777" w:rsidTr="00A80A87">
              <w:trPr>
                <w:gridAfter w:val="1"/>
                <w:wAfter w:w="28" w:type="dxa"/>
                <w:trHeight w:val="490"/>
                <w:jc w:val="center"/>
              </w:trPr>
              <w:tc>
                <w:tcPr>
                  <w:tcW w:w="2970" w:type="dxa"/>
                  <w:shd w:val="clear" w:color="auto" w:fill="auto"/>
                  <w:vAlign w:val="center"/>
                </w:tcPr>
                <w:p w14:paraId="219541EE" w14:textId="77777777" w:rsidR="00A03D18" w:rsidRPr="00A03D18" w:rsidRDefault="00A03D18" w:rsidP="00FB7D8C">
                  <w:pPr>
                    <w:tabs>
                      <w:tab w:val="left" w:pos="354"/>
                    </w:tabs>
                    <w:spacing w:before="60" w:after="60" w:line="259" w:lineRule="auto"/>
                    <w:rPr>
                      <w:rFonts w:ascii="Arial" w:hAnsi="Arial" w:cs="Arial"/>
                      <w:b/>
                    </w:rPr>
                  </w:pPr>
                  <w:r w:rsidRPr="00A03D18">
                    <w:rPr>
                      <w:rFonts w:ascii="Arial" w:hAnsi="Arial" w:cs="Arial"/>
                      <w:b/>
                    </w:rPr>
                    <w:t>National Decision Model compliance:</w:t>
                  </w:r>
                </w:p>
              </w:tc>
              <w:tc>
                <w:tcPr>
                  <w:tcW w:w="5163" w:type="dxa"/>
                  <w:shd w:val="clear" w:color="auto" w:fill="auto"/>
                  <w:vAlign w:val="center"/>
                </w:tcPr>
                <w:p w14:paraId="760F13BC" w14:textId="77777777" w:rsidR="00A03D18" w:rsidRPr="000F2ABB" w:rsidRDefault="00A03D18" w:rsidP="00FB7D8C">
                  <w:pPr>
                    <w:tabs>
                      <w:tab w:val="left" w:pos="354"/>
                    </w:tabs>
                    <w:spacing w:before="60" w:after="60" w:line="259" w:lineRule="auto"/>
                    <w:rPr>
                      <w:rFonts w:ascii="Arial" w:hAnsi="Arial" w:cs="Arial"/>
                      <w:i/>
                      <w:sz w:val="24"/>
                      <w:szCs w:val="24"/>
                    </w:rPr>
                  </w:pPr>
                  <w:r w:rsidRPr="000F2ABB">
                    <w:rPr>
                      <w:rFonts w:ascii="Arial" w:hAnsi="Arial" w:cs="Arial"/>
                      <w:i/>
                      <w:sz w:val="24"/>
                      <w:szCs w:val="24"/>
                    </w:rPr>
                    <w:t>Yes</w:t>
                  </w:r>
                </w:p>
              </w:tc>
            </w:tr>
            <w:tr w:rsidR="00A03D18" w:rsidRPr="00A03D18" w14:paraId="5FC29DA9" w14:textId="77777777" w:rsidTr="00A80A87">
              <w:trPr>
                <w:gridAfter w:val="1"/>
                <w:wAfter w:w="28" w:type="dxa"/>
                <w:trHeight w:val="299"/>
                <w:jc w:val="center"/>
              </w:trPr>
              <w:tc>
                <w:tcPr>
                  <w:tcW w:w="2970" w:type="dxa"/>
                  <w:shd w:val="clear" w:color="auto" w:fill="auto"/>
                  <w:vAlign w:val="center"/>
                </w:tcPr>
                <w:p w14:paraId="14F5AD33" w14:textId="77777777" w:rsidR="00A03D18" w:rsidRPr="00A03D18" w:rsidRDefault="00A03D18" w:rsidP="00FB7D8C">
                  <w:pPr>
                    <w:tabs>
                      <w:tab w:val="left" w:pos="354"/>
                    </w:tabs>
                    <w:spacing w:before="60" w:after="60" w:line="259" w:lineRule="auto"/>
                    <w:rPr>
                      <w:rFonts w:ascii="Arial" w:hAnsi="Arial" w:cs="Arial"/>
                      <w:b/>
                    </w:rPr>
                  </w:pPr>
                  <w:r w:rsidRPr="00A03D18">
                    <w:rPr>
                      <w:rFonts w:ascii="Arial" w:hAnsi="Arial" w:cs="Arial"/>
                      <w:b/>
                    </w:rPr>
                    <w:t>Date created:</w:t>
                  </w:r>
                </w:p>
              </w:tc>
              <w:tc>
                <w:tcPr>
                  <w:tcW w:w="5163" w:type="dxa"/>
                  <w:shd w:val="clear" w:color="auto" w:fill="auto"/>
                  <w:vAlign w:val="center"/>
                </w:tcPr>
                <w:p w14:paraId="30023546" w14:textId="77777777" w:rsidR="00A03D18" w:rsidRPr="000F2ABB" w:rsidRDefault="00E15181" w:rsidP="00E15181">
                  <w:pPr>
                    <w:tabs>
                      <w:tab w:val="left" w:pos="354"/>
                    </w:tabs>
                    <w:spacing w:before="60" w:after="60" w:line="259" w:lineRule="auto"/>
                    <w:rPr>
                      <w:rFonts w:ascii="Arial" w:hAnsi="Arial" w:cs="Arial"/>
                      <w:sz w:val="24"/>
                      <w:szCs w:val="24"/>
                    </w:rPr>
                  </w:pPr>
                  <w:r w:rsidRPr="000F2ABB">
                    <w:rPr>
                      <w:rFonts w:ascii="Arial" w:hAnsi="Arial" w:cs="Arial"/>
                      <w:sz w:val="24"/>
                      <w:szCs w:val="24"/>
                    </w:rPr>
                    <w:t>12</w:t>
                  </w:r>
                  <w:r w:rsidR="005B163B" w:rsidRPr="000F2ABB">
                    <w:rPr>
                      <w:rFonts w:ascii="Arial" w:hAnsi="Arial" w:cs="Arial"/>
                      <w:sz w:val="24"/>
                      <w:szCs w:val="24"/>
                    </w:rPr>
                    <w:t xml:space="preserve"> </w:t>
                  </w:r>
                  <w:r w:rsidR="00CE71C4" w:rsidRPr="000F2ABB">
                    <w:rPr>
                      <w:rFonts w:ascii="Arial" w:hAnsi="Arial" w:cs="Arial"/>
                      <w:sz w:val="24"/>
                      <w:szCs w:val="24"/>
                    </w:rPr>
                    <w:t>July</w:t>
                  </w:r>
                  <w:r w:rsidR="00C2692E" w:rsidRPr="000F2ABB">
                    <w:rPr>
                      <w:rFonts w:ascii="Arial" w:hAnsi="Arial" w:cs="Arial"/>
                      <w:sz w:val="24"/>
                      <w:szCs w:val="24"/>
                    </w:rPr>
                    <w:t xml:space="preserve"> 20</w:t>
                  </w:r>
                  <w:r w:rsidR="00CE71C4" w:rsidRPr="000F2ABB">
                    <w:rPr>
                      <w:rFonts w:ascii="Arial" w:hAnsi="Arial" w:cs="Arial"/>
                      <w:sz w:val="24"/>
                      <w:szCs w:val="24"/>
                    </w:rPr>
                    <w:t>2</w:t>
                  </w:r>
                  <w:r w:rsidRPr="000F2ABB">
                    <w:rPr>
                      <w:rFonts w:ascii="Arial" w:hAnsi="Arial" w:cs="Arial"/>
                      <w:sz w:val="24"/>
                      <w:szCs w:val="24"/>
                    </w:rPr>
                    <w:t>1</w:t>
                  </w:r>
                </w:p>
              </w:tc>
            </w:tr>
            <w:tr w:rsidR="00A03D18" w:rsidRPr="00A03D18" w14:paraId="6645AB8C" w14:textId="77777777" w:rsidTr="00A80A87">
              <w:trPr>
                <w:gridAfter w:val="1"/>
                <w:wAfter w:w="28" w:type="dxa"/>
                <w:trHeight w:val="339"/>
                <w:jc w:val="center"/>
              </w:trPr>
              <w:tc>
                <w:tcPr>
                  <w:tcW w:w="2970" w:type="dxa"/>
                  <w:shd w:val="clear" w:color="auto" w:fill="auto"/>
                  <w:vAlign w:val="center"/>
                </w:tcPr>
                <w:p w14:paraId="4827576D" w14:textId="77777777" w:rsidR="00A03D18" w:rsidRPr="00A03D18" w:rsidRDefault="00A03D18" w:rsidP="00FB7D8C">
                  <w:pPr>
                    <w:tabs>
                      <w:tab w:val="left" w:pos="354"/>
                    </w:tabs>
                    <w:spacing w:before="60" w:after="60" w:line="259" w:lineRule="auto"/>
                    <w:rPr>
                      <w:rFonts w:ascii="Arial" w:hAnsi="Arial" w:cs="Arial"/>
                      <w:b/>
                    </w:rPr>
                  </w:pPr>
                  <w:r w:rsidRPr="00A03D18">
                    <w:rPr>
                      <w:rFonts w:ascii="Arial" w:hAnsi="Arial" w:cs="Arial"/>
                      <w:b/>
                    </w:rPr>
                    <w:t>Date to be reviewed:</w:t>
                  </w:r>
                </w:p>
              </w:tc>
              <w:tc>
                <w:tcPr>
                  <w:tcW w:w="5163" w:type="dxa"/>
                  <w:shd w:val="clear" w:color="auto" w:fill="auto"/>
                  <w:vAlign w:val="center"/>
                </w:tcPr>
                <w:p w14:paraId="2851D42E" w14:textId="77777777" w:rsidR="00A03D18" w:rsidRPr="000F2ABB" w:rsidRDefault="00A03D18" w:rsidP="00FB7D8C">
                  <w:pPr>
                    <w:tabs>
                      <w:tab w:val="left" w:pos="354"/>
                    </w:tabs>
                    <w:spacing w:before="60" w:after="60" w:line="259" w:lineRule="auto"/>
                    <w:rPr>
                      <w:rFonts w:ascii="Arial" w:hAnsi="Arial" w:cs="Arial"/>
                      <w:sz w:val="24"/>
                      <w:szCs w:val="24"/>
                    </w:rPr>
                  </w:pPr>
                </w:p>
              </w:tc>
            </w:tr>
            <w:tr w:rsidR="00A03D18" w:rsidRPr="00A03D18" w14:paraId="573B021B" w14:textId="77777777" w:rsidTr="00A80A87">
              <w:trPr>
                <w:trHeight w:val="217"/>
                <w:jc w:val="center"/>
              </w:trPr>
              <w:tc>
                <w:tcPr>
                  <w:tcW w:w="2970" w:type="dxa"/>
                  <w:shd w:val="clear" w:color="auto" w:fill="auto"/>
                  <w:vAlign w:val="center"/>
                </w:tcPr>
                <w:p w14:paraId="19D2F49A" w14:textId="77777777" w:rsidR="00A03D18" w:rsidRPr="00A03D18" w:rsidRDefault="00A03D18" w:rsidP="00FB7D8C">
                  <w:pPr>
                    <w:tabs>
                      <w:tab w:val="left" w:pos="354"/>
                    </w:tabs>
                    <w:spacing w:before="60" w:after="60" w:line="259" w:lineRule="auto"/>
                    <w:rPr>
                      <w:rFonts w:ascii="Arial" w:hAnsi="Arial" w:cs="Arial"/>
                      <w:b/>
                    </w:rPr>
                  </w:pPr>
                  <w:r w:rsidRPr="00A03D18">
                    <w:rPr>
                      <w:rFonts w:ascii="Arial" w:hAnsi="Arial" w:cs="Arial"/>
                      <w:b/>
                    </w:rPr>
                    <w:t>AUTHOR:</w:t>
                  </w:r>
                </w:p>
              </w:tc>
              <w:tc>
                <w:tcPr>
                  <w:tcW w:w="5191" w:type="dxa"/>
                  <w:gridSpan w:val="2"/>
                  <w:shd w:val="clear" w:color="auto" w:fill="auto"/>
                  <w:vAlign w:val="center"/>
                </w:tcPr>
                <w:p w14:paraId="4CFE6A26" w14:textId="77777777" w:rsidR="00A03D18" w:rsidRPr="00A03D18" w:rsidRDefault="00A03D18" w:rsidP="00FB7D8C">
                  <w:pPr>
                    <w:tabs>
                      <w:tab w:val="left" w:pos="354"/>
                    </w:tabs>
                    <w:spacing w:before="60" w:after="60" w:line="259" w:lineRule="auto"/>
                    <w:rPr>
                      <w:rFonts w:ascii="Arial" w:hAnsi="Arial" w:cs="Arial"/>
                    </w:rPr>
                  </w:pPr>
                </w:p>
              </w:tc>
            </w:tr>
            <w:tr w:rsidR="00A03D18" w:rsidRPr="00A03D18" w14:paraId="2C142899" w14:textId="77777777" w:rsidTr="00A80A87">
              <w:trPr>
                <w:trHeight w:val="269"/>
                <w:jc w:val="center"/>
              </w:trPr>
              <w:tc>
                <w:tcPr>
                  <w:tcW w:w="2970" w:type="dxa"/>
                  <w:shd w:val="clear" w:color="auto" w:fill="auto"/>
                  <w:vAlign w:val="center"/>
                </w:tcPr>
                <w:p w14:paraId="0DCC9888" w14:textId="77777777" w:rsidR="00A03D18" w:rsidRPr="00A03D18" w:rsidRDefault="00A03D18" w:rsidP="00FB7D8C">
                  <w:pPr>
                    <w:tabs>
                      <w:tab w:val="left" w:pos="354"/>
                    </w:tabs>
                    <w:spacing w:before="60" w:after="60" w:line="259" w:lineRule="auto"/>
                    <w:rPr>
                      <w:rFonts w:ascii="Arial" w:hAnsi="Arial" w:cs="Arial"/>
                      <w:b/>
                    </w:rPr>
                  </w:pPr>
                  <w:r w:rsidRPr="00A03D18">
                    <w:rPr>
                      <w:rFonts w:ascii="Arial" w:hAnsi="Arial" w:cs="Arial"/>
                      <w:b/>
                    </w:rPr>
                    <w:t>Name:</w:t>
                  </w:r>
                </w:p>
              </w:tc>
              <w:tc>
                <w:tcPr>
                  <w:tcW w:w="5191" w:type="dxa"/>
                  <w:gridSpan w:val="2"/>
                  <w:shd w:val="clear" w:color="auto" w:fill="auto"/>
                  <w:vAlign w:val="center"/>
                </w:tcPr>
                <w:p w14:paraId="7D046142" w14:textId="77777777" w:rsidR="00A03D18" w:rsidRPr="00A03D18" w:rsidRDefault="00CE71C4" w:rsidP="00FB7D8C">
                  <w:pPr>
                    <w:tabs>
                      <w:tab w:val="left" w:pos="354"/>
                    </w:tabs>
                    <w:spacing w:before="60" w:after="60" w:line="259" w:lineRule="auto"/>
                    <w:rPr>
                      <w:rFonts w:ascii="Arial" w:hAnsi="Arial" w:cs="Arial"/>
                    </w:rPr>
                  </w:pPr>
                  <w:r>
                    <w:rPr>
                      <w:rFonts w:ascii="Arial" w:hAnsi="Arial" w:cs="Arial"/>
                    </w:rPr>
                    <w:t>Kelvin Menon</w:t>
                  </w:r>
                </w:p>
              </w:tc>
            </w:tr>
            <w:tr w:rsidR="00A03D18" w:rsidRPr="00A03D18" w14:paraId="1077A95B" w14:textId="77777777" w:rsidTr="00A80A87">
              <w:trPr>
                <w:trHeight w:val="269"/>
                <w:jc w:val="center"/>
              </w:trPr>
              <w:tc>
                <w:tcPr>
                  <w:tcW w:w="2970" w:type="dxa"/>
                  <w:shd w:val="clear" w:color="auto" w:fill="auto"/>
                  <w:vAlign w:val="center"/>
                </w:tcPr>
                <w:p w14:paraId="1C6646BB" w14:textId="77777777" w:rsidR="00A03D18" w:rsidRPr="00A03D18" w:rsidRDefault="00A03D18" w:rsidP="00FB7D8C">
                  <w:pPr>
                    <w:tabs>
                      <w:tab w:val="left" w:pos="354"/>
                    </w:tabs>
                    <w:spacing w:before="60" w:after="60" w:line="259" w:lineRule="auto"/>
                    <w:rPr>
                      <w:rFonts w:ascii="Arial" w:hAnsi="Arial" w:cs="Arial"/>
                      <w:b/>
                    </w:rPr>
                  </w:pPr>
                  <w:r w:rsidRPr="00A03D18">
                    <w:rPr>
                      <w:rFonts w:ascii="Arial" w:hAnsi="Arial" w:cs="Arial"/>
                      <w:b/>
                    </w:rPr>
                    <w:t>Job Title:</w:t>
                  </w:r>
                </w:p>
              </w:tc>
              <w:tc>
                <w:tcPr>
                  <w:tcW w:w="5191" w:type="dxa"/>
                  <w:gridSpan w:val="2"/>
                  <w:shd w:val="clear" w:color="auto" w:fill="auto"/>
                  <w:vAlign w:val="center"/>
                </w:tcPr>
                <w:p w14:paraId="1AB442E9" w14:textId="77777777" w:rsidR="00A03D18" w:rsidRPr="00A03D18" w:rsidRDefault="00A03D18" w:rsidP="00FB7D8C">
                  <w:pPr>
                    <w:tabs>
                      <w:tab w:val="left" w:pos="354"/>
                    </w:tabs>
                    <w:spacing w:before="60" w:after="60" w:line="259" w:lineRule="auto"/>
                    <w:rPr>
                      <w:rFonts w:ascii="Arial" w:hAnsi="Arial" w:cs="Arial"/>
                    </w:rPr>
                  </w:pPr>
                  <w:r w:rsidRPr="00A03D18">
                    <w:rPr>
                      <w:rFonts w:ascii="Arial" w:hAnsi="Arial" w:cs="Arial"/>
                    </w:rPr>
                    <w:t>PCC Treasurer</w:t>
                  </w:r>
                </w:p>
              </w:tc>
            </w:tr>
            <w:tr w:rsidR="00A03D18" w:rsidRPr="00A03D18" w14:paraId="63787AD7" w14:textId="77777777" w:rsidTr="00A80A87">
              <w:trPr>
                <w:trHeight w:val="269"/>
                <w:jc w:val="center"/>
              </w:trPr>
              <w:tc>
                <w:tcPr>
                  <w:tcW w:w="2970" w:type="dxa"/>
                  <w:shd w:val="clear" w:color="auto" w:fill="auto"/>
                  <w:vAlign w:val="center"/>
                </w:tcPr>
                <w:p w14:paraId="59A8D130" w14:textId="77777777" w:rsidR="00A03D18" w:rsidRPr="00A03D18" w:rsidRDefault="00A03D18" w:rsidP="00FB7D8C">
                  <w:pPr>
                    <w:tabs>
                      <w:tab w:val="left" w:pos="354"/>
                    </w:tabs>
                    <w:spacing w:before="60" w:after="60" w:line="259" w:lineRule="auto"/>
                    <w:rPr>
                      <w:rFonts w:ascii="Arial" w:hAnsi="Arial" w:cs="Arial"/>
                      <w:b/>
                    </w:rPr>
                  </w:pPr>
                  <w:r w:rsidRPr="00A03D18">
                    <w:rPr>
                      <w:rFonts w:ascii="Arial" w:hAnsi="Arial" w:cs="Arial"/>
                      <w:b/>
                    </w:rPr>
                    <w:t>Telephone number:</w:t>
                  </w:r>
                </w:p>
              </w:tc>
              <w:tc>
                <w:tcPr>
                  <w:tcW w:w="5191" w:type="dxa"/>
                  <w:gridSpan w:val="2"/>
                  <w:shd w:val="clear" w:color="auto" w:fill="auto"/>
                  <w:vAlign w:val="center"/>
                </w:tcPr>
                <w:p w14:paraId="3C6E0311" w14:textId="77777777" w:rsidR="00A03D18" w:rsidRPr="00A03D18" w:rsidRDefault="00A03D18" w:rsidP="00FB7D8C">
                  <w:pPr>
                    <w:tabs>
                      <w:tab w:val="left" w:pos="354"/>
                    </w:tabs>
                    <w:spacing w:before="60" w:after="60" w:line="259" w:lineRule="auto"/>
                    <w:rPr>
                      <w:rFonts w:ascii="Arial" w:hAnsi="Arial" w:cs="Arial"/>
                    </w:rPr>
                  </w:pPr>
                  <w:r w:rsidRPr="00A03D18">
                    <w:rPr>
                      <w:rFonts w:ascii="Arial" w:hAnsi="Arial" w:cs="Arial"/>
                    </w:rPr>
                    <w:t>01483 638724</w:t>
                  </w:r>
                </w:p>
              </w:tc>
            </w:tr>
            <w:tr w:rsidR="00A03D18" w:rsidRPr="00A03D18" w14:paraId="43D9B6CC" w14:textId="77777777" w:rsidTr="00A80A87">
              <w:trPr>
                <w:trHeight w:val="277"/>
                <w:jc w:val="center"/>
              </w:trPr>
              <w:tc>
                <w:tcPr>
                  <w:tcW w:w="2970" w:type="dxa"/>
                  <w:shd w:val="clear" w:color="auto" w:fill="auto"/>
                  <w:vAlign w:val="center"/>
                </w:tcPr>
                <w:p w14:paraId="200D77E1" w14:textId="77777777" w:rsidR="00A03D18" w:rsidRPr="00A03D18" w:rsidRDefault="00A03D18" w:rsidP="00FB7D8C">
                  <w:pPr>
                    <w:tabs>
                      <w:tab w:val="left" w:pos="354"/>
                    </w:tabs>
                    <w:spacing w:before="60" w:after="60" w:line="259" w:lineRule="auto"/>
                    <w:rPr>
                      <w:rFonts w:ascii="Arial" w:hAnsi="Arial" w:cs="Arial"/>
                      <w:b/>
                    </w:rPr>
                  </w:pPr>
                  <w:r w:rsidRPr="00A03D18">
                    <w:rPr>
                      <w:rFonts w:ascii="Arial" w:hAnsi="Arial" w:cs="Arial"/>
                      <w:b/>
                    </w:rPr>
                    <w:t>Email address:</w:t>
                  </w:r>
                </w:p>
              </w:tc>
              <w:tc>
                <w:tcPr>
                  <w:tcW w:w="5191" w:type="dxa"/>
                  <w:gridSpan w:val="2"/>
                  <w:shd w:val="clear" w:color="auto" w:fill="auto"/>
                  <w:vAlign w:val="center"/>
                </w:tcPr>
                <w:p w14:paraId="3FBCAA30" w14:textId="77777777" w:rsidR="00A03D18" w:rsidRPr="00A03D18" w:rsidRDefault="00CE71C4" w:rsidP="00FB7D8C">
                  <w:pPr>
                    <w:tabs>
                      <w:tab w:val="left" w:pos="354"/>
                    </w:tabs>
                    <w:spacing w:before="60" w:after="60" w:line="259" w:lineRule="auto"/>
                    <w:rPr>
                      <w:rFonts w:ascii="Arial" w:hAnsi="Arial" w:cs="Arial"/>
                    </w:rPr>
                  </w:pPr>
                  <w:r>
                    <w:rPr>
                      <w:rFonts w:ascii="Arial" w:hAnsi="Arial" w:cs="Arial"/>
                    </w:rPr>
                    <w:t>Kelvin.Menon</w:t>
                  </w:r>
                  <w:r w:rsidR="00A03D18" w:rsidRPr="00A03D18">
                    <w:rPr>
                      <w:rFonts w:ascii="Arial" w:hAnsi="Arial" w:cs="Arial"/>
                    </w:rPr>
                    <w:t>@surrey.pnn.police.uk</w:t>
                  </w:r>
                </w:p>
              </w:tc>
            </w:tr>
          </w:tbl>
          <w:p w14:paraId="12469544" w14:textId="77777777" w:rsidR="00A03D18" w:rsidRPr="00A03D18" w:rsidRDefault="00E30741" w:rsidP="00FB7D8C">
            <w:pPr>
              <w:tabs>
                <w:tab w:val="left" w:pos="354"/>
              </w:tabs>
              <w:spacing w:after="160" w:line="259" w:lineRule="auto"/>
              <w:jc w:val="center"/>
              <w:rPr>
                <w:rFonts w:ascii="Arial" w:hAnsi="Arial" w:cs="Arial"/>
                <w:lang w:eastAsia="en-GB"/>
              </w:rPr>
            </w:pPr>
            <w:r w:rsidRPr="00A03D18">
              <w:rPr>
                <w:rFonts w:ascii="Arial" w:hAnsi="Arial" w:cs="Arial"/>
                <w:noProof/>
                <w:lang w:eastAsia="en-GB"/>
              </w:rPr>
              <w:drawing>
                <wp:inline distT="0" distB="0" distL="0" distR="0" wp14:anchorId="5D8EB53C" wp14:editId="46CBBA0E">
                  <wp:extent cx="2282190" cy="1787525"/>
                  <wp:effectExtent l="0" t="0" r="3810" b="3175"/>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190" cy="1787525"/>
                          </a:xfrm>
                          <a:prstGeom prst="rect">
                            <a:avLst/>
                          </a:prstGeom>
                          <a:noFill/>
                          <a:ln>
                            <a:noFill/>
                          </a:ln>
                        </pic:spPr>
                      </pic:pic>
                    </a:graphicData>
                  </a:graphic>
                </wp:inline>
              </w:drawing>
            </w:r>
          </w:p>
        </w:tc>
      </w:tr>
    </w:tbl>
    <w:p w14:paraId="79E4B927" w14:textId="77777777" w:rsidR="000F1771" w:rsidRPr="000F1771" w:rsidRDefault="000F1771" w:rsidP="000F1771">
      <w:pPr>
        <w:tabs>
          <w:tab w:val="right" w:pos="8306"/>
        </w:tabs>
        <w:spacing w:after="0" w:line="240" w:lineRule="auto"/>
        <w:jc w:val="both"/>
        <w:rPr>
          <w:rFonts w:ascii="Arial" w:eastAsia="Times New Roman" w:hAnsi="Arial" w:cs="Arial"/>
          <w:b/>
          <w:sz w:val="24"/>
          <w:szCs w:val="20"/>
          <w:lang w:eastAsia="en-GB"/>
        </w:rPr>
      </w:pPr>
      <w:r w:rsidRPr="000F1771">
        <w:rPr>
          <w:rFonts w:ascii="Arial" w:eastAsia="Times New Roman" w:hAnsi="Arial" w:cs="Arial"/>
          <w:b/>
          <w:sz w:val="24"/>
          <w:szCs w:val="20"/>
          <w:lang w:eastAsia="en-GB"/>
        </w:rPr>
        <w:tab/>
      </w:r>
    </w:p>
    <w:p w14:paraId="56A013F7" w14:textId="77777777" w:rsidR="000F1771" w:rsidRPr="000F1771" w:rsidRDefault="000F1771" w:rsidP="000F1771">
      <w:pPr>
        <w:tabs>
          <w:tab w:val="left" w:pos="5760"/>
        </w:tabs>
        <w:spacing w:after="0" w:line="240" w:lineRule="auto"/>
        <w:jc w:val="both"/>
        <w:rPr>
          <w:rFonts w:ascii="Times New Roman" w:eastAsia="Times New Roman" w:hAnsi="Times New Roman"/>
          <w:b/>
          <w:sz w:val="24"/>
          <w:szCs w:val="20"/>
          <w:lang w:eastAsia="en-GB"/>
        </w:rPr>
      </w:pPr>
    </w:p>
    <w:p w14:paraId="562ABBE0" w14:textId="77777777" w:rsidR="000F1771" w:rsidRPr="000F1771" w:rsidRDefault="00DD24DC" w:rsidP="000F1771">
      <w:pPr>
        <w:spacing w:after="0" w:line="240" w:lineRule="auto"/>
        <w:ind w:left="1276" w:hanging="1276"/>
        <w:jc w:val="both"/>
        <w:rPr>
          <w:rFonts w:ascii="Arial" w:eastAsia="Times New Roman" w:hAnsi="Arial" w:cs="Arial"/>
          <w:b/>
          <w:sz w:val="24"/>
          <w:szCs w:val="20"/>
          <w:lang w:eastAsia="en-GB"/>
        </w:rPr>
      </w:pPr>
      <w:r>
        <w:rPr>
          <w:rFonts w:ascii="Arial" w:eastAsia="Times New Roman" w:hAnsi="Arial" w:cs="Arial"/>
          <w:b/>
          <w:sz w:val="24"/>
          <w:szCs w:val="20"/>
          <w:lang w:eastAsia="en-GB"/>
        </w:rPr>
        <w:br w:type="page"/>
      </w:r>
      <w:r w:rsidR="000F1771" w:rsidRPr="000F1771">
        <w:rPr>
          <w:rFonts w:ascii="Arial" w:eastAsia="Times New Roman" w:hAnsi="Arial" w:cs="Arial"/>
          <w:b/>
          <w:sz w:val="24"/>
          <w:szCs w:val="20"/>
          <w:lang w:eastAsia="en-GB"/>
        </w:rPr>
        <w:lastRenderedPageBreak/>
        <w:t xml:space="preserve">Summary: </w:t>
      </w:r>
    </w:p>
    <w:p w14:paraId="407675B7" w14:textId="77777777" w:rsidR="000F1771" w:rsidRPr="000F1771" w:rsidRDefault="000F1771" w:rsidP="000F1771">
      <w:pPr>
        <w:spacing w:after="0" w:line="240" w:lineRule="auto"/>
        <w:ind w:left="1276" w:hanging="1276"/>
        <w:jc w:val="both"/>
        <w:rPr>
          <w:rFonts w:ascii="Arial" w:eastAsia="Times New Roman" w:hAnsi="Arial" w:cs="Arial"/>
          <w:sz w:val="24"/>
          <w:szCs w:val="20"/>
          <w:highlight w:val="lightGray"/>
          <w:lang w:eastAsia="en-GB"/>
        </w:rPr>
      </w:pPr>
    </w:p>
    <w:p w14:paraId="1B8EB231" w14:textId="77777777" w:rsidR="000F1771" w:rsidRDefault="000F1771" w:rsidP="000F1771">
      <w:pPr>
        <w:spacing w:after="0" w:line="360" w:lineRule="auto"/>
        <w:jc w:val="both"/>
        <w:rPr>
          <w:rFonts w:ascii="Arial" w:eastAsia="Times New Roman" w:hAnsi="Arial" w:cs="Arial"/>
          <w:lang w:eastAsia="en-GB"/>
        </w:rPr>
      </w:pPr>
      <w:r w:rsidRPr="00710A8D">
        <w:rPr>
          <w:rFonts w:ascii="Arial" w:eastAsia="Times New Roman" w:hAnsi="Arial" w:cs="Arial"/>
          <w:lang w:eastAsia="en-GB"/>
        </w:rPr>
        <w:t>This report contains a summary of treasury management</w:t>
      </w:r>
      <w:r w:rsidR="006021B3">
        <w:rPr>
          <w:rFonts w:ascii="Arial" w:eastAsia="Times New Roman" w:hAnsi="Arial" w:cs="Arial"/>
          <w:lang w:eastAsia="en-GB"/>
        </w:rPr>
        <w:t xml:space="preserve"> performance</w:t>
      </w:r>
      <w:r w:rsidR="00866E8F" w:rsidRPr="00710A8D">
        <w:rPr>
          <w:rFonts w:ascii="Arial" w:eastAsia="Times New Roman" w:hAnsi="Arial" w:cs="Arial"/>
          <w:lang w:eastAsia="en-GB"/>
        </w:rPr>
        <w:t xml:space="preserve"> activity undertaken</w:t>
      </w:r>
      <w:r w:rsidR="00E64671">
        <w:rPr>
          <w:rFonts w:ascii="Arial" w:eastAsia="Times New Roman" w:hAnsi="Arial" w:cs="Arial"/>
          <w:lang w:eastAsia="en-GB"/>
        </w:rPr>
        <w:t xml:space="preserve"> during </w:t>
      </w:r>
      <w:r w:rsidR="004F6B50">
        <w:rPr>
          <w:rFonts w:ascii="Arial" w:eastAsia="Times New Roman" w:hAnsi="Arial" w:cs="Arial"/>
          <w:lang w:eastAsia="en-GB"/>
        </w:rPr>
        <w:t>20</w:t>
      </w:r>
      <w:r w:rsidR="00E15181">
        <w:rPr>
          <w:rFonts w:ascii="Arial" w:eastAsia="Times New Roman" w:hAnsi="Arial" w:cs="Arial"/>
          <w:lang w:eastAsia="en-GB"/>
        </w:rPr>
        <w:t>20</w:t>
      </w:r>
      <w:r w:rsidR="006528F0">
        <w:rPr>
          <w:rFonts w:ascii="Arial" w:eastAsia="Times New Roman" w:hAnsi="Arial" w:cs="Arial"/>
          <w:lang w:eastAsia="en-GB"/>
        </w:rPr>
        <w:t>/</w:t>
      </w:r>
      <w:r w:rsidR="00CE71C4">
        <w:rPr>
          <w:rFonts w:ascii="Arial" w:eastAsia="Times New Roman" w:hAnsi="Arial" w:cs="Arial"/>
          <w:lang w:eastAsia="en-GB"/>
        </w:rPr>
        <w:t>2</w:t>
      </w:r>
      <w:r w:rsidR="00E15181">
        <w:rPr>
          <w:rFonts w:ascii="Arial" w:eastAsia="Times New Roman" w:hAnsi="Arial" w:cs="Arial"/>
          <w:lang w:eastAsia="en-GB"/>
        </w:rPr>
        <w:t>1</w:t>
      </w:r>
      <w:r w:rsidR="006021B3">
        <w:rPr>
          <w:rFonts w:ascii="Arial" w:eastAsia="Times New Roman" w:hAnsi="Arial" w:cs="Arial"/>
          <w:lang w:eastAsia="en-GB"/>
        </w:rPr>
        <w:t xml:space="preserve"> up to and including 31 March 202</w:t>
      </w:r>
      <w:r w:rsidR="00E15181">
        <w:rPr>
          <w:rFonts w:ascii="Arial" w:eastAsia="Times New Roman" w:hAnsi="Arial" w:cs="Arial"/>
          <w:lang w:eastAsia="en-GB"/>
        </w:rPr>
        <w:t>1</w:t>
      </w:r>
      <w:r w:rsidR="00B2589B" w:rsidRPr="00953829">
        <w:rPr>
          <w:rFonts w:ascii="Arial" w:eastAsia="Times New Roman" w:hAnsi="Arial" w:cs="Arial"/>
          <w:lang w:eastAsia="en-GB"/>
        </w:rPr>
        <w:t>.</w:t>
      </w:r>
    </w:p>
    <w:p w14:paraId="4C56CAEE" w14:textId="77777777" w:rsidR="00B2589B" w:rsidRPr="000F1771" w:rsidRDefault="00B2589B" w:rsidP="000F1771">
      <w:pPr>
        <w:spacing w:after="0" w:line="360" w:lineRule="auto"/>
        <w:jc w:val="both"/>
        <w:rPr>
          <w:rFonts w:ascii="Arial" w:eastAsia="Times New Roman" w:hAnsi="Arial" w:cs="Arial"/>
          <w:lang w:eastAsia="en-GB"/>
        </w:rPr>
      </w:pPr>
    </w:p>
    <w:p w14:paraId="38B3F117" w14:textId="77777777" w:rsidR="000F1771" w:rsidRPr="000F1771" w:rsidRDefault="000F1771" w:rsidP="000F1771">
      <w:pPr>
        <w:spacing w:after="0" w:line="360" w:lineRule="auto"/>
        <w:jc w:val="both"/>
        <w:rPr>
          <w:rFonts w:ascii="Arial" w:eastAsia="Times New Roman" w:hAnsi="Arial" w:cs="Arial"/>
          <w:sz w:val="24"/>
          <w:szCs w:val="20"/>
          <w:lang w:eastAsia="en-GB"/>
        </w:rPr>
      </w:pPr>
      <w:r w:rsidRPr="000F1771">
        <w:rPr>
          <w:rFonts w:ascii="Arial" w:eastAsia="Times New Roman" w:hAnsi="Arial" w:cs="Arial"/>
          <w:lang w:eastAsia="en-GB"/>
        </w:rPr>
        <w:t xml:space="preserve">In </w:t>
      </w:r>
      <w:proofErr w:type="gramStart"/>
      <w:r w:rsidRPr="000F1771">
        <w:rPr>
          <w:rFonts w:ascii="Arial" w:eastAsia="Times New Roman" w:hAnsi="Arial" w:cs="Arial"/>
          <w:lang w:eastAsia="en-GB"/>
        </w:rPr>
        <w:t>ad</w:t>
      </w:r>
      <w:r w:rsidR="0030516C">
        <w:rPr>
          <w:rFonts w:ascii="Arial" w:eastAsia="Times New Roman" w:hAnsi="Arial" w:cs="Arial"/>
          <w:lang w:eastAsia="en-GB"/>
        </w:rPr>
        <w:t>dition</w:t>
      </w:r>
      <w:proofErr w:type="gramEnd"/>
      <w:r w:rsidR="0030516C">
        <w:rPr>
          <w:rFonts w:ascii="Arial" w:eastAsia="Times New Roman" w:hAnsi="Arial" w:cs="Arial"/>
          <w:lang w:eastAsia="en-GB"/>
        </w:rPr>
        <w:t xml:space="preserve"> this report details the s</w:t>
      </w:r>
      <w:r w:rsidRPr="000F1771">
        <w:rPr>
          <w:rFonts w:ascii="Arial" w:eastAsia="Times New Roman" w:hAnsi="Arial" w:cs="Arial"/>
          <w:lang w:eastAsia="en-GB"/>
        </w:rPr>
        <w:t>tatutory requirements of the CIPFA Treasury Management Code of Practice (the Code of Practice)</w:t>
      </w:r>
      <w:r w:rsidR="00866E8F">
        <w:rPr>
          <w:rFonts w:ascii="Arial" w:eastAsia="Times New Roman" w:hAnsi="Arial" w:cs="Arial"/>
          <w:lang w:eastAsia="en-GB"/>
        </w:rPr>
        <w:t>.</w:t>
      </w:r>
      <w:r w:rsidRPr="000F1771">
        <w:rPr>
          <w:rFonts w:ascii="Arial" w:eastAsia="Times New Roman" w:hAnsi="Arial" w:cs="Arial"/>
          <w:lang w:eastAsia="en-GB"/>
        </w:rPr>
        <w:t xml:space="preserve"> </w:t>
      </w:r>
    </w:p>
    <w:p w14:paraId="6A34D705" w14:textId="77777777" w:rsidR="000F1771" w:rsidRPr="000F1771" w:rsidRDefault="000F1771" w:rsidP="000F1771">
      <w:pPr>
        <w:tabs>
          <w:tab w:val="left" w:pos="720"/>
          <w:tab w:val="left" w:pos="5760"/>
        </w:tabs>
        <w:spacing w:after="0" w:line="240" w:lineRule="auto"/>
        <w:jc w:val="both"/>
        <w:rPr>
          <w:rFonts w:ascii="Arial" w:eastAsia="Times New Roman" w:hAnsi="Arial" w:cs="Arial"/>
          <w:b/>
          <w:sz w:val="24"/>
          <w:szCs w:val="20"/>
          <w:lang w:eastAsia="en-GB"/>
        </w:rPr>
      </w:pPr>
      <w:r w:rsidRPr="000F1771">
        <w:rPr>
          <w:rFonts w:ascii="Arial" w:eastAsia="Times New Roman" w:hAnsi="Arial" w:cs="Arial"/>
          <w:b/>
          <w:sz w:val="24"/>
          <w:szCs w:val="20"/>
          <w:lang w:eastAsia="en-GB"/>
        </w:rPr>
        <w:t>__________________________________________________________________</w:t>
      </w:r>
    </w:p>
    <w:p w14:paraId="0829C897" w14:textId="77777777" w:rsidR="000F1771" w:rsidRPr="000F1771" w:rsidRDefault="000F1771" w:rsidP="000F1771">
      <w:pPr>
        <w:tabs>
          <w:tab w:val="left" w:pos="720"/>
          <w:tab w:val="left" w:pos="5760"/>
        </w:tabs>
        <w:spacing w:after="0" w:line="240" w:lineRule="auto"/>
        <w:jc w:val="both"/>
        <w:rPr>
          <w:rFonts w:ascii="Arial" w:eastAsia="Times New Roman" w:hAnsi="Arial" w:cs="Arial"/>
          <w:sz w:val="24"/>
          <w:szCs w:val="20"/>
          <w:lang w:eastAsia="en-GB"/>
        </w:rPr>
      </w:pPr>
    </w:p>
    <w:p w14:paraId="4601004D" w14:textId="77777777" w:rsidR="000F1771" w:rsidRPr="000F1771" w:rsidRDefault="000F1771" w:rsidP="000F1771">
      <w:pPr>
        <w:tabs>
          <w:tab w:val="left" w:pos="720"/>
          <w:tab w:val="left" w:pos="5760"/>
        </w:tabs>
        <w:spacing w:after="0" w:line="240" w:lineRule="auto"/>
        <w:jc w:val="both"/>
        <w:rPr>
          <w:rFonts w:ascii="Arial" w:eastAsia="Times New Roman" w:hAnsi="Arial" w:cs="Arial"/>
          <w:b/>
          <w:sz w:val="24"/>
          <w:szCs w:val="20"/>
          <w:lang w:eastAsia="en-GB"/>
        </w:rPr>
      </w:pPr>
      <w:r w:rsidRPr="000F1771">
        <w:rPr>
          <w:rFonts w:ascii="Arial" w:eastAsia="Times New Roman" w:hAnsi="Arial" w:cs="Arial"/>
          <w:b/>
          <w:sz w:val="24"/>
          <w:szCs w:val="20"/>
          <w:lang w:eastAsia="en-GB"/>
        </w:rPr>
        <w:t xml:space="preserve">Recommendation(s) -  </w:t>
      </w:r>
    </w:p>
    <w:p w14:paraId="2F7573B3" w14:textId="77777777" w:rsidR="000F1771" w:rsidRPr="000F1771" w:rsidRDefault="000F1771" w:rsidP="000F1771">
      <w:pPr>
        <w:tabs>
          <w:tab w:val="left" w:pos="720"/>
          <w:tab w:val="left" w:pos="5760"/>
        </w:tabs>
        <w:spacing w:after="0" w:line="240" w:lineRule="auto"/>
        <w:jc w:val="both"/>
        <w:rPr>
          <w:rFonts w:ascii="Arial" w:eastAsia="Times New Roman" w:hAnsi="Arial" w:cs="Arial"/>
          <w:i/>
          <w:sz w:val="24"/>
          <w:szCs w:val="20"/>
          <w:lang w:eastAsia="en-GB"/>
        </w:rPr>
      </w:pPr>
    </w:p>
    <w:p w14:paraId="47E458D1" w14:textId="77777777" w:rsidR="000F1771" w:rsidRPr="000F1771" w:rsidRDefault="000F1771" w:rsidP="000F1771">
      <w:pPr>
        <w:tabs>
          <w:tab w:val="left" w:pos="720"/>
          <w:tab w:val="left" w:pos="5760"/>
        </w:tabs>
        <w:spacing w:after="0" w:line="240" w:lineRule="auto"/>
        <w:jc w:val="both"/>
        <w:rPr>
          <w:rFonts w:ascii="Arial" w:eastAsia="Times New Roman" w:hAnsi="Arial" w:cs="Arial"/>
          <w:sz w:val="24"/>
          <w:szCs w:val="20"/>
          <w:lang w:eastAsia="en-GB"/>
        </w:rPr>
      </w:pPr>
      <w:r w:rsidRPr="000F1771">
        <w:rPr>
          <w:rFonts w:ascii="Arial" w:eastAsia="Times New Roman" w:hAnsi="Arial" w:cs="Arial"/>
          <w:lang w:eastAsia="en-GB"/>
        </w:rPr>
        <w:t>The PCC is asked to note the contents of this report.</w:t>
      </w:r>
    </w:p>
    <w:p w14:paraId="1E302C02" w14:textId="77777777" w:rsidR="000F1771" w:rsidRPr="000F1771" w:rsidRDefault="000F1771" w:rsidP="000F1771">
      <w:pPr>
        <w:tabs>
          <w:tab w:val="left" w:pos="720"/>
          <w:tab w:val="left" w:pos="5760"/>
        </w:tabs>
        <w:spacing w:after="0" w:line="240" w:lineRule="auto"/>
        <w:jc w:val="both"/>
        <w:rPr>
          <w:rFonts w:ascii="Arial" w:eastAsia="Times New Roman" w:hAnsi="Arial" w:cs="Arial"/>
          <w:b/>
          <w:sz w:val="24"/>
          <w:szCs w:val="20"/>
          <w:lang w:eastAsia="en-GB"/>
        </w:rPr>
      </w:pPr>
      <w:r w:rsidRPr="000F1771">
        <w:rPr>
          <w:rFonts w:ascii="Arial" w:eastAsia="Times New Roman" w:hAnsi="Arial" w:cs="Arial"/>
          <w:b/>
          <w:sz w:val="24"/>
          <w:szCs w:val="20"/>
          <w:lang w:eastAsia="en-GB"/>
        </w:rPr>
        <w:t>__________________________________________________________________</w:t>
      </w:r>
    </w:p>
    <w:p w14:paraId="391519A6" w14:textId="77777777" w:rsidR="000F1771" w:rsidRPr="000F1771" w:rsidRDefault="000F1771" w:rsidP="000F1771">
      <w:pPr>
        <w:tabs>
          <w:tab w:val="left" w:pos="720"/>
          <w:tab w:val="left" w:pos="5760"/>
        </w:tabs>
        <w:spacing w:after="0" w:line="240" w:lineRule="auto"/>
        <w:jc w:val="both"/>
        <w:rPr>
          <w:rFonts w:ascii="Arial" w:eastAsia="Times New Roman" w:hAnsi="Arial" w:cs="Arial"/>
          <w:i/>
          <w:sz w:val="24"/>
          <w:szCs w:val="20"/>
          <w:lang w:eastAsia="en-GB"/>
        </w:rPr>
      </w:pPr>
    </w:p>
    <w:p w14:paraId="7985D5BC" w14:textId="77777777" w:rsidR="000F1771" w:rsidRDefault="000F1771" w:rsidP="000F1771">
      <w:pPr>
        <w:spacing w:after="0" w:line="360" w:lineRule="auto"/>
        <w:ind w:left="709" w:hanging="709"/>
        <w:jc w:val="both"/>
        <w:rPr>
          <w:rFonts w:ascii="Arial" w:eastAsia="Times New Roman" w:hAnsi="Arial" w:cs="Arial"/>
          <w:lang w:eastAsia="en-GB"/>
        </w:rPr>
      </w:pPr>
    </w:p>
    <w:p w14:paraId="1E6584BC" w14:textId="77777777" w:rsidR="00866E8F" w:rsidRPr="000F1771" w:rsidRDefault="00866E8F" w:rsidP="000F1771">
      <w:pPr>
        <w:spacing w:after="0" w:line="360" w:lineRule="auto"/>
        <w:ind w:left="709" w:hanging="709"/>
        <w:jc w:val="both"/>
        <w:rPr>
          <w:rFonts w:ascii="Arial" w:eastAsia="Times New Roman" w:hAnsi="Arial" w:cs="Arial"/>
          <w:lang w:eastAsia="en-GB"/>
        </w:rPr>
      </w:pPr>
    </w:p>
    <w:p w14:paraId="37A1E874" w14:textId="77777777" w:rsidR="00C70C95" w:rsidRDefault="00C70C95" w:rsidP="000F1771">
      <w:pPr>
        <w:tabs>
          <w:tab w:val="left" w:pos="720"/>
          <w:tab w:val="left" w:pos="5760"/>
        </w:tabs>
        <w:spacing w:after="0" w:line="240" w:lineRule="auto"/>
        <w:jc w:val="both"/>
        <w:rPr>
          <w:rFonts w:ascii="Arial" w:eastAsia="Times New Roman" w:hAnsi="Arial" w:cs="Arial"/>
          <w:lang w:eastAsia="en-GB"/>
        </w:rPr>
      </w:pPr>
    </w:p>
    <w:p w14:paraId="595F80E8" w14:textId="77777777" w:rsidR="00C70C95" w:rsidRDefault="00C70C95" w:rsidP="000F1771">
      <w:pPr>
        <w:tabs>
          <w:tab w:val="left" w:pos="720"/>
          <w:tab w:val="left" w:pos="5760"/>
        </w:tabs>
        <w:spacing w:after="0" w:line="240" w:lineRule="auto"/>
        <w:jc w:val="both"/>
        <w:rPr>
          <w:rFonts w:ascii="Arial" w:eastAsia="Times New Roman" w:hAnsi="Arial" w:cs="Arial"/>
          <w:b/>
          <w:sz w:val="24"/>
          <w:szCs w:val="20"/>
          <w:lang w:eastAsia="en-GB"/>
        </w:rPr>
      </w:pPr>
    </w:p>
    <w:p w14:paraId="3FE12B28" w14:textId="77777777" w:rsidR="00C70C95" w:rsidRDefault="00C70C95" w:rsidP="000F1771">
      <w:pPr>
        <w:tabs>
          <w:tab w:val="left" w:pos="720"/>
          <w:tab w:val="left" w:pos="5760"/>
        </w:tabs>
        <w:spacing w:after="0" w:line="240" w:lineRule="auto"/>
        <w:jc w:val="both"/>
        <w:rPr>
          <w:rFonts w:ascii="Arial" w:eastAsia="Times New Roman" w:hAnsi="Arial" w:cs="Arial"/>
          <w:b/>
          <w:sz w:val="24"/>
          <w:szCs w:val="20"/>
          <w:lang w:eastAsia="en-GB"/>
        </w:rPr>
      </w:pPr>
    </w:p>
    <w:p w14:paraId="3C41866E" w14:textId="77777777" w:rsidR="00C70C95" w:rsidRDefault="00C70C95" w:rsidP="000F1771">
      <w:pPr>
        <w:tabs>
          <w:tab w:val="left" w:pos="720"/>
          <w:tab w:val="left" w:pos="5760"/>
        </w:tabs>
        <w:spacing w:after="0" w:line="240" w:lineRule="auto"/>
        <w:jc w:val="both"/>
        <w:rPr>
          <w:rFonts w:ascii="Arial" w:eastAsia="Times New Roman" w:hAnsi="Arial" w:cs="Arial"/>
          <w:b/>
          <w:sz w:val="24"/>
          <w:szCs w:val="20"/>
          <w:lang w:eastAsia="en-GB"/>
        </w:rPr>
      </w:pPr>
    </w:p>
    <w:p w14:paraId="38CF0F31" w14:textId="77777777" w:rsidR="00C70C95" w:rsidRDefault="00C70C95" w:rsidP="000F1771">
      <w:pPr>
        <w:tabs>
          <w:tab w:val="left" w:pos="720"/>
          <w:tab w:val="left" w:pos="5760"/>
        </w:tabs>
        <w:spacing w:after="0" w:line="240" w:lineRule="auto"/>
        <w:jc w:val="both"/>
        <w:rPr>
          <w:rFonts w:ascii="Arial" w:eastAsia="Times New Roman" w:hAnsi="Arial" w:cs="Arial"/>
          <w:b/>
          <w:sz w:val="24"/>
          <w:szCs w:val="20"/>
          <w:lang w:eastAsia="en-GB"/>
        </w:rPr>
      </w:pPr>
    </w:p>
    <w:p w14:paraId="7A868D7C" w14:textId="77777777" w:rsidR="00C70C95" w:rsidRDefault="00C70C95" w:rsidP="000F1771">
      <w:pPr>
        <w:tabs>
          <w:tab w:val="left" w:pos="720"/>
          <w:tab w:val="left" w:pos="5760"/>
        </w:tabs>
        <w:spacing w:after="0" w:line="240" w:lineRule="auto"/>
        <w:jc w:val="both"/>
        <w:rPr>
          <w:rFonts w:ascii="Arial" w:eastAsia="Times New Roman" w:hAnsi="Arial" w:cs="Arial"/>
          <w:b/>
          <w:sz w:val="24"/>
          <w:szCs w:val="20"/>
          <w:lang w:eastAsia="en-GB"/>
        </w:rPr>
      </w:pPr>
    </w:p>
    <w:p w14:paraId="16EEC137" w14:textId="77777777" w:rsidR="003A103C" w:rsidRDefault="003A103C" w:rsidP="000F1771">
      <w:pPr>
        <w:tabs>
          <w:tab w:val="left" w:pos="720"/>
          <w:tab w:val="left" w:pos="5760"/>
        </w:tabs>
        <w:spacing w:after="0" w:line="240" w:lineRule="auto"/>
        <w:jc w:val="both"/>
        <w:rPr>
          <w:rFonts w:ascii="Arial" w:eastAsia="Times New Roman" w:hAnsi="Arial" w:cs="Arial"/>
          <w:b/>
          <w:sz w:val="24"/>
          <w:szCs w:val="20"/>
          <w:lang w:eastAsia="en-GB"/>
        </w:rPr>
      </w:pPr>
    </w:p>
    <w:p w14:paraId="6077157F" w14:textId="77777777" w:rsidR="005275D5" w:rsidRDefault="005275D5" w:rsidP="000F1771">
      <w:pPr>
        <w:tabs>
          <w:tab w:val="left" w:pos="720"/>
          <w:tab w:val="left" w:pos="5760"/>
        </w:tabs>
        <w:spacing w:after="0" w:line="240" w:lineRule="auto"/>
        <w:jc w:val="both"/>
        <w:rPr>
          <w:rFonts w:ascii="Arial" w:eastAsia="Times New Roman" w:hAnsi="Arial" w:cs="Arial"/>
          <w:b/>
          <w:sz w:val="24"/>
          <w:szCs w:val="20"/>
          <w:lang w:eastAsia="en-GB"/>
        </w:rPr>
      </w:pPr>
    </w:p>
    <w:p w14:paraId="5380A405" w14:textId="77777777" w:rsidR="005275D5" w:rsidRDefault="005275D5" w:rsidP="000F1771">
      <w:pPr>
        <w:tabs>
          <w:tab w:val="left" w:pos="720"/>
          <w:tab w:val="left" w:pos="5760"/>
        </w:tabs>
        <w:spacing w:after="0" w:line="240" w:lineRule="auto"/>
        <w:jc w:val="both"/>
        <w:rPr>
          <w:rFonts w:ascii="Arial" w:eastAsia="Times New Roman" w:hAnsi="Arial" w:cs="Arial"/>
          <w:b/>
          <w:sz w:val="24"/>
          <w:szCs w:val="20"/>
          <w:lang w:eastAsia="en-GB"/>
        </w:rPr>
      </w:pPr>
    </w:p>
    <w:p w14:paraId="09212977" w14:textId="77777777" w:rsidR="005275D5" w:rsidRDefault="005275D5" w:rsidP="000F1771">
      <w:pPr>
        <w:tabs>
          <w:tab w:val="left" w:pos="720"/>
          <w:tab w:val="left" w:pos="5760"/>
        </w:tabs>
        <w:spacing w:after="0" w:line="240" w:lineRule="auto"/>
        <w:jc w:val="both"/>
        <w:rPr>
          <w:rFonts w:ascii="Arial" w:eastAsia="Times New Roman" w:hAnsi="Arial" w:cs="Arial"/>
          <w:b/>
          <w:sz w:val="24"/>
          <w:szCs w:val="20"/>
          <w:lang w:eastAsia="en-GB"/>
        </w:rPr>
      </w:pPr>
    </w:p>
    <w:p w14:paraId="58405EF2" w14:textId="77777777" w:rsidR="003A103C" w:rsidRDefault="003A103C" w:rsidP="000F1771">
      <w:pPr>
        <w:tabs>
          <w:tab w:val="left" w:pos="720"/>
          <w:tab w:val="left" w:pos="5760"/>
        </w:tabs>
        <w:spacing w:after="0" w:line="240" w:lineRule="auto"/>
        <w:jc w:val="both"/>
        <w:rPr>
          <w:rFonts w:ascii="Arial" w:eastAsia="Times New Roman" w:hAnsi="Arial" w:cs="Arial"/>
          <w:b/>
          <w:sz w:val="24"/>
          <w:szCs w:val="20"/>
          <w:lang w:eastAsia="en-GB"/>
        </w:rPr>
      </w:pPr>
    </w:p>
    <w:p w14:paraId="388743E7" w14:textId="77777777" w:rsidR="00C70C95" w:rsidRDefault="00C70C95" w:rsidP="000F1771">
      <w:pPr>
        <w:tabs>
          <w:tab w:val="left" w:pos="720"/>
          <w:tab w:val="left" w:pos="5760"/>
        </w:tabs>
        <w:spacing w:after="0" w:line="240" w:lineRule="auto"/>
        <w:jc w:val="both"/>
        <w:rPr>
          <w:rFonts w:ascii="Arial" w:eastAsia="Times New Roman" w:hAnsi="Arial" w:cs="Arial"/>
          <w:b/>
          <w:sz w:val="24"/>
          <w:szCs w:val="20"/>
          <w:lang w:eastAsia="en-GB"/>
        </w:rPr>
      </w:pPr>
    </w:p>
    <w:p w14:paraId="3844D487" w14:textId="77777777" w:rsidR="00C70C95" w:rsidRDefault="00C70C95" w:rsidP="000F1771">
      <w:pPr>
        <w:tabs>
          <w:tab w:val="left" w:pos="720"/>
          <w:tab w:val="left" w:pos="5760"/>
        </w:tabs>
        <w:spacing w:after="0" w:line="240" w:lineRule="auto"/>
        <w:jc w:val="both"/>
        <w:rPr>
          <w:rFonts w:ascii="Arial" w:eastAsia="Times New Roman" w:hAnsi="Arial" w:cs="Arial"/>
          <w:b/>
          <w:sz w:val="24"/>
          <w:szCs w:val="20"/>
          <w:lang w:eastAsia="en-GB"/>
        </w:rPr>
      </w:pPr>
    </w:p>
    <w:p w14:paraId="439A1031" w14:textId="77777777" w:rsidR="000F1771" w:rsidRPr="000F1771" w:rsidRDefault="00E64671" w:rsidP="000F1771">
      <w:pPr>
        <w:tabs>
          <w:tab w:val="left" w:pos="720"/>
          <w:tab w:val="left" w:pos="5760"/>
        </w:tabs>
        <w:spacing w:after="0" w:line="240" w:lineRule="auto"/>
        <w:jc w:val="both"/>
        <w:rPr>
          <w:rFonts w:ascii="Arial" w:eastAsia="Times New Roman" w:hAnsi="Arial" w:cs="Arial"/>
          <w:b/>
          <w:sz w:val="24"/>
          <w:szCs w:val="20"/>
          <w:lang w:eastAsia="en-GB"/>
        </w:rPr>
      </w:pPr>
      <w:r>
        <w:rPr>
          <w:rFonts w:ascii="Arial" w:eastAsia="Times New Roman" w:hAnsi="Arial" w:cs="Arial"/>
          <w:b/>
          <w:sz w:val="24"/>
          <w:szCs w:val="20"/>
          <w:lang w:eastAsia="en-GB"/>
        </w:rPr>
        <w:br w:type="page"/>
      </w:r>
      <w:r w:rsidR="000F1771" w:rsidRPr="000F1771">
        <w:rPr>
          <w:rFonts w:ascii="Arial" w:eastAsia="Times New Roman" w:hAnsi="Arial" w:cs="Arial"/>
          <w:b/>
          <w:sz w:val="24"/>
          <w:szCs w:val="20"/>
          <w:lang w:eastAsia="en-GB"/>
        </w:rPr>
        <w:lastRenderedPageBreak/>
        <w:t>Introduction -</w:t>
      </w:r>
    </w:p>
    <w:p w14:paraId="086BF6C7" w14:textId="77777777" w:rsidR="000F1771" w:rsidRPr="000F1771" w:rsidRDefault="000F1771" w:rsidP="000F1771">
      <w:pPr>
        <w:spacing w:after="0" w:line="360" w:lineRule="auto"/>
        <w:ind w:left="709" w:hanging="709"/>
        <w:jc w:val="both"/>
        <w:rPr>
          <w:rFonts w:ascii="Arial" w:eastAsia="Times New Roman" w:hAnsi="Arial" w:cs="Arial"/>
          <w:b/>
          <w:lang w:eastAsia="en-GB"/>
        </w:rPr>
      </w:pPr>
    </w:p>
    <w:p w14:paraId="30E6F501" w14:textId="77777777" w:rsidR="000F1771" w:rsidRPr="000F1771" w:rsidRDefault="000F1771" w:rsidP="000F1771">
      <w:pPr>
        <w:spacing w:after="0" w:line="360" w:lineRule="auto"/>
        <w:ind w:left="709" w:hanging="709"/>
        <w:jc w:val="both"/>
        <w:rPr>
          <w:rFonts w:ascii="Arial" w:eastAsia="Times New Roman" w:hAnsi="Arial" w:cs="Arial"/>
          <w:b/>
          <w:lang w:eastAsia="en-GB"/>
        </w:rPr>
      </w:pPr>
      <w:r w:rsidRPr="000F1771">
        <w:rPr>
          <w:rFonts w:ascii="Arial" w:eastAsia="Times New Roman" w:hAnsi="Arial" w:cs="Arial"/>
          <w:b/>
          <w:lang w:eastAsia="en-GB"/>
        </w:rPr>
        <w:t>1</w:t>
      </w:r>
      <w:r w:rsidRPr="000F1771">
        <w:rPr>
          <w:rFonts w:ascii="Arial" w:eastAsia="Times New Roman" w:hAnsi="Arial" w:cs="Arial"/>
          <w:b/>
          <w:lang w:eastAsia="en-GB"/>
        </w:rPr>
        <w:tab/>
      </w:r>
      <w:r w:rsidRPr="000F1771">
        <w:rPr>
          <w:rFonts w:ascii="Arial" w:eastAsia="Times New Roman" w:hAnsi="Arial" w:cs="Arial"/>
          <w:b/>
          <w:u w:val="single"/>
          <w:lang w:eastAsia="en-GB"/>
        </w:rPr>
        <w:t>Treasury Management – Statutory Requirements</w:t>
      </w:r>
    </w:p>
    <w:p w14:paraId="2751F07F" w14:textId="77777777" w:rsidR="000F1771" w:rsidRPr="000F1771" w:rsidRDefault="000F1771" w:rsidP="000F1771">
      <w:pPr>
        <w:tabs>
          <w:tab w:val="left" w:pos="720"/>
          <w:tab w:val="left" w:pos="5760"/>
        </w:tabs>
        <w:spacing w:after="0" w:line="240" w:lineRule="auto"/>
        <w:ind w:left="709" w:hanging="709"/>
        <w:jc w:val="both"/>
        <w:rPr>
          <w:rFonts w:ascii="Times New Roman" w:eastAsia="Times New Roman" w:hAnsi="Times New Roman"/>
          <w:b/>
          <w:lang w:eastAsia="en-GB"/>
        </w:rPr>
      </w:pPr>
    </w:p>
    <w:p w14:paraId="0D83F668" w14:textId="77777777" w:rsidR="000F1771" w:rsidRPr="000F1771" w:rsidRDefault="000F1771" w:rsidP="000F1771">
      <w:pPr>
        <w:keepNext/>
        <w:numPr>
          <w:ilvl w:val="1"/>
          <w:numId w:val="1"/>
        </w:numPr>
        <w:spacing w:after="0" w:line="360" w:lineRule="auto"/>
        <w:ind w:left="709" w:hanging="709"/>
        <w:jc w:val="both"/>
        <w:outlineLvl w:val="0"/>
        <w:rPr>
          <w:rFonts w:ascii="Arial" w:eastAsia="Times New Roman" w:hAnsi="Arial" w:cs="Arial"/>
          <w:lang w:eastAsia="en-GB"/>
        </w:rPr>
      </w:pPr>
      <w:r w:rsidRPr="000F1771">
        <w:rPr>
          <w:rFonts w:ascii="Arial" w:eastAsia="Times New Roman" w:hAnsi="Arial" w:cs="Arial"/>
          <w:lang w:eastAsia="en-GB"/>
        </w:rPr>
        <w:t>Compliance with the CIPFA Code of Practice is a requirement under The Local Authorities (Capital Finance and Accounting) (England) Regulations 2003.  The main aim is to ensure that comprehensive policies and practices</w:t>
      </w:r>
      <w:r w:rsidR="004F56E1">
        <w:rPr>
          <w:rFonts w:ascii="Arial" w:eastAsia="Times New Roman" w:hAnsi="Arial" w:cs="Arial"/>
          <w:lang w:eastAsia="en-GB"/>
        </w:rPr>
        <w:t xml:space="preserve"> are in place</w:t>
      </w:r>
      <w:r w:rsidRPr="000F1771">
        <w:rPr>
          <w:rFonts w:ascii="Arial" w:eastAsia="Times New Roman" w:hAnsi="Arial" w:cs="Arial"/>
          <w:lang w:eastAsia="en-GB"/>
        </w:rPr>
        <w:t xml:space="preserve"> for the effective management and control of treasury management activities, including the effective management and control of risk. </w:t>
      </w:r>
    </w:p>
    <w:p w14:paraId="1A90A516" w14:textId="77777777" w:rsidR="000F1771" w:rsidRPr="000F1771" w:rsidRDefault="000F1771" w:rsidP="000F1771">
      <w:pPr>
        <w:spacing w:after="0" w:line="240" w:lineRule="auto"/>
        <w:rPr>
          <w:rFonts w:ascii="Times New Roman" w:eastAsia="Times New Roman" w:hAnsi="Times New Roman"/>
          <w:sz w:val="24"/>
          <w:szCs w:val="20"/>
          <w:lang w:eastAsia="en-GB"/>
        </w:rPr>
      </w:pPr>
    </w:p>
    <w:p w14:paraId="3A1A0466" w14:textId="77777777" w:rsidR="000F1771" w:rsidRPr="000F1771" w:rsidRDefault="000F1771" w:rsidP="000F1771">
      <w:pPr>
        <w:keepNext/>
        <w:numPr>
          <w:ilvl w:val="1"/>
          <w:numId w:val="1"/>
        </w:numPr>
        <w:spacing w:after="0" w:line="360" w:lineRule="auto"/>
        <w:ind w:left="709" w:hanging="709"/>
        <w:jc w:val="both"/>
        <w:outlineLvl w:val="0"/>
        <w:rPr>
          <w:rFonts w:ascii="Arial" w:eastAsia="Times New Roman" w:hAnsi="Arial" w:cs="Arial"/>
          <w:i/>
          <w:lang w:eastAsia="en-GB"/>
        </w:rPr>
      </w:pPr>
      <w:r w:rsidRPr="000F1771">
        <w:rPr>
          <w:rFonts w:ascii="Arial" w:eastAsia="Times New Roman" w:hAnsi="Arial" w:cs="Arial"/>
          <w:lang w:eastAsia="en-GB"/>
        </w:rPr>
        <w:t>Treasury management is defined in the Code of Practice as “</w:t>
      </w:r>
      <w:r w:rsidRPr="000F1771">
        <w:rPr>
          <w:rFonts w:ascii="Arial" w:eastAsia="Times New Roman" w:hAnsi="Arial" w:cs="Arial"/>
          <w:i/>
          <w:lang w:eastAsia="en-GB"/>
        </w:rPr>
        <w:t>the management of the organisation’s investments and cash flows, its banking, money market and capital market transactions; the effective control of the risks associated with those activities; and the pursuit of optimum performance consistent with those risks.</w:t>
      </w:r>
    </w:p>
    <w:p w14:paraId="13279ADE" w14:textId="77777777" w:rsidR="000F1771" w:rsidRPr="000F1771" w:rsidRDefault="000F1771" w:rsidP="000F1771">
      <w:pPr>
        <w:spacing w:after="0" w:line="240" w:lineRule="auto"/>
        <w:rPr>
          <w:rFonts w:ascii="Times New Roman" w:eastAsia="Times New Roman" w:hAnsi="Times New Roman"/>
          <w:sz w:val="24"/>
          <w:szCs w:val="20"/>
          <w:lang w:eastAsia="en-GB"/>
        </w:rPr>
      </w:pPr>
    </w:p>
    <w:p w14:paraId="716CFA02" w14:textId="77777777" w:rsidR="000F1771" w:rsidRPr="000F1771" w:rsidRDefault="000F1771" w:rsidP="000F1771">
      <w:pPr>
        <w:keepNext/>
        <w:numPr>
          <w:ilvl w:val="1"/>
          <w:numId w:val="1"/>
        </w:numPr>
        <w:spacing w:after="0" w:line="360" w:lineRule="auto"/>
        <w:ind w:left="709" w:hanging="709"/>
        <w:jc w:val="both"/>
        <w:outlineLvl w:val="0"/>
        <w:rPr>
          <w:rFonts w:ascii="Arial" w:eastAsia="Times New Roman" w:hAnsi="Arial" w:cs="Arial"/>
          <w:lang w:eastAsia="en-GB"/>
        </w:rPr>
      </w:pPr>
      <w:r w:rsidRPr="000F1771">
        <w:rPr>
          <w:rFonts w:ascii="Arial" w:eastAsia="Times New Roman" w:hAnsi="Arial" w:cs="Arial"/>
          <w:lang w:eastAsia="en-GB"/>
        </w:rPr>
        <w:t xml:space="preserve">The Treasury Management Policy Statement and </w:t>
      </w:r>
      <w:r w:rsidRPr="008A299D">
        <w:rPr>
          <w:rFonts w:ascii="Arial" w:eastAsia="Times New Roman" w:hAnsi="Arial" w:cs="Arial"/>
          <w:lang w:eastAsia="en-GB"/>
        </w:rPr>
        <w:t>Strategy 20</w:t>
      </w:r>
      <w:r w:rsidR="006528F0" w:rsidRPr="008A299D">
        <w:rPr>
          <w:rFonts w:ascii="Arial" w:eastAsia="Times New Roman" w:hAnsi="Arial" w:cs="Arial"/>
          <w:lang w:eastAsia="en-GB"/>
        </w:rPr>
        <w:t>19</w:t>
      </w:r>
      <w:r w:rsidR="000223F8" w:rsidRPr="008A299D">
        <w:rPr>
          <w:rFonts w:ascii="Arial" w:eastAsia="Times New Roman" w:hAnsi="Arial" w:cs="Arial"/>
          <w:lang w:eastAsia="en-GB"/>
        </w:rPr>
        <w:t xml:space="preserve"> to</w:t>
      </w:r>
      <w:r w:rsidR="006528F0" w:rsidRPr="008A299D">
        <w:rPr>
          <w:rFonts w:ascii="Arial" w:eastAsia="Times New Roman" w:hAnsi="Arial" w:cs="Arial"/>
          <w:lang w:eastAsia="en-GB"/>
        </w:rPr>
        <w:t xml:space="preserve"> 2022</w:t>
      </w:r>
      <w:r w:rsidR="00121EF5" w:rsidRPr="008A299D">
        <w:rPr>
          <w:rFonts w:ascii="Arial" w:eastAsia="Times New Roman" w:hAnsi="Arial" w:cs="Arial"/>
          <w:lang w:eastAsia="en-GB"/>
        </w:rPr>
        <w:t xml:space="preserve"> </w:t>
      </w:r>
      <w:r w:rsidRPr="008A299D">
        <w:rPr>
          <w:rFonts w:ascii="Arial" w:eastAsia="Times New Roman" w:hAnsi="Arial" w:cs="Arial"/>
          <w:lang w:eastAsia="en-GB"/>
        </w:rPr>
        <w:t>include</w:t>
      </w:r>
      <w:r w:rsidR="00121EF5" w:rsidRPr="008A299D">
        <w:rPr>
          <w:rFonts w:ascii="Arial" w:eastAsia="Times New Roman" w:hAnsi="Arial" w:cs="Arial"/>
          <w:lang w:eastAsia="en-GB"/>
        </w:rPr>
        <w:t>s</w:t>
      </w:r>
      <w:r w:rsidRPr="000F1771">
        <w:rPr>
          <w:rFonts w:ascii="Arial" w:eastAsia="Times New Roman" w:hAnsi="Arial" w:cs="Arial"/>
          <w:lang w:eastAsia="en-GB"/>
        </w:rPr>
        <w:t xml:space="preserve"> a requirement that the PCC will review/approve, the following:</w:t>
      </w:r>
    </w:p>
    <w:p w14:paraId="7CC003E0" w14:textId="77777777" w:rsidR="000F1771" w:rsidRPr="000F1771" w:rsidRDefault="000F1771" w:rsidP="000F1771">
      <w:pPr>
        <w:spacing w:after="0" w:line="240" w:lineRule="auto"/>
        <w:rPr>
          <w:rFonts w:ascii="Times New Roman" w:eastAsia="Times New Roman" w:hAnsi="Times New Roman"/>
          <w:sz w:val="24"/>
          <w:szCs w:val="20"/>
          <w:lang w:eastAsia="en-GB"/>
        </w:rPr>
      </w:pPr>
    </w:p>
    <w:p w14:paraId="6D61B0F8" w14:textId="77777777" w:rsidR="000F1771" w:rsidRDefault="000F1771" w:rsidP="000F1771">
      <w:pPr>
        <w:numPr>
          <w:ilvl w:val="0"/>
          <w:numId w:val="3"/>
        </w:numPr>
        <w:spacing w:after="0" w:line="240" w:lineRule="auto"/>
        <w:ind w:left="1560"/>
        <w:rPr>
          <w:rFonts w:ascii="Arial" w:eastAsia="Times New Roman" w:hAnsi="Arial" w:cs="Arial"/>
          <w:lang w:eastAsia="en-GB"/>
        </w:rPr>
      </w:pPr>
      <w:r w:rsidRPr="000F1771">
        <w:rPr>
          <w:rFonts w:ascii="Arial" w:eastAsia="Times New Roman" w:hAnsi="Arial" w:cs="Arial"/>
          <w:lang w:eastAsia="en-GB"/>
        </w:rPr>
        <w:t>An annual Treasury Management Policy Statement and Strategy</w:t>
      </w:r>
    </w:p>
    <w:p w14:paraId="57CEF907" w14:textId="77777777" w:rsidR="004327E3" w:rsidRDefault="004327E3" w:rsidP="004327E3">
      <w:pPr>
        <w:spacing w:after="0" w:line="240" w:lineRule="auto"/>
        <w:ind w:left="1560"/>
        <w:rPr>
          <w:rFonts w:ascii="Arial" w:eastAsia="Times New Roman" w:hAnsi="Arial" w:cs="Arial"/>
          <w:lang w:eastAsia="en-GB"/>
        </w:rPr>
      </w:pPr>
    </w:p>
    <w:p w14:paraId="3A3460C7" w14:textId="77777777" w:rsidR="004327E3" w:rsidRPr="000F1771" w:rsidRDefault="004327E3" w:rsidP="000F1771">
      <w:pPr>
        <w:numPr>
          <w:ilvl w:val="0"/>
          <w:numId w:val="3"/>
        </w:numPr>
        <w:spacing w:after="0" w:line="240" w:lineRule="auto"/>
        <w:ind w:left="1560"/>
        <w:rPr>
          <w:rFonts w:ascii="Arial" w:eastAsia="Times New Roman" w:hAnsi="Arial" w:cs="Arial"/>
          <w:lang w:eastAsia="en-GB"/>
        </w:rPr>
      </w:pPr>
      <w:r>
        <w:rPr>
          <w:rFonts w:ascii="Arial" w:eastAsia="Times New Roman" w:hAnsi="Arial" w:cs="Arial"/>
          <w:lang w:eastAsia="en-GB"/>
        </w:rPr>
        <w:t>An annual Capital Strategy</w:t>
      </w:r>
    </w:p>
    <w:p w14:paraId="067186F7" w14:textId="77777777" w:rsidR="000F1771" w:rsidRPr="000F1771" w:rsidRDefault="000F1771" w:rsidP="000F1771">
      <w:pPr>
        <w:spacing w:after="0" w:line="240" w:lineRule="auto"/>
        <w:ind w:left="1560"/>
        <w:rPr>
          <w:rFonts w:ascii="Arial" w:eastAsia="Times New Roman" w:hAnsi="Arial" w:cs="Arial"/>
          <w:lang w:eastAsia="en-GB"/>
        </w:rPr>
      </w:pPr>
    </w:p>
    <w:p w14:paraId="4C536EF2" w14:textId="77777777" w:rsidR="000F1771" w:rsidRPr="000F1771" w:rsidRDefault="000F1771" w:rsidP="000F1771">
      <w:pPr>
        <w:numPr>
          <w:ilvl w:val="0"/>
          <w:numId w:val="3"/>
        </w:numPr>
        <w:spacing w:after="0" w:line="240" w:lineRule="auto"/>
        <w:ind w:left="1560"/>
        <w:rPr>
          <w:rFonts w:ascii="Arial" w:eastAsia="Times New Roman" w:hAnsi="Arial" w:cs="Arial"/>
          <w:lang w:eastAsia="en-GB"/>
        </w:rPr>
      </w:pPr>
      <w:r w:rsidRPr="000F1771">
        <w:rPr>
          <w:rFonts w:ascii="Arial" w:eastAsia="Times New Roman" w:hAnsi="Arial" w:cs="Arial"/>
          <w:lang w:eastAsia="en-GB"/>
        </w:rPr>
        <w:t>Borrowing limits and other prudential indicators</w:t>
      </w:r>
    </w:p>
    <w:p w14:paraId="37D4231D" w14:textId="77777777" w:rsidR="000F1771" w:rsidRPr="000F1771" w:rsidRDefault="000F1771" w:rsidP="000F1771">
      <w:pPr>
        <w:spacing w:after="0" w:line="240" w:lineRule="auto"/>
        <w:ind w:left="1560"/>
        <w:rPr>
          <w:rFonts w:ascii="Arial" w:eastAsia="Times New Roman" w:hAnsi="Arial" w:cs="Arial"/>
          <w:lang w:eastAsia="en-GB"/>
        </w:rPr>
      </w:pPr>
    </w:p>
    <w:p w14:paraId="6053EA46" w14:textId="77777777" w:rsidR="000F1771" w:rsidRPr="000F1771" w:rsidRDefault="000F1771" w:rsidP="000F1771">
      <w:pPr>
        <w:numPr>
          <w:ilvl w:val="0"/>
          <w:numId w:val="3"/>
        </w:numPr>
        <w:spacing w:after="0" w:line="240" w:lineRule="auto"/>
        <w:ind w:left="1560"/>
        <w:rPr>
          <w:rFonts w:ascii="Arial" w:eastAsia="Times New Roman" w:hAnsi="Arial" w:cs="Arial"/>
          <w:lang w:eastAsia="en-GB"/>
        </w:rPr>
      </w:pPr>
      <w:r w:rsidRPr="000F1771">
        <w:rPr>
          <w:rFonts w:ascii="Arial" w:eastAsia="Times New Roman" w:hAnsi="Arial" w:cs="Arial"/>
          <w:lang w:eastAsia="en-GB"/>
        </w:rPr>
        <w:t>Six monthly reports (annual and mid-year) on activities and performance of the Treasury Management function</w:t>
      </w:r>
    </w:p>
    <w:p w14:paraId="0E4F5800" w14:textId="77777777" w:rsidR="000F1771" w:rsidRPr="000F1771" w:rsidRDefault="000F1771" w:rsidP="000F1771">
      <w:pPr>
        <w:spacing w:after="0" w:line="240" w:lineRule="auto"/>
        <w:rPr>
          <w:rFonts w:ascii="Times New Roman" w:eastAsia="Times New Roman" w:hAnsi="Times New Roman"/>
          <w:sz w:val="24"/>
          <w:szCs w:val="20"/>
          <w:lang w:eastAsia="en-GB"/>
        </w:rPr>
      </w:pPr>
    </w:p>
    <w:p w14:paraId="14EF9FF1" w14:textId="77777777" w:rsidR="00746454" w:rsidRDefault="000F1771" w:rsidP="000F1771">
      <w:pPr>
        <w:numPr>
          <w:ilvl w:val="1"/>
          <w:numId w:val="1"/>
        </w:numPr>
        <w:spacing w:after="0" w:line="360" w:lineRule="auto"/>
        <w:ind w:left="709" w:hanging="709"/>
        <w:jc w:val="both"/>
        <w:rPr>
          <w:rFonts w:ascii="Arial" w:eastAsia="Times New Roman" w:hAnsi="Arial" w:cs="Arial"/>
          <w:lang w:eastAsia="en-GB"/>
        </w:rPr>
      </w:pPr>
      <w:r w:rsidRPr="000F1771">
        <w:rPr>
          <w:rFonts w:ascii="Arial" w:eastAsia="Times New Roman" w:hAnsi="Arial" w:cs="Arial"/>
          <w:lang w:eastAsia="en-GB"/>
        </w:rPr>
        <w:t xml:space="preserve">The Code of Practice emphasises that when assessing the performance of a treasury management provider, comparisons should only be made with other providers who have a similar risk appetite, and should always consider the security, liquidity and yield of funds invested, with security and liquidity having priority over yield. </w:t>
      </w:r>
    </w:p>
    <w:p w14:paraId="47D78CE8" w14:textId="77777777" w:rsidR="00746454" w:rsidRDefault="00746454" w:rsidP="00746454">
      <w:pPr>
        <w:spacing w:after="0" w:line="360" w:lineRule="auto"/>
        <w:ind w:left="709"/>
        <w:jc w:val="both"/>
        <w:rPr>
          <w:rFonts w:ascii="Arial" w:eastAsia="Times New Roman" w:hAnsi="Arial" w:cs="Arial"/>
          <w:lang w:eastAsia="en-GB"/>
        </w:rPr>
      </w:pPr>
    </w:p>
    <w:p w14:paraId="33458E80" w14:textId="77777777" w:rsidR="000F1771" w:rsidRPr="000F1771" w:rsidRDefault="00746454" w:rsidP="000F1771">
      <w:pPr>
        <w:numPr>
          <w:ilvl w:val="1"/>
          <w:numId w:val="1"/>
        </w:numPr>
        <w:spacing w:after="0" w:line="360" w:lineRule="auto"/>
        <w:ind w:left="709" w:hanging="709"/>
        <w:jc w:val="both"/>
        <w:rPr>
          <w:rFonts w:ascii="Arial" w:eastAsia="Times New Roman" w:hAnsi="Arial" w:cs="Arial"/>
          <w:lang w:eastAsia="en-GB"/>
        </w:rPr>
      </w:pPr>
      <w:r>
        <w:rPr>
          <w:rFonts w:ascii="Arial" w:eastAsia="Times New Roman" w:hAnsi="Arial" w:cs="Arial"/>
          <w:lang w:eastAsia="en-GB"/>
        </w:rPr>
        <w:t>The Police and Crime Commissioner (PCC) operates a balanced revenue budget, which broadly means cash raised during the year will meet its cash expenditure. Part of the treasury management operations ensure this cash flow is adequately planned, with surplus monies being invested in low risk counterparties. The priority is to provide adequate security and liquidity before considering optimising investment return.</w:t>
      </w:r>
      <w:r w:rsidR="000F1771" w:rsidRPr="000F1771">
        <w:rPr>
          <w:rFonts w:ascii="Arial" w:eastAsia="Times New Roman" w:hAnsi="Arial" w:cs="Arial"/>
          <w:lang w:eastAsia="en-GB"/>
        </w:rPr>
        <w:t xml:space="preserve"> </w:t>
      </w:r>
    </w:p>
    <w:p w14:paraId="0E78A5C3" w14:textId="77777777" w:rsidR="000F1771" w:rsidRPr="000F1771" w:rsidRDefault="000F1771" w:rsidP="000F1771">
      <w:pPr>
        <w:tabs>
          <w:tab w:val="left" w:pos="2040"/>
        </w:tabs>
        <w:spacing w:after="0" w:line="360" w:lineRule="auto"/>
        <w:jc w:val="both"/>
        <w:rPr>
          <w:rFonts w:ascii="Arial" w:eastAsia="Times New Roman" w:hAnsi="Arial" w:cs="Arial"/>
          <w:u w:val="single"/>
          <w:lang w:eastAsia="en-GB"/>
        </w:rPr>
      </w:pPr>
      <w:r w:rsidRPr="000F1771">
        <w:rPr>
          <w:rFonts w:ascii="Arial" w:eastAsia="Times New Roman" w:hAnsi="Arial" w:cs="Arial"/>
          <w:lang w:eastAsia="en-GB"/>
        </w:rPr>
        <w:tab/>
      </w:r>
    </w:p>
    <w:p w14:paraId="457BD479" w14:textId="77777777" w:rsidR="000F1771" w:rsidRPr="000F1771" w:rsidRDefault="000F1771" w:rsidP="000F1771">
      <w:pPr>
        <w:numPr>
          <w:ilvl w:val="0"/>
          <w:numId w:val="1"/>
        </w:numPr>
        <w:tabs>
          <w:tab w:val="clear" w:pos="360"/>
        </w:tabs>
        <w:spacing w:after="0" w:line="360" w:lineRule="auto"/>
        <w:ind w:left="709" w:hanging="709"/>
        <w:jc w:val="both"/>
        <w:rPr>
          <w:rFonts w:ascii="Arial" w:eastAsia="Times New Roman" w:hAnsi="Arial" w:cs="Arial"/>
          <w:sz w:val="24"/>
          <w:szCs w:val="24"/>
          <w:u w:val="single"/>
          <w:lang w:eastAsia="en-GB"/>
        </w:rPr>
      </w:pPr>
      <w:r w:rsidRPr="000F1771">
        <w:rPr>
          <w:rFonts w:ascii="Arial" w:eastAsia="Times New Roman" w:hAnsi="Arial" w:cs="Arial"/>
          <w:b/>
          <w:u w:val="single"/>
          <w:lang w:eastAsia="en-GB"/>
        </w:rPr>
        <w:br w:type="page"/>
      </w:r>
      <w:r w:rsidRPr="000F1771">
        <w:rPr>
          <w:rFonts w:ascii="Arial" w:eastAsia="Times New Roman" w:hAnsi="Arial" w:cs="Arial"/>
          <w:b/>
          <w:sz w:val="24"/>
          <w:szCs w:val="24"/>
          <w:u w:val="single"/>
          <w:lang w:eastAsia="en-GB"/>
        </w:rPr>
        <w:lastRenderedPageBreak/>
        <w:t>Treas</w:t>
      </w:r>
      <w:r w:rsidR="00542B1E">
        <w:rPr>
          <w:rFonts w:ascii="Arial" w:eastAsia="Times New Roman" w:hAnsi="Arial" w:cs="Arial"/>
          <w:b/>
          <w:sz w:val="24"/>
          <w:szCs w:val="24"/>
          <w:u w:val="single"/>
          <w:lang w:eastAsia="en-GB"/>
        </w:rPr>
        <w:t xml:space="preserve">ury Management Transactions </w:t>
      </w:r>
      <w:r w:rsidR="006021B3">
        <w:rPr>
          <w:rFonts w:ascii="Arial" w:eastAsia="Times New Roman" w:hAnsi="Arial" w:cs="Arial"/>
          <w:b/>
          <w:sz w:val="24"/>
          <w:szCs w:val="24"/>
          <w:u w:val="single"/>
          <w:lang w:eastAsia="en-GB"/>
        </w:rPr>
        <w:t>Annual Outturn for 20</w:t>
      </w:r>
      <w:r w:rsidR="00E15181">
        <w:rPr>
          <w:rFonts w:ascii="Arial" w:eastAsia="Times New Roman" w:hAnsi="Arial" w:cs="Arial"/>
          <w:b/>
          <w:sz w:val="24"/>
          <w:szCs w:val="24"/>
          <w:u w:val="single"/>
          <w:lang w:eastAsia="en-GB"/>
        </w:rPr>
        <w:t>20</w:t>
      </w:r>
      <w:r w:rsidR="006021B3">
        <w:rPr>
          <w:rFonts w:ascii="Arial" w:eastAsia="Times New Roman" w:hAnsi="Arial" w:cs="Arial"/>
          <w:b/>
          <w:sz w:val="24"/>
          <w:szCs w:val="24"/>
          <w:u w:val="single"/>
          <w:lang w:eastAsia="en-GB"/>
        </w:rPr>
        <w:t>/2</w:t>
      </w:r>
      <w:r w:rsidR="00E15181">
        <w:rPr>
          <w:rFonts w:ascii="Arial" w:eastAsia="Times New Roman" w:hAnsi="Arial" w:cs="Arial"/>
          <w:b/>
          <w:sz w:val="24"/>
          <w:szCs w:val="24"/>
          <w:u w:val="single"/>
          <w:lang w:eastAsia="en-GB"/>
        </w:rPr>
        <w:t>1</w:t>
      </w:r>
    </w:p>
    <w:p w14:paraId="3A930D5C" w14:textId="77777777" w:rsidR="000F1771" w:rsidRPr="000F1771" w:rsidRDefault="00B76E75" w:rsidP="000F1771">
      <w:pPr>
        <w:spacing w:after="0" w:line="360" w:lineRule="auto"/>
        <w:ind w:left="709"/>
        <w:jc w:val="both"/>
        <w:rPr>
          <w:rFonts w:ascii="Arial" w:eastAsia="Times New Roman" w:hAnsi="Arial" w:cs="Arial"/>
          <w:lang w:eastAsia="en-GB"/>
        </w:rPr>
      </w:pPr>
      <w:r>
        <w:rPr>
          <w:rFonts w:ascii="Arial" w:eastAsia="Times New Roman" w:hAnsi="Arial" w:cs="Arial"/>
          <w:lang w:eastAsia="en-GB"/>
        </w:rPr>
        <w:t>The treasury management function is carried out by Surrey County Council</w:t>
      </w:r>
      <w:r w:rsidR="002B6464">
        <w:rPr>
          <w:rFonts w:ascii="Arial" w:eastAsia="Times New Roman" w:hAnsi="Arial" w:cs="Arial"/>
          <w:lang w:eastAsia="en-GB"/>
        </w:rPr>
        <w:t xml:space="preserve"> (SCC)</w:t>
      </w:r>
      <w:r>
        <w:rPr>
          <w:rFonts w:ascii="Arial" w:eastAsia="Times New Roman" w:hAnsi="Arial" w:cs="Arial"/>
          <w:lang w:eastAsia="en-GB"/>
        </w:rPr>
        <w:t xml:space="preserve"> under a service level agreement. Under this agreement t</w:t>
      </w:r>
      <w:r w:rsidR="000F1771" w:rsidRPr="000F1771">
        <w:rPr>
          <w:rFonts w:ascii="Arial" w:eastAsia="Times New Roman" w:hAnsi="Arial" w:cs="Arial"/>
          <w:lang w:eastAsia="en-GB"/>
        </w:rPr>
        <w:t>he following treasury management tran</w:t>
      </w:r>
      <w:r w:rsidR="006021B3">
        <w:rPr>
          <w:rFonts w:ascii="Arial" w:eastAsia="Times New Roman" w:hAnsi="Arial" w:cs="Arial"/>
          <w:lang w:eastAsia="en-GB"/>
        </w:rPr>
        <w:t>sactions were undertaken during</w:t>
      </w:r>
      <w:r w:rsidR="004A2D53">
        <w:rPr>
          <w:rFonts w:ascii="Arial" w:eastAsia="Times New Roman" w:hAnsi="Arial" w:cs="Arial"/>
          <w:lang w:eastAsia="en-GB"/>
        </w:rPr>
        <w:t xml:space="preserve"> </w:t>
      </w:r>
      <w:r>
        <w:rPr>
          <w:rFonts w:ascii="Arial" w:eastAsia="Times New Roman" w:hAnsi="Arial" w:cs="Arial"/>
          <w:lang w:eastAsia="en-GB"/>
        </w:rPr>
        <w:t>20</w:t>
      </w:r>
      <w:r w:rsidR="00E15181">
        <w:rPr>
          <w:rFonts w:ascii="Arial" w:eastAsia="Times New Roman" w:hAnsi="Arial" w:cs="Arial"/>
          <w:lang w:eastAsia="en-GB"/>
        </w:rPr>
        <w:t>20</w:t>
      </w:r>
      <w:r>
        <w:rPr>
          <w:rFonts w:ascii="Arial" w:eastAsia="Times New Roman" w:hAnsi="Arial" w:cs="Arial"/>
          <w:lang w:eastAsia="en-GB"/>
        </w:rPr>
        <w:t>/</w:t>
      </w:r>
      <w:r w:rsidR="006021B3">
        <w:rPr>
          <w:rFonts w:ascii="Arial" w:eastAsia="Times New Roman" w:hAnsi="Arial" w:cs="Arial"/>
          <w:lang w:eastAsia="en-GB"/>
        </w:rPr>
        <w:t>2</w:t>
      </w:r>
      <w:r w:rsidR="00E15181">
        <w:rPr>
          <w:rFonts w:ascii="Arial" w:eastAsia="Times New Roman" w:hAnsi="Arial" w:cs="Arial"/>
          <w:lang w:eastAsia="en-GB"/>
        </w:rPr>
        <w:t>1</w:t>
      </w:r>
      <w:r>
        <w:rPr>
          <w:rFonts w:ascii="Arial" w:eastAsia="Times New Roman" w:hAnsi="Arial" w:cs="Arial"/>
          <w:lang w:eastAsia="en-GB"/>
        </w:rPr>
        <w:t xml:space="preserve"> up to </w:t>
      </w:r>
      <w:r w:rsidR="006021B3">
        <w:rPr>
          <w:rFonts w:ascii="Arial" w:eastAsia="Times New Roman" w:hAnsi="Arial" w:cs="Arial"/>
          <w:lang w:eastAsia="en-GB"/>
        </w:rPr>
        <w:t>31 March 202</w:t>
      </w:r>
      <w:r w:rsidR="00E15181">
        <w:rPr>
          <w:rFonts w:ascii="Arial" w:eastAsia="Times New Roman" w:hAnsi="Arial" w:cs="Arial"/>
          <w:lang w:eastAsia="en-GB"/>
        </w:rPr>
        <w:t>1</w:t>
      </w:r>
      <w:r w:rsidR="000F1771" w:rsidRPr="000F1771">
        <w:rPr>
          <w:rFonts w:ascii="Arial" w:eastAsia="Times New Roman" w:hAnsi="Arial" w:cs="Arial"/>
          <w:lang w:eastAsia="en-GB"/>
        </w:rPr>
        <w:t>:</w:t>
      </w:r>
    </w:p>
    <w:p w14:paraId="36744F60" w14:textId="77777777" w:rsidR="000F1771" w:rsidRPr="000F1771" w:rsidRDefault="000F1771" w:rsidP="000F1771">
      <w:pPr>
        <w:spacing w:after="0" w:line="360" w:lineRule="auto"/>
        <w:ind w:left="709"/>
        <w:jc w:val="both"/>
        <w:rPr>
          <w:rFonts w:ascii="Arial" w:eastAsia="Times New Roman" w:hAnsi="Arial" w:cs="Arial"/>
          <w:lang w:eastAsia="en-GB"/>
        </w:rPr>
      </w:pPr>
    </w:p>
    <w:p w14:paraId="2715DE42" w14:textId="77777777" w:rsidR="000F1771" w:rsidRPr="000F1771" w:rsidRDefault="000F1771" w:rsidP="000F1771">
      <w:pPr>
        <w:numPr>
          <w:ilvl w:val="1"/>
          <w:numId w:val="1"/>
        </w:numPr>
        <w:spacing w:after="0" w:line="360" w:lineRule="auto"/>
        <w:ind w:left="709" w:hanging="709"/>
        <w:jc w:val="both"/>
        <w:rPr>
          <w:rFonts w:ascii="Arial" w:eastAsia="Times New Roman" w:hAnsi="Arial" w:cs="Arial"/>
          <w:u w:val="single"/>
          <w:lang w:eastAsia="en-GB"/>
        </w:rPr>
      </w:pPr>
      <w:r w:rsidRPr="000F1771">
        <w:rPr>
          <w:rFonts w:ascii="Arial" w:eastAsia="Times New Roman" w:hAnsi="Arial" w:cs="Arial"/>
          <w:lang w:eastAsia="en-GB"/>
        </w:rPr>
        <w:t xml:space="preserve"> </w:t>
      </w:r>
      <w:r w:rsidRPr="000F1771">
        <w:rPr>
          <w:rFonts w:ascii="Arial" w:eastAsia="Times New Roman" w:hAnsi="Arial" w:cs="Arial"/>
          <w:u w:val="single"/>
          <w:lang w:eastAsia="en-GB"/>
        </w:rPr>
        <w:t>Short Term Lending</w:t>
      </w:r>
    </w:p>
    <w:p w14:paraId="0CFC4F4A" w14:textId="77777777" w:rsidR="000F1771" w:rsidRPr="000F1771" w:rsidRDefault="000F1771" w:rsidP="000F1771">
      <w:pPr>
        <w:spacing w:after="0" w:line="360" w:lineRule="auto"/>
        <w:ind w:left="709"/>
        <w:jc w:val="both"/>
        <w:rPr>
          <w:rFonts w:ascii="Arial" w:eastAsia="Times New Roman" w:hAnsi="Arial" w:cs="Arial"/>
          <w:lang w:eastAsia="en-GB"/>
        </w:rPr>
      </w:pPr>
      <w:r w:rsidRPr="000F1771">
        <w:rPr>
          <w:rFonts w:ascii="Arial" w:eastAsia="Times New Roman" w:hAnsi="Arial" w:cs="Arial"/>
          <w:lang w:eastAsia="en-GB"/>
        </w:rPr>
        <w:t xml:space="preserve">In accordance with agreed policy, surplus cash was lent </w:t>
      </w:r>
      <w:proofErr w:type="gramStart"/>
      <w:r w:rsidRPr="000F1771">
        <w:rPr>
          <w:rFonts w:ascii="Arial" w:eastAsia="Times New Roman" w:hAnsi="Arial" w:cs="Arial"/>
          <w:lang w:eastAsia="en-GB"/>
        </w:rPr>
        <w:t>on a daily basi</w:t>
      </w:r>
      <w:r w:rsidR="002B6464">
        <w:rPr>
          <w:rFonts w:ascii="Arial" w:eastAsia="Times New Roman" w:hAnsi="Arial" w:cs="Arial"/>
          <w:lang w:eastAsia="en-GB"/>
        </w:rPr>
        <w:t>s</w:t>
      </w:r>
      <w:proofErr w:type="gramEnd"/>
      <w:r w:rsidR="002B6464">
        <w:rPr>
          <w:rFonts w:ascii="Arial" w:eastAsia="Times New Roman" w:hAnsi="Arial" w:cs="Arial"/>
          <w:lang w:eastAsia="en-GB"/>
        </w:rPr>
        <w:t xml:space="preserve"> to SCC</w:t>
      </w:r>
      <w:r w:rsidRPr="000F1771">
        <w:rPr>
          <w:rFonts w:ascii="Arial" w:eastAsia="Times New Roman" w:hAnsi="Arial" w:cs="Arial"/>
          <w:lang w:eastAsia="en-GB"/>
        </w:rPr>
        <w:t>. The following loans were made during the year:</w:t>
      </w:r>
    </w:p>
    <w:tbl>
      <w:tblPr>
        <w:tblpPr w:leftFromText="180" w:rightFromText="180" w:vertAnchor="text" w:horzAnchor="margin" w:tblpXSpec="center" w:tblpY="233"/>
        <w:tblW w:w="5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163"/>
        <w:gridCol w:w="1329"/>
      </w:tblGrid>
      <w:tr w:rsidR="00872BF0" w:rsidRPr="000F1771" w14:paraId="2CF1ED56" w14:textId="77777777" w:rsidTr="00872BF0">
        <w:trPr>
          <w:trHeight w:val="279"/>
        </w:trPr>
        <w:tc>
          <w:tcPr>
            <w:tcW w:w="1368" w:type="dxa"/>
          </w:tcPr>
          <w:p w14:paraId="467A7E08" w14:textId="77777777" w:rsidR="00872BF0" w:rsidRPr="00B76E75" w:rsidRDefault="00872BF0" w:rsidP="00872BF0">
            <w:pPr>
              <w:spacing w:after="0" w:line="240" w:lineRule="auto"/>
              <w:jc w:val="center"/>
              <w:rPr>
                <w:rFonts w:ascii="Arial" w:eastAsia="Times New Roman" w:hAnsi="Arial" w:cs="Arial"/>
                <w:b/>
                <w:lang w:eastAsia="en-GB"/>
              </w:rPr>
            </w:pPr>
            <w:r w:rsidRPr="00B76E75">
              <w:rPr>
                <w:rFonts w:ascii="Arial" w:eastAsia="Times New Roman" w:hAnsi="Arial" w:cs="Arial"/>
                <w:b/>
                <w:lang w:eastAsia="en-GB"/>
              </w:rPr>
              <w:t>2</w:t>
            </w:r>
            <w:r>
              <w:rPr>
                <w:rFonts w:ascii="Arial" w:eastAsia="Times New Roman" w:hAnsi="Arial" w:cs="Arial"/>
                <w:b/>
                <w:lang w:eastAsia="en-GB"/>
              </w:rPr>
              <w:t>019-20</w:t>
            </w:r>
          </w:p>
          <w:p w14:paraId="6441E2EE" w14:textId="77777777" w:rsidR="00872BF0" w:rsidRPr="00B76E75" w:rsidRDefault="00872BF0" w:rsidP="00872BF0">
            <w:pPr>
              <w:spacing w:after="0" w:line="240" w:lineRule="auto"/>
              <w:jc w:val="center"/>
              <w:rPr>
                <w:rFonts w:ascii="Arial" w:eastAsia="Times New Roman" w:hAnsi="Arial" w:cs="Arial"/>
                <w:b/>
                <w:lang w:eastAsia="en-GB"/>
              </w:rPr>
            </w:pPr>
          </w:p>
        </w:tc>
        <w:tc>
          <w:tcPr>
            <w:tcW w:w="3163" w:type="dxa"/>
            <w:shd w:val="clear" w:color="auto" w:fill="auto"/>
          </w:tcPr>
          <w:p w14:paraId="4EAB9F20" w14:textId="77777777" w:rsidR="00872BF0" w:rsidRPr="000F1771" w:rsidRDefault="00872BF0" w:rsidP="00872BF0">
            <w:pPr>
              <w:spacing w:after="0" w:line="360" w:lineRule="auto"/>
              <w:jc w:val="both"/>
              <w:rPr>
                <w:rFonts w:ascii="Arial" w:eastAsia="Times New Roman" w:hAnsi="Arial" w:cs="Arial"/>
                <w:lang w:eastAsia="en-GB"/>
              </w:rPr>
            </w:pPr>
          </w:p>
        </w:tc>
        <w:tc>
          <w:tcPr>
            <w:tcW w:w="1329" w:type="dxa"/>
          </w:tcPr>
          <w:p w14:paraId="29046039" w14:textId="77777777" w:rsidR="00872BF0" w:rsidRPr="00B76E75" w:rsidRDefault="00872BF0" w:rsidP="00872BF0">
            <w:pPr>
              <w:spacing w:after="0" w:line="240" w:lineRule="auto"/>
              <w:jc w:val="center"/>
              <w:rPr>
                <w:rFonts w:ascii="Arial" w:eastAsia="Times New Roman" w:hAnsi="Arial" w:cs="Arial"/>
                <w:b/>
                <w:lang w:eastAsia="en-GB"/>
              </w:rPr>
            </w:pPr>
            <w:r w:rsidRPr="00B76E75">
              <w:rPr>
                <w:rFonts w:ascii="Arial" w:eastAsia="Times New Roman" w:hAnsi="Arial" w:cs="Arial"/>
                <w:b/>
                <w:lang w:eastAsia="en-GB"/>
              </w:rPr>
              <w:t>2</w:t>
            </w:r>
            <w:r>
              <w:rPr>
                <w:rFonts w:ascii="Arial" w:eastAsia="Times New Roman" w:hAnsi="Arial" w:cs="Arial"/>
                <w:b/>
                <w:lang w:eastAsia="en-GB"/>
              </w:rPr>
              <w:t>020-21</w:t>
            </w:r>
          </w:p>
          <w:p w14:paraId="27EC3D21" w14:textId="77777777" w:rsidR="00872BF0" w:rsidRPr="00B76E75" w:rsidRDefault="00872BF0" w:rsidP="00872BF0">
            <w:pPr>
              <w:spacing w:after="0" w:line="240" w:lineRule="auto"/>
              <w:jc w:val="center"/>
              <w:rPr>
                <w:rFonts w:ascii="Arial" w:eastAsia="Times New Roman" w:hAnsi="Arial" w:cs="Arial"/>
                <w:b/>
                <w:lang w:eastAsia="en-GB"/>
              </w:rPr>
            </w:pPr>
          </w:p>
        </w:tc>
      </w:tr>
      <w:tr w:rsidR="00872BF0" w:rsidRPr="000F1771" w14:paraId="790A5AE0" w14:textId="77777777" w:rsidTr="00872BF0">
        <w:trPr>
          <w:trHeight w:val="279"/>
        </w:trPr>
        <w:tc>
          <w:tcPr>
            <w:tcW w:w="1368" w:type="dxa"/>
          </w:tcPr>
          <w:p w14:paraId="582AC79E" w14:textId="77777777" w:rsidR="00872BF0" w:rsidRDefault="001454D2" w:rsidP="00872BF0">
            <w:pPr>
              <w:spacing w:after="0" w:line="360" w:lineRule="auto"/>
              <w:jc w:val="center"/>
              <w:rPr>
                <w:rFonts w:ascii="Arial" w:eastAsia="Times New Roman" w:hAnsi="Arial" w:cs="Arial"/>
                <w:lang w:eastAsia="en-GB"/>
              </w:rPr>
            </w:pPr>
            <w:r>
              <w:rPr>
                <w:rFonts w:ascii="Arial" w:eastAsia="Times New Roman" w:hAnsi="Arial" w:cs="Arial"/>
                <w:lang w:eastAsia="en-GB"/>
              </w:rPr>
              <w:t>£</w:t>
            </w:r>
            <w:r w:rsidR="00304B61">
              <w:rPr>
                <w:rFonts w:ascii="Arial" w:eastAsia="Times New Roman" w:hAnsi="Arial" w:cs="Arial"/>
                <w:lang w:eastAsia="en-GB"/>
              </w:rPr>
              <w:t>28.623</w:t>
            </w:r>
            <w:r w:rsidR="00872BF0">
              <w:rPr>
                <w:rFonts w:ascii="Arial" w:eastAsia="Times New Roman" w:hAnsi="Arial" w:cs="Arial"/>
                <w:lang w:eastAsia="en-GB"/>
              </w:rPr>
              <w:t>m</w:t>
            </w:r>
          </w:p>
        </w:tc>
        <w:tc>
          <w:tcPr>
            <w:tcW w:w="3163" w:type="dxa"/>
            <w:shd w:val="clear" w:color="auto" w:fill="auto"/>
          </w:tcPr>
          <w:p w14:paraId="7C38EE42" w14:textId="77777777" w:rsidR="00872BF0" w:rsidRPr="000F1771" w:rsidRDefault="00872BF0" w:rsidP="00872BF0">
            <w:pPr>
              <w:spacing w:after="0" w:line="360" w:lineRule="auto"/>
              <w:jc w:val="both"/>
              <w:rPr>
                <w:rFonts w:ascii="Arial" w:eastAsia="Times New Roman" w:hAnsi="Arial" w:cs="Arial"/>
                <w:lang w:eastAsia="en-GB"/>
              </w:rPr>
            </w:pPr>
            <w:r>
              <w:rPr>
                <w:rFonts w:ascii="Arial" w:eastAsia="Times New Roman" w:hAnsi="Arial" w:cs="Arial"/>
                <w:lang w:eastAsia="en-GB"/>
              </w:rPr>
              <w:t>Average Investment</w:t>
            </w:r>
          </w:p>
        </w:tc>
        <w:tc>
          <w:tcPr>
            <w:tcW w:w="1329" w:type="dxa"/>
          </w:tcPr>
          <w:p w14:paraId="2F194F77" w14:textId="77777777" w:rsidR="00872BF0" w:rsidRDefault="009759FD" w:rsidP="00872BF0">
            <w:pPr>
              <w:spacing w:after="0" w:line="360" w:lineRule="auto"/>
              <w:jc w:val="center"/>
              <w:rPr>
                <w:rFonts w:ascii="Arial" w:eastAsia="Times New Roman" w:hAnsi="Arial" w:cs="Arial"/>
                <w:lang w:eastAsia="en-GB"/>
              </w:rPr>
            </w:pPr>
            <w:r>
              <w:rPr>
                <w:rFonts w:ascii="Arial" w:eastAsia="Times New Roman" w:hAnsi="Arial" w:cs="Arial"/>
                <w:lang w:eastAsia="en-GB"/>
              </w:rPr>
              <w:t>£27.401</w:t>
            </w:r>
            <w:r w:rsidR="00872BF0">
              <w:rPr>
                <w:rFonts w:ascii="Arial" w:eastAsia="Times New Roman" w:hAnsi="Arial" w:cs="Arial"/>
                <w:lang w:eastAsia="en-GB"/>
              </w:rPr>
              <w:t>m</w:t>
            </w:r>
          </w:p>
        </w:tc>
      </w:tr>
      <w:tr w:rsidR="00872BF0" w:rsidRPr="000F1771" w14:paraId="7ABFADBF" w14:textId="77777777" w:rsidTr="00872BF0">
        <w:trPr>
          <w:trHeight w:val="279"/>
        </w:trPr>
        <w:tc>
          <w:tcPr>
            <w:tcW w:w="1368" w:type="dxa"/>
          </w:tcPr>
          <w:p w14:paraId="1D4D2AA1" w14:textId="77777777" w:rsidR="00872BF0" w:rsidRPr="0083609E" w:rsidRDefault="00E26FE6" w:rsidP="00872BF0">
            <w:pPr>
              <w:spacing w:after="0" w:line="360" w:lineRule="auto"/>
              <w:jc w:val="center"/>
              <w:rPr>
                <w:rFonts w:ascii="Arial" w:eastAsia="Times New Roman" w:hAnsi="Arial" w:cs="Arial"/>
                <w:lang w:eastAsia="en-GB"/>
              </w:rPr>
            </w:pPr>
            <w:r>
              <w:rPr>
                <w:rFonts w:ascii="Arial" w:eastAsia="Times New Roman" w:hAnsi="Arial" w:cs="Arial"/>
                <w:lang w:eastAsia="en-GB"/>
              </w:rPr>
              <w:t>257</w:t>
            </w:r>
          </w:p>
        </w:tc>
        <w:tc>
          <w:tcPr>
            <w:tcW w:w="3163" w:type="dxa"/>
            <w:shd w:val="clear" w:color="auto" w:fill="auto"/>
          </w:tcPr>
          <w:p w14:paraId="346921A7" w14:textId="77777777" w:rsidR="00872BF0" w:rsidRPr="000F1771" w:rsidRDefault="00872BF0" w:rsidP="00872BF0">
            <w:pPr>
              <w:spacing w:after="0" w:line="360" w:lineRule="auto"/>
              <w:jc w:val="both"/>
              <w:rPr>
                <w:rFonts w:ascii="Arial" w:eastAsia="Times New Roman" w:hAnsi="Arial" w:cs="Arial"/>
                <w:lang w:eastAsia="en-GB"/>
              </w:rPr>
            </w:pPr>
            <w:r w:rsidRPr="000F1771">
              <w:rPr>
                <w:rFonts w:ascii="Arial" w:eastAsia="Times New Roman" w:hAnsi="Arial" w:cs="Arial"/>
                <w:lang w:eastAsia="en-GB"/>
              </w:rPr>
              <w:t>Number of Loans</w:t>
            </w:r>
          </w:p>
        </w:tc>
        <w:tc>
          <w:tcPr>
            <w:tcW w:w="1329" w:type="dxa"/>
          </w:tcPr>
          <w:p w14:paraId="403CE23A" w14:textId="77777777" w:rsidR="00872BF0" w:rsidRPr="0083609E" w:rsidRDefault="00E26FE6" w:rsidP="00872BF0">
            <w:pPr>
              <w:spacing w:after="0" w:line="360" w:lineRule="auto"/>
              <w:jc w:val="center"/>
              <w:rPr>
                <w:rFonts w:ascii="Arial" w:eastAsia="Times New Roman" w:hAnsi="Arial" w:cs="Arial"/>
                <w:lang w:eastAsia="en-GB"/>
              </w:rPr>
            </w:pPr>
            <w:r>
              <w:rPr>
                <w:rFonts w:ascii="Arial" w:eastAsia="Times New Roman" w:hAnsi="Arial" w:cs="Arial"/>
                <w:lang w:eastAsia="en-GB"/>
              </w:rPr>
              <w:t>253</w:t>
            </w:r>
          </w:p>
        </w:tc>
      </w:tr>
      <w:tr w:rsidR="00872BF0" w:rsidRPr="000F1771" w14:paraId="69E6F576" w14:textId="77777777" w:rsidTr="00872BF0">
        <w:tc>
          <w:tcPr>
            <w:tcW w:w="1368" w:type="dxa"/>
          </w:tcPr>
          <w:p w14:paraId="2679810F" w14:textId="77777777" w:rsidR="00872BF0" w:rsidRPr="00791EA7" w:rsidRDefault="00872BF0" w:rsidP="00872BF0">
            <w:pPr>
              <w:spacing w:after="0" w:line="360" w:lineRule="auto"/>
              <w:jc w:val="center"/>
              <w:rPr>
                <w:rFonts w:ascii="Arial" w:eastAsia="Times New Roman" w:hAnsi="Arial" w:cs="Arial"/>
                <w:lang w:eastAsia="en-GB"/>
              </w:rPr>
            </w:pPr>
            <w:r w:rsidRPr="00791EA7">
              <w:rPr>
                <w:rFonts w:ascii="Arial" w:eastAsia="Times New Roman" w:hAnsi="Arial" w:cs="Arial"/>
                <w:lang w:eastAsia="en-GB"/>
              </w:rPr>
              <w:t>£</w:t>
            </w:r>
            <w:r w:rsidR="00E26FE6">
              <w:rPr>
                <w:rFonts w:ascii="Arial" w:eastAsia="Times New Roman" w:hAnsi="Arial" w:cs="Arial"/>
                <w:lang w:eastAsia="en-GB"/>
              </w:rPr>
              <w:t>0.207</w:t>
            </w:r>
            <w:r>
              <w:rPr>
                <w:rFonts w:ascii="Arial" w:eastAsia="Times New Roman" w:hAnsi="Arial" w:cs="Arial"/>
                <w:lang w:eastAsia="en-GB"/>
              </w:rPr>
              <w:t>m</w:t>
            </w:r>
          </w:p>
        </w:tc>
        <w:tc>
          <w:tcPr>
            <w:tcW w:w="3163" w:type="dxa"/>
            <w:shd w:val="clear" w:color="auto" w:fill="auto"/>
          </w:tcPr>
          <w:p w14:paraId="1E58DBEA" w14:textId="77777777" w:rsidR="00872BF0" w:rsidRPr="000F1771" w:rsidRDefault="00872BF0" w:rsidP="00872BF0">
            <w:pPr>
              <w:spacing w:after="0" w:line="360" w:lineRule="auto"/>
              <w:jc w:val="both"/>
              <w:rPr>
                <w:rFonts w:ascii="Arial" w:eastAsia="Times New Roman" w:hAnsi="Arial" w:cs="Arial"/>
                <w:lang w:eastAsia="en-GB"/>
              </w:rPr>
            </w:pPr>
            <w:r w:rsidRPr="000F1771">
              <w:rPr>
                <w:rFonts w:ascii="Arial" w:eastAsia="Times New Roman" w:hAnsi="Arial" w:cs="Arial"/>
                <w:lang w:eastAsia="en-GB"/>
              </w:rPr>
              <w:t>Total Interest Received</w:t>
            </w:r>
          </w:p>
        </w:tc>
        <w:tc>
          <w:tcPr>
            <w:tcW w:w="1329" w:type="dxa"/>
          </w:tcPr>
          <w:p w14:paraId="51F97414" w14:textId="77777777" w:rsidR="00872BF0" w:rsidRPr="00791EA7" w:rsidRDefault="00872BF0" w:rsidP="009759FD">
            <w:pPr>
              <w:spacing w:after="0" w:line="360" w:lineRule="auto"/>
              <w:jc w:val="center"/>
              <w:rPr>
                <w:rFonts w:ascii="Arial" w:eastAsia="Times New Roman" w:hAnsi="Arial" w:cs="Arial"/>
                <w:lang w:eastAsia="en-GB"/>
              </w:rPr>
            </w:pPr>
            <w:r w:rsidRPr="00791EA7">
              <w:rPr>
                <w:rFonts w:ascii="Arial" w:eastAsia="Times New Roman" w:hAnsi="Arial" w:cs="Arial"/>
                <w:lang w:eastAsia="en-GB"/>
              </w:rPr>
              <w:t>£</w:t>
            </w:r>
            <w:r>
              <w:rPr>
                <w:rFonts w:ascii="Arial" w:eastAsia="Times New Roman" w:hAnsi="Arial" w:cs="Arial"/>
                <w:lang w:eastAsia="en-GB"/>
              </w:rPr>
              <w:t>0.</w:t>
            </w:r>
            <w:r w:rsidR="009759FD">
              <w:rPr>
                <w:rFonts w:ascii="Arial" w:eastAsia="Times New Roman" w:hAnsi="Arial" w:cs="Arial"/>
                <w:lang w:eastAsia="en-GB"/>
              </w:rPr>
              <w:t>041</w:t>
            </w:r>
            <w:r>
              <w:rPr>
                <w:rFonts w:ascii="Arial" w:eastAsia="Times New Roman" w:hAnsi="Arial" w:cs="Arial"/>
                <w:lang w:eastAsia="en-GB"/>
              </w:rPr>
              <w:t>m</w:t>
            </w:r>
          </w:p>
        </w:tc>
      </w:tr>
      <w:tr w:rsidR="00872BF0" w:rsidRPr="000F1771" w14:paraId="1A88FF41" w14:textId="77777777" w:rsidTr="00872BF0">
        <w:tc>
          <w:tcPr>
            <w:tcW w:w="1368" w:type="dxa"/>
            <w:tcBorders>
              <w:bottom w:val="single" w:sz="4" w:space="0" w:color="auto"/>
            </w:tcBorders>
          </w:tcPr>
          <w:p w14:paraId="5C6393AC" w14:textId="77777777" w:rsidR="00872BF0" w:rsidRPr="00FF7F5F" w:rsidRDefault="00872BF0" w:rsidP="00872BF0">
            <w:pPr>
              <w:spacing w:after="0" w:line="360" w:lineRule="auto"/>
              <w:jc w:val="center"/>
              <w:rPr>
                <w:rFonts w:ascii="Arial" w:eastAsia="Times New Roman" w:hAnsi="Arial" w:cs="Arial"/>
                <w:lang w:eastAsia="en-GB"/>
              </w:rPr>
            </w:pPr>
            <w:r w:rsidRPr="00FF7F5F">
              <w:rPr>
                <w:rFonts w:ascii="Arial" w:eastAsia="Times New Roman" w:hAnsi="Arial" w:cs="Arial"/>
                <w:lang w:eastAsia="en-GB"/>
              </w:rPr>
              <w:t>0.75%</w:t>
            </w:r>
          </w:p>
        </w:tc>
        <w:tc>
          <w:tcPr>
            <w:tcW w:w="3163" w:type="dxa"/>
            <w:tcBorders>
              <w:bottom w:val="single" w:sz="4" w:space="0" w:color="auto"/>
            </w:tcBorders>
            <w:shd w:val="clear" w:color="auto" w:fill="auto"/>
          </w:tcPr>
          <w:p w14:paraId="73250539" w14:textId="77777777" w:rsidR="00872BF0" w:rsidRPr="000F1771" w:rsidRDefault="00872BF0" w:rsidP="00872BF0">
            <w:pPr>
              <w:spacing w:after="0" w:line="360" w:lineRule="auto"/>
              <w:jc w:val="both"/>
              <w:rPr>
                <w:rFonts w:ascii="Arial" w:eastAsia="Times New Roman" w:hAnsi="Arial" w:cs="Arial"/>
                <w:lang w:eastAsia="en-GB"/>
              </w:rPr>
            </w:pPr>
            <w:r w:rsidRPr="000F1771">
              <w:rPr>
                <w:rFonts w:ascii="Arial" w:eastAsia="Times New Roman" w:hAnsi="Arial" w:cs="Arial"/>
                <w:lang w:eastAsia="en-GB"/>
              </w:rPr>
              <w:t>Average Interest Earned</w:t>
            </w:r>
            <w:r>
              <w:rPr>
                <w:rFonts w:ascii="Arial" w:eastAsia="Times New Roman" w:hAnsi="Arial" w:cs="Arial"/>
                <w:lang w:eastAsia="en-GB"/>
              </w:rPr>
              <w:t xml:space="preserve"> Q1</w:t>
            </w:r>
          </w:p>
        </w:tc>
        <w:tc>
          <w:tcPr>
            <w:tcW w:w="1329" w:type="dxa"/>
          </w:tcPr>
          <w:p w14:paraId="6E465071" w14:textId="77777777" w:rsidR="00872BF0" w:rsidRPr="00FF7F5F" w:rsidRDefault="000A3CA0" w:rsidP="00872BF0">
            <w:pPr>
              <w:spacing w:after="0" w:line="360" w:lineRule="auto"/>
              <w:jc w:val="center"/>
              <w:rPr>
                <w:rFonts w:ascii="Arial" w:eastAsia="Times New Roman" w:hAnsi="Arial" w:cs="Arial"/>
                <w:lang w:eastAsia="en-GB"/>
              </w:rPr>
            </w:pPr>
            <w:r>
              <w:rPr>
                <w:rFonts w:ascii="Arial" w:eastAsia="Times New Roman" w:hAnsi="Arial" w:cs="Arial"/>
                <w:lang w:eastAsia="en-GB"/>
              </w:rPr>
              <w:t>0.31</w:t>
            </w:r>
            <w:r w:rsidR="00872BF0" w:rsidRPr="00FF7F5F">
              <w:rPr>
                <w:rFonts w:ascii="Arial" w:eastAsia="Times New Roman" w:hAnsi="Arial" w:cs="Arial"/>
                <w:lang w:eastAsia="en-GB"/>
              </w:rPr>
              <w:t>%</w:t>
            </w:r>
          </w:p>
        </w:tc>
      </w:tr>
      <w:tr w:rsidR="00872BF0" w:rsidRPr="000F1771" w14:paraId="0CCC29F8" w14:textId="77777777" w:rsidTr="00872BF0">
        <w:tc>
          <w:tcPr>
            <w:tcW w:w="1368" w:type="dxa"/>
            <w:tcBorders>
              <w:bottom w:val="single" w:sz="4" w:space="0" w:color="auto"/>
            </w:tcBorders>
          </w:tcPr>
          <w:p w14:paraId="14B5325D" w14:textId="77777777" w:rsidR="00872BF0" w:rsidRPr="00FF7F5F" w:rsidRDefault="00872BF0" w:rsidP="00872BF0">
            <w:pPr>
              <w:spacing w:after="0" w:line="360" w:lineRule="auto"/>
              <w:jc w:val="center"/>
              <w:rPr>
                <w:rFonts w:ascii="Arial" w:eastAsia="Times New Roman" w:hAnsi="Arial" w:cs="Arial"/>
                <w:lang w:eastAsia="en-GB"/>
              </w:rPr>
            </w:pPr>
            <w:r w:rsidRPr="00FF7F5F">
              <w:rPr>
                <w:rFonts w:ascii="Arial" w:eastAsia="Times New Roman" w:hAnsi="Arial" w:cs="Arial"/>
                <w:lang w:eastAsia="en-GB"/>
              </w:rPr>
              <w:t>0.75%</w:t>
            </w:r>
          </w:p>
        </w:tc>
        <w:tc>
          <w:tcPr>
            <w:tcW w:w="3163" w:type="dxa"/>
            <w:tcBorders>
              <w:bottom w:val="single" w:sz="4" w:space="0" w:color="auto"/>
            </w:tcBorders>
            <w:shd w:val="clear" w:color="auto" w:fill="auto"/>
          </w:tcPr>
          <w:p w14:paraId="0659D3C9" w14:textId="77777777" w:rsidR="00872BF0" w:rsidRPr="000F1771" w:rsidRDefault="00872BF0" w:rsidP="00872BF0">
            <w:pPr>
              <w:spacing w:after="0" w:line="360" w:lineRule="auto"/>
              <w:jc w:val="both"/>
              <w:rPr>
                <w:rFonts w:ascii="Arial" w:eastAsia="Times New Roman" w:hAnsi="Arial" w:cs="Arial"/>
                <w:lang w:eastAsia="en-GB"/>
              </w:rPr>
            </w:pPr>
            <w:r w:rsidRPr="000F1771">
              <w:rPr>
                <w:rFonts w:ascii="Arial" w:eastAsia="Times New Roman" w:hAnsi="Arial" w:cs="Arial"/>
                <w:lang w:eastAsia="en-GB"/>
              </w:rPr>
              <w:t>Average Interest Earned</w:t>
            </w:r>
            <w:r>
              <w:rPr>
                <w:rFonts w:ascii="Arial" w:eastAsia="Times New Roman" w:hAnsi="Arial" w:cs="Arial"/>
                <w:lang w:eastAsia="en-GB"/>
              </w:rPr>
              <w:t xml:space="preserve"> Q2</w:t>
            </w:r>
          </w:p>
        </w:tc>
        <w:tc>
          <w:tcPr>
            <w:tcW w:w="1329" w:type="dxa"/>
          </w:tcPr>
          <w:p w14:paraId="3F1E69C3" w14:textId="77777777" w:rsidR="00872BF0" w:rsidRPr="00FF7F5F" w:rsidRDefault="000A3CA0" w:rsidP="00872BF0">
            <w:pPr>
              <w:spacing w:after="0" w:line="360" w:lineRule="auto"/>
              <w:jc w:val="center"/>
              <w:rPr>
                <w:rFonts w:ascii="Arial" w:eastAsia="Times New Roman" w:hAnsi="Arial" w:cs="Arial"/>
                <w:lang w:eastAsia="en-GB"/>
              </w:rPr>
            </w:pPr>
            <w:r>
              <w:rPr>
                <w:rFonts w:ascii="Arial" w:eastAsia="Times New Roman" w:hAnsi="Arial" w:cs="Arial"/>
                <w:lang w:eastAsia="en-GB"/>
              </w:rPr>
              <w:t>0.14</w:t>
            </w:r>
            <w:r w:rsidR="00872BF0" w:rsidRPr="00FF7F5F">
              <w:rPr>
                <w:rFonts w:ascii="Arial" w:eastAsia="Times New Roman" w:hAnsi="Arial" w:cs="Arial"/>
                <w:lang w:eastAsia="en-GB"/>
              </w:rPr>
              <w:t>%</w:t>
            </w:r>
          </w:p>
        </w:tc>
      </w:tr>
      <w:tr w:rsidR="00872BF0" w:rsidRPr="000F1771" w14:paraId="1D3AD13B" w14:textId="77777777" w:rsidTr="00872BF0">
        <w:tc>
          <w:tcPr>
            <w:tcW w:w="1368" w:type="dxa"/>
            <w:tcBorders>
              <w:bottom w:val="single" w:sz="4" w:space="0" w:color="auto"/>
            </w:tcBorders>
          </w:tcPr>
          <w:p w14:paraId="0F72D78D" w14:textId="77777777" w:rsidR="00872BF0" w:rsidRPr="00FF7F5F" w:rsidRDefault="00872BF0" w:rsidP="00872BF0">
            <w:pPr>
              <w:spacing w:after="0" w:line="360" w:lineRule="auto"/>
              <w:jc w:val="center"/>
              <w:rPr>
                <w:rFonts w:ascii="Arial" w:eastAsia="Times New Roman" w:hAnsi="Arial" w:cs="Arial"/>
                <w:lang w:eastAsia="en-GB"/>
              </w:rPr>
            </w:pPr>
            <w:r w:rsidRPr="00FF7F5F">
              <w:rPr>
                <w:rFonts w:ascii="Arial" w:eastAsia="Times New Roman" w:hAnsi="Arial" w:cs="Arial"/>
                <w:lang w:eastAsia="en-GB"/>
              </w:rPr>
              <w:t>0.75%</w:t>
            </w:r>
          </w:p>
        </w:tc>
        <w:tc>
          <w:tcPr>
            <w:tcW w:w="3163" w:type="dxa"/>
            <w:tcBorders>
              <w:bottom w:val="single" w:sz="4" w:space="0" w:color="auto"/>
            </w:tcBorders>
            <w:shd w:val="clear" w:color="auto" w:fill="auto"/>
          </w:tcPr>
          <w:p w14:paraId="43C40880" w14:textId="77777777" w:rsidR="00872BF0" w:rsidRPr="000F1771" w:rsidRDefault="00872BF0" w:rsidP="00872BF0">
            <w:pPr>
              <w:spacing w:after="0" w:line="360" w:lineRule="auto"/>
              <w:jc w:val="both"/>
              <w:rPr>
                <w:rFonts w:ascii="Arial" w:eastAsia="Times New Roman" w:hAnsi="Arial" w:cs="Arial"/>
                <w:lang w:eastAsia="en-GB"/>
              </w:rPr>
            </w:pPr>
            <w:r w:rsidRPr="000F1771">
              <w:rPr>
                <w:rFonts w:ascii="Arial" w:eastAsia="Times New Roman" w:hAnsi="Arial" w:cs="Arial"/>
                <w:lang w:eastAsia="en-GB"/>
              </w:rPr>
              <w:t>Average Interest Earned</w:t>
            </w:r>
            <w:r>
              <w:rPr>
                <w:rFonts w:ascii="Arial" w:eastAsia="Times New Roman" w:hAnsi="Arial" w:cs="Arial"/>
                <w:lang w:eastAsia="en-GB"/>
              </w:rPr>
              <w:t xml:space="preserve"> Q3</w:t>
            </w:r>
          </w:p>
        </w:tc>
        <w:tc>
          <w:tcPr>
            <w:tcW w:w="1329" w:type="dxa"/>
          </w:tcPr>
          <w:p w14:paraId="5286ECE4" w14:textId="77777777" w:rsidR="00872BF0" w:rsidRPr="00FF7F5F" w:rsidRDefault="00872BF0" w:rsidP="00872BF0">
            <w:pPr>
              <w:spacing w:after="0" w:line="360" w:lineRule="auto"/>
              <w:jc w:val="center"/>
              <w:rPr>
                <w:rFonts w:ascii="Arial" w:eastAsia="Times New Roman" w:hAnsi="Arial" w:cs="Arial"/>
                <w:lang w:eastAsia="en-GB"/>
              </w:rPr>
            </w:pPr>
            <w:r w:rsidRPr="00FF7F5F">
              <w:rPr>
                <w:rFonts w:ascii="Arial" w:eastAsia="Times New Roman" w:hAnsi="Arial" w:cs="Arial"/>
                <w:lang w:eastAsia="en-GB"/>
              </w:rPr>
              <w:t>0.</w:t>
            </w:r>
            <w:r w:rsidR="009759FD">
              <w:rPr>
                <w:rFonts w:ascii="Arial" w:eastAsia="Times New Roman" w:hAnsi="Arial" w:cs="Arial"/>
                <w:lang w:eastAsia="en-GB"/>
              </w:rPr>
              <w:t>10</w:t>
            </w:r>
            <w:r w:rsidRPr="00FF7F5F">
              <w:rPr>
                <w:rFonts w:ascii="Arial" w:eastAsia="Times New Roman" w:hAnsi="Arial" w:cs="Arial"/>
                <w:lang w:eastAsia="en-GB"/>
              </w:rPr>
              <w:t>%</w:t>
            </w:r>
          </w:p>
        </w:tc>
      </w:tr>
      <w:tr w:rsidR="00872BF0" w:rsidRPr="000F1771" w14:paraId="4C9013AB" w14:textId="77777777" w:rsidTr="00872BF0">
        <w:tc>
          <w:tcPr>
            <w:tcW w:w="1368" w:type="dxa"/>
          </w:tcPr>
          <w:p w14:paraId="74797536" w14:textId="77777777" w:rsidR="00872BF0" w:rsidRPr="00FF7F5F" w:rsidRDefault="00872BF0" w:rsidP="00872BF0">
            <w:pPr>
              <w:spacing w:after="0" w:line="360" w:lineRule="auto"/>
              <w:jc w:val="center"/>
              <w:rPr>
                <w:rFonts w:ascii="Arial" w:eastAsia="Times New Roman" w:hAnsi="Arial" w:cs="Arial"/>
                <w:lang w:eastAsia="en-GB"/>
              </w:rPr>
            </w:pPr>
            <w:r w:rsidRPr="00FF7F5F">
              <w:rPr>
                <w:rFonts w:ascii="Arial" w:eastAsia="Times New Roman" w:hAnsi="Arial" w:cs="Arial"/>
                <w:lang w:eastAsia="en-GB"/>
              </w:rPr>
              <w:t>0.72%</w:t>
            </w:r>
          </w:p>
        </w:tc>
        <w:tc>
          <w:tcPr>
            <w:tcW w:w="3163" w:type="dxa"/>
            <w:shd w:val="clear" w:color="auto" w:fill="auto"/>
          </w:tcPr>
          <w:p w14:paraId="72927BF8" w14:textId="77777777" w:rsidR="00872BF0" w:rsidRPr="000F1771" w:rsidRDefault="00872BF0" w:rsidP="00872BF0">
            <w:pPr>
              <w:spacing w:after="0" w:line="360" w:lineRule="auto"/>
              <w:jc w:val="both"/>
              <w:rPr>
                <w:rFonts w:ascii="Arial" w:eastAsia="Times New Roman" w:hAnsi="Arial" w:cs="Arial"/>
                <w:lang w:eastAsia="en-GB"/>
              </w:rPr>
            </w:pPr>
            <w:r w:rsidRPr="000F1771">
              <w:rPr>
                <w:rFonts w:ascii="Arial" w:eastAsia="Times New Roman" w:hAnsi="Arial" w:cs="Arial"/>
                <w:lang w:eastAsia="en-GB"/>
              </w:rPr>
              <w:t>Average Interest Earned</w:t>
            </w:r>
            <w:r>
              <w:rPr>
                <w:rFonts w:ascii="Arial" w:eastAsia="Times New Roman" w:hAnsi="Arial" w:cs="Arial"/>
                <w:lang w:eastAsia="en-GB"/>
              </w:rPr>
              <w:t xml:space="preserve"> Q4</w:t>
            </w:r>
          </w:p>
        </w:tc>
        <w:tc>
          <w:tcPr>
            <w:tcW w:w="1329" w:type="dxa"/>
          </w:tcPr>
          <w:p w14:paraId="78AAD3E6" w14:textId="77777777" w:rsidR="00872BF0" w:rsidRPr="00FF7F5F" w:rsidRDefault="009759FD" w:rsidP="00872BF0">
            <w:pPr>
              <w:spacing w:after="0" w:line="360" w:lineRule="auto"/>
              <w:jc w:val="center"/>
              <w:rPr>
                <w:rFonts w:ascii="Arial" w:eastAsia="Times New Roman" w:hAnsi="Arial" w:cs="Arial"/>
                <w:lang w:eastAsia="en-GB"/>
              </w:rPr>
            </w:pPr>
            <w:r>
              <w:rPr>
                <w:rFonts w:ascii="Arial" w:eastAsia="Times New Roman" w:hAnsi="Arial" w:cs="Arial"/>
                <w:lang w:eastAsia="en-GB"/>
              </w:rPr>
              <w:t>0.10</w:t>
            </w:r>
            <w:r w:rsidR="00872BF0" w:rsidRPr="00FF7F5F">
              <w:rPr>
                <w:rFonts w:ascii="Arial" w:eastAsia="Times New Roman" w:hAnsi="Arial" w:cs="Arial"/>
                <w:lang w:eastAsia="en-GB"/>
              </w:rPr>
              <w:t>%</w:t>
            </w:r>
          </w:p>
        </w:tc>
      </w:tr>
      <w:tr w:rsidR="00872BF0" w:rsidRPr="000F1771" w14:paraId="35ED46AC" w14:textId="77777777" w:rsidTr="00872BF0">
        <w:tc>
          <w:tcPr>
            <w:tcW w:w="1368" w:type="dxa"/>
            <w:tcBorders>
              <w:bottom w:val="single" w:sz="4" w:space="0" w:color="auto"/>
            </w:tcBorders>
          </w:tcPr>
          <w:p w14:paraId="4E4F5D5D" w14:textId="77777777" w:rsidR="00872BF0" w:rsidRPr="00FF7F5F" w:rsidRDefault="00872BF0" w:rsidP="00872BF0">
            <w:pPr>
              <w:spacing w:after="0" w:line="360" w:lineRule="auto"/>
              <w:jc w:val="center"/>
              <w:rPr>
                <w:rFonts w:ascii="Arial" w:eastAsia="Times New Roman" w:hAnsi="Arial" w:cs="Arial"/>
                <w:lang w:eastAsia="en-GB"/>
              </w:rPr>
            </w:pPr>
            <w:r w:rsidRPr="00FF7F5F">
              <w:rPr>
                <w:rFonts w:ascii="Arial" w:eastAsia="Times New Roman" w:hAnsi="Arial" w:cs="Arial"/>
                <w:lang w:eastAsia="en-GB"/>
              </w:rPr>
              <w:t>0.74%</w:t>
            </w:r>
          </w:p>
        </w:tc>
        <w:tc>
          <w:tcPr>
            <w:tcW w:w="3163" w:type="dxa"/>
            <w:tcBorders>
              <w:bottom w:val="single" w:sz="4" w:space="0" w:color="auto"/>
            </w:tcBorders>
            <w:shd w:val="clear" w:color="auto" w:fill="auto"/>
          </w:tcPr>
          <w:p w14:paraId="55BD953F" w14:textId="77777777" w:rsidR="00872BF0" w:rsidRPr="000F1771" w:rsidRDefault="00872BF0" w:rsidP="00872BF0">
            <w:pPr>
              <w:spacing w:after="0" w:line="360" w:lineRule="auto"/>
              <w:jc w:val="both"/>
              <w:rPr>
                <w:rFonts w:ascii="Arial" w:eastAsia="Times New Roman" w:hAnsi="Arial" w:cs="Arial"/>
                <w:lang w:eastAsia="en-GB"/>
              </w:rPr>
            </w:pPr>
            <w:r>
              <w:rPr>
                <w:rFonts w:ascii="Arial" w:eastAsia="Times New Roman" w:hAnsi="Arial" w:cs="Arial"/>
                <w:lang w:eastAsia="en-GB"/>
              </w:rPr>
              <w:t xml:space="preserve">Total </w:t>
            </w:r>
            <w:r w:rsidRPr="000F1771">
              <w:rPr>
                <w:rFonts w:ascii="Arial" w:eastAsia="Times New Roman" w:hAnsi="Arial" w:cs="Arial"/>
                <w:lang w:eastAsia="en-GB"/>
              </w:rPr>
              <w:t>Average Interest Earned</w:t>
            </w:r>
          </w:p>
        </w:tc>
        <w:tc>
          <w:tcPr>
            <w:tcW w:w="1329" w:type="dxa"/>
          </w:tcPr>
          <w:p w14:paraId="65137145" w14:textId="77777777" w:rsidR="00872BF0" w:rsidRPr="00FF7F5F" w:rsidRDefault="000A3CA0" w:rsidP="00872BF0">
            <w:pPr>
              <w:spacing w:after="0" w:line="360" w:lineRule="auto"/>
              <w:jc w:val="center"/>
              <w:rPr>
                <w:rFonts w:ascii="Arial" w:eastAsia="Times New Roman" w:hAnsi="Arial" w:cs="Arial"/>
                <w:lang w:eastAsia="en-GB"/>
              </w:rPr>
            </w:pPr>
            <w:r>
              <w:rPr>
                <w:rFonts w:ascii="Arial" w:eastAsia="Times New Roman" w:hAnsi="Arial" w:cs="Arial"/>
                <w:lang w:eastAsia="en-GB"/>
              </w:rPr>
              <w:t>0.16</w:t>
            </w:r>
            <w:r w:rsidR="00872BF0" w:rsidRPr="00FF7F5F">
              <w:rPr>
                <w:rFonts w:ascii="Arial" w:eastAsia="Times New Roman" w:hAnsi="Arial" w:cs="Arial"/>
                <w:lang w:eastAsia="en-GB"/>
              </w:rPr>
              <w:t>%</w:t>
            </w:r>
          </w:p>
        </w:tc>
      </w:tr>
    </w:tbl>
    <w:p w14:paraId="6ABD0FD2" w14:textId="77777777" w:rsidR="000F1771" w:rsidRPr="000F1771" w:rsidRDefault="00196C8E" w:rsidP="00B76E75">
      <w:pPr>
        <w:spacing w:after="0" w:line="360" w:lineRule="auto"/>
        <w:jc w:val="both"/>
        <w:rPr>
          <w:rFonts w:ascii="Arial" w:eastAsia="Times New Roman" w:hAnsi="Arial" w:cs="Arial"/>
          <w:highlight w:val="green"/>
          <w:lang w:eastAsia="en-GB"/>
        </w:rPr>
      </w:pPr>
      <w:r>
        <w:rPr>
          <w:rFonts w:ascii="Arial" w:eastAsia="Times New Roman" w:hAnsi="Arial" w:cs="Arial"/>
          <w:highlight w:val="green"/>
          <w:lang w:eastAsia="en-GB"/>
        </w:rPr>
        <w:t xml:space="preserve">                                                                                                                                                                                                                                                                                                                                                                                                                                                                  </w:t>
      </w:r>
    </w:p>
    <w:p w14:paraId="7214D53C" w14:textId="77777777" w:rsidR="000F1771" w:rsidRPr="000F1771" w:rsidRDefault="000F1771" w:rsidP="000F1771">
      <w:pPr>
        <w:spacing w:after="0" w:line="360" w:lineRule="auto"/>
        <w:ind w:left="709"/>
        <w:jc w:val="both"/>
        <w:rPr>
          <w:rFonts w:ascii="Arial" w:eastAsia="Times New Roman" w:hAnsi="Arial" w:cs="Arial"/>
          <w:highlight w:val="green"/>
          <w:lang w:eastAsia="en-GB"/>
        </w:rPr>
      </w:pPr>
    </w:p>
    <w:p w14:paraId="244558DB" w14:textId="77777777" w:rsidR="000F1771" w:rsidRPr="000F1771" w:rsidRDefault="000F1771" w:rsidP="000F1771">
      <w:pPr>
        <w:spacing w:after="0" w:line="360" w:lineRule="auto"/>
        <w:ind w:left="709"/>
        <w:jc w:val="both"/>
        <w:rPr>
          <w:rFonts w:ascii="Arial" w:eastAsia="Times New Roman" w:hAnsi="Arial" w:cs="Arial"/>
          <w:highlight w:val="green"/>
          <w:lang w:eastAsia="en-GB"/>
        </w:rPr>
      </w:pPr>
    </w:p>
    <w:p w14:paraId="136E9F5B" w14:textId="77777777" w:rsidR="000F1771" w:rsidRPr="000F1771" w:rsidRDefault="000F1771" w:rsidP="000F1771">
      <w:pPr>
        <w:spacing w:after="0" w:line="360" w:lineRule="auto"/>
        <w:ind w:left="709"/>
        <w:jc w:val="both"/>
        <w:rPr>
          <w:rFonts w:ascii="Arial" w:eastAsia="Times New Roman" w:hAnsi="Arial" w:cs="Arial"/>
          <w:highlight w:val="green"/>
          <w:lang w:eastAsia="en-GB"/>
        </w:rPr>
      </w:pPr>
    </w:p>
    <w:p w14:paraId="15E418B7" w14:textId="77777777" w:rsidR="000F1771" w:rsidRPr="000F1771" w:rsidRDefault="000F1771" w:rsidP="000F1771">
      <w:pPr>
        <w:spacing w:after="0" w:line="360" w:lineRule="auto"/>
        <w:ind w:left="709"/>
        <w:jc w:val="both"/>
        <w:rPr>
          <w:rFonts w:ascii="Arial" w:eastAsia="Times New Roman" w:hAnsi="Arial" w:cs="Arial"/>
          <w:highlight w:val="green"/>
          <w:lang w:eastAsia="en-GB"/>
        </w:rPr>
      </w:pPr>
    </w:p>
    <w:p w14:paraId="6A94CFDD" w14:textId="77777777" w:rsidR="000F1771" w:rsidRPr="000F1771" w:rsidRDefault="000F1771" w:rsidP="000F1771">
      <w:pPr>
        <w:spacing w:after="0" w:line="360" w:lineRule="auto"/>
        <w:ind w:left="709"/>
        <w:jc w:val="both"/>
        <w:rPr>
          <w:rFonts w:ascii="Arial" w:eastAsia="Times New Roman" w:hAnsi="Arial" w:cs="Arial"/>
          <w:highlight w:val="green"/>
          <w:lang w:eastAsia="en-GB"/>
        </w:rPr>
      </w:pPr>
    </w:p>
    <w:p w14:paraId="69F731A4" w14:textId="77777777" w:rsidR="000F1771" w:rsidRPr="000F1771" w:rsidRDefault="000F1771" w:rsidP="000F1771">
      <w:pPr>
        <w:spacing w:after="0" w:line="360" w:lineRule="auto"/>
        <w:ind w:left="567"/>
        <w:jc w:val="both"/>
        <w:rPr>
          <w:rFonts w:ascii="Arial" w:eastAsia="Times New Roman" w:hAnsi="Arial" w:cs="Arial"/>
          <w:highlight w:val="green"/>
          <w:lang w:eastAsia="en-GB"/>
        </w:rPr>
      </w:pPr>
    </w:p>
    <w:p w14:paraId="4B38510C" w14:textId="77777777" w:rsidR="000F1771" w:rsidRPr="000F1771" w:rsidRDefault="000F1771" w:rsidP="000F1771">
      <w:pPr>
        <w:spacing w:after="0" w:line="360" w:lineRule="auto"/>
        <w:ind w:left="709"/>
        <w:jc w:val="both"/>
        <w:rPr>
          <w:rFonts w:ascii="Arial" w:eastAsia="Times New Roman" w:hAnsi="Arial" w:cs="Arial"/>
          <w:lang w:eastAsia="en-GB"/>
        </w:rPr>
      </w:pPr>
    </w:p>
    <w:p w14:paraId="4A8A057C" w14:textId="77777777" w:rsidR="00241B4C" w:rsidRDefault="00241B4C" w:rsidP="000F1771">
      <w:pPr>
        <w:spacing w:after="0" w:line="360" w:lineRule="auto"/>
        <w:ind w:left="709"/>
        <w:jc w:val="both"/>
        <w:rPr>
          <w:rFonts w:ascii="Arial" w:eastAsia="Times New Roman" w:hAnsi="Arial" w:cs="Arial"/>
          <w:lang w:eastAsia="en-GB"/>
        </w:rPr>
      </w:pPr>
    </w:p>
    <w:p w14:paraId="2C0154DE" w14:textId="77777777" w:rsidR="00F3398F" w:rsidRDefault="00F3398F" w:rsidP="000F1771">
      <w:pPr>
        <w:spacing w:after="0" w:line="360" w:lineRule="auto"/>
        <w:ind w:left="709"/>
        <w:jc w:val="both"/>
        <w:rPr>
          <w:rFonts w:ascii="Arial" w:eastAsia="Times New Roman" w:hAnsi="Arial" w:cs="Arial"/>
          <w:lang w:eastAsia="en-GB"/>
        </w:rPr>
      </w:pPr>
    </w:p>
    <w:p w14:paraId="4A2194ED" w14:textId="77777777" w:rsidR="00EC634B" w:rsidRDefault="00EC634B" w:rsidP="000F1771">
      <w:pPr>
        <w:spacing w:after="0" w:line="360" w:lineRule="auto"/>
        <w:ind w:left="709"/>
        <w:jc w:val="both"/>
        <w:rPr>
          <w:rFonts w:ascii="Arial" w:eastAsia="Times New Roman" w:hAnsi="Arial" w:cs="Arial"/>
          <w:lang w:eastAsia="en-GB"/>
        </w:rPr>
      </w:pPr>
    </w:p>
    <w:p w14:paraId="055B1E7E" w14:textId="77777777" w:rsidR="00465490" w:rsidRPr="00C5495F" w:rsidRDefault="000F1771" w:rsidP="000F1771">
      <w:pPr>
        <w:spacing w:after="0" w:line="360" w:lineRule="auto"/>
        <w:ind w:left="709"/>
        <w:jc w:val="both"/>
        <w:rPr>
          <w:rFonts w:ascii="Arial" w:eastAsia="Times New Roman" w:hAnsi="Arial" w:cs="Arial"/>
          <w:lang w:eastAsia="en-GB"/>
        </w:rPr>
      </w:pPr>
      <w:r w:rsidRPr="007E6B77">
        <w:rPr>
          <w:rFonts w:ascii="Arial" w:eastAsia="Times New Roman" w:hAnsi="Arial" w:cs="Arial"/>
          <w:lang w:eastAsia="en-GB"/>
        </w:rPr>
        <w:t xml:space="preserve">The average rate of return for the year </w:t>
      </w:r>
      <w:r w:rsidR="00C33B9E" w:rsidRPr="00FF7F5F">
        <w:rPr>
          <w:rFonts w:ascii="Arial" w:eastAsia="Times New Roman" w:hAnsi="Arial" w:cs="Arial"/>
          <w:lang w:eastAsia="en-GB"/>
        </w:rPr>
        <w:t>20</w:t>
      </w:r>
      <w:r w:rsidR="000A3CA0">
        <w:rPr>
          <w:rFonts w:ascii="Arial" w:eastAsia="Times New Roman" w:hAnsi="Arial" w:cs="Arial"/>
          <w:lang w:eastAsia="en-GB"/>
        </w:rPr>
        <w:t>20</w:t>
      </w:r>
      <w:r w:rsidR="00C33B9E" w:rsidRPr="00FF7F5F">
        <w:rPr>
          <w:rFonts w:ascii="Arial" w:eastAsia="Times New Roman" w:hAnsi="Arial" w:cs="Arial"/>
          <w:lang w:eastAsia="en-GB"/>
        </w:rPr>
        <w:t>-20</w:t>
      </w:r>
      <w:r w:rsidR="00047C03" w:rsidRPr="00FF7F5F">
        <w:rPr>
          <w:rFonts w:ascii="Arial" w:eastAsia="Times New Roman" w:hAnsi="Arial" w:cs="Arial"/>
          <w:lang w:eastAsia="en-GB"/>
        </w:rPr>
        <w:t>2</w:t>
      </w:r>
      <w:r w:rsidR="000A3CA0">
        <w:rPr>
          <w:rFonts w:ascii="Arial" w:eastAsia="Times New Roman" w:hAnsi="Arial" w:cs="Arial"/>
          <w:lang w:eastAsia="en-GB"/>
        </w:rPr>
        <w:t>1</w:t>
      </w:r>
      <w:r w:rsidR="00C33B9E" w:rsidRPr="00FF7F5F">
        <w:rPr>
          <w:rFonts w:ascii="Arial" w:eastAsia="Times New Roman" w:hAnsi="Arial" w:cs="Arial"/>
          <w:lang w:eastAsia="en-GB"/>
        </w:rPr>
        <w:t xml:space="preserve"> </w:t>
      </w:r>
      <w:r w:rsidRPr="00FF7F5F">
        <w:rPr>
          <w:rFonts w:ascii="Arial" w:eastAsia="Times New Roman" w:hAnsi="Arial" w:cs="Arial"/>
          <w:lang w:eastAsia="en-GB"/>
        </w:rPr>
        <w:t>was 0.</w:t>
      </w:r>
      <w:r w:rsidR="000A3CA0">
        <w:rPr>
          <w:rFonts w:ascii="Arial" w:eastAsia="Times New Roman" w:hAnsi="Arial" w:cs="Arial"/>
          <w:lang w:eastAsia="en-GB"/>
        </w:rPr>
        <w:t>16</w:t>
      </w:r>
      <w:r w:rsidRPr="00FF7F5F">
        <w:rPr>
          <w:rFonts w:ascii="Arial" w:eastAsia="Times New Roman" w:hAnsi="Arial" w:cs="Arial"/>
          <w:lang w:eastAsia="en-GB"/>
        </w:rPr>
        <w:t>%</w:t>
      </w:r>
      <w:r w:rsidR="00AB4DED" w:rsidRPr="00FF7F5F">
        <w:rPr>
          <w:rFonts w:ascii="Arial" w:eastAsia="Times New Roman" w:hAnsi="Arial" w:cs="Arial"/>
          <w:lang w:eastAsia="en-GB"/>
        </w:rPr>
        <w:t xml:space="preserve"> based upon an average investment of £</w:t>
      </w:r>
      <w:r w:rsidR="005E0178" w:rsidRPr="00FF7F5F">
        <w:rPr>
          <w:rFonts w:ascii="Arial" w:eastAsia="Times New Roman" w:hAnsi="Arial" w:cs="Arial"/>
          <w:lang w:eastAsia="en-GB"/>
        </w:rPr>
        <w:t>2</w:t>
      </w:r>
      <w:r w:rsidR="000A3CA0">
        <w:rPr>
          <w:rFonts w:ascii="Arial" w:eastAsia="Times New Roman" w:hAnsi="Arial" w:cs="Arial"/>
          <w:lang w:eastAsia="en-GB"/>
        </w:rPr>
        <w:t>7.4</w:t>
      </w:r>
      <w:r w:rsidR="00AB4DED" w:rsidRPr="00FF7F5F">
        <w:rPr>
          <w:rFonts w:ascii="Arial" w:eastAsia="Times New Roman" w:hAnsi="Arial" w:cs="Arial"/>
          <w:lang w:eastAsia="en-GB"/>
        </w:rPr>
        <w:t>m</w:t>
      </w:r>
      <w:r w:rsidR="009169FF" w:rsidRPr="00FF7F5F">
        <w:rPr>
          <w:rFonts w:ascii="Arial" w:eastAsia="Times New Roman" w:hAnsi="Arial" w:cs="Arial"/>
          <w:lang w:eastAsia="en-GB"/>
        </w:rPr>
        <w:t xml:space="preserve"> </w:t>
      </w:r>
      <w:r w:rsidR="001433F2" w:rsidRPr="00FF7F5F">
        <w:rPr>
          <w:rFonts w:ascii="Arial" w:eastAsia="Times New Roman" w:hAnsi="Arial" w:cs="Arial"/>
          <w:lang w:eastAsia="en-GB"/>
        </w:rPr>
        <w:t xml:space="preserve">and </w:t>
      </w:r>
      <w:r w:rsidR="00AB4DED" w:rsidRPr="00FF7F5F">
        <w:rPr>
          <w:rFonts w:ascii="Arial" w:eastAsia="Times New Roman" w:hAnsi="Arial" w:cs="Arial"/>
          <w:lang w:eastAsia="en-GB"/>
        </w:rPr>
        <w:t>is</w:t>
      </w:r>
      <w:r w:rsidRPr="00FF7F5F">
        <w:rPr>
          <w:rFonts w:ascii="Arial" w:eastAsia="Times New Roman" w:hAnsi="Arial" w:cs="Arial"/>
          <w:lang w:eastAsia="en-GB"/>
        </w:rPr>
        <w:t xml:space="preserve"> above the average</w:t>
      </w:r>
      <w:r w:rsidRPr="007E6B77">
        <w:rPr>
          <w:rFonts w:ascii="Arial" w:eastAsia="Times New Roman" w:hAnsi="Arial" w:cs="Arial"/>
          <w:lang w:eastAsia="en-GB"/>
        </w:rPr>
        <w:t xml:space="preserve"> London Inter-Bank BID rate (formerly Local Authority </w:t>
      </w:r>
      <w:proofErr w:type="gramStart"/>
      <w:r w:rsidRPr="007E6B77">
        <w:rPr>
          <w:rFonts w:ascii="Arial" w:eastAsia="Times New Roman" w:hAnsi="Arial" w:cs="Arial"/>
          <w:lang w:eastAsia="en-GB"/>
        </w:rPr>
        <w:t>7 day</w:t>
      </w:r>
      <w:proofErr w:type="gramEnd"/>
      <w:r w:rsidRPr="007E6B77">
        <w:rPr>
          <w:rFonts w:ascii="Arial" w:eastAsia="Times New Roman" w:hAnsi="Arial" w:cs="Arial"/>
          <w:lang w:eastAsia="en-GB"/>
        </w:rPr>
        <w:t xml:space="preserve"> </w:t>
      </w:r>
      <w:r w:rsidR="00CD18BC" w:rsidRPr="007E6B77">
        <w:rPr>
          <w:rFonts w:ascii="Arial" w:eastAsia="Times New Roman" w:hAnsi="Arial" w:cs="Arial"/>
          <w:lang w:eastAsia="en-GB"/>
        </w:rPr>
        <w:t xml:space="preserve">rate) </w:t>
      </w:r>
      <w:r w:rsidR="00CD18BC" w:rsidRPr="004908BA">
        <w:rPr>
          <w:rFonts w:ascii="Arial" w:eastAsia="Times New Roman" w:hAnsi="Arial" w:cs="Arial"/>
          <w:lang w:eastAsia="en-GB"/>
        </w:rPr>
        <w:t xml:space="preserve">for the same period of </w:t>
      </w:r>
      <w:r w:rsidR="000A3CA0">
        <w:rPr>
          <w:rFonts w:ascii="Arial" w:eastAsia="Times New Roman" w:hAnsi="Arial" w:cs="Arial"/>
          <w:lang w:eastAsia="en-GB"/>
        </w:rPr>
        <w:t>-</w:t>
      </w:r>
      <w:r w:rsidR="00CD18BC" w:rsidRPr="004908BA">
        <w:rPr>
          <w:rFonts w:ascii="Arial" w:eastAsia="Times New Roman" w:hAnsi="Arial" w:cs="Arial"/>
          <w:lang w:eastAsia="en-GB"/>
        </w:rPr>
        <w:t>0.</w:t>
      </w:r>
      <w:r w:rsidR="000A3CA0">
        <w:rPr>
          <w:rFonts w:ascii="Arial" w:eastAsia="Times New Roman" w:hAnsi="Arial" w:cs="Arial"/>
          <w:lang w:eastAsia="en-GB"/>
        </w:rPr>
        <w:t>07</w:t>
      </w:r>
      <w:r w:rsidRPr="00C5495F">
        <w:rPr>
          <w:rFonts w:ascii="Arial" w:eastAsia="Times New Roman" w:hAnsi="Arial" w:cs="Arial"/>
          <w:lang w:eastAsia="en-GB"/>
        </w:rPr>
        <w:t>%.</w:t>
      </w:r>
      <w:r w:rsidR="00CD7AB2" w:rsidRPr="00C5495F">
        <w:rPr>
          <w:rFonts w:ascii="Arial" w:eastAsia="Times New Roman" w:hAnsi="Arial" w:cs="Arial"/>
          <w:lang w:eastAsia="en-GB"/>
        </w:rPr>
        <w:t xml:space="preserve">  </w:t>
      </w:r>
      <w:r w:rsidR="00953829" w:rsidRPr="00C5495F">
        <w:rPr>
          <w:rFonts w:ascii="Arial" w:eastAsia="Times New Roman" w:hAnsi="Arial" w:cs="Arial"/>
          <w:lang w:eastAsia="en-GB"/>
        </w:rPr>
        <w:t xml:space="preserve">Appendix 1 </w:t>
      </w:r>
      <w:r w:rsidR="00817B2F" w:rsidRPr="00C5495F">
        <w:rPr>
          <w:rFonts w:ascii="Arial" w:eastAsia="Times New Roman" w:hAnsi="Arial" w:cs="Arial"/>
          <w:lang w:eastAsia="en-GB"/>
        </w:rPr>
        <w:t>shows the</w:t>
      </w:r>
      <w:r w:rsidR="004908BA" w:rsidRPr="00C5495F">
        <w:rPr>
          <w:rFonts w:ascii="Arial" w:eastAsia="Times New Roman" w:hAnsi="Arial" w:cs="Arial"/>
          <w:lang w:eastAsia="en-GB"/>
        </w:rPr>
        <w:t xml:space="preserve"> %</w:t>
      </w:r>
      <w:r w:rsidR="00817B2F" w:rsidRPr="00C5495F">
        <w:rPr>
          <w:rFonts w:ascii="Arial" w:eastAsia="Times New Roman" w:hAnsi="Arial" w:cs="Arial"/>
          <w:lang w:eastAsia="en-GB"/>
        </w:rPr>
        <w:t xml:space="preserve"> interest rate</w:t>
      </w:r>
      <w:r w:rsidR="004908BA" w:rsidRPr="00C5495F">
        <w:rPr>
          <w:rFonts w:ascii="Arial" w:eastAsia="Times New Roman" w:hAnsi="Arial" w:cs="Arial"/>
          <w:lang w:eastAsia="en-GB"/>
        </w:rPr>
        <w:t>s</w:t>
      </w:r>
      <w:r w:rsidR="00817B2F" w:rsidRPr="00C5495F">
        <w:rPr>
          <w:rFonts w:ascii="Arial" w:eastAsia="Times New Roman" w:hAnsi="Arial" w:cs="Arial"/>
          <w:lang w:eastAsia="en-GB"/>
        </w:rPr>
        <w:t xml:space="preserve"> </w:t>
      </w:r>
      <w:r w:rsidR="004908BA" w:rsidRPr="00C5495F">
        <w:rPr>
          <w:rFonts w:ascii="Arial" w:eastAsia="Times New Roman" w:hAnsi="Arial" w:cs="Arial"/>
          <w:lang w:eastAsia="en-GB"/>
        </w:rPr>
        <w:t>achieved</w:t>
      </w:r>
      <w:r w:rsidR="00817B2F" w:rsidRPr="00C5495F">
        <w:rPr>
          <w:rFonts w:ascii="Arial" w:eastAsia="Times New Roman" w:hAnsi="Arial" w:cs="Arial"/>
          <w:lang w:eastAsia="en-GB"/>
        </w:rPr>
        <w:t xml:space="preserve"> </w:t>
      </w:r>
      <w:r w:rsidR="000803AE" w:rsidRPr="00C5495F">
        <w:rPr>
          <w:rFonts w:ascii="Arial" w:eastAsia="Times New Roman" w:hAnsi="Arial" w:cs="Arial"/>
          <w:lang w:eastAsia="en-GB"/>
        </w:rPr>
        <w:t>with appendix 2 showing the actual interest</w:t>
      </w:r>
      <w:r w:rsidR="004908BA" w:rsidRPr="00C5495F">
        <w:rPr>
          <w:rFonts w:ascii="Arial" w:eastAsia="Times New Roman" w:hAnsi="Arial" w:cs="Arial"/>
          <w:lang w:eastAsia="en-GB"/>
        </w:rPr>
        <w:t xml:space="preserve"> amounts</w:t>
      </w:r>
      <w:r w:rsidR="000803AE" w:rsidRPr="00C5495F">
        <w:rPr>
          <w:rFonts w:ascii="Arial" w:eastAsia="Times New Roman" w:hAnsi="Arial" w:cs="Arial"/>
          <w:lang w:eastAsia="en-GB"/>
        </w:rPr>
        <w:t xml:space="preserve"> received.</w:t>
      </w:r>
      <w:r w:rsidR="00465490" w:rsidRPr="00C5495F">
        <w:rPr>
          <w:rFonts w:ascii="Arial" w:eastAsia="Times New Roman" w:hAnsi="Arial" w:cs="Arial"/>
          <w:lang w:eastAsia="en-GB"/>
        </w:rPr>
        <w:t xml:space="preserve">  </w:t>
      </w:r>
    </w:p>
    <w:p w14:paraId="13AD8BD0" w14:textId="77777777" w:rsidR="007173AA" w:rsidRPr="00C5495F" w:rsidRDefault="008707EE" w:rsidP="000F1771">
      <w:pPr>
        <w:spacing w:after="0" w:line="360" w:lineRule="auto"/>
        <w:ind w:left="709"/>
        <w:jc w:val="both"/>
        <w:rPr>
          <w:rFonts w:ascii="Arial" w:eastAsia="Times New Roman" w:hAnsi="Arial" w:cs="Arial"/>
          <w:lang w:eastAsia="en-GB"/>
        </w:rPr>
      </w:pPr>
      <w:r w:rsidRPr="00C5495F">
        <w:rPr>
          <w:rFonts w:ascii="Arial" w:eastAsia="Times New Roman" w:hAnsi="Arial" w:cs="Arial"/>
          <w:lang w:eastAsia="en-GB"/>
        </w:rPr>
        <w:t xml:space="preserve">Appendix 3 shows that investment balances </w:t>
      </w:r>
      <w:r w:rsidR="00C5495F" w:rsidRPr="00C5495F">
        <w:rPr>
          <w:rFonts w:ascii="Arial" w:eastAsia="Times New Roman" w:hAnsi="Arial" w:cs="Arial"/>
          <w:lang w:eastAsia="en-GB"/>
        </w:rPr>
        <w:t>continue</w:t>
      </w:r>
      <w:r w:rsidR="000803AE" w:rsidRPr="00C5495F">
        <w:rPr>
          <w:rFonts w:ascii="Arial" w:eastAsia="Times New Roman" w:hAnsi="Arial" w:cs="Arial"/>
          <w:lang w:eastAsia="en-GB"/>
        </w:rPr>
        <w:t xml:space="preserve"> to </w:t>
      </w:r>
      <w:r w:rsidR="00C5495F" w:rsidRPr="00C5495F">
        <w:rPr>
          <w:rFonts w:ascii="Arial" w:eastAsia="Times New Roman" w:hAnsi="Arial" w:cs="Arial"/>
          <w:lang w:eastAsia="en-GB"/>
        </w:rPr>
        <w:t xml:space="preserve">fall </w:t>
      </w:r>
      <w:r w:rsidRPr="00C5495F">
        <w:rPr>
          <w:rFonts w:ascii="Arial" w:eastAsia="Times New Roman" w:hAnsi="Arial" w:cs="Arial"/>
          <w:lang w:eastAsia="en-GB"/>
        </w:rPr>
        <w:t xml:space="preserve">due to use of reserves to </w:t>
      </w:r>
      <w:r w:rsidR="00CE5292" w:rsidRPr="00C5495F">
        <w:rPr>
          <w:rFonts w:ascii="Arial" w:eastAsia="Times New Roman" w:hAnsi="Arial" w:cs="Arial"/>
          <w:lang w:eastAsia="en-GB"/>
        </w:rPr>
        <w:t>fund</w:t>
      </w:r>
      <w:r w:rsidR="003E22F0" w:rsidRPr="00C5495F">
        <w:rPr>
          <w:rFonts w:ascii="Arial" w:eastAsia="Times New Roman" w:hAnsi="Arial" w:cs="Arial"/>
          <w:lang w:eastAsia="en-GB"/>
        </w:rPr>
        <w:t xml:space="preserve"> </w:t>
      </w:r>
      <w:r w:rsidRPr="00C5495F">
        <w:rPr>
          <w:rFonts w:ascii="Arial" w:eastAsia="Times New Roman" w:hAnsi="Arial" w:cs="Arial"/>
          <w:lang w:eastAsia="en-GB"/>
        </w:rPr>
        <w:t xml:space="preserve">the budget and </w:t>
      </w:r>
      <w:r w:rsidR="003E22F0" w:rsidRPr="00C5495F">
        <w:rPr>
          <w:rFonts w:ascii="Arial" w:eastAsia="Times New Roman" w:hAnsi="Arial" w:cs="Arial"/>
          <w:lang w:eastAsia="en-GB"/>
        </w:rPr>
        <w:t xml:space="preserve">reduction </w:t>
      </w:r>
      <w:r w:rsidR="00C5495F" w:rsidRPr="00C5495F">
        <w:rPr>
          <w:rFonts w:ascii="Arial" w:eastAsia="Times New Roman" w:hAnsi="Arial" w:cs="Arial"/>
          <w:lang w:eastAsia="en-GB"/>
        </w:rPr>
        <w:t>of</w:t>
      </w:r>
      <w:r w:rsidR="000803AE" w:rsidRPr="00C5495F">
        <w:rPr>
          <w:rFonts w:ascii="Arial" w:eastAsia="Times New Roman" w:hAnsi="Arial" w:cs="Arial"/>
          <w:lang w:eastAsia="en-GB"/>
        </w:rPr>
        <w:t xml:space="preserve"> capital receipts </w:t>
      </w:r>
      <w:r w:rsidR="00C5495F" w:rsidRPr="00C5495F">
        <w:rPr>
          <w:rFonts w:ascii="Arial" w:eastAsia="Times New Roman" w:hAnsi="Arial" w:cs="Arial"/>
          <w:lang w:eastAsia="en-GB"/>
        </w:rPr>
        <w:t xml:space="preserve">being </w:t>
      </w:r>
      <w:r w:rsidR="000803AE" w:rsidRPr="00C5495F">
        <w:rPr>
          <w:rFonts w:ascii="Arial" w:eastAsia="Times New Roman" w:hAnsi="Arial" w:cs="Arial"/>
          <w:lang w:eastAsia="en-GB"/>
        </w:rPr>
        <w:t>received.</w:t>
      </w:r>
      <w:r w:rsidR="002C7F4E" w:rsidRPr="00C5495F">
        <w:rPr>
          <w:rFonts w:ascii="Arial" w:eastAsia="Times New Roman" w:hAnsi="Arial" w:cs="Arial"/>
          <w:lang w:eastAsia="en-GB"/>
        </w:rPr>
        <w:t xml:space="preserve">  </w:t>
      </w:r>
    </w:p>
    <w:p w14:paraId="03D95B58" w14:textId="77777777" w:rsidR="002C7F4E" w:rsidRPr="00C5495F" w:rsidRDefault="002C7F4E" w:rsidP="000F1771">
      <w:pPr>
        <w:spacing w:after="0" w:line="360" w:lineRule="auto"/>
        <w:ind w:left="709"/>
        <w:jc w:val="both"/>
        <w:rPr>
          <w:rFonts w:ascii="Arial" w:eastAsia="Times New Roman" w:hAnsi="Arial" w:cs="Arial"/>
          <w:lang w:eastAsia="en-GB"/>
        </w:rPr>
      </w:pPr>
    </w:p>
    <w:p w14:paraId="4491FBF6" w14:textId="77777777" w:rsidR="000F1771" w:rsidRPr="00FF76FC" w:rsidRDefault="00B86FFC" w:rsidP="00B86FFC">
      <w:pPr>
        <w:numPr>
          <w:ilvl w:val="1"/>
          <w:numId w:val="1"/>
        </w:numPr>
        <w:spacing w:after="0" w:line="360" w:lineRule="auto"/>
        <w:ind w:left="709" w:hanging="709"/>
        <w:jc w:val="both"/>
        <w:rPr>
          <w:rFonts w:ascii="Arial" w:eastAsia="Times New Roman" w:hAnsi="Arial" w:cs="Arial"/>
          <w:u w:val="single"/>
          <w:lang w:eastAsia="en-GB"/>
        </w:rPr>
      </w:pPr>
      <w:r w:rsidRPr="00FF76FC">
        <w:rPr>
          <w:rFonts w:ascii="Arial" w:eastAsia="Times New Roman" w:hAnsi="Arial" w:cs="Arial"/>
          <w:lang w:eastAsia="en-GB"/>
        </w:rPr>
        <w:t xml:space="preserve">The primary consideration governing the Surrey County Council’s Strategy is to </w:t>
      </w:r>
      <w:r w:rsidR="00F02D7E">
        <w:rPr>
          <w:rFonts w:ascii="Arial" w:eastAsia="Times New Roman" w:hAnsi="Arial" w:cs="Arial"/>
          <w:lang w:eastAsia="en-GB"/>
        </w:rPr>
        <w:t>invest its funds prudently and to have regard to the security and liquidity of its investments before seeking optimal rate of return or yield and to strike a balance between risk and return, minimising the risk of incurring losses from defaults and the risk of receiving unsuitably low investment income.  Where balances are expected to be invested for more than one year, the aim is to achieve a total return that is equal or higher than the prevailing rate of inflation in order to maintain the spending power of the sum invested.</w:t>
      </w:r>
    </w:p>
    <w:p w14:paraId="2F7BE0AA" w14:textId="77777777" w:rsidR="00FF76FC" w:rsidRPr="00FF76FC" w:rsidRDefault="00FF76FC" w:rsidP="00FF76FC">
      <w:pPr>
        <w:spacing w:after="0" w:line="360" w:lineRule="auto"/>
        <w:ind w:left="709"/>
        <w:jc w:val="both"/>
        <w:rPr>
          <w:rFonts w:ascii="Arial" w:eastAsia="Times New Roman" w:hAnsi="Arial" w:cs="Arial"/>
          <w:u w:val="single"/>
          <w:lang w:eastAsia="en-GB"/>
        </w:rPr>
      </w:pPr>
    </w:p>
    <w:p w14:paraId="3E669A7F" w14:textId="77777777" w:rsidR="00FF76FC" w:rsidRPr="00FF76FC" w:rsidRDefault="00B86FFC" w:rsidP="00FF76FC">
      <w:pPr>
        <w:numPr>
          <w:ilvl w:val="1"/>
          <w:numId w:val="1"/>
        </w:numPr>
        <w:spacing w:after="0" w:line="360" w:lineRule="auto"/>
        <w:ind w:left="709" w:hanging="709"/>
        <w:jc w:val="both"/>
        <w:rPr>
          <w:rFonts w:ascii="Arial" w:eastAsia="Times New Roman" w:hAnsi="Arial" w:cs="Arial"/>
          <w:u w:val="single"/>
          <w:lang w:eastAsia="en-GB"/>
        </w:rPr>
      </w:pPr>
      <w:r w:rsidRPr="00FF76FC">
        <w:rPr>
          <w:rFonts w:ascii="Arial" w:eastAsia="Times New Roman" w:hAnsi="Arial" w:cs="Arial"/>
          <w:lang w:eastAsia="en-GB"/>
        </w:rPr>
        <w:t xml:space="preserve">The </w:t>
      </w:r>
      <w:r w:rsidR="00A80A87" w:rsidRPr="00FF76FC">
        <w:rPr>
          <w:rFonts w:ascii="Arial" w:eastAsia="Times New Roman" w:hAnsi="Arial" w:cs="Arial"/>
          <w:lang w:eastAsia="en-GB"/>
        </w:rPr>
        <w:t>Bank of England</w:t>
      </w:r>
      <w:r w:rsidR="00EF6093">
        <w:rPr>
          <w:rFonts w:ascii="Arial" w:eastAsia="Times New Roman" w:hAnsi="Arial" w:cs="Arial"/>
          <w:lang w:eastAsia="en-GB"/>
        </w:rPr>
        <w:t xml:space="preserve"> base rate </w:t>
      </w:r>
      <w:r w:rsidR="000A3CA0">
        <w:rPr>
          <w:rFonts w:ascii="Arial" w:eastAsia="Times New Roman" w:hAnsi="Arial" w:cs="Arial"/>
          <w:lang w:eastAsia="en-GB"/>
        </w:rPr>
        <w:t xml:space="preserve">remained at </w:t>
      </w:r>
      <w:r w:rsidR="00EF6093">
        <w:rPr>
          <w:rFonts w:ascii="Arial" w:eastAsia="Times New Roman" w:hAnsi="Arial" w:cs="Arial"/>
          <w:lang w:eastAsia="en-GB"/>
        </w:rPr>
        <w:t>0.</w:t>
      </w:r>
      <w:r w:rsidR="000A3CA0">
        <w:rPr>
          <w:rFonts w:ascii="Arial" w:eastAsia="Times New Roman" w:hAnsi="Arial" w:cs="Arial"/>
          <w:lang w:eastAsia="en-GB"/>
        </w:rPr>
        <w:t>10</w:t>
      </w:r>
      <w:r w:rsidR="00EF6093">
        <w:rPr>
          <w:rFonts w:ascii="Arial" w:eastAsia="Times New Roman" w:hAnsi="Arial" w:cs="Arial"/>
          <w:lang w:eastAsia="en-GB"/>
        </w:rPr>
        <w:t xml:space="preserve">% </w:t>
      </w:r>
      <w:r w:rsidR="000A3CA0">
        <w:rPr>
          <w:rFonts w:ascii="Arial" w:eastAsia="Times New Roman" w:hAnsi="Arial" w:cs="Arial"/>
          <w:lang w:eastAsia="en-GB"/>
        </w:rPr>
        <w:t xml:space="preserve">throughout the year in response to </w:t>
      </w:r>
      <w:r w:rsidR="00EF6093">
        <w:rPr>
          <w:rFonts w:ascii="Arial" w:eastAsia="Times New Roman" w:hAnsi="Arial" w:cs="Arial"/>
          <w:lang w:eastAsia="en-GB"/>
        </w:rPr>
        <w:t>uncertainty pertaining to the coronavirus pandemic.</w:t>
      </w:r>
    </w:p>
    <w:p w14:paraId="0141D195" w14:textId="77777777" w:rsidR="00B86FFC" w:rsidRPr="00FF76FC" w:rsidRDefault="00FF76FC" w:rsidP="00FF76FC">
      <w:pPr>
        <w:spacing w:after="0" w:line="360" w:lineRule="auto"/>
        <w:ind w:left="709"/>
        <w:jc w:val="both"/>
        <w:rPr>
          <w:rFonts w:ascii="Arial" w:eastAsia="Times New Roman" w:hAnsi="Arial" w:cs="Arial"/>
          <w:u w:val="single"/>
          <w:lang w:eastAsia="en-GB"/>
        </w:rPr>
      </w:pPr>
      <w:r w:rsidRPr="00FF76FC">
        <w:rPr>
          <w:rFonts w:ascii="Arial" w:eastAsia="Times New Roman" w:hAnsi="Arial" w:cs="Arial"/>
          <w:u w:val="single"/>
          <w:lang w:eastAsia="en-GB"/>
        </w:rPr>
        <w:lastRenderedPageBreak/>
        <w:t xml:space="preserve"> </w:t>
      </w:r>
    </w:p>
    <w:p w14:paraId="5511F3A1" w14:textId="77777777" w:rsidR="000F1771" w:rsidRPr="00E26FE6" w:rsidRDefault="000F1771" w:rsidP="000F1771">
      <w:pPr>
        <w:numPr>
          <w:ilvl w:val="1"/>
          <w:numId w:val="1"/>
        </w:numPr>
        <w:spacing w:after="0" w:line="360" w:lineRule="auto"/>
        <w:ind w:left="709" w:hanging="709"/>
        <w:jc w:val="both"/>
        <w:rPr>
          <w:rFonts w:ascii="Arial" w:eastAsia="Times New Roman" w:hAnsi="Arial" w:cs="Arial"/>
          <w:u w:val="single"/>
          <w:lang w:eastAsia="en-GB"/>
        </w:rPr>
      </w:pPr>
      <w:r w:rsidRPr="00E26FE6">
        <w:rPr>
          <w:rFonts w:ascii="Arial" w:eastAsia="Times New Roman" w:hAnsi="Arial" w:cs="Arial"/>
          <w:lang w:eastAsia="en-GB"/>
        </w:rPr>
        <w:t>The cost to the PCC for the services of Surrey County Council for 20</w:t>
      </w:r>
      <w:r w:rsidR="00E26FE6" w:rsidRPr="00E26FE6">
        <w:rPr>
          <w:rFonts w:ascii="Arial" w:eastAsia="Times New Roman" w:hAnsi="Arial" w:cs="Arial"/>
          <w:lang w:eastAsia="en-GB"/>
        </w:rPr>
        <w:t>20</w:t>
      </w:r>
      <w:r w:rsidRPr="00E26FE6">
        <w:rPr>
          <w:rFonts w:ascii="Arial" w:eastAsia="Times New Roman" w:hAnsi="Arial" w:cs="Arial"/>
          <w:lang w:eastAsia="en-GB"/>
        </w:rPr>
        <w:t>/</w:t>
      </w:r>
      <w:r w:rsidR="008B6DDC" w:rsidRPr="00E26FE6">
        <w:rPr>
          <w:rFonts w:ascii="Arial" w:eastAsia="Times New Roman" w:hAnsi="Arial" w:cs="Arial"/>
          <w:lang w:eastAsia="en-GB"/>
        </w:rPr>
        <w:t>2</w:t>
      </w:r>
      <w:r w:rsidR="00E26FE6" w:rsidRPr="00E26FE6">
        <w:rPr>
          <w:rFonts w:ascii="Arial" w:eastAsia="Times New Roman" w:hAnsi="Arial" w:cs="Arial"/>
          <w:lang w:eastAsia="en-GB"/>
        </w:rPr>
        <w:t>1</w:t>
      </w:r>
      <w:r w:rsidRPr="00E26FE6">
        <w:rPr>
          <w:rFonts w:ascii="Arial" w:eastAsia="Times New Roman" w:hAnsi="Arial" w:cs="Arial"/>
          <w:lang w:eastAsia="en-GB"/>
        </w:rPr>
        <w:t xml:space="preserve"> was £</w:t>
      </w:r>
      <w:r w:rsidR="00E26FE6" w:rsidRPr="00E26FE6">
        <w:rPr>
          <w:rFonts w:ascii="Arial" w:eastAsia="Times New Roman" w:hAnsi="Arial" w:cs="Arial"/>
          <w:lang w:eastAsia="en-GB"/>
        </w:rPr>
        <w:t>20,746</w:t>
      </w:r>
      <w:r w:rsidR="002B6464" w:rsidRPr="00E26FE6">
        <w:rPr>
          <w:rFonts w:ascii="Arial" w:eastAsia="Times New Roman" w:hAnsi="Arial" w:cs="Arial"/>
          <w:lang w:eastAsia="en-GB"/>
        </w:rPr>
        <w:t xml:space="preserve"> and is forecast to remain </w:t>
      </w:r>
      <w:r w:rsidR="00C5591E" w:rsidRPr="00E26FE6">
        <w:rPr>
          <w:rFonts w:ascii="Arial" w:eastAsia="Times New Roman" w:hAnsi="Arial" w:cs="Arial"/>
          <w:lang w:eastAsia="en-GB"/>
        </w:rPr>
        <w:t xml:space="preserve">at a similar level </w:t>
      </w:r>
      <w:r w:rsidR="002B6464" w:rsidRPr="00E26FE6">
        <w:rPr>
          <w:rFonts w:ascii="Arial" w:eastAsia="Times New Roman" w:hAnsi="Arial" w:cs="Arial"/>
          <w:lang w:eastAsia="en-GB"/>
        </w:rPr>
        <w:t>for 20</w:t>
      </w:r>
      <w:r w:rsidR="00EF6093" w:rsidRPr="00E26FE6">
        <w:rPr>
          <w:rFonts w:ascii="Arial" w:eastAsia="Times New Roman" w:hAnsi="Arial" w:cs="Arial"/>
          <w:lang w:eastAsia="en-GB"/>
        </w:rPr>
        <w:t>2</w:t>
      </w:r>
      <w:r w:rsidR="00E26FE6" w:rsidRPr="00E26FE6">
        <w:rPr>
          <w:rFonts w:ascii="Arial" w:eastAsia="Times New Roman" w:hAnsi="Arial" w:cs="Arial"/>
          <w:lang w:eastAsia="en-GB"/>
        </w:rPr>
        <w:t>1</w:t>
      </w:r>
      <w:r w:rsidR="002B6464" w:rsidRPr="00E26FE6">
        <w:rPr>
          <w:rFonts w:ascii="Arial" w:eastAsia="Times New Roman" w:hAnsi="Arial" w:cs="Arial"/>
          <w:lang w:eastAsia="en-GB"/>
        </w:rPr>
        <w:t>/</w:t>
      </w:r>
      <w:r w:rsidR="00C2692E" w:rsidRPr="00E26FE6">
        <w:rPr>
          <w:rFonts w:ascii="Arial" w:eastAsia="Times New Roman" w:hAnsi="Arial" w:cs="Arial"/>
          <w:lang w:eastAsia="en-GB"/>
        </w:rPr>
        <w:t>2</w:t>
      </w:r>
      <w:r w:rsidR="00E26FE6" w:rsidRPr="00E26FE6">
        <w:rPr>
          <w:rFonts w:ascii="Arial" w:eastAsia="Times New Roman" w:hAnsi="Arial" w:cs="Arial"/>
          <w:lang w:eastAsia="en-GB"/>
        </w:rPr>
        <w:t>2</w:t>
      </w:r>
      <w:r w:rsidR="002B6464" w:rsidRPr="00E26FE6">
        <w:rPr>
          <w:rFonts w:ascii="Arial" w:eastAsia="Times New Roman" w:hAnsi="Arial" w:cs="Arial"/>
          <w:lang w:eastAsia="en-GB"/>
        </w:rPr>
        <w:t>.</w:t>
      </w:r>
    </w:p>
    <w:p w14:paraId="2CBC51AA" w14:textId="77777777" w:rsidR="000F1771" w:rsidRPr="00C5591E" w:rsidRDefault="000F1771" w:rsidP="000F1771">
      <w:pPr>
        <w:spacing w:after="0" w:line="360" w:lineRule="auto"/>
        <w:jc w:val="both"/>
        <w:rPr>
          <w:rFonts w:ascii="Arial" w:eastAsia="Times New Roman" w:hAnsi="Arial" w:cs="Arial"/>
          <w:u w:val="single"/>
          <w:lang w:eastAsia="en-GB"/>
        </w:rPr>
      </w:pPr>
    </w:p>
    <w:p w14:paraId="4F95B475" w14:textId="77777777" w:rsidR="000F1771" w:rsidRPr="00C5591E" w:rsidRDefault="000F1771" w:rsidP="000F1771">
      <w:pPr>
        <w:numPr>
          <w:ilvl w:val="1"/>
          <w:numId w:val="1"/>
        </w:numPr>
        <w:spacing w:after="0" w:line="360" w:lineRule="auto"/>
        <w:ind w:left="709" w:hanging="709"/>
        <w:jc w:val="both"/>
        <w:rPr>
          <w:rFonts w:ascii="Arial" w:eastAsia="Times New Roman" w:hAnsi="Arial" w:cs="Arial"/>
          <w:u w:val="single"/>
          <w:lang w:eastAsia="en-GB"/>
        </w:rPr>
      </w:pPr>
      <w:r w:rsidRPr="00C5591E">
        <w:rPr>
          <w:rFonts w:ascii="Arial" w:eastAsia="Times New Roman" w:hAnsi="Arial" w:cs="Arial"/>
          <w:u w:val="single"/>
          <w:lang w:eastAsia="en-GB"/>
        </w:rPr>
        <w:t>Short Term Borrowing</w:t>
      </w:r>
    </w:p>
    <w:p w14:paraId="3D38D435" w14:textId="77777777" w:rsidR="000F1771" w:rsidRPr="00C5591E" w:rsidRDefault="000F1771" w:rsidP="000F1771">
      <w:pPr>
        <w:spacing w:after="0" w:line="360" w:lineRule="auto"/>
        <w:ind w:left="709"/>
        <w:jc w:val="both"/>
        <w:rPr>
          <w:rFonts w:ascii="Arial" w:eastAsia="Times New Roman" w:hAnsi="Arial" w:cs="Arial"/>
          <w:lang w:eastAsia="en-GB"/>
        </w:rPr>
      </w:pPr>
      <w:r w:rsidRPr="00C5591E">
        <w:rPr>
          <w:rFonts w:ascii="Arial" w:eastAsia="Times New Roman" w:hAnsi="Arial" w:cs="Arial"/>
          <w:lang w:eastAsia="en-GB"/>
        </w:rPr>
        <w:t xml:space="preserve">No </w:t>
      </w:r>
      <w:proofErr w:type="gramStart"/>
      <w:r w:rsidRPr="00C5591E">
        <w:rPr>
          <w:rFonts w:ascii="Arial" w:eastAsia="Times New Roman" w:hAnsi="Arial" w:cs="Arial"/>
          <w:lang w:eastAsia="en-GB"/>
        </w:rPr>
        <w:t>short term</w:t>
      </w:r>
      <w:proofErr w:type="gramEnd"/>
      <w:r w:rsidRPr="00C5591E">
        <w:rPr>
          <w:rFonts w:ascii="Arial" w:eastAsia="Times New Roman" w:hAnsi="Arial" w:cs="Arial"/>
          <w:lang w:eastAsia="en-GB"/>
        </w:rPr>
        <w:t xml:space="preserve"> external borrowing was undertaken during 20</w:t>
      </w:r>
      <w:r w:rsidR="00AC05F3">
        <w:rPr>
          <w:rFonts w:ascii="Arial" w:eastAsia="Times New Roman" w:hAnsi="Arial" w:cs="Arial"/>
          <w:lang w:eastAsia="en-GB"/>
        </w:rPr>
        <w:t>20</w:t>
      </w:r>
      <w:r w:rsidRPr="00C5591E">
        <w:rPr>
          <w:rFonts w:ascii="Arial" w:eastAsia="Times New Roman" w:hAnsi="Arial" w:cs="Arial"/>
          <w:lang w:eastAsia="en-GB"/>
        </w:rPr>
        <w:t>/</w:t>
      </w:r>
      <w:r w:rsidR="00C5591E" w:rsidRPr="00C5591E">
        <w:rPr>
          <w:rFonts w:ascii="Arial" w:eastAsia="Times New Roman" w:hAnsi="Arial" w:cs="Arial"/>
          <w:lang w:eastAsia="en-GB"/>
        </w:rPr>
        <w:t>2</w:t>
      </w:r>
      <w:r w:rsidR="00AC05F3">
        <w:rPr>
          <w:rFonts w:ascii="Arial" w:eastAsia="Times New Roman" w:hAnsi="Arial" w:cs="Arial"/>
          <w:lang w:eastAsia="en-GB"/>
        </w:rPr>
        <w:t>1</w:t>
      </w:r>
      <w:r w:rsidRPr="00C5591E">
        <w:rPr>
          <w:rFonts w:ascii="Arial" w:eastAsia="Times New Roman" w:hAnsi="Arial" w:cs="Arial"/>
          <w:lang w:eastAsia="en-GB"/>
        </w:rPr>
        <w:t>, all cash balances were lent overnight allowing us the flexibility to draw on our own resources.</w:t>
      </w:r>
    </w:p>
    <w:p w14:paraId="4831B7B7" w14:textId="77777777" w:rsidR="000F1771" w:rsidRPr="00C5591E" w:rsidRDefault="000F1771" w:rsidP="000F1771">
      <w:pPr>
        <w:spacing w:after="0" w:line="360" w:lineRule="auto"/>
        <w:jc w:val="both"/>
        <w:rPr>
          <w:rFonts w:ascii="Arial" w:eastAsia="Times New Roman" w:hAnsi="Arial" w:cs="Arial"/>
          <w:lang w:eastAsia="en-GB"/>
        </w:rPr>
      </w:pPr>
    </w:p>
    <w:p w14:paraId="3661C5BE" w14:textId="77777777" w:rsidR="000F1771" w:rsidRPr="00C5591E" w:rsidRDefault="000F1771" w:rsidP="000F1771">
      <w:pPr>
        <w:numPr>
          <w:ilvl w:val="1"/>
          <w:numId w:val="1"/>
        </w:numPr>
        <w:spacing w:after="0" w:line="360" w:lineRule="auto"/>
        <w:ind w:left="709" w:hanging="709"/>
        <w:jc w:val="both"/>
        <w:rPr>
          <w:rFonts w:ascii="Arial" w:eastAsia="Times New Roman" w:hAnsi="Arial" w:cs="Arial"/>
          <w:u w:val="single"/>
          <w:lang w:eastAsia="en-GB"/>
        </w:rPr>
      </w:pPr>
      <w:r w:rsidRPr="00C5591E">
        <w:rPr>
          <w:rFonts w:ascii="Arial" w:eastAsia="Times New Roman" w:hAnsi="Arial" w:cs="Arial"/>
          <w:u w:val="single"/>
          <w:lang w:eastAsia="en-GB"/>
        </w:rPr>
        <w:t>Long Term Borrowing</w:t>
      </w:r>
    </w:p>
    <w:p w14:paraId="5FEBD0D4" w14:textId="77777777" w:rsidR="000F1771" w:rsidRDefault="00C5591E" w:rsidP="000F1771">
      <w:pPr>
        <w:spacing w:after="0" w:line="360" w:lineRule="auto"/>
        <w:ind w:left="709"/>
        <w:jc w:val="both"/>
        <w:rPr>
          <w:rFonts w:ascii="Arial" w:eastAsia="Times New Roman" w:hAnsi="Arial" w:cs="Arial"/>
          <w:lang w:eastAsia="en-GB"/>
        </w:rPr>
      </w:pPr>
      <w:r w:rsidRPr="00C5591E">
        <w:rPr>
          <w:rFonts w:ascii="Arial" w:eastAsia="Times New Roman" w:hAnsi="Arial" w:cs="Arial"/>
          <w:lang w:eastAsia="en-GB"/>
        </w:rPr>
        <w:t xml:space="preserve">No new borrowing was taken during the year. The </w:t>
      </w:r>
      <w:r w:rsidR="00C2692E" w:rsidRPr="00C5591E">
        <w:rPr>
          <w:rFonts w:ascii="Arial" w:eastAsia="Times New Roman" w:hAnsi="Arial" w:cs="Arial"/>
          <w:lang w:eastAsia="en-GB"/>
        </w:rPr>
        <w:t>PWLB</w:t>
      </w:r>
      <w:r w:rsidRPr="00C5591E">
        <w:rPr>
          <w:rFonts w:ascii="Arial" w:eastAsia="Times New Roman" w:hAnsi="Arial" w:cs="Arial"/>
          <w:lang w:eastAsia="en-GB"/>
        </w:rPr>
        <w:t xml:space="preserve"> loan</w:t>
      </w:r>
      <w:r w:rsidR="00EC634B">
        <w:rPr>
          <w:rFonts w:ascii="Arial" w:eastAsia="Times New Roman" w:hAnsi="Arial" w:cs="Arial"/>
          <w:lang w:eastAsia="en-GB"/>
        </w:rPr>
        <w:t xml:space="preserve"> taken out in March 2019 has a </w:t>
      </w:r>
      <w:r w:rsidRPr="00C5591E">
        <w:rPr>
          <w:rFonts w:ascii="Arial" w:eastAsia="Times New Roman" w:hAnsi="Arial" w:cs="Arial"/>
          <w:lang w:eastAsia="en-GB"/>
        </w:rPr>
        <w:t xml:space="preserve">balance remaining of £15.1m </w:t>
      </w:r>
      <w:r w:rsidR="00EC634B">
        <w:rPr>
          <w:rFonts w:ascii="Arial" w:eastAsia="Times New Roman" w:hAnsi="Arial" w:cs="Arial"/>
          <w:lang w:eastAsia="en-GB"/>
        </w:rPr>
        <w:t xml:space="preserve">which </w:t>
      </w:r>
      <w:r w:rsidR="00C2692E" w:rsidRPr="00C5591E">
        <w:rPr>
          <w:rFonts w:ascii="Arial" w:eastAsia="Times New Roman" w:hAnsi="Arial" w:cs="Arial"/>
          <w:lang w:eastAsia="en-GB"/>
        </w:rPr>
        <w:t>support</w:t>
      </w:r>
      <w:r w:rsidRPr="00C5591E">
        <w:rPr>
          <w:rFonts w:ascii="Arial" w:eastAsia="Times New Roman" w:hAnsi="Arial" w:cs="Arial"/>
          <w:lang w:eastAsia="en-GB"/>
        </w:rPr>
        <w:t>s</w:t>
      </w:r>
      <w:r w:rsidR="00C2692E" w:rsidRPr="00C5591E">
        <w:rPr>
          <w:rFonts w:ascii="Arial" w:eastAsia="Times New Roman" w:hAnsi="Arial" w:cs="Arial"/>
          <w:lang w:eastAsia="en-GB"/>
        </w:rPr>
        <w:t xml:space="preserve"> the Building the Future project </w:t>
      </w:r>
      <w:r>
        <w:rPr>
          <w:rFonts w:ascii="Arial" w:eastAsia="Times New Roman" w:hAnsi="Arial" w:cs="Arial"/>
          <w:lang w:eastAsia="en-GB"/>
        </w:rPr>
        <w:t>and</w:t>
      </w:r>
      <w:r w:rsidR="00C2692E" w:rsidRPr="00C5591E">
        <w:rPr>
          <w:rFonts w:ascii="Arial" w:eastAsia="Times New Roman" w:hAnsi="Arial" w:cs="Arial"/>
          <w:lang w:eastAsia="en-GB"/>
        </w:rPr>
        <w:t xml:space="preserve"> capital programme.</w:t>
      </w:r>
      <w:r w:rsidR="00F246F4">
        <w:rPr>
          <w:rFonts w:ascii="Arial" w:eastAsia="Times New Roman" w:hAnsi="Arial" w:cs="Arial"/>
          <w:lang w:eastAsia="en-GB"/>
        </w:rPr>
        <w:t xml:space="preserve"> This loan represents equal instalments of principal (EIP) together with interest on the balance outstandin</w:t>
      </w:r>
      <w:r w:rsidR="00AC05F3">
        <w:rPr>
          <w:rFonts w:ascii="Arial" w:eastAsia="Times New Roman" w:hAnsi="Arial" w:cs="Arial"/>
          <w:lang w:eastAsia="en-GB"/>
        </w:rPr>
        <w:t>g and will be fully repaid in 28</w:t>
      </w:r>
      <w:r w:rsidR="00F246F4">
        <w:rPr>
          <w:rFonts w:ascii="Arial" w:eastAsia="Times New Roman" w:hAnsi="Arial" w:cs="Arial"/>
          <w:lang w:eastAsia="en-GB"/>
        </w:rPr>
        <w:t xml:space="preserve"> years March 2049.</w:t>
      </w:r>
    </w:p>
    <w:p w14:paraId="74B747CE" w14:textId="77777777" w:rsidR="00F246F4" w:rsidRDefault="00F246F4" w:rsidP="000F1771">
      <w:pPr>
        <w:spacing w:after="0" w:line="360" w:lineRule="auto"/>
        <w:ind w:left="709"/>
        <w:jc w:val="both"/>
        <w:rPr>
          <w:rFonts w:ascii="Arial" w:eastAsia="Times New Roman" w:hAnsi="Arial" w:cs="Arial"/>
          <w:lang w:eastAsia="en-GB"/>
        </w:rPr>
      </w:pPr>
      <w:r>
        <w:rPr>
          <w:rFonts w:ascii="Arial" w:eastAsia="Times New Roman" w:hAnsi="Arial" w:cs="Arial"/>
          <w:lang w:eastAsia="en-GB"/>
        </w:rPr>
        <w:t>Trends and variations in the PWLB interest rates are illustrated in Appendix 4.</w:t>
      </w:r>
    </w:p>
    <w:p w14:paraId="364A8E2A" w14:textId="77777777" w:rsidR="000F1771" w:rsidRPr="00C5591E" w:rsidRDefault="000F1771" w:rsidP="000F1771">
      <w:pPr>
        <w:spacing w:after="0" w:line="360" w:lineRule="auto"/>
        <w:jc w:val="both"/>
        <w:rPr>
          <w:rFonts w:ascii="Arial" w:eastAsia="Times New Roman" w:hAnsi="Arial" w:cs="Arial"/>
          <w:u w:val="single"/>
          <w:lang w:eastAsia="en-GB"/>
        </w:rPr>
      </w:pPr>
    </w:p>
    <w:p w14:paraId="653CC37D" w14:textId="77777777" w:rsidR="000F1771" w:rsidRPr="00C5591E" w:rsidRDefault="000F1771" w:rsidP="000F1771">
      <w:pPr>
        <w:numPr>
          <w:ilvl w:val="1"/>
          <w:numId w:val="1"/>
        </w:numPr>
        <w:spacing w:after="0" w:line="360" w:lineRule="auto"/>
        <w:ind w:left="709" w:hanging="709"/>
        <w:jc w:val="both"/>
        <w:rPr>
          <w:rFonts w:ascii="Arial" w:eastAsia="Times New Roman" w:hAnsi="Arial" w:cs="Arial"/>
          <w:u w:val="single"/>
          <w:lang w:eastAsia="en-GB"/>
        </w:rPr>
      </w:pPr>
      <w:r w:rsidRPr="00C5591E">
        <w:rPr>
          <w:rFonts w:ascii="Arial" w:eastAsia="Times New Roman" w:hAnsi="Arial" w:cs="Arial"/>
          <w:u w:val="single"/>
          <w:lang w:eastAsia="en-GB"/>
        </w:rPr>
        <w:t>Future Borrowing Requirements</w:t>
      </w:r>
    </w:p>
    <w:p w14:paraId="67247144" w14:textId="77777777" w:rsidR="000F1771" w:rsidRPr="00AF4E7D" w:rsidRDefault="00F246F4" w:rsidP="002B6464">
      <w:pPr>
        <w:spacing w:after="0" w:line="360" w:lineRule="auto"/>
        <w:ind w:left="709"/>
        <w:jc w:val="both"/>
        <w:rPr>
          <w:rFonts w:ascii="Arial" w:eastAsia="Times New Roman" w:hAnsi="Arial" w:cs="Arial"/>
          <w:highlight w:val="yellow"/>
          <w:lang w:eastAsia="en-GB"/>
        </w:rPr>
      </w:pPr>
      <w:r>
        <w:rPr>
          <w:rFonts w:ascii="Arial" w:eastAsia="Times New Roman" w:hAnsi="Arial" w:cs="Arial"/>
          <w:lang w:eastAsia="en-GB"/>
        </w:rPr>
        <w:t xml:space="preserve">The long-term borrowing requirement continues to be periodically reviewed. </w:t>
      </w:r>
      <w:r w:rsidR="00EC634B" w:rsidRPr="00C5591E">
        <w:rPr>
          <w:rFonts w:ascii="Arial" w:eastAsia="Times New Roman" w:hAnsi="Arial" w:cs="Arial"/>
          <w:lang w:eastAsia="en-GB"/>
        </w:rPr>
        <w:t xml:space="preserve">The PCC has various options for financing </w:t>
      </w:r>
      <w:r>
        <w:rPr>
          <w:rFonts w:ascii="Arial" w:eastAsia="Times New Roman" w:hAnsi="Arial" w:cs="Arial"/>
          <w:lang w:eastAsia="en-GB"/>
        </w:rPr>
        <w:t xml:space="preserve">future </w:t>
      </w:r>
      <w:r w:rsidR="00EC634B" w:rsidRPr="00C5591E">
        <w:rPr>
          <w:rFonts w:ascii="Arial" w:eastAsia="Times New Roman" w:hAnsi="Arial" w:cs="Arial"/>
          <w:lang w:eastAsia="en-GB"/>
        </w:rPr>
        <w:t>borrowing, this is likely to be achieved through a mixture of internal borrowing and Public Work Lending Board (PWLB) borrowing.  The main objective when borrowing money is to strike an appropriately low risk balance between securing low interest costs and achieving certainty of those costs over the period for which funds are required.</w:t>
      </w:r>
    </w:p>
    <w:p w14:paraId="7C1A3C41" w14:textId="77777777" w:rsidR="00A03D18" w:rsidRPr="00C5591E" w:rsidRDefault="00A03D18" w:rsidP="000F1771">
      <w:pPr>
        <w:spacing w:after="0" w:line="360" w:lineRule="auto"/>
        <w:ind w:left="709"/>
        <w:jc w:val="both"/>
        <w:rPr>
          <w:rFonts w:ascii="Arial" w:eastAsia="Times New Roman" w:hAnsi="Arial" w:cs="Arial"/>
          <w:lang w:eastAsia="en-GB"/>
        </w:rPr>
      </w:pPr>
    </w:p>
    <w:p w14:paraId="158681CD" w14:textId="77777777" w:rsidR="000F1771" w:rsidRPr="00C5591E" w:rsidRDefault="000F1771" w:rsidP="000F1771">
      <w:pPr>
        <w:numPr>
          <w:ilvl w:val="1"/>
          <w:numId w:val="1"/>
        </w:numPr>
        <w:spacing w:after="0" w:line="360" w:lineRule="auto"/>
        <w:ind w:left="709" w:hanging="709"/>
        <w:jc w:val="both"/>
        <w:rPr>
          <w:rFonts w:ascii="Arial" w:eastAsia="Times New Roman" w:hAnsi="Arial" w:cs="Arial"/>
          <w:u w:val="single"/>
          <w:lang w:eastAsia="en-GB"/>
        </w:rPr>
      </w:pPr>
      <w:r w:rsidRPr="00C5591E">
        <w:rPr>
          <w:rFonts w:ascii="Arial" w:eastAsia="Times New Roman" w:hAnsi="Arial" w:cs="Arial"/>
          <w:u w:val="single"/>
          <w:lang w:eastAsia="en-GB"/>
        </w:rPr>
        <w:t>General</w:t>
      </w:r>
    </w:p>
    <w:p w14:paraId="642E566F" w14:textId="77777777" w:rsidR="00AE0E11" w:rsidRPr="00C5591E" w:rsidRDefault="000F1771" w:rsidP="00AE0E11">
      <w:pPr>
        <w:spacing w:after="0" w:line="360" w:lineRule="auto"/>
        <w:ind w:left="709"/>
        <w:jc w:val="both"/>
        <w:rPr>
          <w:rFonts w:ascii="Arial" w:eastAsia="Times New Roman" w:hAnsi="Arial" w:cs="Arial"/>
          <w:lang w:eastAsia="en-GB"/>
        </w:rPr>
      </w:pPr>
      <w:r w:rsidRPr="00C5591E">
        <w:rPr>
          <w:rFonts w:ascii="Arial" w:eastAsia="Times New Roman" w:hAnsi="Arial" w:cs="Arial"/>
          <w:lang w:eastAsia="en-GB"/>
        </w:rPr>
        <w:t xml:space="preserve">Surrey County Council’s treasury management officers monitor cash flow on behalf of the PCC and aggregate this with their own cash flow, before making appropriate investments on behalf of both organisations.  </w:t>
      </w:r>
      <w:proofErr w:type="gramStart"/>
      <w:r w:rsidRPr="00C5591E">
        <w:rPr>
          <w:rFonts w:ascii="Arial" w:eastAsia="Times New Roman" w:hAnsi="Arial" w:cs="Arial"/>
          <w:lang w:eastAsia="en-GB"/>
        </w:rPr>
        <w:t>Accordingly</w:t>
      </w:r>
      <w:proofErr w:type="gramEnd"/>
      <w:r w:rsidRPr="00C5591E">
        <w:rPr>
          <w:rFonts w:ascii="Arial" w:eastAsia="Times New Roman" w:hAnsi="Arial" w:cs="Arial"/>
          <w:lang w:eastAsia="en-GB"/>
        </w:rPr>
        <w:t xml:space="preserve"> there was no requirement to deal with brokers or bankers during 20</w:t>
      </w:r>
      <w:r w:rsidR="00AC05F3">
        <w:rPr>
          <w:rFonts w:ascii="Arial" w:eastAsia="Times New Roman" w:hAnsi="Arial" w:cs="Arial"/>
          <w:lang w:eastAsia="en-GB"/>
        </w:rPr>
        <w:t>20</w:t>
      </w:r>
      <w:r w:rsidRPr="00C5591E">
        <w:rPr>
          <w:rFonts w:ascii="Arial" w:eastAsia="Times New Roman" w:hAnsi="Arial" w:cs="Arial"/>
          <w:lang w:eastAsia="en-GB"/>
        </w:rPr>
        <w:t>/</w:t>
      </w:r>
      <w:r w:rsidR="00C5591E" w:rsidRPr="00C5591E">
        <w:rPr>
          <w:rFonts w:ascii="Arial" w:eastAsia="Times New Roman" w:hAnsi="Arial" w:cs="Arial"/>
          <w:lang w:eastAsia="en-GB"/>
        </w:rPr>
        <w:t>2</w:t>
      </w:r>
      <w:r w:rsidR="00AC05F3">
        <w:rPr>
          <w:rFonts w:ascii="Arial" w:eastAsia="Times New Roman" w:hAnsi="Arial" w:cs="Arial"/>
          <w:lang w:eastAsia="en-GB"/>
        </w:rPr>
        <w:t>1</w:t>
      </w:r>
      <w:r w:rsidR="00AF76EF" w:rsidRPr="00C5591E">
        <w:rPr>
          <w:rFonts w:ascii="Arial" w:eastAsia="Times New Roman" w:hAnsi="Arial" w:cs="Arial"/>
          <w:lang w:eastAsia="en-GB"/>
        </w:rPr>
        <w:t>.</w:t>
      </w:r>
    </w:p>
    <w:p w14:paraId="60B6CCAB" w14:textId="77777777" w:rsidR="00AE0E11" w:rsidRPr="00C5591E" w:rsidRDefault="00AE0E11" w:rsidP="00AE0E11">
      <w:pPr>
        <w:spacing w:after="0" w:line="360" w:lineRule="auto"/>
        <w:ind w:left="709"/>
        <w:jc w:val="both"/>
        <w:rPr>
          <w:rFonts w:ascii="Arial" w:eastAsia="Times New Roman" w:hAnsi="Arial" w:cs="Arial"/>
          <w:lang w:eastAsia="en-GB"/>
        </w:rPr>
      </w:pPr>
    </w:p>
    <w:p w14:paraId="5FD6AEFC" w14:textId="77777777" w:rsidR="00AE0E11" w:rsidRPr="00C5591E" w:rsidRDefault="00AE0E11" w:rsidP="00AE0E11">
      <w:pPr>
        <w:numPr>
          <w:ilvl w:val="1"/>
          <w:numId w:val="1"/>
        </w:numPr>
        <w:spacing w:after="0" w:line="360" w:lineRule="auto"/>
        <w:ind w:left="709" w:hanging="709"/>
        <w:jc w:val="both"/>
        <w:rPr>
          <w:rFonts w:ascii="Arial" w:eastAsia="Times New Roman" w:hAnsi="Arial" w:cs="Arial"/>
          <w:u w:val="single"/>
          <w:lang w:eastAsia="en-GB"/>
        </w:rPr>
      </w:pPr>
      <w:r>
        <w:rPr>
          <w:rFonts w:ascii="Arial" w:eastAsia="Times New Roman" w:hAnsi="Arial" w:cs="Arial"/>
          <w:u w:val="single"/>
          <w:lang w:eastAsia="en-GB"/>
        </w:rPr>
        <w:t>Economic Update</w:t>
      </w:r>
    </w:p>
    <w:p w14:paraId="4A03E4D8" w14:textId="77777777" w:rsidR="000F1771" w:rsidRPr="00C5591E" w:rsidRDefault="00AE0E11" w:rsidP="00AE0E11">
      <w:pPr>
        <w:spacing w:after="0" w:line="360" w:lineRule="auto"/>
        <w:ind w:firstLine="709"/>
        <w:jc w:val="both"/>
        <w:rPr>
          <w:rFonts w:ascii="Arial" w:eastAsia="Times New Roman" w:hAnsi="Arial" w:cs="Arial"/>
          <w:lang w:eastAsia="en-GB"/>
        </w:rPr>
      </w:pPr>
      <w:r>
        <w:rPr>
          <w:rFonts w:ascii="Arial" w:eastAsia="Times New Roman" w:hAnsi="Arial" w:cs="Arial"/>
          <w:lang w:eastAsia="en-GB"/>
        </w:rPr>
        <w:t>A review of economic performance to date and outlook can be found at Appendix 5.</w:t>
      </w:r>
    </w:p>
    <w:p w14:paraId="126F1082" w14:textId="77777777" w:rsidR="00F3398F" w:rsidRPr="00AE0E11" w:rsidRDefault="00F3398F" w:rsidP="00121524">
      <w:pPr>
        <w:spacing w:after="0" w:line="360" w:lineRule="auto"/>
        <w:jc w:val="both"/>
        <w:rPr>
          <w:rFonts w:ascii="Arial" w:eastAsia="Times New Roman" w:hAnsi="Arial" w:cs="Arial"/>
          <w:lang w:eastAsia="en-GB"/>
        </w:rPr>
      </w:pPr>
    </w:p>
    <w:p w14:paraId="49D8FD21" w14:textId="77777777" w:rsidR="000F1771" w:rsidRPr="00AE0E11" w:rsidRDefault="000F1771" w:rsidP="000F1771">
      <w:pPr>
        <w:numPr>
          <w:ilvl w:val="0"/>
          <w:numId w:val="1"/>
        </w:numPr>
        <w:spacing w:after="0" w:line="360" w:lineRule="auto"/>
        <w:jc w:val="both"/>
        <w:rPr>
          <w:rFonts w:ascii="Arial" w:eastAsia="Times New Roman" w:hAnsi="Arial" w:cs="Arial"/>
          <w:sz w:val="24"/>
          <w:szCs w:val="24"/>
          <w:u w:val="single"/>
          <w:lang w:eastAsia="en-GB"/>
        </w:rPr>
      </w:pPr>
      <w:r w:rsidRPr="00AE0E11">
        <w:rPr>
          <w:rFonts w:ascii="Arial" w:eastAsia="Times New Roman" w:hAnsi="Arial" w:cs="Arial"/>
          <w:lang w:eastAsia="en-GB"/>
        </w:rPr>
        <w:t xml:space="preserve">     </w:t>
      </w:r>
      <w:r w:rsidRPr="00AE0E11">
        <w:rPr>
          <w:rFonts w:ascii="Arial" w:eastAsia="Times New Roman" w:hAnsi="Arial" w:cs="Arial"/>
          <w:sz w:val="24"/>
          <w:szCs w:val="24"/>
          <w:u w:val="single"/>
          <w:lang w:eastAsia="en-GB"/>
        </w:rPr>
        <w:t xml:space="preserve">Value for Money </w:t>
      </w:r>
    </w:p>
    <w:p w14:paraId="2473B3C8" w14:textId="77777777" w:rsidR="002B6464" w:rsidRPr="00AE0E11" w:rsidRDefault="000F1771" w:rsidP="007D36D0">
      <w:pPr>
        <w:spacing w:after="0" w:line="360" w:lineRule="auto"/>
        <w:ind w:left="709"/>
        <w:jc w:val="both"/>
        <w:rPr>
          <w:rFonts w:ascii="Arial" w:eastAsia="Times New Roman" w:hAnsi="Arial"/>
          <w:szCs w:val="20"/>
          <w:lang w:eastAsia="en-GB"/>
        </w:rPr>
      </w:pPr>
      <w:r w:rsidRPr="00AE0E11">
        <w:rPr>
          <w:rFonts w:ascii="Arial" w:eastAsia="Times New Roman" w:hAnsi="Arial"/>
          <w:szCs w:val="20"/>
          <w:lang w:eastAsia="en-GB"/>
        </w:rPr>
        <w:t xml:space="preserve">The PCC is committed to achieving </w:t>
      </w:r>
      <w:r w:rsidR="007173AA" w:rsidRPr="00AE0E11">
        <w:rPr>
          <w:rFonts w:ascii="Arial" w:eastAsia="Times New Roman" w:hAnsi="Arial"/>
          <w:szCs w:val="20"/>
          <w:lang w:eastAsia="en-GB"/>
        </w:rPr>
        <w:t xml:space="preserve">value for money </w:t>
      </w:r>
      <w:r w:rsidRPr="00AE0E11">
        <w:rPr>
          <w:rFonts w:ascii="Arial" w:eastAsia="Times New Roman" w:hAnsi="Arial"/>
          <w:szCs w:val="20"/>
          <w:lang w:eastAsia="en-GB"/>
        </w:rPr>
        <w:t xml:space="preserve">in treasury management.  Although returns on investment </w:t>
      </w:r>
      <w:r w:rsidR="007173AA" w:rsidRPr="00AE0E11">
        <w:rPr>
          <w:rFonts w:ascii="Arial" w:eastAsia="Times New Roman" w:hAnsi="Arial"/>
          <w:szCs w:val="20"/>
          <w:lang w:eastAsia="en-GB"/>
        </w:rPr>
        <w:t xml:space="preserve">appear </w:t>
      </w:r>
      <w:r w:rsidRPr="00AE0E11">
        <w:rPr>
          <w:rFonts w:ascii="Arial" w:eastAsia="Times New Roman" w:hAnsi="Arial"/>
          <w:szCs w:val="20"/>
          <w:lang w:eastAsia="en-GB"/>
        </w:rPr>
        <w:t>low</w:t>
      </w:r>
      <w:r w:rsidR="00B2589B" w:rsidRPr="00AE0E11">
        <w:rPr>
          <w:rFonts w:ascii="Arial" w:eastAsia="Times New Roman" w:hAnsi="Arial"/>
          <w:szCs w:val="20"/>
          <w:lang w:eastAsia="en-GB"/>
        </w:rPr>
        <w:t xml:space="preserve"> </w:t>
      </w:r>
      <w:r w:rsidR="007173AA" w:rsidRPr="00AE0E11">
        <w:rPr>
          <w:rFonts w:ascii="Arial" w:eastAsia="Times New Roman" w:hAnsi="Arial"/>
          <w:szCs w:val="20"/>
          <w:lang w:eastAsia="en-GB"/>
        </w:rPr>
        <w:t>this is</w:t>
      </w:r>
      <w:r w:rsidRPr="00AE0E11">
        <w:rPr>
          <w:rFonts w:ascii="Arial" w:eastAsia="Times New Roman" w:hAnsi="Arial"/>
          <w:szCs w:val="20"/>
          <w:lang w:eastAsia="en-GB"/>
        </w:rPr>
        <w:t xml:space="preserve"> offset by the competitive cost of the treasury manag</w:t>
      </w:r>
      <w:r w:rsidR="00E8325E" w:rsidRPr="00AE0E11">
        <w:rPr>
          <w:rFonts w:ascii="Arial" w:eastAsia="Times New Roman" w:hAnsi="Arial"/>
          <w:szCs w:val="20"/>
          <w:lang w:eastAsia="en-GB"/>
        </w:rPr>
        <w:t xml:space="preserve">ement service provided by SCC. </w:t>
      </w:r>
    </w:p>
    <w:p w14:paraId="05C4BC80" w14:textId="77777777" w:rsidR="002E6594" w:rsidRPr="00AE0E11" w:rsidRDefault="002E6594" w:rsidP="007D36D0">
      <w:pPr>
        <w:spacing w:after="0" w:line="360" w:lineRule="auto"/>
        <w:ind w:left="709"/>
        <w:jc w:val="both"/>
        <w:rPr>
          <w:rFonts w:ascii="Arial" w:eastAsia="Times New Roman" w:hAnsi="Arial"/>
          <w:szCs w:val="20"/>
          <w:lang w:eastAsia="en-GB"/>
        </w:rPr>
      </w:pPr>
    </w:p>
    <w:p w14:paraId="678040DB" w14:textId="77777777" w:rsidR="007D36D0" w:rsidRPr="00AE0E11" w:rsidRDefault="000D2546" w:rsidP="002B6464">
      <w:pPr>
        <w:spacing w:after="0" w:line="360" w:lineRule="auto"/>
        <w:ind w:left="709"/>
        <w:jc w:val="both"/>
        <w:rPr>
          <w:rFonts w:ascii="Arial" w:eastAsia="Times New Roman" w:hAnsi="Arial"/>
          <w:szCs w:val="20"/>
          <w:lang w:eastAsia="en-GB"/>
        </w:rPr>
      </w:pPr>
      <w:r w:rsidRPr="00AE0E11">
        <w:rPr>
          <w:rFonts w:ascii="Arial" w:eastAsia="Times New Roman" w:hAnsi="Arial"/>
          <w:szCs w:val="20"/>
          <w:lang w:eastAsia="en-GB"/>
        </w:rPr>
        <w:t xml:space="preserve">                                                                                                     </w:t>
      </w:r>
    </w:p>
    <w:p w14:paraId="3E4500E7" w14:textId="77777777" w:rsidR="000F1771" w:rsidRPr="00AE0E11" w:rsidRDefault="000F1771" w:rsidP="000F1771">
      <w:pPr>
        <w:tabs>
          <w:tab w:val="left" w:pos="720"/>
          <w:tab w:val="left" w:pos="5760"/>
        </w:tabs>
        <w:spacing w:after="0" w:line="240" w:lineRule="auto"/>
        <w:jc w:val="both"/>
        <w:rPr>
          <w:rFonts w:ascii="Arial" w:eastAsia="Times New Roman" w:hAnsi="Arial" w:cs="Arial"/>
          <w:b/>
          <w:sz w:val="24"/>
          <w:szCs w:val="24"/>
          <w:lang w:eastAsia="en-GB"/>
        </w:rPr>
      </w:pPr>
      <w:r w:rsidRPr="00AE0E11">
        <w:rPr>
          <w:rFonts w:ascii="Arial" w:eastAsia="Times New Roman" w:hAnsi="Arial" w:cs="Arial"/>
          <w:b/>
          <w:sz w:val="24"/>
          <w:szCs w:val="24"/>
          <w:lang w:eastAsia="en-GB"/>
        </w:rPr>
        <w:t>______________________________________________________________</w:t>
      </w:r>
    </w:p>
    <w:p w14:paraId="7840749B" w14:textId="77777777" w:rsidR="000F1771" w:rsidRPr="00AF4E7D" w:rsidRDefault="000F1771" w:rsidP="000F1771">
      <w:pPr>
        <w:tabs>
          <w:tab w:val="left" w:pos="720"/>
          <w:tab w:val="left" w:pos="5760"/>
        </w:tabs>
        <w:spacing w:after="0" w:line="240" w:lineRule="auto"/>
        <w:rPr>
          <w:rFonts w:ascii="Times New Roman" w:eastAsia="Times New Roman" w:hAnsi="Times New Roman"/>
          <w:b/>
          <w:sz w:val="24"/>
          <w:szCs w:val="20"/>
          <w:lang w:eastAsia="en-GB"/>
        </w:rPr>
      </w:pPr>
    </w:p>
    <w:p w14:paraId="5BC66494" w14:textId="77777777" w:rsidR="00197E89" w:rsidRPr="00AF4E7D" w:rsidRDefault="00197E89" w:rsidP="000F1771">
      <w:pPr>
        <w:tabs>
          <w:tab w:val="left" w:pos="720"/>
          <w:tab w:val="left" w:pos="5760"/>
        </w:tabs>
        <w:spacing w:after="0" w:line="240" w:lineRule="auto"/>
        <w:rPr>
          <w:rFonts w:ascii="Times New Roman" w:eastAsia="Times New Roman" w:hAnsi="Times New Roman"/>
          <w:b/>
          <w:sz w:val="24"/>
          <w:szCs w:val="20"/>
          <w:lang w:eastAsia="en-GB"/>
        </w:rPr>
      </w:pPr>
    </w:p>
    <w:p w14:paraId="650D6EC9" w14:textId="77777777" w:rsidR="000F1771" w:rsidRPr="00AF4E7D" w:rsidRDefault="000F1771" w:rsidP="000F1771">
      <w:pPr>
        <w:pBdr>
          <w:bottom w:val="single" w:sz="12" w:space="1" w:color="auto"/>
        </w:pBdr>
        <w:tabs>
          <w:tab w:val="left" w:pos="720"/>
          <w:tab w:val="left" w:pos="5760"/>
        </w:tabs>
        <w:spacing w:after="0" w:line="240" w:lineRule="auto"/>
        <w:jc w:val="both"/>
        <w:rPr>
          <w:rFonts w:ascii="Arial" w:eastAsia="Times New Roman" w:hAnsi="Arial" w:cs="Arial"/>
          <w:sz w:val="24"/>
          <w:szCs w:val="20"/>
          <w:lang w:eastAsia="en-GB"/>
        </w:rPr>
      </w:pPr>
      <w:r w:rsidRPr="00AF4E7D">
        <w:rPr>
          <w:rFonts w:ascii="Arial" w:eastAsia="Times New Roman" w:hAnsi="Arial" w:cs="Arial"/>
          <w:b/>
          <w:sz w:val="24"/>
          <w:szCs w:val="20"/>
          <w:lang w:eastAsia="en-GB"/>
        </w:rPr>
        <w:t xml:space="preserve">Equalities Implications – </w:t>
      </w:r>
      <w:r w:rsidRPr="00AF4E7D">
        <w:rPr>
          <w:rFonts w:ascii="Arial" w:eastAsia="Times New Roman" w:hAnsi="Arial" w:cs="Arial"/>
          <w:sz w:val="24"/>
          <w:szCs w:val="20"/>
          <w:lang w:eastAsia="en-GB"/>
        </w:rPr>
        <w:t xml:space="preserve">There are no equalities implications arising from this report. </w:t>
      </w:r>
    </w:p>
    <w:p w14:paraId="4F5FF9DF" w14:textId="77777777" w:rsidR="000F1771" w:rsidRPr="00AF4E7D" w:rsidRDefault="000F1771" w:rsidP="000F1771">
      <w:pPr>
        <w:pBdr>
          <w:bottom w:val="single" w:sz="12" w:space="1" w:color="auto"/>
        </w:pBdr>
        <w:tabs>
          <w:tab w:val="left" w:pos="720"/>
          <w:tab w:val="left" w:pos="5760"/>
        </w:tabs>
        <w:spacing w:after="0" w:line="240" w:lineRule="auto"/>
        <w:jc w:val="both"/>
        <w:rPr>
          <w:rFonts w:ascii="Arial" w:eastAsia="Times New Roman" w:hAnsi="Arial" w:cs="Arial"/>
          <w:sz w:val="24"/>
          <w:szCs w:val="20"/>
          <w:lang w:eastAsia="en-GB"/>
        </w:rPr>
      </w:pPr>
    </w:p>
    <w:p w14:paraId="3001CC96" w14:textId="77777777" w:rsidR="000F1771" w:rsidRPr="00AF4E7D" w:rsidRDefault="000F1771" w:rsidP="000F1771">
      <w:pPr>
        <w:tabs>
          <w:tab w:val="left" w:pos="720"/>
          <w:tab w:val="left" w:pos="5760"/>
        </w:tabs>
        <w:spacing w:after="0" w:line="240" w:lineRule="auto"/>
        <w:jc w:val="both"/>
        <w:rPr>
          <w:rFonts w:ascii="Arial" w:eastAsia="Times New Roman" w:hAnsi="Arial" w:cs="Arial"/>
          <w:b/>
          <w:sz w:val="24"/>
          <w:szCs w:val="20"/>
          <w:lang w:eastAsia="en-GB"/>
        </w:rPr>
      </w:pPr>
    </w:p>
    <w:p w14:paraId="50125189" w14:textId="77777777" w:rsidR="000F1771" w:rsidRPr="00AF4E7D" w:rsidRDefault="000F1771" w:rsidP="000F1771">
      <w:pPr>
        <w:spacing w:before="60" w:after="120" w:line="240" w:lineRule="auto"/>
        <w:rPr>
          <w:rFonts w:ascii="Arial" w:eastAsia="Times New Roman" w:hAnsi="Arial"/>
          <w:color w:val="000000"/>
          <w:szCs w:val="20"/>
          <w:lang w:eastAsia="en-GB"/>
        </w:rPr>
      </w:pPr>
      <w:r w:rsidRPr="00AF4E7D">
        <w:rPr>
          <w:rFonts w:ascii="Arial" w:eastAsia="Times New Roman" w:hAnsi="Arial" w:cs="Arial"/>
          <w:b/>
          <w:sz w:val="24"/>
          <w:szCs w:val="20"/>
          <w:lang w:eastAsia="en-GB"/>
        </w:rPr>
        <w:t xml:space="preserve">Risk </w:t>
      </w:r>
      <w:r w:rsidR="00E92569" w:rsidRPr="00AF4E7D">
        <w:rPr>
          <w:rFonts w:ascii="Arial" w:eastAsia="Times New Roman" w:hAnsi="Arial" w:cs="Arial"/>
          <w:b/>
          <w:sz w:val="24"/>
          <w:szCs w:val="20"/>
          <w:lang w:eastAsia="en-GB"/>
        </w:rPr>
        <w:t xml:space="preserve">– </w:t>
      </w:r>
      <w:r w:rsidRPr="00AF4E7D">
        <w:rPr>
          <w:rFonts w:ascii="Arial" w:eastAsia="Times New Roman" w:hAnsi="Arial"/>
          <w:color w:val="000000"/>
          <w:szCs w:val="20"/>
          <w:lang w:eastAsia="en-GB"/>
        </w:rPr>
        <w:t>The following risk arises from this report:</w:t>
      </w:r>
    </w:p>
    <w:p w14:paraId="69CED3B4" w14:textId="77777777" w:rsidR="000F1771" w:rsidRPr="00AF4E7D" w:rsidRDefault="00B8190C" w:rsidP="00E92569">
      <w:pPr>
        <w:numPr>
          <w:ilvl w:val="0"/>
          <w:numId w:val="2"/>
        </w:numPr>
        <w:suppressAutoHyphens/>
        <w:spacing w:before="60" w:after="120" w:line="240" w:lineRule="auto"/>
        <w:jc w:val="both"/>
        <w:rPr>
          <w:rFonts w:ascii="Arial" w:eastAsia="Times New Roman" w:hAnsi="Arial"/>
          <w:color w:val="000000"/>
          <w:szCs w:val="20"/>
          <w:lang w:eastAsia="en-GB"/>
        </w:rPr>
      </w:pPr>
      <w:r w:rsidRPr="00AF4E7D">
        <w:rPr>
          <w:rFonts w:ascii="Arial" w:eastAsia="Times New Roman" w:hAnsi="Arial"/>
          <w:color w:val="000000"/>
          <w:szCs w:val="20"/>
          <w:lang w:eastAsia="en-GB"/>
        </w:rPr>
        <w:t xml:space="preserve">Minimising risk to ensure the Commissioner’s principal sums are safeguarded is achieved by </w:t>
      </w:r>
      <w:r w:rsidR="00E92569" w:rsidRPr="00AF4E7D">
        <w:rPr>
          <w:rFonts w:ascii="Arial" w:eastAsia="Times New Roman" w:hAnsi="Arial"/>
          <w:color w:val="000000"/>
          <w:szCs w:val="20"/>
          <w:lang w:eastAsia="en-GB"/>
        </w:rPr>
        <w:t xml:space="preserve">undertaking all Treasury Management activity during the year in accordance with the approved Treasury Management Policy Strategy and associated contracts with SCC. Maximising income is considered secondary to this main aim. </w:t>
      </w:r>
    </w:p>
    <w:p w14:paraId="3E9C7F8D" w14:textId="77777777" w:rsidR="000F1771" w:rsidRPr="00AF4E7D" w:rsidRDefault="000F1771" w:rsidP="000F1771">
      <w:pPr>
        <w:pBdr>
          <w:bottom w:val="single" w:sz="12" w:space="1" w:color="auto"/>
        </w:pBdr>
        <w:tabs>
          <w:tab w:val="left" w:pos="720"/>
          <w:tab w:val="left" w:pos="5760"/>
        </w:tabs>
        <w:spacing w:after="0" w:line="240" w:lineRule="auto"/>
        <w:rPr>
          <w:rFonts w:ascii="Arial" w:eastAsia="Times New Roman" w:hAnsi="Arial" w:cs="Arial"/>
          <w:b/>
          <w:sz w:val="24"/>
          <w:szCs w:val="20"/>
          <w:lang w:eastAsia="en-GB"/>
        </w:rPr>
      </w:pPr>
    </w:p>
    <w:p w14:paraId="14D611ED" w14:textId="77777777" w:rsidR="000F1771" w:rsidRPr="00AF4E7D" w:rsidRDefault="000F1771" w:rsidP="000F1771">
      <w:pPr>
        <w:tabs>
          <w:tab w:val="left" w:pos="720"/>
          <w:tab w:val="left" w:pos="5760"/>
        </w:tabs>
        <w:spacing w:after="0" w:line="240" w:lineRule="auto"/>
        <w:rPr>
          <w:rFonts w:ascii="Arial" w:eastAsia="Times New Roman" w:hAnsi="Arial" w:cs="Arial"/>
          <w:b/>
          <w:sz w:val="24"/>
          <w:szCs w:val="20"/>
          <w:lang w:eastAsia="en-GB"/>
        </w:rPr>
      </w:pPr>
    </w:p>
    <w:p w14:paraId="737A726F" w14:textId="77777777" w:rsidR="000F1771" w:rsidRPr="00AF4E7D" w:rsidRDefault="000F1771" w:rsidP="000F1771">
      <w:pPr>
        <w:pBdr>
          <w:bottom w:val="single" w:sz="12" w:space="1" w:color="auto"/>
        </w:pBdr>
        <w:tabs>
          <w:tab w:val="left" w:pos="720"/>
          <w:tab w:val="left" w:pos="5760"/>
        </w:tabs>
        <w:spacing w:after="0" w:line="240" w:lineRule="auto"/>
        <w:rPr>
          <w:rFonts w:ascii="Arial" w:eastAsia="Times New Roman" w:hAnsi="Arial" w:cs="Arial"/>
          <w:i/>
          <w:sz w:val="24"/>
          <w:lang w:eastAsia="en-GB"/>
        </w:rPr>
      </w:pPr>
      <w:r w:rsidRPr="00AF4E7D">
        <w:rPr>
          <w:rFonts w:ascii="Arial" w:eastAsia="Times New Roman" w:hAnsi="Arial" w:cs="Arial"/>
          <w:b/>
          <w:sz w:val="24"/>
          <w:szCs w:val="20"/>
          <w:lang w:eastAsia="en-GB"/>
        </w:rPr>
        <w:t xml:space="preserve">Human Rights – </w:t>
      </w:r>
      <w:r w:rsidRPr="00AF4E7D">
        <w:rPr>
          <w:rFonts w:ascii="Arial" w:eastAsia="Times New Roman" w:hAnsi="Arial" w:cs="Arial"/>
          <w:sz w:val="24"/>
          <w:szCs w:val="20"/>
          <w:lang w:eastAsia="en-GB"/>
        </w:rPr>
        <w:t xml:space="preserve">There are no human rights implications arising from this report. </w:t>
      </w:r>
    </w:p>
    <w:p w14:paraId="3B84F526" w14:textId="77777777" w:rsidR="000F1771" w:rsidRPr="00AF4E7D" w:rsidRDefault="000F1771" w:rsidP="000F1771">
      <w:pPr>
        <w:pBdr>
          <w:bottom w:val="single" w:sz="12" w:space="1" w:color="auto"/>
        </w:pBdr>
        <w:tabs>
          <w:tab w:val="left" w:pos="720"/>
          <w:tab w:val="left" w:pos="5760"/>
        </w:tabs>
        <w:spacing w:after="0" w:line="240" w:lineRule="auto"/>
        <w:rPr>
          <w:rFonts w:ascii="Times New Roman" w:eastAsia="Times New Roman" w:hAnsi="Times New Roman"/>
          <w:b/>
          <w:sz w:val="24"/>
          <w:szCs w:val="20"/>
          <w:lang w:eastAsia="en-GB"/>
        </w:rPr>
      </w:pPr>
    </w:p>
    <w:p w14:paraId="76BD9123" w14:textId="77777777" w:rsidR="000F1771" w:rsidRPr="00AF4E7D" w:rsidRDefault="000F1771" w:rsidP="000F1771">
      <w:pPr>
        <w:tabs>
          <w:tab w:val="left" w:pos="2410"/>
        </w:tabs>
        <w:spacing w:after="0" w:line="360" w:lineRule="auto"/>
        <w:jc w:val="both"/>
        <w:rPr>
          <w:rFonts w:ascii="Arial" w:eastAsia="Times New Roman" w:hAnsi="Arial" w:cs="Arial"/>
          <w:b/>
          <w:lang w:eastAsia="en-GB"/>
        </w:rPr>
      </w:pPr>
    </w:p>
    <w:p w14:paraId="6175DFDA" w14:textId="77777777" w:rsidR="000F1771" w:rsidRPr="00AF4E7D" w:rsidRDefault="000F1771" w:rsidP="000F1771">
      <w:pPr>
        <w:tabs>
          <w:tab w:val="left" w:pos="2410"/>
        </w:tabs>
        <w:spacing w:after="0" w:line="360" w:lineRule="auto"/>
        <w:jc w:val="both"/>
        <w:rPr>
          <w:rFonts w:ascii="Arial" w:eastAsia="Times New Roman" w:hAnsi="Arial" w:cs="Arial"/>
          <w:b/>
          <w:lang w:eastAsia="en-GB"/>
        </w:rPr>
      </w:pPr>
      <w:r w:rsidRPr="00AF4E7D">
        <w:rPr>
          <w:rFonts w:ascii="Arial" w:eastAsia="Times New Roman" w:hAnsi="Arial" w:cs="Arial"/>
          <w:b/>
          <w:lang w:eastAsia="en-GB"/>
        </w:rPr>
        <w:t>Attachments:</w:t>
      </w:r>
    </w:p>
    <w:p w14:paraId="02199D05" w14:textId="77777777" w:rsidR="000F1771" w:rsidRPr="00AF4E7D" w:rsidRDefault="000F1771" w:rsidP="000F1771">
      <w:pPr>
        <w:pBdr>
          <w:bottom w:val="single" w:sz="12" w:space="1" w:color="auto"/>
        </w:pBdr>
        <w:tabs>
          <w:tab w:val="left" w:pos="720"/>
          <w:tab w:val="left" w:pos="5760"/>
        </w:tabs>
        <w:spacing w:after="0" w:line="240" w:lineRule="auto"/>
        <w:rPr>
          <w:rFonts w:ascii="Times New Roman" w:eastAsia="Times New Roman" w:hAnsi="Times New Roman"/>
          <w:b/>
          <w:sz w:val="24"/>
          <w:szCs w:val="20"/>
          <w:lang w:eastAsia="en-GB"/>
        </w:rPr>
      </w:pPr>
    </w:p>
    <w:p w14:paraId="2BA96EBB" w14:textId="77777777" w:rsidR="000F1771" w:rsidRPr="00AF4E7D" w:rsidRDefault="000F1771" w:rsidP="000F1771">
      <w:pPr>
        <w:tabs>
          <w:tab w:val="left" w:pos="720"/>
          <w:tab w:val="left" w:pos="5760"/>
        </w:tabs>
        <w:spacing w:after="0" w:line="240" w:lineRule="auto"/>
        <w:jc w:val="both"/>
        <w:rPr>
          <w:rFonts w:ascii="Times New Roman" w:eastAsia="Times New Roman" w:hAnsi="Times New Roman"/>
          <w:b/>
          <w:sz w:val="24"/>
          <w:szCs w:val="20"/>
          <w:lang w:eastAsia="en-GB"/>
        </w:rPr>
      </w:pPr>
    </w:p>
    <w:p w14:paraId="1E09D255" w14:textId="77777777" w:rsidR="000F1771" w:rsidRPr="00AF4E7D" w:rsidRDefault="000F1771" w:rsidP="000F1771">
      <w:pPr>
        <w:tabs>
          <w:tab w:val="left" w:pos="2410"/>
        </w:tabs>
        <w:spacing w:after="0" w:line="360" w:lineRule="auto"/>
        <w:jc w:val="both"/>
        <w:rPr>
          <w:rFonts w:ascii="Times New Roman" w:eastAsia="Times New Roman" w:hAnsi="Times New Roman"/>
          <w:b/>
          <w:lang w:eastAsia="en-GB"/>
        </w:rPr>
      </w:pPr>
      <w:r w:rsidRPr="00AF4E7D">
        <w:rPr>
          <w:rFonts w:ascii="Arial" w:eastAsia="Times New Roman" w:hAnsi="Arial" w:cs="Arial"/>
          <w:b/>
          <w:lang w:eastAsia="en-GB"/>
        </w:rPr>
        <w:t>Background papers –</w:t>
      </w:r>
      <w:r w:rsidRPr="00AF4E7D">
        <w:rPr>
          <w:rFonts w:ascii="Times New Roman" w:eastAsia="Times New Roman" w:hAnsi="Times New Roman"/>
          <w:b/>
          <w:lang w:eastAsia="en-GB"/>
        </w:rPr>
        <w:t xml:space="preserve"> </w:t>
      </w:r>
    </w:p>
    <w:p w14:paraId="79D6BB8D" w14:textId="77777777" w:rsidR="000F1771" w:rsidRPr="00AF4E7D" w:rsidRDefault="000F1771" w:rsidP="000F1771">
      <w:pPr>
        <w:tabs>
          <w:tab w:val="left" w:pos="2410"/>
        </w:tabs>
        <w:spacing w:after="0" w:line="360" w:lineRule="auto"/>
        <w:jc w:val="both"/>
        <w:rPr>
          <w:rFonts w:ascii="Arial" w:eastAsia="Times New Roman" w:hAnsi="Arial" w:cs="Arial"/>
          <w:lang w:eastAsia="en-GB"/>
        </w:rPr>
      </w:pPr>
      <w:r w:rsidRPr="00AF4E7D">
        <w:rPr>
          <w:rFonts w:ascii="Arial" w:eastAsia="Times New Roman" w:hAnsi="Arial" w:cs="Arial"/>
          <w:lang w:eastAsia="en-GB"/>
        </w:rPr>
        <w:t xml:space="preserve">This document has been prepared with due regard </w:t>
      </w:r>
      <w:proofErr w:type="gramStart"/>
      <w:r w:rsidRPr="00AF4E7D">
        <w:rPr>
          <w:rFonts w:ascii="Arial" w:eastAsia="Times New Roman" w:hAnsi="Arial" w:cs="Arial"/>
          <w:lang w:eastAsia="en-GB"/>
        </w:rPr>
        <w:t>to:-</w:t>
      </w:r>
      <w:proofErr w:type="gramEnd"/>
    </w:p>
    <w:p w14:paraId="3DE604A9" w14:textId="77777777" w:rsidR="000F1771" w:rsidRPr="00AF4E7D" w:rsidRDefault="000F1771" w:rsidP="000F1771">
      <w:pPr>
        <w:spacing w:after="0" w:line="360" w:lineRule="auto"/>
        <w:ind w:left="142"/>
        <w:jc w:val="both"/>
        <w:rPr>
          <w:rFonts w:ascii="Arial" w:eastAsia="Times New Roman" w:hAnsi="Arial" w:cs="Arial"/>
          <w:lang w:eastAsia="en-GB"/>
        </w:rPr>
      </w:pPr>
      <w:r w:rsidRPr="00AF4E7D">
        <w:rPr>
          <w:rFonts w:ascii="Arial" w:eastAsia="Times New Roman" w:hAnsi="Arial" w:cs="Arial"/>
          <w:lang w:eastAsia="en-GB"/>
        </w:rPr>
        <w:t>PCC Treasury Management Strategy</w:t>
      </w:r>
    </w:p>
    <w:p w14:paraId="3C4DABB9" w14:textId="77777777" w:rsidR="000F1771" w:rsidRPr="00005B99" w:rsidRDefault="000F1771" w:rsidP="000F1771">
      <w:pPr>
        <w:spacing w:after="0" w:line="360" w:lineRule="auto"/>
        <w:ind w:left="142"/>
        <w:jc w:val="both"/>
        <w:rPr>
          <w:rFonts w:ascii="Arial" w:eastAsia="Times New Roman" w:hAnsi="Arial" w:cs="Arial"/>
          <w:lang w:eastAsia="en-GB"/>
        </w:rPr>
      </w:pPr>
      <w:r w:rsidRPr="00AF4E7D">
        <w:rPr>
          <w:rFonts w:ascii="Arial" w:eastAsia="Times New Roman" w:hAnsi="Arial" w:cs="Arial"/>
          <w:lang w:eastAsia="en-GB"/>
        </w:rPr>
        <w:t xml:space="preserve">CIPFA The Prudential Code for Capital Finance in Local </w:t>
      </w:r>
      <w:r w:rsidRPr="00005B99">
        <w:rPr>
          <w:rFonts w:ascii="Arial" w:eastAsia="Times New Roman" w:hAnsi="Arial" w:cs="Arial"/>
          <w:lang w:eastAsia="en-GB"/>
        </w:rPr>
        <w:t>Authorities – 201</w:t>
      </w:r>
      <w:r w:rsidR="00005B99" w:rsidRPr="00005B99">
        <w:rPr>
          <w:rFonts w:ascii="Arial" w:eastAsia="Times New Roman" w:hAnsi="Arial" w:cs="Arial"/>
          <w:lang w:eastAsia="en-GB"/>
        </w:rPr>
        <w:t>8</w:t>
      </w:r>
      <w:r w:rsidRPr="00005B99">
        <w:rPr>
          <w:rFonts w:ascii="Arial" w:eastAsia="Times New Roman" w:hAnsi="Arial" w:cs="Arial"/>
          <w:lang w:eastAsia="en-GB"/>
        </w:rPr>
        <w:t xml:space="preserve"> edition</w:t>
      </w:r>
    </w:p>
    <w:p w14:paraId="0AC1BA5E" w14:textId="77777777" w:rsidR="000F1771" w:rsidRPr="00AF4E7D" w:rsidRDefault="000F1771" w:rsidP="000F1771">
      <w:pPr>
        <w:spacing w:after="0" w:line="360" w:lineRule="auto"/>
        <w:ind w:left="142"/>
        <w:jc w:val="both"/>
        <w:rPr>
          <w:rFonts w:ascii="Arial" w:eastAsia="Times New Roman" w:hAnsi="Arial" w:cs="Arial"/>
          <w:lang w:eastAsia="en-GB"/>
        </w:rPr>
      </w:pPr>
      <w:r w:rsidRPr="00005B99">
        <w:rPr>
          <w:rFonts w:ascii="Arial" w:eastAsia="Times New Roman" w:hAnsi="Arial" w:cs="Arial"/>
          <w:lang w:eastAsia="en-GB"/>
        </w:rPr>
        <w:t>CIPFA Treasury Management in the Public Services: Code of</w:t>
      </w:r>
      <w:r w:rsidRPr="00AF4E7D">
        <w:rPr>
          <w:rFonts w:ascii="Arial" w:eastAsia="Times New Roman" w:hAnsi="Arial" w:cs="Arial"/>
          <w:lang w:eastAsia="en-GB"/>
        </w:rPr>
        <w:t xml:space="preserve"> Practice and Cross-Sectoral Guidance Notes </w:t>
      </w:r>
    </w:p>
    <w:p w14:paraId="451759AD" w14:textId="77777777" w:rsidR="000F1771" w:rsidRPr="00AF4E7D" w:rsidRDefault="000F1771" w:rsidP="000F1771">
      <w:pPr>
        <w:spacing w:after="0" w:line="360" w:lineRule="auto"/>
        <w:jc w:val="both"/>
        <w:rPr>
          <w:rFonts w:ascii="Arial" w:eastAsia="Times New Roman" w:hAnsi="Arial" w:cs="Arial"/>
          <w:highlight w:val="yellow"/>
          <w:lang w:eastAsia="en-GB"/>
        </w:rPr>
      </w:pPr>
    </w:p>
    <w:p w14:paraId="2BD81E29" w14:textId="77777777" w:rsidR="000F1771" w:rsidRPr="00994D32" w:rsidRDefault="000F1771" w:rsidP="000F1771">
      <w:pPr>
        <w:pBdr>
          <w:bottom w:val="single" w:sz="4" w:space="1" w:color="auto"/>
        </w:pBdr>
        <w:tabs>
          <w:tab w:val="left" w:pos="720"/>
          <w:tab w:val="left" w:pos="5760"/>
        </w:tabs>
        <w:spacing w:after="0" w:line="240" w:lineRule="auto"/>
        <w:jc w:val="both"/>
        <w:rPr>
          <w:rFonts w:ascii="Times New Roman" w:eastAsia="Times New Roman" w:hAnsi="Times New Roman"/>
          <w:b/>
          <w:lang w:eastAsia="en-GB"/>
        </w:rPr>
      </w:pPr>
    </w:p>
    <w:p w14:paraId="1D09DC58" w14:textId="77777777" w:rsidR="000F1771" w:rsidRPr="00994D32" w:rsidRDefault="000F1771" w:rsidP="000F1771">
      <w:pPr>
        <w:tabs>
          <w:tab w:val="left" w:pos="720"/>
          <w:tab w:val="left" w:pos="5760"/>
        </w:tabs>
        <w:spacing w:after="0" w:line="360" w:lineRule="auto"/>
        <w:jc w:val="both"/>
        <w:rPr>
          <w:rFonts w:ascii="Arial" w:eastAsia="Times New Roman" w:hAnsi="Arial" w:cs="Arial"/>
          <w:b/>
          <w:lang w:eastAsia="en-GB"/>
        </w:rPr>
      </w:pPr>
    </w:p>
    <w:p w14:paraId="1E56E075" w14:textId="77777777" w:rsidR="000F1771" w:rsidRPr="00994D32" w:rsidRDefault="000F1771" w:rsidP="000F1771">
      <w:pPr>
        <w:tabs>
          <w:tab w:val="left" w:pos="720"/>
          <w:tab w:val="left" w:pos="5760"/>
        </w:tabs>
        <w:spacing w:after="0" w:line="360" w:lineRule="auto"/>
        <w:jc w:val="both"/>
        <w:rPr>
          <w:rFonts w:ascii="Arial" w:eastAsia="Times New Roman" w:hAnsi="Arial" w:cs="Arial"/>
          <w:b/>
          <w:lang w:eastAsia="en-GB"/>
        </w:rPr>
      </w:pPr>
      <w:r w:rsidRPr="00994D32">
        <w:rPr>
          <w:rFonts w:ascii="Arial" w:eastAsia="Times New Roman" w:hAnsi="Arial" w:cs="Arial"/>
          <w:b/>
          <w:lang w:eastAsia="en-GB"/>
        </w:rPr>
        <w:t xml:space="preserve">Contact details -  </w:t>
      </w:r>
    </w:p>
    <w:p w14:paraId="05ED9CBC" w14:textId="77777777" w:rsidR="000F1771" w:rsidRPr="00994D32" w:rsidRDefault="000F1771" w:rsidP="000F1771">
      <w:pPr>
        <w:tabs>
          <w:tab w:val="left" w:pos="2410"/>
          <w:tab w:val="left" w:pos="5760"/>
        </w:tabs>
        <w:spacing w:after="0" w:line="360" w:lineRule="auto"/>
        <w:jc w:val="both"/>
        <w:rPr>
          <w:rFonts w:ascii="Arial" w:eastAsia="Times New Roman" w:hAnsi="Arial" w:cs="Arial"/>
          <w:b/>
          <w:lang w:eastAsia="en-GB"/>
        </w:rPr>
      </w:pPr>
      <w:r w:rsidRPr="00994D32">
        <w:rPr>
          <w:rFonts w:ascii="Arial" w:eastAsia="Times New Roman" w:hAnsi="Arial" w:cs="Arial"/>
          <w:b/>
          <w:lang w:eastAsia="en-GB"/>
        </w:rPr>
        <w:t>Name:</w:t>
      </w:r>
      <w:r w:rsidRPr="00994D32">
        <w:rPr>
          <w:rFonts w:ascii="Arial" w:eastAsia="Times New Roman" w:hAnsi="Arial" w:cs="Arial"/>
          <w:b/>
          <w:lang w:eastAsia="en-GB"/>
        </w:rPr>
        <w:tab/>
      </w:r>
      <w:r w:rsidR="00AC05F3">
        <w:rPr>
          <w:rFonts w:ascii="Arial" w:eastAsia="Times New Roman" w:hAnsi="Arial" w:cs="Arial"/>
          <w:lang w:eastAsia="en-GB"/>
        </w:rPr>
        <w:t xml:space="preserve">Miranda </w:t>
      </w:r>
      <w:proofErr w:type="spellStart"/>
      <w:r w:rsidR="00AC05F3">
        <w:rPr>
          <w:rFonts w:ascii="Arial" w:eastAsia="Times New Roman" w:hAnsi="Arial" w:cs="Arial"/>
          <w:lang w:eastAsia="en-GB"/>
        </w:rPr>
        <w:t>Kadwell</w:t>
      </w:r>
      <w:proofErr w:type="spellEnd"/>
      <w:r w:rsidRPr="00994D32">
        <w:rPr>
          <w:rFonts w:ascii="Arial" w:eastAsia="Times New Roman" w:hAnsi="Arial" w:cs="Arial"/>
          <w:b/>
          <w:lang w:eastAsia="en-GB"/>
        </w:rPr>
        <w:tab/>
      </w:r>
    </w:p>
    <w:p w14:paraId="07A27C91" w14:textId="77777777" w:rsidR="000F1771" w:rsidRPr="00994D32" w:rsidRDefault="000F1771" w:rsidP="000F1771">
      <w:pPr>
        <w:tabs>
          <w:tab w:val="left" w:pos="2410"/>
          <w:tab w:val="left" w:pos="5760"/>
        </w:tabs>
        <w:spacing w:after="0" w:line="360" w:lineRule="auto"/>
        <w:jc w:val="both"/>
        <w:rPr>
          <w:rFonts w:ascii="Arial" w:eastAsia="Times New Roman" w:hAnsi="Arial" w:cs="Arial"/>
          <w:b/>
          <w:lang w:eastAsia="en-GB"/>
        </w:rPr>
      </w:pPr>
      <w:r w:rsidRPr="00994D32">
        <w:rPr>
          <w:rFonts w:ascii="Arial" w:eastAsia="Times New Roman" w:hAnsi="Arial" w:cs="Arial"/>
          <w:b/>
          <w:lang w:eastAsia="en-GB"/>
        </w:rPr>
        <w:t>Job Title:</w:t>
      </w:r>
      <w:r w:rsidRPr="00994D32">
        <w:rPr>
          <w:rFonts w:ascii="Arial" w:eastAsia="Times New Roman" w:hAnsi="Arial" w:cs="Arial"/>
          <w:b/>
          <w:lang w:eastAsia="en-GB"/>
        </w:rPr>
        <w:tab/>
      </w:r>
      <w:r w:rsidR="00AC05F3">
        <w:rPr>
          <w:rFonts w:ascii="Arial" w:eastAsia="Times New Roman" w:hAnsi="Arial" w:cs="Arial"/>
          <w:lang w:eastAsia="en-GB"/>
        </w:rPr>
        <w:t>Chief</w:t>
      </w:r>
      <w:r w:rsidRPr="00994D32">
        <w:rPr>
          <w:rFonts w:ascii="Arial" w:eastAsia="Times New Roman" w:hAnsi="Arial" w:cs="Arial"/>
          <w:lang w:eastAsia="en-GB"/>
        </w:rPr>
        <w:t xml:space="preserve"> Accountant</w:t>
      </w:r>
    </w:p>
    <w:p w14:paraId="7F9176DA" w14:textId="77777777" w:rsidR="000F1771" w:rsidRPr="00994D32" w:rsidRDefault="000F1771" w:rsidP="000F1771">
      <w:pPr>
        <w:tabs>
          <w:tab w:val="left" w:pos="2410"/>
          <w:tab w:val="left" w:pos="5760"/>
        </w:tabs>
        <w:spacing w:after="0" w:line="360" w:lineRule="auto"/>
        <w:jc w:val="both"/>
        <w:rPr>
          <w:rFonts w:ascii="Arial" w:eastAsia="Times New Roman" w:hAnsi="Arial" w:cs="Arial"/>
          <w:lang w:eastAsia="en-GB"/>
        </w:rPr>
      </w:pPr>
      <w:r w:rsidRPr="00994D32">
        <w:rPr>
          <w:rFonts w:ascii="Arial" w:eastAsia="Times New Roman" w:hAnsi="Arial" w:cs="Arial"/>
          <w:b/>
          <w:lang w:eastAsia="en-GB"/>
        </w:rPr>
        <w:t>Email address:</w:t>
      </w:r>
      <w:r w:rsidRPr="00994D32">
        <w:rPr>
          <w:rFonts w:ascii="Arial" w:eastAsia="Times New Roman" w:hAnsi="Arial" w:cs="Arial"/>
          <w:b/>
          <w:lang w:eastAsia="en-GB"/>
        </w:rPr>
        <w:tab/>
      </w:r>
      <w:hyperlink r:id="rId9" w:history="1">
        <w:r w:rsidR="00AC05F3" w:rsidRPr="00AB1200">
          <w:rPr>
            <w:rStyle w:val="Hyperlink"/>
            <w:rFonts w:ascii="Arial" w:eastAsia="Times New Roman" w:hAnsi="Arial" w:cs="Arial"/>
            <w:lang w:eastAsia="en-GB"/>
          </w:rPr>
          <w:t>Miranda.Kadwell@surrey.pnn.police.uk</w:t>
        </w:r>
      </w:hyperlink>
    </w:p>
    <w:p w14:paraId="0A898189" w14:textId="77777777" w:rsidR="00994D32" w:rsidRPr="00994D32" w:rsidRDefault="00994D32"/>
    <w:p w14:paraId="583B0D74" w14:textId="77777777" w:rsidR="00295937" w:rsidRDefault="00295937">
      <w:pPr>
        <w:spacing w:after="0" w:line="240" w:lineRule="auto"/>
        <w:rPr>
          <w:b/>
        </w:rPr>
      </w:pPr>
      <w:r>
        <w:rPr>
          <w:b/>
        </w:rPr>
        <w:br w:type="page"/>
      </w:r>
    </w:p>
    <w:p w14:paraId="6C800D2E" w14:textId="77777777" w:rsidR="00081B0A" w:rsidRPr="00994D32" w:rsidRDefault="00994D32">
      <w:pPr>
        <w:rPr>
          <w:b/>
        </w:rPr>
      </w:pPr>
      <w:r w:rsidRPr="00994D32">
        <w:rPr>
          <w:b/>
        </w:rPr>
        <w:lastRenderedPageBreak/>
        <w:t xml:space="preserve">APPENDIX </w:t>
      </w:r>
      <w:r w:rsidR="00081B0A" w:rsidRPr="00994D32">
        <w:rPr>
          <w:b/>
        </w:rPr>
        <w:t>1</w:t>
      </w:r>
      <w:r w:rsidRPr="00994D32">
        <w:rPr>
          <w:b/>
        </w:rPr>
        <w:t xml:space="preserve"> – INTEREST RATE PERFORMANCE</w:t>
      </w:r>
    </w:p>
    <w:p w14:paraId="07868916" w14:textId="77777777" w:rsidR="00F246F4" w:rsidRDefault="00295937" w:rsidP="00295937">
      <w:pPr>
        <w:jc w:val="center"/>
        <w:rPr>
          <w:b/>
        </w:rPr>
      </w:pPr>
      <w:r>
        <w:rPr>
          <w:noProof/>
          <w:lang w:eastAsia="en-GB"/>
        </w:rPr>
        <w:drawing>
          <wp:inline distT="0" distB="0" distL="0" distR="0" wp14:anchorId="10AD7D36" wp14:editId="6AA93716">
            <wp:extent cx="4770408" cy="2777706"/>
            <wp:effectExtent l="0" t="0" r="11430"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45CFB5" w14:textId="77777777" w:rsidR="00B46D2D" w:rsidRDefault="00B46D2D">
      <w:pPr>
        <w:rPr>
          <w:b/>
        </w:rPr>
      </w:pPr>
    </w:p>
    <w:p w14:paraId="443E2DDE" w14:textId="77777777" w:rsidR="00994D32" w:rsidRDefault="00994D32">
      <w:pPr>
        <w:rPr>
          <w:b/>
        </w:rPr>
      </w:pPr>
      <w:r w:rsidRPr="00994D32">
        <w:rPr>
          <w:b/>
        </w:rPr>
        <w:t xml:space="preserve">APPENDIX </w:t>
      </w:r>
      <w:r>
        <w:rPr>
          <w:b/>
        </w:rPr>
        <w:t>2</w:t>
      </w:r>
      <w:r w:rsidRPr="00994D32">
        <w:rPr>
          <w:b/>
        </w:rPr>
        <w:t xml:space="preserve"> – INTEREST </w:t>
      </w:r>
      <w:r>
        <w:rPr>
          <w:b/>
        </w:rPr>
        <w:t>RETURN</w:t>
      </w:r>
      <w:r w:rsidRPr="00994D32">
        <w:rPr>
          <w:b/>
        </w:rPr>
        <w:t xml:space="preserve"> PERFORMANCE</w:t>
      </w:r>
    </w:p>
    <w:p w14:paraId="207272B2" w14:textId="77777777" w:rsidR="00B46D2D" w:rsidRDefault="00B46D2D" w:rsidP="00B46D2D">
      <w:pPr>
        <w:jc w:val="center"/>
        <w:rPr>
          <w:b/>
        </w:rPr>
      </w:pPr>
      <w:r>
        <w:rPr>
          <w:noProof/>
          <w:lang w:eastAsia="en-GB"/>
        </w:rPr>
        <w:drawing>
          <wp:inline distT="0" distB="0" distL="0" distR="0" wp14:anchorId="78B34937" wp14:editId="110CB759">
            <wp:extent cx="4787037" cy="2717321"/>
            <wp:effectExtent l="0" t="0" r="13970" b="69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A6D05B" w14:textId="77777777" w:rsidR="00295937" w:rsidRDefault="00295937" w:rsidP="00295937">
      <w:pPr>
        <w:jc w:val="center"/>
        <w:rPr>
          <w:b/>
        </w:rPr>
      </w:pPr>
    </w:p>
    <w:p w14:paraId="57942E04" w14:textId="77777777" w:rsidR="00295937" w:rsidRDefault="00295937">
      <w:pPr>
        <w:rPr>
          <w:b/>
        </w:rPr>
      </w:pPr>
    </w:p>
    <w:p w14:paraId="6AB62C10" w14:textId="77777777" w:rsidR="00295937" w:rsidRDefault="00295937">
      <w:pPr>
        <w:rPr>
          <w:b/>
        </w:rPr>
      </w:pPr>
    </w:p>
    <w:p w14:paraId="69C54F21" w14:textId="77777777" w:rsidR="00295937" w:rsidRDefault="00295937">
      <w:pPr>
        <w:rPr>
          <w:highlight w:val="yellow"/>
        </w:rPr>
      </w:pPr>
    </w:p>
    <w:p w14:paraId="5179A5B7" w14:textId="77777777" w:rsidR="00994D32" w:rsidRDefault="00994D32" w:rsidP="007F53E4">
      <w:pPr>
        <w:jc w:val="center"/>
        <w:rPr>
          <w:highlight w:val="yellow"/>
        </w:rPr>
      </w:pPr>
    </w:p>
    <w:p w14:paraId="42D73991" w14:textId="77777777" w:rsidR="00F246F4" w:rsidRDefault="00F246F4" w:rsidP="00994D32">
      <w:pPr>
        <w:rPr>
          <w:b/>
        </w:rPr>
      </w:pPr>
    </w:p>
    <w:p w14:paraId="55C85295" w14:textId="77777777" w:rsidR="00994D32" w:rsidRDefault="00994D32" w:rsidP="00994D32">
      <w:pPr>
        <w:rPr>
          <w:b/>
        </w:rPr>
      </w:pPr>
      <w:r w:rsidRPr="00994D32">
        <w:rPr>
          <w:b/>
        </w:rPr>
        <w:lastRenderedPageBreak/>
        <w:t xml:space="preserve">APPENDIX </w:t>
      </w:r>
      <w:r>
        <w:rPr>
          <w:b/>
        </w:rPr>
        <w:t>3</w:t>
      </w:r>
      <w:r w:rsidRPr="00994D32">
        <w:rPr>
          <w:b/>
        </w:rPr>
        <w:t xml:space="preserve"> – IN</w:t>
      </w:r>
      <w:r>
        <w:rPr>
          <w:b/>
        </w:rPr>
        <w:t>VESTMENT PORTFOLIO</w:t>
      </w:r>
      <w:r w:rsidRPr="00994D32">
        <w:rPr>
          <w:b/>
        </w:rPr>
        <w:t xml:space="preserve"> PERFORMANCE</w:t>
      </w:r>
    </w:p>
    <w:p w14:paraId="0114EEFB" w14:textId="77777777" w:rsidR="00BB16F3" w:rsidRDefault="00CB1833" w:rsidP="00CB1833">
      <w:pPr>
        <w:jc w:val="center"/>
        <w:rPr>
          <w:b/>
        </w:rPr>
      </w:pPr>
      <w:r>
        <w:rPr>
          <w:noProof/>
          <w:lang w:eastAsia="en-GB"/>
        </w:rPr>
        <w:drawing>
          <wp:inline distT="0" distB="0" distL="0" distR="0" wp14:anchorId="2FE28841" wp14:editId="209204ED">
            <wp:extent cx="4770408" cy="2734573"/>
            <wp:effectExtent l="0" t="0" r="11430"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20C64A" w14:textId="77777777" w:rsidR="00BF68B1" w:rsidRDefault="00BF68B1">
      <w:pPr>
        <w:rPr>
          <w:b/>
        </w:rPr>
      </w:pPr>
    </w:p>
    <w:p w14:paraId="5363B3B7" w14:textId="77777777" w:rsidR="0098500C" w:rsidRPr="00F53F06" w:rsidRDefault="00F246F4">
      <w:pPr>
        <w:rPr>
          <w:b/>
        </w:rPr>
      </w:pPr>
      <w:r w:rsidRPr="00F53F06">
        <w:rPr>
          <w:b/>
        </w:rPr>
        <w:t>APPENDIX 4 – PWLB certainty rates to 31 March 202</w:t>
      </w:r>
      <w:r w:rsidR="00F53F06" w:rsidRPr="00F53F06">
        <w:rPr>
          <w:b/>
        </w:rPr>
        <w:t>1</w:t>
      </w:r>
    </w:p>
    <w:tbl>
      <w:tblPr>
        <w:tblW w:w="7109" w:type="dxa"/>
        <w:jc w:val="center"/>
        <w:tblLook w:val="04A0" w:firstRow="1" w:lastRow="0" w:firstColumn="1" w:lastColumn="0" w:noHBand="0" w:noVBand="1"/>
      </w:tblPr>
      <w:tblGrid>
        <w:gridCol w:w="1834"/>
        <w:gridCol w:w="1055"/>
        <w:gridCol w:w="1055"/>
        <w:gridCol w:w="1055"/>
        <w:gridCol w:w="1055"/>
        <w:gridCol w:w="1055"/>
      </w:tblGrid>
      <w:tr w:rsidR="007F53E4" w:rsidRPr="00F53F06" w14:paraId="5BF4E5FA" w14:textId="77777777" w:rsidTr="00F53F06">
        <w:trPr>
          <w:trHeight w:val="300"/>
          <w:jc w:val="center"/>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2469D" w14:textId="77777777" w:rsidR="007F53E4" w:rsidRPr="00F53F06" w:rsidRDefault="007F53E4" w:rsidP="007F53E4">
            <w:pPr>
              <w:spacing w:after="0" w:line="240" w:lineRule="auto"/>
              <w:jc w:val="center"/>
              <w:rPr>
                <w:rFonts w:eastAsia="Times New Roman"/>
                <w:b/>
                <w:bCs/>
                <w:color w:val="000000"/>
                <w:lang w:eastAsia="en-GB"/>
              </w:rPr>
            </w:pPr>
            <w:r w:rsidRPr="00F53F06">
              <w:rPr>
                <w:rFonts w:eastAsia="Times New Roman"/>
                <w:b/>
                <w:bCs/>
                <w:color w:val="000000"/>
                <w:lang w:eastAsia="en-GB"/>
              </w:rPr>
              <w:t> </w:t>
            </w:r>
          </w:p>
        </w:tc>
        <w:tc>
          <w:tcPr>
            <w:tcW w:w="1055" w:type="dxa"/>
            <w:tcBorders>
              <w:top w:val="single" w:sz="4" w:space="0" w:color="auto"/>
              <w:left w:val="nil"/>
              <w:bottom w:val="single" w:sz="4" w:space="0" w:color="auto"/>
              <w:right w:val="nil"/>
            </w:tcBorders>
            <w:shd w:val="clear" w:color="auto" w:fill="auto"/>
            <w:noWrap/>
            <w:vAlign w:val="center"/>
            <w:hideMark/>
          </w:tcPr>
          <w:p w14:paraId="138BD000" w14:textId="77777777" w:rsidR="007F53E4" w:rsidRPr="00F53F06" w:rsidRDefault="007F53E4" w:rsidP="007F53E4">
            <w:pPr>
              <w:spacing w:after="0" w:line="240" w:lineRule="auto"/>
              <w:jc w:val="center"/>
              <w:rPr>
                <w:rFonts w:eastAsia="Times New Roman"/>
                <w:b/>
                <w:bCs/>
                <w:color w:val="000000"/>
                <w:lang w:eastAsia="en-GB"/>
              </w:rPr>
            </w:pPr>
            <w:r w:rsidRPr="00F53F06">
              <w:rPr>
                <w:rFonts w:eastAsia="Times New Roman"/>
                <w:b/>
                <w:bCs/>
                <w:color w:val="000000"/>
                <w:lang w:eastAsia="en-GB"/>
              </w:rPr>
              <w:t xml:space="preserve"> 1 Year </w:t>
            </w:r>
          </w:p>
        </w:tc>
        <w:tc>
          <w:tcPr>
            <w:tcW w:w="1055" w:type="dxa"/>
            <w:tcBorders>
              <w:top w:val="single" w:sz="4" w:space="0" w:color="auto"/>
              <w:left w:val="nil"/>
              <w:bottom w:val="single" w:sz="4" w:space="0" w:color="auto"/>
              <w:right w:val="nil"/>
            </w:tcBorders>
            <w:shd w:val="clear" w:color="auto" w:fill="auto"/>
            <w:noWrap/>
            <w:vAlign w:val="center"/>
            <w:hideMark/>
          </w:tcPr>
          <w:p w14:paraId="75B7571B" w14:textId="77777777" w:rsidR="007F53E4" w:rsidRPr="00F53F06" w:rsidRDefault="007F53E4" w:rsidP="007F53E4">
            <w:pPr>
              <w:spacing w:after="0" w:line="240" w:lineRule="auto"/>
              <w:jc w:val="center"/>
              <w:rPr>
                <w:rFonts w:eastAsia="Times New Roman"/>
                <w:b/>
                <w:bCs/>
                <w:color w:val="000000"/>
                <w:lang w:eastAsia="en-GB"/>
              </w:rPr>
            </w:pPr>
            <w:r w:rsidRPr="00F53F06">
              <w:rPr>
                <w:rFonts w:eastAsia="Times New Roman"/>
                <w:b/>
                <w:bCs/>
                <w:color w:val="000000"/>
                <w:lang w:eastAsia="en-GB"/>
              </w:rPr>
              <w:t xml:space="preserve"> 5 Year </w:t>
            </w:r>
          </w:p>
        </w:tc>
        <w:tc>
          <w:tcPr>
            <w:tcW w:w="1055" w:type="dxa"/>
            <w:tcBorders>
              <w:top w:val="single" w:sz="4" w:space="0" w:color="auto"/>
              <w:left w:val="nil"/>
              <w:bottom w:val="single" w:sz="4" w:space="0" w:color="auto"/>
              <w:right w:val="nil"/>
            </w:tcBorders>
            <w:shd w:val="clear" w:color="auto" w:fill="auto"/>
            <w:noWrap/>
            <w:vAlign w:val="center"/>
            <w:hideMark/>
          </w:tcPr>
          <w:p w14:paraId="15958F1D" w14:textId="77777777" w:rsidR="007F53E4" w:rsidRPr="00F53F06" w:rsidRDefault="007F53E4" w:rsidP="007F53E4">
            <w:pPr>
              <w:spacing w:after="0" w:line="240" w:lineRule="auto"/>
              <w:jc w:val="center"/>
              <w:rPr>
                <w:rFonts w:eastAsia="Times New Roman"/>
                <w:b/>
                <w:bCs/>
                <w:color w:val="000000"/>
                <w:lang w:eastAsia="en-GB"/>
              </w:rPr>
            </w:pPr>
            <w:r w:rsidRPr="00F53F06">
              <w:rPr>
                <w:rFonts w:eastAsia="Times New Roman"/>
                <w:b/>
                <w:bCs/>
                <w:color w:val="000000"/>
                <w:lang w:eastAsia="en-GB"/>
              </w:rPr>
              <w:t xml:space="preserve"> 10 Year </w:t>
            </w:r>
          </w:p>
        </w:tc>
        <w:tc>
          <w:tcPr>
            <w:tcW w:w="1055" w:type="dxa"/>
            <w:tcBorders>
              <w:top w:val="single" w:sz="4" w:space="0" w:color="auto"/>
              <w:left w:val="nil"/>
              <w:bottom w:val="single" w:sz="4" w:space="0" w:color="auto"/>
              <w:right w:val="nil"/>
            </w:tcBorders>
            <w:shd w:val="clear" w:color="auto" w:fill="auto"/>
            <w:noWrap/>
            <w:vAlign w:val="center"/>
            <w:hideMark/>
          </w:tcPr>
          <w:p w14:paraId="259FF905" w14:textId="77777777" w:rsidR="007F53E4" w:rsidRPr="00F53F06" w:rsidRDefault="007F53E4" w:rsidP="007F53E4">
            <w:pPr>
              <w:spacing w:after="0" w:line="240" w:lineRule="auto"/>
              <w:jc w:val="center"/>
              <w:rPr>
                <w:rFonts w:eastAsia="Times New Roman"/>
                <w:b/>
                <w:bCs/>
                <w:color w:val="000000"/>
                <w:lang w:eastAsia="en-GB"/>
              </w:rPr>
            </w:pPr>
            <w:r w:rsidRPr="00F53F06">
              <w:rPr>
                <w:rFonts w:eastAsia="Times New Roman"/>
                <w:b/>
                <w:bCs/>
                <w:color w:val="000000"/>
                <w:lang w:eastAsia="en-GB"/>
              </w:rPr>
              <w:t xml:space="preserve"> 25 Year </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14:paraId="0520F21D" w14:textId="77777777" w:rsidR="007F53E4" w:rsidRPr="00F53F06" w:rsidRDefault="007F53E4" w:rsidP="007F53E4">
            <w:pPr>
              <w:spacing w:after="0" w:line="240" w:lineRule="auto"/>
              <w:jc w:val="center"/>
              <w:rPr>
                <w:rFonts w:eastAsia="Times New Roman"/>
                <w:b/>
                <w:bCs/>
                <w:color w:val="000000"/>
                <w:lang w:eastAsia="en-GB"/>
              </w:rPr>
            </w:pPr>
            <w:r w:rsidRPr="00F53F06">
              <w:rPr>
                <w:rFonts w:eastAsia="Times New Roman"/>
                <w:b/>
                <w:bCs/>
                <w:color w:val="000000"/>
                <w:lang w:eastAsia="en-GB"/>
              </w:rPr>
              <w:t xml:space="preserve"> 50 Year </w:t>
            </w:r>
          </w:p>
        </w:tc>
      </w:tr>
      <w:tr w:rsidR="007F53E4" w:rsidRPr="00BB16F3" w14:paraId="3A58BB1C" w14:textId="77777777" w:rsidTr="00F53F06">
        <w:trPr>
          <w:trHeight w:val="300"/>
          <w:jc w:val="center"/>
        </w:trPr>
        <w:tc>
          <w:tcPr>
            <w:tcW w:w="1834" w:type="dxa"/>
            <w:tcBorders>
              <w:top w:val="nil"/>
              <w:left w:val="single" w:sz="4" w:space="0" w:color="auto"/>
              <w:bottom w:val="nil"/>
              <w:right w:val="single" w:sz="4" w:space="0" w:color="auto"/>
            </w:tcBorders>
            <w:shd w:val="clear" w:color="auto" w:fill="auto"/>
            <w:noWrap/>
            <w:vAlign w:val="center"/>
            <w:hideMark/>
          </w:tcPr>
          <w:p w14:paraId="5D277E70" w14:textId="77777777" w:rsidR="007F53E4" w:rsidRPr="00FD03D7" w:rsidRDefault="00F53F06" w:rsidP="00F53F06">
            <w:pPr>
              <w:spacing w:after="0" w:line="240" w:lineRule="auto"/>
              <w:jc w:val="center"/>
              <w:rPr>
                <w:rFonts w:eastAsia="Times New Roman"/>
                <w:b/>
                <w:bCs/>
                <w:color w:val="000000"/>
                <w:lang w:eastAsia="en-GB"/>
              </w:rPr>
            </w:pPr>
            <w:r w:rsidRPr="00FD03D7">
              <w:rPr>
                <w:rFonts w:eastAsia="Times New Roman"/>
                <w:b/>
                <w:bCs/>
                <w:color w:val="000000"/>
                <w:lang w:eastAsia="en-GB"/>
              </w:rPr>
              <w:t>31</w:t>
            </w:r>
            <w:r w:rsidR="007F53E4" w:rsidRPr="00FD03D7">
              <w:rPr>
                <w:rFonts w:eastAsia="Times New Roman"/>
                <w:b/>
                <w:bCs/>
                <w:color w:val="000000"/>
                <w:lang w:eastAsia="en-GB"/>
              </w:rPr>
              <w:t>/0</w:t>
            </w:r>
            <w:r w:rsidRPr="00FD03D7">
              <w:rPr>
                <w:rFonts w:eastAsia="Times New Roman"/>
                <w:b/>
                <w:bCs/>
                <w:color w:val="000000"/>
                <w:lang w:eastAsia="en-GB"/>
              </w:rPr>
              <w:t>3</w:t>
            </w:r>
            <w:r w:rsidR="007F53E4" w:rsidRPr="00FD03D7">
              <w:rPr>
                <w:rFonts w:eastAsia="Times New Roman"/>
                <w:b/>
                <w:bCs/>
                <w:color w:val="000000"/>
                <w:lang w:eastAsia="en-GB"/>
              </w:rPr>
              <w:t>/</w:t>
            </w:r>
            <w:r w:rsidRPr="00FD03D7">
              <w:rPr>
                <w:rFonts w:eastAsia="Times New Roman"/>
                <w:b/>
                <w:bCs/>
                <w:color w:val="000000"/>
                <w:lang w:eastAsia="en-GB"/>
              </w:rPr>
              <w:t>20</w:t>
            </w:r>
          </w:p>
        </w:tc>
        <w:tc>
          <w:tcPr>
            <w:tcW w:w="1055" w:type="dxa"/>
            <w:tcBorders>
              <w:top w:val="nil"/>
              <w:left w:val="nil"/>
              <w:bottom w:val="nil"/>
              <w:right w:val="nil"/>
            </w:tcBorders>
            <w:shd w:val="clear" w:color="auto" w:fill="auto"/>
            <w:noWrap/>
            <w:vAlign w:val="center"/>
            <w:hideMark/>
          </w:tcPr>
          <w:p w14:paraId="4F2A67A0" w14:textId="77777777" w:rsidR="007F53E4" w:rsidRPr="00FD03D7" w:rsidRDefault="007F53E4" w:rsidP="007F53E4">
            <w:pPr>
              <w:spacing w:after="0" w:line="240" w:lineRule="auto"/>
              <w:jc w:val="right"/>
              <w:rPr>
                <w:rFonts w:eastAsia="Times New Roman"/>
                <w:color w:val="000000"/>
                <w:lang w:eastAsia="en-GB"/>
              </w:rPr>
            </w:pPr>
            <w:r w:rsidRPr="00FD03D7">
              <w:rPr>
                <w:rFonts w:eastAsia="Times New Roman"/>
                <w:color w:val="000000"/>
                <w:lang w:eastAsia="en-GB"/>
              </w:rPr>
              <w:t>1</w:t>
            </w:r>
            <w:r w:rsidR="00F53F06" w:rsidRPr="00FD03D7">
              <w:rPr>
                <w:rFonts w:eastAsia="Times New Roman"/>
                <w:color w:val="000000"/>
                <w:lang w:eastAsia="en-GB"/>
              </w:rPr>
              <w:t>.90</w:t>
            </w:r>
            <w:r w:rsidRPr="00FD03D7">
              <w:rPr>
                <w:rFonts w:eastAsia="Times New Roman"/>
                <w:color w:val="000000"/>
                <w:lang w:eastAsia="en-GB"/>
              </w:rPr>
              <w:t>%</w:t>
            </w:r>
          </w:p>
        </w:tc>
        <w:tc>
          <w:tcPr>
            <w:tcW w:w="1055" w:type="dxa"/>
            <w:tcBorders>
              <w:top w:val="nil"/>
              <w:left w:val="nil"/>
              <w:bottom w:val="nil"/>
              <w:right w:val="nil"/>
            </w:tcBorders>
            <w:shd w:val="clear" w:color="auto" w:fill="auto"/>
            <w:noWrap/>
            <w:vAlign w:val="center"/>
            <w:hideMark/>
          </w:tcPr>
          <w:p w14:paraId="28D65645" w14:textId="77777777" w:rsidR="007F53E4" w:rsidRPr="00FD03D7" w:rsidRDefault="00F53F06" w:rsidP="007F53E4">
            <w:pPr>
              <w:spacing w:after="0" w:line="240" w:lineRule="auto"/>
              <w:jc w:val="right"/>
              <w:rPr>
                <w:rFonts w:eastAsia="Times New Roman"/>
                <w:color w:val="000000"/>
                <w:lang w:eastAsia="en-GB"/>
              </w:rPr>
            </w:pPr>
            <w:r w:rsidRPr="00FD03D7">
              <w:rPr>
                <w:rFonts w:eastAsia="Times New Roman"/>
                <w:color w:val="000000"/>
                <w:lang w:eastAsia="en-GB"/>
              </w:rPr>
              <w:t>1.95</w:t>
            </w:r>
            <w:r w:rsidR="007F53E4" w:rsidRPr="00FD03D7">
              <w:rPr>
                <w:rFonts w:eastAsia="Times New Roman"/>
                <w:color w:val="000000"/>
                <w:lang w:eastAsia="en-GB"/>
              </w:rPr>
              <w:t>%</w:t>
            </w:r>
          </w:p>
        </w:tc>
        <w:tc>
          <w:tcPr>
            <w:tcW w:w="1055" w:type="dxa"/>
            <w:tcBorders>
              <w:top w:val="nil"/>
              <w:left w:val="nil"/>
              <w:bottom w:val="nil"/>
              <w:right w:val="nil"/>
            </w:tcBorders>
            <w:shd w:val="clear" w:color="auto" w:fill="auto"/>
            <w:noWrap/>
            <w:vAlign w:val="center"/>
            <w:hideMark/>
          </w:tcPr>
          <w:p w14:paraId="41B8532F" w14:textId="77777777" w:rsidR="007F53E4" w:rsidRPr="00FD03D7" w:rsidRDefault="00F53F06" w:rsidP="007F53E4">
            <w:pPr>
              <w:spacing w:after="0" w:line="240" w:lineRule="auto"/>
              <w:jc w:val="right"/>
              <w:rPr>
                <w:rFonts w:eastAsia="Times New Roman"/>
                <w:color w:val="000000"/>
                <w:lang w:eastAsia="en-GB"/>
              </w:rPr>
            </w:pPr>
            <w:r w:rsidRPr="00FD03D7">
              <w:rPr>
                <w:rFonts w:eastAsia="Times New Roman"/>
                <w:color w:val="000000"/>
                <w:lang w:eastAsia="en-GB"/>
              </w:rPr>
              <w:t>2.14</w:t>
            </w:r>
            <w:r w:rsidR="007F53E4" w:rsidRPr="00FD03D7">
              <w:rPr>
                <w:rFonts w:eastAsia="Times New Roman"/>
                <w:color w:val="000000"/>
                <w:lang w:eastAsia="en-GB"/>
              </w:rPr>
              <w:t>%</w:t>
            </w:r>
          </w:p>
        </w:tc>
        <w:tc>
          <w:tcPr>
            <w:tcW w:w="1055" w:type="dxa"/>
            <w:tcBorders>
              <w:top w:val="nil"/>
              <w:left w:val="nil"/>
              <w:bottom w:val="nil"/>
              <w:right w:val="nil"/>
            </w:tcBorders>
            <w:shd w:val="clear" w:color="auto" w:fill="auto"/>
            <w:noWrap/>
            <w:vAlign w:val="center"/>
            <w:hideMark/>
          </w:tcPr>
          <w:p w14:paraId="575BFBCD" w14:textId="77777777" w:rsidR="007F53E4" w:rsidRPr="00FD03D7" w:rsidRDefault="00F53F06" w:rsidP="007F53E4">
            <w:pPr>
              <w:spacing w:after="0" w:line="240" w:lineRule="auto"/>
              <w:jc w:val="right"/>
              <w:rPr>
                <w:rFonts w:eastAsia="Times New Roman"/>
                <w:color w:val="000000"/>
                <w:lang w:eastAsia="en-GB"/>
              </w:rPr>
            </w:pPr>
            <w:r w:rsidRPr="00FD03D7">
              <w:rPr>
                <w:rFonts w:eastAsia="Times New Roman"/>
                <w:color w:val="000000"/>
                <w:lang w:eastAsia="en-GB"/>
              </w:rPr>
              <w:t>2.65</w:t>
            </w:r>
            <w:r w:rsidR="007F53E4" w:rsidRPr="00FD03D7">
              <w:rPr>
                <w:rFonts w:eastAsia="Times New Roman"/>
                <w:color w:val="000000"/>
                <w:lang w:eastAsia="en-GB"/>
              </w:rPr>
              <w:t>%</w:t>
            </w:r>
          </w:p>
        </w:tc>
        <w:tc>
          <w:tcPr>
            <w:tcW w:w="1055" w:type="dxa"/>
            <w:tcBorders>
              <w:top w:val="nil"/>
              <w:left w:val="nil"/>
              <w:bottom w:val="nil"/>
              <w:right w:val="single" w:sz="4" w:space="0" w:color="auto"/>
            </w:tcBorders>
            <w:shd w:val="clear" w:color="auto" w:fill="auto"/>
            <w:noWrap/>
            <w:vAlign w:val="center"/>
            <w:hideMark/>
          </w:tcPr>
          <w:p w14:paraId="7ED7DD7B" w14:textId="77777777" w:rsidR="007F53E4" w:rsidRPr="00FD03D7" w:rsidRDefault="00F53F06" w:rsidP="007F53E4">
            <w:pPr>
              <w:spacing w:after="0" w:line="240" w:lineRule="auto"/>
              <w:jc w:val="right"/>
              <w:rPr>
                <w:rFonts w:eastAsia="Times New Roman"/>
                <w:color w:val="000000"/>
                <w:lang w:eastAsia="en-GB"/>
              </w:rPr>
            </w:pPr>
            <w:r w:rsidRPr="00FD03D7">
              <w:rPr>
                <w:rFonts w:eastAsia="Times New Roman"/>
                <w:color w:val="000000"/>
                <w:lang w:eastAsia="en-GB"/>
              </w:rPr>
              <w:t>2.39</w:t>
            </w:r>
            <w:r w:rsidR="007F53E4" w:rsidRPr="00FD03D7">
              <w:rPr>
                <w:rFonts w:eastAsia="Times New Roman"/>
                <w:color w:val="000000"/>
                <w:lang w:eastAsia="en-GB"/>
              </w:rPr>
              <w:t>%</w:t>
            </w:r>
          </w:p>
        </w:tc>
      </w:tr>
      <w:tr w:rsidR="007F53E4" w:rsidRPr="00BB16F3" w14:paraId="6F838AC4" w14:textId="77777777" w:rsidTr="00F53F06">
        <w:trPr>
          <w:trHeight w:val="300"/>
          <w:jc w:val="center"/>
        </w:trPr>
        <w:tc>
          <w:tcPr>
            <w:tcW w:w="1834" w:type="dxa"/>
            <w:tcBorders>
              <w:top w:val="nil"/>
              <w:left w:val="single" w:sz="4" w:space="0" w:color="auto"/>
              <w:bottom w:val="nil"/>
              <w:right w:val="single" w:sz="4" w:space="0" w:color="auto"/>
            </w:tcBorders>
            <w:shd w:val="clear" w:color="auto" w:fill="auto"/>
            <w:noWrap/>
            <w:vAlign w:val="center"/>
            <w:hideMark/>
          </w:tcPr>
          <w:p w14:paraId="790EEBB9" w14:textId="77777777" w:rsidR="007F53E4" w:rsidRPr="00FD03D7" w:rsidRDefault="007F53E4" w:rsidP="00377447">
            <w:pPr>
              <w:spacing w:after="0" w:line="240" w:lineRule="auto"/>
              <w:jc w:val="center"/>
              <w:rPr>
                <w:rFonts w:eastAsia="Times New Roman"/>
                <w:b/>
                <w:bCs/>
                <w:color w:val="000000"/>
                <w:lang w:eastAsia="en-GB"/>
              </w:rPr>
            </w:pPr>
            <w:r w:rsidRPr="00FD03D7">
              <w:rPr>
                <w:rFonts w:eastAsia="Times New Roman"/>
                <w:b/>
                <w:bCs/>
                <w:color w:val="000000"/>
                <w:lang w:eastAsia="en-GB"/>
              </w:rPr>
              <w:t>31/03/2</w:t>
            </w:r>
            <w:r w:rsidR="00377447" w:rsidRPr="00FD03D7">
              <w:rPr>
                <w:rFonts w:eastAsia="Times New Roman"/>
                <w:b/>
                <w:bCs/>
                <w:color w:val="000000"/>
                <w:lang w:eastAsia="en-GB"/>
              </w:rPr>
              <w:t>1</w:t>
            </w:r>
          </w:p>
        </w:tc>
        <w:tc>
          <w:tcPr>
            <w:tcW w:w="1055" w:type="dxa"/>
            <w:tcBorders>
              <w:top w:val="nil"/>
              <w:left w:val="nil"/>
              <w:bottom w:val="nil"/>
              <w:right w:val="nil"/>
            </w:tcBorders>
            <w:shd w:val="clear" w:color="auto" w:fill="auto"/>
            <w:noWrap/>
            <w:vAlign w:val="center"/>
            <w:hideMark/>
          </w:tcPr>
          <w:p w14:paraId="4C760E25" w14:textId="77777777" w:rsidR="007F53E4" w:rsidRPr="00FD03D7" w:rsidRDefault="00377447" w:rsidP="007F53E4">
            <w:pPr>
              <w:spacing w:after="0" w:line="240" w:lineRule="auto"/>
              <w:jc w:val="right"/>
              <w:rPr>
                <w:rFonts w:eastAsia="Times New Roman"/>
                <w:color w:val="000000"/>
                <w:lang w:eastAsia="en-GB"/>
              </w:rPr>
            </w:pPr>
            <w:r w:rsidRPr="00FD03D7">
              <w:rPr>
                <w:rFonts w:eastAsia="Times New Roman"/>
                <w:color w:val="000000"/>
                <w:lang w:eastAsia="en-GB"/>
              </w:rPr>
              <w:t>0.79</w:t>
            </w:r>
            <w:r w:rsidR="007F53E4" w:rsidRPr="00FD03D7">
              <w:rPr>
                <w:rFonts w:eastAsia="Times New Roman"/>
                <w:color w:val="000000"/>
                <w:lang w:eastAsia="en-GB"/>
              </w:rPr>
              <w:t>%</w:t>
            </w:r>
          </w:p>
        </w:tc>
        <w:tc>
          <w:tcPr>
            <w:tcW w:w="1055" w:type="dxa"/>
            <w:tcBorders>
              <w:top w:val="nil"/>
              <w:left w:val="nil"/>
              <w:bottom w:val="nil"/>
              <w:right w:val="nil"/>
            </w:tcBorders>
            <w:shd w:val="clear" w:color="auto" w:fill="auto"/>
            <w:noWrap/>
            <w:vAlign w:val="center"/>
            <w:hideMark/>
          </w:tcPr>
          <w:p w14:paraId="680977AF" w14:textId="77777777" w:rsidR="007F53E4" w:rsidRPr="00FD03D7" w:rsidRDefault="00377447" w:rsidP="00377447">
            <w:pPr>
              <w:spacing w:after="0" w:line="240" w:lineRule="auto"/>
              <w:jc w:val="right"/>
              <w:rPr>
                <w:rFonts w:eastAsia="Times New Roman"/>
                <w:color w:val="000000"/>
                <w:lang w:eastAsia="en-GB"/>
              </w:rPr>
            </w:pPr>
            <w:r w:rsidRPr="00FD03D7">
              <w:rPr>
                <w:rFonts w:eastAsia="Times New Roman"/>
                <w:color w:val="000000"/>
                <w:lang w:eastAsia="en-GB"/>
              </w:rPr>
              <w:t>1.18</w:t>
            </w:r>
            <w:r w:rsidR="007F53E4" w:rsidRPr="00FD03D7">
              <w:rPr>
                <w:rFonts w:eastAsia="Times New Roman"/>
                <w:color w:val="000000"/>
                <w:lang w:eastAsia="en-GB"/>
              </w:rPr>
              <w:t>%</w:t>
            </w:r>
          </w:p>
        </w:tc>
        <w:tc>
          <w:tcPr>
            <w:tcW w:w="1055" w:type="dxa"/>
            <w:tcBorders>
              <w:top w:val="nil"/>
              <w:left w:val="nil"/>
              <w:bottom w:val="nil"/>
              <w:right w:val="nil"/>
            </w:tcBorders>
            <w:shd w:val="clear" w:color="auto" w:fill="auto"/>
            <w:noWrap/>
            <w:vAlign w:val="center"/>
            <w:hideMark/>
          </w:tcPr>
          <w:p w14:paraId="4E415109" w14:textId="77777777" w:rsidR="007F53E4" w:rsidRPr="00FD03D7" w:rsidRDefault="00377447" w:rsidP="007F53E4">
            <w:pPr>
              <w:spacing w:after="0" w:line="240" w:lineRule="auto"/>
              <w:jc w:val="right"/>
              <w:rPr>
                <w:rFonts w:eastAsia="Times New Roman"/>
                <w:color w:val="000000"/>
                <w:lang w:eastAsia="en-GB"/>
              </w:rPr>
            </w:pPr>
            <w:r w:rsidRPr="00FD03D7">
              <w:rPr>
                <w:rFonts w:eastAsia="Times New Roman"/>
                <w:color w:val="000000"/>
                <w:lang w:eastAsia="en-GB"/>
              </w:rPr>
              <w:t>1.71</w:t>
            </w:r>
            <w:r w:rsidR="007F53E4" w:rsidRPr="00FD03D7">
              <w:rPr>
                <w:rFonts w:eastAsia="Times New Roman"/>
                <w:color w:val="000000"/>
                <w:lang w:eastAsia="en-GB"/>
              </w:rPr>
              <w:t>%</w:t>
            </w:r>
          </w:p>
        </w:tc>
        <w:tc>
          <w:tcPr>
            <w:tcW w:w="1055" w:type="dxa"/>
            <w:tcBorders>
              <w:top w:val="nil"/>
              <w:left w:val="nil"/>
              <w:bottom w:val="nil"/>
              <w:right w:val="nil"/>
            </w:tcBorders>
            <w:shd w:val="clear" w:color="auto" w:fill="auto"/>
            <w:noWrap/>
            <w:vAlign w:val="center"/>
            <w:hideMark/>
          </w:tcPr>
          <w:p w14:paraId="3ACEA5A7" w14:textId="77777777" w:rsidR="007F53E4" w:rsidRPr="00FD03D7" w:rsidRDefault="007F53E4" w:rsidP="00377447">
            <w:pPr>
              <w:spacing w:after="0" w:line="240" w:lineRule="auto"/>
              <w:jc w:val="right"/>
              <w:rPr>
                <w:rFonts w:eastAsia="Times New Roman"/>
                <w:color w:val="000000"/>
                <w:lang w:eastAsia="en-GB"/>
              </w:rPr>
            </w:pPr>
            <w:r w:rsidRPr="00FD03D7">
              <w:rPr>
                <w:rFonts w:eastAsia="Times New Roman"/>
                <w:color w:val="000000"/>
                <w:lang w:eastAsia="en-GB"/>
              </w:rPr>
              <w:t>2.</w:t>
            </w:r>
            <w:r w:rsidR="00377447" w:rsidRPr="00FD03D7">
              <w:rPr>
                <w:rFonts w:eastAsia="Times New Roman"/>
                <w:color w:val="000000"/>
                <w:lang w:eastAsia="en-GB"/>
              </w:rPr>
              <w:t>19</w:t>
            </w:r>
            <w:r w:rsidRPr="00FD03D7">
              <w:rPr>
                <w:rFonts w:eastAsia="Times New Roman"/>
                <w:color w:val="000000"/>
                <w:lang w:eastAsia="en-GB"/>
              </w:rPr>
              <w:t>%</w:t>
            </w:r>
          </w:p>
        </w:tc>
        <w:tc>
          <w:tcPr>
            <w:tcW w:w="1055" w:type="dxa"/>
            <w:tcBorders>
              <w:top w:val="nil"/>
              <w:left w:val="nil"/>
              <w:bottom w:val="nil"/>
              <w:right w:val="single" w:sz="4" w:space="0" w:color="auto"/>
            </w:tcBorders>
            <w:shd w:val="clear" w:color="auto" w:fill="auto"/>
            <w:noWrap/>
            <w:vAlign w:val="center"/>
            <w:hideMark/>
          </w:tcPr>
          <w:p w14:paraId="24B5DA47" w14:textId="77777777" w:rsidR="007F53E4" w:rsidRPr="00FD03D7" w:rsidRDefault="00377447" w:rsidP="007F53E4">
            <w:pPr>
              <w:spacing w:after="0" w:line="240" w:lineRule="auto"/>
              <w:jc w:val="right"/>
              <w:rPr>
                <w:rFonts w:eastAsia="Times New Roman"/>
                <w:color w:val="000000"/>
                <w:lang w:eastAsia="en-GB"/>
              </w:rPr>
            </w:pPr>
            <w:r w:rsidRPr="00FD03D7">
              <w:rPr>
                <w:rFonts w:eastAsia="Times New Roman"/>
                <w:color w:val="000000"/>
                <w:lang w:eastAsia="en-GB"/>
              </w:rPr>
              <w:t>1.99</w:t>
            </w:r>
            <w:r w:rsidR="007F53E4" w:rsidRPr="00FD03D7">
              <w:rPr>
                <w:rFonts w:eastAsia="Times New Roman"/>
                <w:color w:val="000000"/>
                <w:lang w:eastAsia="en-GB"/>
              </w:rPr>
              <w:t>%</w:t>
            </w:r>
          </w:p>
        </w:tc>
      </w:tr>
      <w:tr w:rsidR="007F53E4" w:rsidRPr="00BB16F3" w14:paraId="349CC358" w14:textId="77777777" w:rsidTr="00F53F06">
        <w:trPr>
          <w:trHeight w:val="300"/>
          <w:jc w:val="center"/>
        </w:trPr>
        <w:tc>
          <w:tcPr>
            <w:tcW w:w="1834" w:type="dxa"/>
            <w:tcBorders>
              <w:top w:val="nil"/>
              <w:left w:val="single" w:sz="4" w:space="0" w:color="auto"/>
              <w:bottom w:val="nil"/>
              <w:right w:val="single" w:sz="4" w:space="0" w:color="auto"/>
            </w:tcBorders>
            <w:shd w:val="clear" w:color="auto" w:fill="auto"/>
            <w:noWrap/>
            <w:vAlign w:val="center"/>
            <w:hideMark/>
          </w:tcPr>
          <w:p w14:paraId="246F6B27" w14:textId="77777777" w:rsidR="007F53E4" w:rsidRPr="00FD03D7" w:rsidRDefault="007F53E4" w:rsidP="007F53E4">
            <w:pPr>
              <w:spacing w:after="0" w:line="240" w:lineRule="auto"/>
              <w:jc w:val="center"/>
              <w:rPr>
                <w:rFonts w:eastAsia="Times New Roman"/>
                <w:b/>
                <w:bCs/>
                <w:color w:val="000000"/>
                <w:lang w:eastAsia="en-GB"/>
              </w:rPr>
            </w:pPr>
            <w:r w:rsidRPr="00FD03D7">
              <w:rPr>
                <w:rFonts w:eastAsia="Times New Roman"/>
                <w:b/>
                <w:bCs/>
                <w:color w:val="000000"/>
                <w:lang w:eastAsia="en-GB"/>
              </w:rPr>
              <w:t xml:space="preserve"> Low </w:t>
            </w:r>
          </w:p>
        </w:tc>
        <w:tc>
          <w:tcPr>
            <w:tcW w:w="1055" w:type="dxa"/>
            <w:tcBorders>
              <w:top w:val="nil"/>
              <w:left w:val="nil"/>
              <w:bottom w:val="nil"/>
              <w:right w:val="nil"/>
            </w:tcBorders>
            <w:shd w:val="clear" w:color="auto" w:fill="auto"/>
            <w:noWrap/>
            <w:vAlign w:val="center"/>
            <w:hideMark/>
          </w:tcPr>
          <w:p w14:paraId="616E8B03" w14:textId="77777777" w:rsidR="007F53E4" w:rsidRPr="00FD03D7" w:rsidRDefault="00F53F06" w:rsidP="007F53E4">
            <w:pPr>
              <w:spacing w:after="0" w:line="240" w:lineRule="auto"/>
              <w:jc w:val="right"/>
              <w:rPr>
                <w:rFonts w:eastAsia="Times New Roman"/>
                <w:color w:val="000000"/>
                <w:lang w:eastAsia="en-GB"/>
              </w:rPr>
            </w:pPr>
            <w:r w:rsidRPr="00FD03D7">
              <w:rPr>
                <w:rFonts w:eastAsia="Times New Roman"/>
                <w:color w:val="000000"/>
                <w:lang w:eastAsia="en-GB"/>
              </w:rPr>
              <w:t>0.65</w:t>
            </w:r>
            <w:r w:rsidR="007F53E4" w:rsidRPr="00FD03D7">
              <w:rPr>
                <w:rFonts w:eastAsia="Times New Roman"/>
                <w:color w:val="000000"/>
                <w:lang w:eastAsia="en-GB"/>
              </w:rPr>
              <w:t>%</w:t>
            </w:r>
          </w:p>
        </w:tc>
        <w:tc>
          <w:tcPr>
            <w:tcW w:w="1055" w:type="dxa"/>
            <w:tcBorders>
              <w:top w:val="nil"/>
              <w:left w:val="nil"/>
              <w:bottom w:val="nil"/>
              <w:right w:val="nil"/>
            </w:tcBorders>
            <w:shd w:val="clear" w:color="auto" w:fill="auto"/>
            <w:noWrap/>
            <w:vAlign w:val="center"/>
            <w:hideMark/>
          </w:tcPr>
          <w:p w14:paraId="68D7D5BE" w14:textId="77777777" w:rsidR="007F53E4" w:rsidRPr="00FD03D7" w:rsidRDefault="00F53F06" w:rsidP="007F53E4">
            <w:pPr>
              <w:spacing w:after="0" w:line="240" w:lineRule="auto"/>
              <w:jc w:val="right"/>
              <w:rPr>
                <w:rFonts w:eastAsia="Times New Roman"/>
                <w:color w:val="000000"/>
                <w:lang w:eastAsia="en-GB"/>
              </w:rPr>
            </w:pPr>
            <w:r w:rsidRPr="00FD03D7">
              <w:rPr>
                <w:rFonts w:eastAsia="Times New Roman"/>
                <w:color w:val="000000"/>
                <w:lang w:eastAsia="en-GB"/>
              </w:rPr>
              <w:t>0.72</w:t>
            </w:r>
            <w:r w:rsidR="007F53E4" w:rsidRPr="00FD03D7">
              <w:rPr>
                <w:rFonts w:eastAsia="Times New Roman"/>
                <w:color w:val="000000"/>
                <w:lang w:eastAsia="en-GB"/>
              </w:rPr>
              <w:t>%</w:t>
            </w:r>
          </w:p>
        </w:tc>
        <w:tc>
          <w:tcPr>
            <w:tcW w:w="1055" w:type="dxa"/>
            <w:tcBorders>
              <w:top w:val="nil"/>
              <w:left w:val="nil"/>
              <w:bottom w:val="nil"/>
              <w:right w:val="nil"/>
            </w:tcBorders>
            <w:shd w:val="clear" w:color="auto" w:fill="auto"/>
            <w:noWrap/>
            <w:vAlign w:val="center"/>
            <w:hideMark/>
          </w:tcPr>
          <w:p w14:paraId="3B2FCA31" w14:textId="77777777" w:rsidR="007F53E4" w:rsidRPr="00FD03D7" w:rsidRDefault="007F53E4" w:rsidP="00F53F06">
            <w:pPr>
              <w:spacing w:after="0" w:line="240" w:lineRule="auto"/>
              <w:jc w:val="right"/>
              <w:rPr>
                <w:rFonts w:eastAsia="Times New Roman"/>
                <w:color w:val="000000"/>
                <w:lang w:eastAsia="en-GB"/>
              </w:rPr>
            </w:pPr>
            <w:r w:rsidRPr="00FD03D7">
              <w:rPr>
                <w:rFonts w:eastAsia="Times New Roman"/>
                <w:color w:val="000000"/>
                <w:lang w:eastAsia="en-GB"/>
              </w:rPr>
              <w:t>1.</w:t>
            </w:r>
            <w:r w:rsidR="00F53F06" w:rsidRPr="00FD03D7">
              <w:rPr>
                <w:rFonts w:eastAsia="Times New Roman"/>
                <w:color w:val="000000"/>
                <w:lang w:eastAsia="en-GB"/>
              </w:rPr>
              <w:t>00</w:t>
            </w:r>
            <w:r w:rsidRPr="00FD03D7">
              <w:rPr>
                <w:rFonts w:eastAsia="Times New Roman"/>
                <w:color w:val="000000"/>
                <w:lang w:eastAsia="en-GB"/>
              </w:rPr>
              <w:t>%</w:t>
            </w:r>
          </w:p>
        </w:tc>
        <w:tc>
          <w:tcPr>
            <w:tcW w:w="1055" w:type="dxa"/>
            <w:tcBorders>
              <w:top w:val="nil"/>
              <w:left w:val="nil"/>
              <w:bottom w:val="nil"/>
              <w:right w:val="nil"/>
            </w:tcBorders>
            <w:shd w:val="clear" w:color="auto" w:fill="auto"/>
            <w:noWrap/>
            <w:vAlign w:val="center"/>
            <w:hideMark/>
          </w:tcPr>
          <w:p w14:paraId="336C906B" w14:textId="77777777" w:rsidR="007F53E4" w:rsidRPr="00FD03D7" w:rsidRDefault="007F53E4" w:rsidP="00F53F06">
            <w:pPr>
              <w:spacing w:after="0" w:line="240" w:lineRule="auto"/>
              <w:jc w:val="right"/>
              <w:rPr>
                <w:rFonts w:eastAsia="Times New Roman"/>
                <w:color w:val="000000"/>
                <w:lang w:eastAsia="en-GB"/>
              </w:rPr>
            </w:pPr>
            <w:r w:rsidRPr="00FD03D7">
              <w:rPr>
                <w:rFonts w:eastAsia="Times New Roman"/>
                <w:color w:val="000000"/>
                <w:lang w:eastAsia="en-GB"/>
              </w:rPr>
              <w:t>1.</w:t>
            </w:r>
            <w:r w:rsidR="00F53F06" w:rsidRPr="00FD03D7">
              <w:rPr>
                <w:rFonts w:eastAsia="Times New Roman"/>
                <w:color w:val="000000"/>
                <w:lang w:eastAsia="en-GB"/>
              </w:rPr>
              <w:t>5</w:t>
            </w:r>
            <w:r w:rsidRPr="00FD03D7">
              <w:rPr>
                <w:rFonts w:eastAsia="Times New Roman"/>
                <w:color w:val="000000"/>
                <w:lang w:eastAsia="en-GB"/>
              </w:rPr>
              <w:t>3%</w:t>
            </w:r>
          </w:p>
        </w:tc>
        <w:tc>
          <w:tcPr>
            <w:tcW w:w="1055" w:type="dxa"/>
            <w:tcBorders>
              <w:top w:val="nil"/>
              <w:left w:val="nil"/>
              <w:bottom w:val="nil"/>
              <w:right w:val="single" w:sz="4" w:space="0" w:color="auto"/>
            </w:tcBorders>
            <w:shd w:val="clear" w:color="auto" w:fill="auto"/>
            <w:noWrap/>
            <w:vAlign w:val="center"/>
            <w:hideMark/>
          </w:tcPr>
          <w:p w14:paraId="66ED31CF" w14:textId="77777777" w:rsidR="007F53E4" w:rsidRPr="00FD03D7" w:rsidRDefault="007F53E4" w:rsidP="00F53F06">
            <w:pPr>
              <w:spacing w:after="0" w:line="240" w:lineRule="auto"/>
              <w:jc w:val="right"/>
              <w:rPr>
                <w:rFonts w:eastAsia="Times New Roman"/>
                <w:color w:val="000000"/>
                <w:lang w:eastAsia="en-GB"/>
              </w:rPr>
            </w:pPr>
            <w:r w:rsidRPr="00FD03D7">
              <w:rPr>
                <w:rFonts w:eastAsia="Times New Roman"/>
                <w:color w:val="000000"/>
                <w:lang w:eastAsia="en-GB"/>
              </w:rPr>
              <w:t>1.</w:t>
            </w:r>
            <w:r w:rsidR="00F53F06" w:rsidRPr="00FD03D7">
              <w:rPr>
                <w:rFonts w:eastAsia="Times New Roman"/>
                <w:color w:val="000000"/>
                <w:lang w:eastAsia="en-GB"/>
              </w:rPr>
              <w:t>32</w:t>
            </w:r>
            <w:r w:rsidRPr="00FD03D7">
              <w:rPr>
                <w:rFonts w:eastAsia="Times New Roman"/>
                <w:color w:val="000000"/>
                <w:lang w:eastAsia="en-GB"/>
              </w:rPr>
              <w:t>%</w:t>
            </w:r>
          </w:p>
        </w:tc>
      </w:tr>
      <w:tr w:rsidR="007F53E4" w:rsidRPr="00BB16F3" w14:paraId="52EC734F" w14:textId="77777777" w:rsidTr="00F53F06">
        <w:trPr>
          <w:trHeight w:val="300"/>
          <w:jc w:val="center"/>
        </w:trPr>
        <w:tc>
          <w:tcPr>
            <w:tcW w:w="1834" w:type="dxa"/>
            <w:tcBorders>
              <w:top w:val="nil"/>
              <w:left w:val="single" w:sz="4" w:space="0" w:color="auto"/>
              <w:bottom w:val="nil"/>
              <w:right w:val="single" w:sz="4" w:space="0" w:color="auto"/>
            </w:tcBorders>
            <w:shd w:val="clear" w:color="auto" w:fill="auto"/>
            <w:noWrap/>
            <w:vAlign w:val="center"/>
            <w:hideMark/>
          </w:tcPr>
          <w:p w14:paraId="7CFEC515" w14:textId="77777777" w:rsidR="007F53E4" w:rsidRPr="00F53F06" w:rsidRDefault="007F53E4" w:rsidP="007F53E4">
            <w:pPr>
              <w:spacing w:after="0" w:line="240" w:lineRule="auto"/>
              <w:jc w:val="center"/>
              <w:rPr>
                <w:rFonts w:eastAsia="Times New Roman"/>
                <w:b/>
                <w:bCs/>
                <w:color w:val="000000"/>
                <w:lang w:eastAsia="en-GB"/>
              </w:rPr>
            </w:pPr>
            <w:r w:rsidRPr="00F53F06">
              <w:rPr>
                <w:rFonts w:eastAsia="Times New Roman"/>
                <w:b/>
                <w:bCs/>
                <w:color w:val="000000"/>
                <w:lang w:eastAsia="en-GB"/>
              </w:rPr>
              <w:t xml:space="preserve"> </w:t>
            </w:r>
            <w:r w:rsidR="00F53F06" w:rsidRPr="00F53F06">
              <w:rPr>
                <w:rFonts w:eastAsia="Times New Roman"/>
                <w:b/>
                <w:bCs/>
                <w:color w:val="000000"/>
                <w:lang w:eastAsia="en-GB"/>
              </w:rPr>
              <w:t xml:space="preserve">Low </w:t>
            </w:r>
            <w:r w:rsidRPr="00F53F06">
              <w:rPr>
                <w:rFonts w:eastAsia="Times New Roman"/>
                <w:b/>
                <w:bCs/>
                <w:color w:val="000000"/>
                <w:lang w:eastAsia="en-GB"/>
              </w:rPr>
              <w:t xml:space="preserve">Date </w:t>
            </w:r>
          </w:p>
        </w:tc>
        <w:tc>
          <w:tcPr>
            <w:tcW w:w="1055" w:type="dxa"/>
            <w:tcBorders>
              <w:top w:val="nil"/>
              <w:left w:val="nil"/>
              <w:bottom w:val="nil"/>
              <w:right w:val="nil"/>
            </w:tcBorders>
            <w:shd w:val="clear" w:color="auto" w:fill="auto"/>
            <w:noWrap/>
            <w:vAlign w:val="center"/>
            <w:hideMark/>
          </w:tcPr>
          <w:p w14:paraId="54DBA6B8" w14:textId="77777777" w:rsidR="007F53E4" w:rsidRPr="00F53F06" w:rsidRDefault="007F53E4" w:rsidP="00F53F06">
            <w:pPr>
              <w:spacing w:after="0" w:line="240" w:lineRule="auto"/>
              <w:jc w:val="right"/>
              <w:rPr>
                <w:rFonts w:eastAsia="Times New Roman"/>
                <w:color w:val="000000"/>
                <w:lang w:eastAsia="en-GB"/>
              </w:rPr>
            </w:pPr>
            <w:r w:rsidRPr="00F53F06">
              <w:rPr>
                <w:rFonts w:eastAsia="Times New Roman"/>
                <w:color w:val="000000"/>
                <w:lang w:eastAsia="en-GB"/>
              </w:rPr>
              <w:t>0</w:t>
            </w:r>
            <w:r w:rsidR="00F53F06" w:rsidRPr="00F53F06">
              <w:rPr>
                <w:rFonts w:eastAsia="Times New Roman"/>
                <w:color w:val="000000"/>
                <w:lang w:eastAsia="en-GB"/>
              </w:rPr>
              <w:t>4</w:t>
            </w:r>
            <w:r w:rsidRPr="00F53F06">
              <w:rPr>
                <w:rFonts w:eastAsia="Times New Roman"/>
                <w:color w:val="000000"/>
                <w:lang w:eastAsia="en-GB"/>
              </w:rPr>
              <w:t>/0</w:t>
            </w:r>
            <w:r w:rsidR="00F53F06" w:rsidRPr="00F53F06">
              <w:rPr>
                <w:rFonts w:eastAsia="Times New Roman"/>
                <w:color w:val="000000"/>
                <w:lang w:eastAsia="en-GB"/>
              </w:rPr>
              <w:t>1</w:t>
            </w:r>
            <w:r w:rsidRPr="00F53F06">
              <w:rPr>
                <w:rFonts w:eastAsia="Times New Roman"/>
                <w:color w:val="000000"/>
                <w:lang w:eastAsia="en-GB"/>
              </w:rPr>
              <w:t>/</w:t>
            </w:r>
            <w:r w:rsidR="00F53F06" w:rsidRPr="00F53F06">
              <w:rPr>
                <w:rFonts w:eastAsia="Times New Roman"/>
                <w:color w:val="000000"/>
                <w:lang w:eastAsia="en-GB"/>
              </w:rPr>
              <w:t>21</w:t>
            </w:r>
          </w:p>
        </w:tc>
        <w:tc>
          <w:tcPr>
            <w:tcW w:w="1055" w:type="dxa"/>
            <w:tcBorders>
              <w:top w:val="nil"/>
              <w:left w:val="nil"/>
              <w:bottom w:val="nil"/>
              <w:right w:val="nil"/>
            </w:tcBorders>
            <w:shd w:val="clear" w:color="auto" w:fill="auto"/>
            <w:noWrap/>
            <w:vAlign w:val="center"/>
            <w:hideMark/>
          </w:tcPr>
          <w:p w14:paraId="0997D6DC" w14:textId="77777777" w:rsidR="007F53E4" w:rsidRPr="00F53F06" w:rsidRDefault="00F53F06" w:rsidP="00F53F06">
            <w:pPr>
              <w:spacing w:after="0" w:line="240" w:lineRule="auto"/>
              <w:jc w:val="right"/>
              <w:rPr>
                <w:rFonts w:eastAsia="Times New Roman"/>
                <w:color w:val="000000"/>
                <w:lang w:eastAsia="en-GB"/>
              </w:rPr>
            </w:pPr>
            <w:r w:rsidRPr="00F53F06">
              <w:rPr>
                <w:rFonts w:eastAsia="Times New Roman"/>
                <w:color w:val="000000"/>
                <w:lang w:eastAsia="en-GB"/>
              </w:rPr>
              <w:t>11</w:t>
            </w:r>
            <w:r w:rsidR="007F53E4" w:rsidRPr="00F53F06">
              <w:rPr>
                <w:rFonts w:eastAsia="Times New Roman"/>
                <w:color w:val="000000"/>
                <w:lang w:eastAsia="en-GB"/>
              </w:rPr>
              <w:t>/1</w:t>
            </w:r>
            <w:r w:rsidRPr="00F53F06">
              <w:rPr>
                <w:rFonts w:eastAsia="Times New Roman"/>
                <w:color w:val="000000"/>
                <w:lang w:eastAsia="en-GB"/>
              </w:rPr>
              <w:t>2</w:t>
            </w:r>
            <w:r w:rsidR="007F53E4" w:rsidRPr="00F53F06">
              <w:rPr>
                <w:rFonts w:eastAsia="Times New Roman"/>
                <w:color w:val="000000"/>
                <w:lang w:eastAsia="en-GB"/>
              </w:rPr>
              <w:t>/</w:t>
            </w:r>
            <w:r w:rsidRPr="00F53F06">
              <w:rPr>
                <w:rFonts w:eastAsia="Times New Roman"/>
                <w:color w:val="000000"/>
                <w:lang w:eastAsia="en-GB"/>
              </w:rPr>
              <w:t>20</w:t>
            </w:r>
          </w:p>
        </w:tc>
        <w:tc>
          <w:tcPr>
            <w:tcW w:w="1055" w:type="dxa"/>
            <w:tcBorders>
              <w:top w:val="nil"/>
              <w:left w:val="nil"/>
              <w:bottom w:val="nil"/>
              <w:right w:val="nil"/>
            </w:tcBorders>
            <w:shd w:val="clear" w:color="auto" w:fill="auto"/>
            <w:noWrap/>
            <w:vAlign w:val="center"/>
            <w:hideMark/>
          </w:tcPr>
          <w:p w14:paraId="211A6C9F" w14:textId="77777777" w:rsidR="007F53E4" w:rsidRPr="00F53F06" w:rsidRDefault="00F53F06" w:rsidP="00F53F06">
            <w:pPr>
              <w:spacing w:after="0" w:line="240" w:lineRule="auto"/>
              <w:jc w:val="right"/>
              <w:rPr>
                <w:rFonts w:eastAsia="Times New Roman"/>
                <w:color w:val="000000"/>
                <w:lang w:eastAsia="en-GB"/>
              </w:rPr>
            </w:pPr>
            <w:r w:rsidRPr="00F53F06">
              <w:rPr>
                <w:rFonts w:eastAsia="Times New Roman"/>
                <w:color w:val="000000"/>
                <w:lang w:eastAsia="en-GB"/>
              </w:rPr>
              <w:t>11</w:t>
            </w:r>
            <w:r w:rsidR="007F53E4" w:rsidRPr="00F53F06">
              <w:rPr>
                <w:rFonts w:eastAsia="Times New Roman"/>
                <w:color w:val="000000"/>
                <w:lang w:eastAsia="en-GB"/>
              </w:rPr>
              <w:t>/</w:t>
            </w:r>
            <w:r w:rsidRPr="00F53F06">
              <w:rPr>
                <w:rFonts w:eastAsia="Times New Roman"/>
                <w:color w:val="000000"/>
                <w:lang w:eastAsia="en-GB"/>
              </w:rPr>
              <w:t>12</w:t>
            </w:r>
            <w:r w:rsidR="007F53E4" w:rsidRPr="00F53F06">
              <w:rPr>
                <w:rFonts w:eastAsia="Times New Roman"/>
                <w:color w:val="000000"/>
                <w:lang w:eastAsia="en-GB"/>
              </w:rPr>
              <w:t>/</w:t>
            </w:r>
            <w:r w:rsidRPr="00F53F06">
              <w:rPr>
                <w:rFonts w:eastAsia="Times New Roman"/>
                <w:color w:val="000000"/>
                <w:lang w:eastAsia="en-GB"/>
              </w:rPr>
              <w:t>20</w:t>
            </w:r>
          </w:p>
        </w:tc>
        <w:tc>
          <w:tcPr>
            <w:tcW w:w="1055" w:type="dxa"/>
            <w:tcBorders>
              <w:top w:val="nil"/>
              <w:left w:val="nil"/>
              <w:bottom w:val="nil"/>
              <w:right w:val="nil"/>
            </w:tcBorders>
            <w:shd w:val="clear" w:color="auto" w:fill="auto"/>
            <w:noWrap/>
            <w:vAlign w:val="center"/>
            <w:hideMark/>
          </w:tcPr>
          <w:p w14:paraId="0DC5DA2B" w14:textId="77777777" w:rsidR="007F53E4" w:rsidRPr="00F53F06" w:rsidRDefault="00F53F06" w:rsidP="00F53F06">
            <w:pPr>
              <w:spacing w:after="0" w:line="240" w:lineRule="auto"/>
              <w:jc w:val="right"/>
              <w:rPr>
                <w:rFonts w:eastAsia="Times New Roman"/>
                <w:color w:val="000000"/>
                <w:lang w:eastAsia="en-GB"/>
              </w:rPr>
            </w:pPr>
            <w:r w:rsidRPr="00F53F06">
              <w:rPr>
                <w:rFonts w:eastAsia="Times New Roman"/>
                <w:color w:val="000000"/>
                <w:lang w:eastAsia="en-GB"/>
              </w:rPr>
              <w:t>11</w:t>
            </w:r>
            <w:r w:rsidR="007F53E4" w:rsidRPr="00F53F06">
              <w:rPr>
                <w:rFonts w:eastAsia="Times New Roman"/>
                <w:color w:val="000000"/>
                <w:lang w:eastAsia="en-GB"/>
              </w:rPr>
              <w:t>/</w:t>
            </w:r>
            <w:r w:rsidRPr="00F53F06">
              <w:rPr>
                <w:rFonts w:eastAsia="Times New Roman"/>
                <w:color w:val="000000"/>
                <w:lang w:eastAsia="en-GB"/>
              </w:rPr>
              <w:t>12</w:t>
            </w:r>
            <w:r w:rsidR="007F53E4" w:rsidRPr="00F53F06">
              <w:rPr>
                <w:rFonts w:eastAsia="Times New Roman"/>
                <w:color w:val="000000"/>
                <w:lang w:eastAsia="en-GB"/>
              </w:rPr>
              <w:t>/</w:t>
            </w:r>
            <w:r w:rsidRPr="00F53F06">
              <w:rPr>
                <w:rFonts w:eastAsia="Times New Roman"/>
                <w:color w:val="000000"/>
                <w:lang w:eastAsia="en-GB"/>
              </w:rPr>
              <w:t>20</w:t>
            </w:r>
          </w:p>
        </w:tc>
        <w:tc>
          <w:tcPr>
            <w:tcW w:w="1055" w:type="dxa"/>
            <w:tcBorders>
              <w:top w:val="nil"/>
              <w:left w:val="nil"/>
              <w:bottom w:val="nil"/>
              <w:right w:val="single" w:sz="4" w:space="0" w:color="auto"/>
            </w:tcBorders>
            <w:shd w:val="clear" w:color="auto" w:fill="auto"/>
            <w:noWrap/>
            <w:vAlign w:val="center"/>
            <w:hideMark/>
          </w:tcPr>
          <w:p w14:paraId="7A4F6541" w14:textId="77777777" w:rsidR="007F53E4" w:rsidRPr="00F53F06" w:rsidRDefault="00F53F06" w:rsidP="00F53F06">
            <w:pPr>
              <w:spacing w:after="0" w:line="240" w:lineRule="auto"/>
              <w:jc w:val="right"/>
              <w:rPr>
                <w:rFonts w:eastAsia="Times New Roman"/>
                <w:color w:val="000000"/>
                <w:lang w:eastAsia="en-GB"/>
              </w:rPr>
            </w:pPr>
            <w:r w:rsidRPr="00F53F06">
              <w:rPr>
                <w:rFonts w:eastAsia="Times New Roman"/>
                <w:color w:val="000000"/>
                <w:lang w:eastAsia="en-GB"/>
              </w:rPr>
              <w:t>11</w:t>
            </w:r>
            <w:r w:rsidR="007F53E4" w:rsidRPr="00F53F06">
              <w:rPr>
                <w:rFonts w:eastAsia="Times New Roman"/>
                <w:color w:val="000000"/>
                <w:lang w:eastAsia="en-GB"/>
              </w:rPr>
              <w:t>/</w:t>
            </w:r>
            <w:r w:rsidRPr="00F53F06">
              <w:rPr>
                <w:rFonts w:eastAsia="Times New Roman"/>
                <w:color w:val="000000"/>
                <w:lang w:eastAsia="en-GB"/>
              </w:rPr>
              <w:t>12</w:t>
            </w:r>
            <w:r w:rsidR="007F53E4" w:rsidRPr="00F53F06">
              <w:rPr>
                <w:rFonts w:eastAsia="Times New Roman"/>
                <w:color w:val="000000"/>
                <w:lang w:eastAsia="en-GB"/>
              </w:rPr>
              <w:t>/</w:t>
            </w:r>
            <w:r w:rsidRPr="00F53F06">
              <w:rPr>
                <w:rFonts w:eastAsia="Times New Roman"/>
                <w:color w:val="000000"/>
                <w:lang w:eastAsia="en-GB"/>
              </w:rPr>
              <w:t>20</w:t>
            </w:r>
          </w:p>
        </w:tc>
      </w:tr>
      <w:tr w:rsidR="007F53E4" w:rsidRPr="00BB16F3" w14:paraId="153B8364" w14:textId="77777777" w:rsidTr="00F53F06">
        <w:trPr>
          <w:trHeight w:val="300"/>
          <w:jc w:val="center"/>
        </w:trPr>
        <w:tc>
          <w:tcPr>
            <w:tcW w:w="1834" w:type="dxa"/>
            <w:tcBorders>
              <w:top w:val="nil"/>
              <w:left w:val="single" w:sz="4" w:space="0" w:color="auto"/>
              <w:bottom w:val="nil"/>
              <w:right w:val="single" w:sz="4" w:space="0" w:color="auto"/>
            </w:tcBorders>
            <w:shd w:val="clear" w:color="auto" w:fill="auto"/>
            <w:noWrap/>
            <w:vAlign w:val="center"/>
            <w:hideMark/>
          </w:tcPr>
          <w:p w14:paraId="541091E9" w14:textId="77777777" w:rsidR="007F53E4" w:rsidRPr="00F53F06" w:rsidRDefault="007F53E4" w:rsidP="007F53E4">
            <w:pPr>
              <w:spacing w:after="0" w:line="240" w:lineRule="auto"/>
              <w:jc w:val="center"/>
              <w:rPr>
                <w:rFonts w:eastAsia="Times New Roman"/>
                <w:b/>
                <w:bCs/>
                <w:color w:val="000000"/>
                <w:lang w:eastAsia="en-GB"/>
              </w:rPr>
            </w:pPr>
            <w:r w:rsidRPr="00F53F06">
              <w:rPr>
                <w:rFonts w:eastAsia="Times New Roman"/>
                <w:b/>
                <w:bCs/>
                <w:color w:val="000000"/>
                <w:lang w:eastAsia="en-GB"/>
              </w:rPr>
              <w:t xml:space="preserve"> High </w:t>
            </w:r>
          </w:p>
        </w:tc>
        <w:tc>
          <w:tcPr>
            <w:tcW w:w="1055" w:type="dxa"/>
            <w:tcBorders>
              <w:top w:val="nil"/>
              <w:left w:val="nil"/>
              <w:bottom w:val="nil"/>
              <w:right w:val="nil"/>
            </w:tcBorders>
            <w:shd w:val="clear" w:color="auto" w:fill="auto"/>
            <w:noWrap/>
            <w:vAlign w:val="center"/>
            <w:hideMark/>
          </w:tcPr>
          <w:p w14:paraId="1ABA8D49" w14:textId="77777777" w:rsidR="007F53E4" w:rsidRPr="00F53F06" w:rsidRDefault="00F53F06" w:rsidP="007F53E4">
            <w:pPr>
              <w:spacing w:after="0" w:line="240" w:lineRule="auto"/>
              <w:jc w:val="right"/>
              <w:rPr>
                <w:rFonts w:eastAsia="Times New Roman"/>
                <w:color w:val="000000"/>
                <w:lang w:eastAsia="en-GB"/>
              </w:rPr>
            </w:pPr>
            <w:r w:rsidRPr="00F53F06">
              <w:rPr>
                <w:rFonts w:eastAsia="Times New Roman"/>
                <w:color w:val="000000"/>
                <w:lang w:eastAsia="en-GB"/>
              </w:rPr>
              <w:t>1.94</w:t>
            </w:r>
            <w:r w:rsidR="007F53E4" w:rsidRPr="00F53F06">
              <w:rPr>
                <w:rFonts w:eastAsia="Times New Roman"/>
                <w:color w:val="000000"/>
                <w:lang w:eastAsia="en-GB"/>
              </w:rPr>
              <w:t>%</w:t>
            </w:r>
          </w:p>
        </w:tc>
        <w:tc>
          <w:tcPr>
            <w:tcW w:w="1055" w:type="dxa"/>
            <w:tcBorders>
              <w:top w:val="nil"/>
              <w:left w:val="nil"/>
              <w:bottom w:val="nil"/>
              <w:right w:val="nil"/>
            </w:tcBorders>
            <w:shd w:val="clear" w:color="auto" w:fill="auto"/>
            <w:noWrap/>
            <w:vAlign w:val="center"/>
            <w:hideMark/>
          </w:tcPr>
          <w:p w14:paraId="01CAE3BE" w14:textId="77777777" w:rsidR="007F53E4" w:rsidRPr="00F53F06" w:rsidRDefault="00F53F06" w:rsidP="007F53E4">
            <w:pPr>
              <w:spacing w:after="0" w:line="240" w:lineRule="auto"/>
              <w:jc w:val="right"/>
              <w:rPr>
                <w:rFonts w:eastAsia="Times New Roman"/>
                <w:color w:val="000000"/>
                <w:lang w:eastAsia="en-GB"/>
              </w:rPr>
            </w:pPr>
            <w:r w:rsidRPr="00F53F06">
              <w:rPr>
                <w:rFonts w:eastAsia="Times New Roman"/>
                <w:color w:val="000000"/>
                <w:lang w:eastAsia="en-GB"/>
              </w:rPr>
              <w:t>1.99</w:t>
            </w:r>
            <w:r w:rsidR="007F53E4" w:rsidRPr="00F53F06">
              <w:rPr>
                <w:rFonts w:eastAsia="Times New Roman"/>
                <w:color w:val="000000"/>
                <w:lang w:eastAsia="en-GB"/>
              </w:rPr>
              <w:t>%</w:t>
            </w:r>
          </w:p>
        </w:tc>
        <w:tc>
          <w:tcPr>
            <w:tcW w:w="1055" w:type="dxa"/>
            <w:tcBorders>
              <w:top w:val="nil"/>
              <w:left w:val="nil"/>
              <w:bottom w:val="nil"/>
              <w:right w:val="nil"/>
            </w:tcBorders>
            <w:shd w:val="clear" w:color="auto" w:fill="auto"/>
            <w:noWrap/>
            <w:vAlign w:val="center"/>
            <w:hideMark/>
          </w:tcPr>
          <w:p w14:paraId="5F8FA8AB" w14:textId="77777777" w:rsidR="007F53E4" w:rsidRPr="00F53F06" w:rsidRDefault="007F53E4" w:rsidP="00F53F06">
            <w:pPr>
              <w:spacing w:after="0" w:line="240" w:lineRule="auto"/>
              <w:jc w:val="right"/>
              <w:rPr>
                <w:rFonts w:eastAsia="Times New Roman"/>
                <w:color w:val="000000"/>
                <w:lang w:eastAsia="en-GB"/>
              </w:rPr>
            </w:pPr>
            <w:r w:rsidRPr="00F53F06">
              <w:rPr>
                <w:rFonts w:eastAsia="Times New Roman"/>
                <w:color w:val="000000"/>
                <w:lang w:eastAsia="en-GB"/>
              </w:rPr>
              <w:t>2.</w:t>
            </w:r>
            <w:r w:rsidR="00F53F06" w:rsidRPr="00F53F06">
              <w:rPr>
                <w:rFonts w:eastAsia="Times New Roman"/>
                <w:color w:val="000000"/>
                <w:lang w:eastAsia="en-GB"/>
              </w:rPr>
              <w:t>28</w:t>
            </w:r>
            <w:r w:rsidRPr="00F53F06">
              <w:rPr>
                <w:rFonts w:eastAsia="Times New Roman"/>
                <w:color w:val="000000"/>
                <w:lang w:eastAsia="en-GB"/>
              </w:rPr>
              <w:t>%</w:t>
            </w:r>
          </w:p>
        </w:tc>
        <w:tc>
          <w:tcPr>
            <w:tcW w:w="1055" w:type="dxa"/>
            <w:tcBorders>
              <w:top w:val="nil"/>
              <w:left w:val="nil"/>
              <w:bottom w:val="nil"/>
              <w:right w:val="nil"/>
            </w:tcBorders>
            <w:shd w:val="clear" w:color="auto" w:fill="auto"/>
            <w:noWrap/>
            <w:vAlign w:val="center"/>
            <w:hideMark/>
          </w:tcPr>
          <w:p w14:paraId="25468E41" w14:textId="77777777" w:rsidR="007F53E4" w:rsidRPr="00F53F06" w:rsidRDefault="00F53F06" w:rsidP="007F53E4">
            <w:pPr>
              <w:spacing w:after="0" w:line="240" w:lineRule="auto"/>
              <w:jc w:val="right"/>
              <w:rPr>
                <w:rFonts w:eastAsia="Times New Roman"/>
                <w:color w:val="000000"/>
                <w:lang w:eastAsia="en-GB"/>
              </w:rPr>
            </w:pPr>
            <w:r w:rsidRPr="00F53F06">
              <w:rPr>
                <w:rFonts w:eastAsia="Times New Roman"/>
                <w:color w:val="000000"/>
                <w:lang w:eastAsia="en-GB"/>
              </w:rPr>
              <w:t>2.86</w:t>
            </w:r>
            <w:r w:rsidR="007F53E4" w:rsidRPr="00F53F06">
              <w:rPr>
                <w:rFonts w:eastAsia="Times New Roman"/>
                <w:color w:val="000000"/>
                <w:lang w:eastAsia="en-GB"/>
              </w:rPr>
              <w:t>%</w:t>
            </w:r>
          </w:p>
        </w:tc>
        <w:tc>
          <w:tcPr>
            <w:tcW w:w="1055" w:type="dxa"/>
            <w:tcBorders>
              <w:top w:val="nil"/>
              <w:left w:val="nil"/>
              <w:bottom w:val="nil"/>
              <w:right w:val="single" w:sz="4" w:space="0" w:color="auto"/>
            </w:tcBorders>
            <w:shd w:val="clear" w:color="auto" w:fill="auto"/>
            <w:noWrap/>
            <w:vAlign w:val="center"/>
            <w:hideMark/>
          </w:tcPr>
          <w:p w14:paraId="1ECC0DD6" w14:textId="77777777" w:rsidR="007F53E4" w:rsidRPr="00F53F06" w:rsidRDefault="00F53F06" w:rsidP="007F53E4">
            <w:pPr>
              <w:spacing w:after="0" w:line="240" w:lineRule="auto"/>
              <w:jc w:val="right"/>
              <w:rPr>
                <w:rFonts w:eastAsia="Times New Roman"/>
                <w:color w:val="000000"/>
                <w:lang w:eastAsia="en-GB"/>
              </w:rPr>
            </w:pPr>
            <w:r w:rsidRPr="00F53F06">
              <w:rPr>
                <w:rFonts w:eastAsia="Times New Roman"/>
                <w:color w:val="000000"/>
                <w:lang w:eastAsia="en-GB"/>
              </w:rPr>
              <w:t>2.71</w:t>
            </w:r>
            <w:r w:rsidR="007F53E4" w:rsidRPr="00F53F06">
              <w:rPr>
                <w:rFonts w:eastAsia="Times New Roman"/>
                <w:color w:val="000000"/>
                <w:lang w:eastAsia="en-GB"/>
              </w:rPr>
              <w:t>%</w:t>
            </w:r>
          </w:p>
        </w:tc>
      </w:tr>
      <w:tr w:rsidR="007F53E4" w:rsidRPr="00BB16F3" w14:paraId="42FE6BB2" w14:textId="77777777" w:rsidTr="00F53F06">
        <w:trPr>
          <w:trHeight w:val="300"/>
          <w:jc w:val="center"/>
        </w:trPr>
        <w:tc>
          <w:tcPr>
            <w:tcW w:w="1834" w:type="dxa"/>
            <w:tcBorders>
              <w:top w:val="nil"/>
              <w:left w:val="single" w:sz="4" w:space="0" w:color="auto"/>
              <w:bottom w:val="nil"/>
              <w:right w:val="single" w:sz="4" w:space="0" w:color="auto"/>
            </w:tcBorders>
            <w:shd w:val="clear" w:color="auto" w:fill="auto"/>
            <w:noWrap/>
            <w:vAlign w:val="center"/>
            <w:hideMark/>
          </w:tcPr>
          <w:p w14:paraId="272C5318" w14:textId="77777777" w:rsidR="007F53E4" w:rsidRPr="00F53F06" w:rsidRDefault="007F53E4" w:rsidP="007F53E4">
            <w:pPr>
              <w:spacing w:after="0" w:line="240" w:lineRule="auto"/>
              <w:jc w:val="center"/>
              <w:rPr>
                <w:rFonts w:eastAsia="Times New Roman"/>
                <w:b/>
                <w:bCs/>
                <w:color w:val="000000"/>
                <w:lang w:eastAsia="en-GB"/>
              </w:rPr>
            </w:pPr>
            <w:r w:rsidRPr="00F53F06">
              <w:rPr>
                <w:rFonts w:eastAsia="Times New Roman"/>
                <w:b/>
                <w:bCs/>
                <w:color w:val="000000"/>
                <w:lang w:eastAsia="en-GB"/>
              </w:rPr>
              <w:t xml:space="preserve"> </w:t>
            </w:r>
            <w:r w:rsidR="00F53F06" w:rsidRPr="00F53F06">
              <w:rPr>
                <w:rFonts w:eastAsia="Times New Roman"/>
                <w:b/>
                <w:bCs/>
                <w:color w:val="000000"/>
                <w:lang w:eastAsia="en-GB"/>
              </w:rPr>
              <w:t xml:space="preserve">High </w:t>
            </w:r>
            <w:r w:rsidRPr="00F53F06">
              <w:rPr>
                <w:rFonts w:eastAsia="Times New Roman"/>
                <w:b/>
                <w:bCs/>
                <w:color w:val="000000"/>
                <w:lang w:eastAsia="en-GB"/>
              </w:rPr>
              <w:t xml:space="preserve">Date </w:t>
            </w:r>
          </w:p>
        </w:tc>
        <w:tc>
          <w:tcPr>
            <w:tcW w:w="1055" w:type="dxa"/>
            <w:tcBorders>
              <w:top w:val="nil"/>
              <w:left w:val="nil"/>
              <w:bottom w:val="nil"/>
              <w:right w:val="nil"/>
            </w:tcBorders>
            <w:shd w:val="clear" w:color="auto" w:fill="auto"/>
            <w:noWrap/>
            <w:vAlign w:val="center"/>
            <w:hideMark/>
          </w:tcPr>
          <w:p w14:paraId="6A7C894C" w14:textId="77777777" w:rsidR="007F53E4" w:rsidRPr="00F53F06" w:rsidRDefault="00F53F06" w:rsidP="00F53F06">
            <w:pPr>
              <w:spacing w:after="0" w:line="240" w:lineRule="auto"/>
              <w:jc w:val="right"/>
              <w:rPr>
                <w:rFonts w:eastAsia="Times New Roman"/>
                <w:color w:val="000000"/>
                <w:lang w:eastAsia="en-GB"/>
              </w:rPr>
            </w:pPr>
            <w:r w:rsidRPr="00F53F06">
              <w:rPr>
                <w:rFonts w:eastAsia="Times New Roman"/>
                <w:color w:val="000000"/>
                <w:lang w:eastAsia="en-GB"/>
              </w:rPr>
              <w:t>08</w:t>
            </w:r>
            <w:r w:rsidR="007F53E4" w:rsidRPr="00F53F06">
              <w:rPr>
                <w:rFonts w:eastAsia="Times New Roman"/>
                <w:color w:val="000000"/>
                <w:lang w:eastAsia="en-GB"/>
              </w:rPr>
              <w:t>/</w:t>
            </w:r>
            <w:r w:rsidRPr="00F53F06">
              <w:rPr>
                <w:rFonts w:eastAsia="Times New Roman"/>
                <w:color w:val="000000"/>
                <w:lang w:eastAsia="en-GB"/>
              </w:rPr>
              <w:t>04</w:t>
            </w:r>
            <w:r w:rsidR="007F53E4" w:rsidRPr="00F53F06">
              <w:rPr>
                <w:rFonts w:eastAsia="Times New Roman"/>
                <w:color w:val="000000"/>
                <w:lang w:eastAsia="en-GB"/>
              </w:rPr>
              <w:t>/</w:t>
            </w:r>
            <w:r w:rsidRPr="00F53F06">
              <w:rPr>
                <w:rFonts w:eastAsia="Times New Roman"/>
                <w:color w:val="000000"/>
                <w:lang w:eastAsia="en-GB"/>
              </w:rPr>
              <w:t>20</w:t>
            </w:r>
          </w:p>
        </w:tc>
        <w:tc>
          <w:tcPr>
            <w:tcW w:w="1055" w:type="dxa"/>
            <w:tcBorders>
              <w:top w:val="nil"/>
              <w:left w:val="nil"/>
              <w:bottom w:val="nil"/>
              <w:right w:val="nil"/>
            </w:tcBorders>
            <w:shd w:val="clear" w:color="auto" w:fill="auto"/>
            <w:noWrap/>
            <w:vAlign w:val="center"/>
            <w:hideMark/>
          </w:tcPr>
          <w:p w14:paraId="46AC10AF" w14:textId="77777777" w:rsidR="007F53E4" w:rsidRPr="00F53F06" w:rsidRDefault="00F53F06" w:rsidP="00F53F06">
            <w:pPr>
              <w:spacing w:after="0" w:line="240" w:lineRule="auto"/>
              <w:jc w:val="right"/>
              <w:rPr>
                <w:rFonts w:eastAsia="Times New Roman"/>
                <w:color w:val="000000"/>
                <w:lang w:eastAsia="en-GB"/>
              </w:rPr>
            </w:pPr>
            <w:r w:rsidRPr="00F53F06">
              <w:rPr>
                <w:rFonts w:eastAsia="Times New Roman"/>
                <w:color w:val="000000"/>
                <w:lang w:eastAsia="en-GB"/>
              </w:rPr>
              <w:t>08</w:t>
            </w:r>
            <w:r w:rsidR="007F53E4" w:rsidRPr="00F53F06">
              <w:rPr>
                <w:rFonts w:eastAsia="Times New Roman"/>
                <w:color w:val="000000"/>
                <w:lang w:eastAsia="en-GB"/>
              </w:rPr>
              <w:t>/0</w:t>
            </w:r>
            <w:r w:rsidRPr="00F53F06">
              <w:rPr>
                <w:rFonts w:eastAsia="Times New Roman"/>
                <w:color w:val="000000"/>
                <w:lang w:eastAsia="en-GB"/>
              </w:rPr>
              <w:t>4</w:t>
            </w:r>
            <w:r w:rsidR="007F53E4" w:rsidRPr="00F53F06">
              <w:rPr>
                <w:rFonts w:eastAsia="Times New Roman"/>
                <w:color w:val="000000"/>
                <w:lang w:eastAsia="en-GB"/>
              </w:rPr>
              <w:t>/20</w:t>
            </w:r>
          </w:p>
        </w:tc>
        <w:tc>
          <w:tcPr>
            <w:tcW w:w="1055" w:type="dxa"/>
            <w:tcBorders>
              <w:top w:val="nil"/>
              <w:left w:val="nil"/>
              <w:bottom w:val="nil"/>
              <w:right w:val="nil"/>
            </w:tcBorders>
            <w:shd w:val="clear" w:color="auto" w:fill="auto"/>
            <w:noWrap/>
            <w:vAlign w:val="center"/>
            <w:hideMark/>
          </w:tcPr>
          <w:p w14:paraId="5208EEE0" w14:textId="77777777" w:rsidR="007F53E4" w:rsidRPr="00F53F06" w:rsidRDefault="00F53F06" w:rsidP="00F53F06">
            <w:pPr>
              <w:spacing w:after="0" w:line="240" w:lineRule="auto"/>
              <w:jc w:val="right"/>
              <w:rPr>
                <w:rFonts w:eastAsia="Times New Roman"/>
                <w:color w:val="000000"/>
                <w:lang w:eastAsia="en-GB"/>
              </w:rPr>
            </w:pPr>
            <w:r w:rsidRPr="00F53F06">
              <w:rPr>
                <w:rFonts w:eastAsia="Times New Roman"/>
                <w:color w:val="000000"/>
                <w:lang w:eastAsia="en-GB"/>
              </w:rPr>
              <w:t>11</w:t>
            </w:r>
            <w:r w:rsidR="007F53E4" w:rsidRPr="00F53F06">
              <w:rPr>
                <w:rFonts w:eastAsia="Times New Roman"/>
                <w:color w:val="000000"/>
                <w:lang w:eastAsia="en-GB"/>
              </w:rPr>
              <w:t>/</w:t>
            </w:r>
            <w:r w:rsidRPr="00F53F06">
              <w:rPr>
                <w:rFonts w:eastAsia="Times New Roman"/>
                <w:color w:val="000000"/>
                <w:lang w:eastAsia="en-GB"/>
              </w:rPr>
              <w:t>11</w:t>
            </w:r>
            <w:r w:rsidR="007F53E4" w:rsidRPr="00F53F06">
              <w:rPr>
                <w:rFonts w:eastAsia="Times New Roman"/>
                <w:color w:val="000000"/>
                <w:lang w:eastAsia="en-GB"/>
              </w:rPr>
              <w:t>/20</w:t>
            </w:r>
          </w:p>
        </w:tc>
        <w:tc>
          <w:tcPr>
            <w:tcW w:w="1055" w:type="dxa"/>
            <w:tcBorders>
              <w:top w:val="nil"/>
              <w:left w:val="nil"/>
              <w:bottom w:val="nil"/>
              <w:right w:val="nil"/>
            </w:tcBorders>
            <w:shd w:val="clear" w:color="auto" w:fill="auto"/>
            <w:noWrap/>
            <w:vAlign w:val="center"/>
            <w:hideMark/>
          </w:tcPr>
          <w:p w14:paraId="3BC0F765" w14:textId="77777777" w:rsidR="007F53E4" w:rsidRPr="00F53F06" w:rsidRDefault="007F53E4" w:rsidP="00F53F06">
            <w:pPr>
              <w:spacing w:after="0" w:line="240" w:lineRule="auto"/>
              <w:jc w:val="right"/>
              <w:rPr>
                <w:rFonts w:eastAsia="Times New Roman"/>
                <w:color w:val="000000"/>
                <w:lang w:eastAsia="en-GB"/>
              </w:rPr>
            </w:pPr>
            <w:r w:rsidRPr="00F53F06">
              <w:rPr>
                <w:rFonts w:eastAsia="Times New Roman"/>
                <w:color w:val="000000"/>
                <w:lang w:eastAsia="en-GB"/>
              </w:rPr>
              <w:t>1</w:t>
            </w:r>
            <w:r w:rsidR="00F53F06" w:rsidRPr="00F53F06">
              <w:rPr>
                <w:rFonts w:eastAsia="Times New Roman"/>
                <w:color w:val="000000"/>
                <w:lang w:eastAsia="en-GB"/>
              </w:rPr>
              <w:t>1</w:t>
            </w:r>
            <w:r w:rsidRPr="00F53F06">
              <w:rPr>
                <w:rFonts w:eastAsia="Times New Roman"/>
                <w:color w:val="000000"/>
                <w:lang w:eastAsia="en-GB"/>
              </w:rPr>
              <w:t>/</w:t>
            </w:r>
            <w:r w:rsidR="00F53F06" w:rsidRPr="00F53F06">
              <w:rPr>
                <w:rFonts w:eastAsia="Times New Roman"/>
                <w:color w:val="000000"/>
                <w:lang w:eastAsia="en-GB"/>
              </w:rPr>
              <w:t>11</w:t>
            </w:r>
            <w:r w:rsidRPr="00F53F06">
              <w:rPr>
                <w:rFonts w:eastAsia="Times New Roman"/>
                <w:color w:val="000000"/>
                <w:lang w:eastAsia="en-GB"/>
              </w:rPr>
              <w:t>/20</w:t>
            </w:r>
          </w:p>
        </w:tc>
        <w:tc>
          <w:tcPr>
            <w:tcW w:w="1055" w:type="dxa"/>
            <w:tcBorders>
              <w:top w:val="nil"/>
              <w:left w:val="nil"/>
              <w:bottom w:val="nil"/>
              <w:right w:val="single" w:sz="4" w:space="0" w:color="auto"/>
            </w:tcBorders>
            <w:shd w:val="clear" w:color="auto" w:fill="auto"/>
            <w:noWrap/>
            <w:vAlign w:val="center"/>
            <w:hideMark/>
          </w:tcPr>
          <w:p w14:paraId="74DFA65E" w14:textId="77777777" w:rsidR="007F53E4" w:rsidRPr="00F53F06" w:rsidRDefault="00F53F06" w:rsidP="00F53F06">
            <w:pPr>
              <w:spacing w:after="0" w:line="240" w:lineRule="auto"/>
              <w:jc w:val="right"/>
              <w:rPr>
                <w:rFonts w:eastAsia="Times New Roman"/>
                <w:color w:val="000000"/>
                <w:lang w:eastAsia="en-GB"/>
              </w:rPr>
            </w:pPr>
            <w:r w:rsidRPr="00F53F06">
              <w:rPr>
                <w:rFonts w:eastAsia="Times New Roman"/>
                <w:color w:val="000000"/>
                <w:lang w:eastAsia="en-GB"/>
              </w:rPr>
              <w:t>11</w:t>
            </w:r>
            <w:r w:rsidR="007F53E4" w:rsidRPr="00F53F06">
              <w:rPr>
                <w:rFonts w:eastAsia="Times New Roman"/>
                <w:color w:val="000000"/>
                <w:lang w:eastAsia="en-GB"/>
              </w:rPr>
              <w:t>/1</w:t>
            </w:r>
            <w:r w:rsidRPr="00F53F06">
              <w:rPr>
                <w:rFonts w:eastAsia="Times New Roman"/>
                <w:color w:val="000000"/>
                <w:lang w:eastAsia="en-GB"/>
              </w:rPr>
              <w:t>1</w:t>
            </w:r>
            <w:r w:rsidR="007F53E4" w:rsidRPr="00F53F06">
              <w:rPr>
                <w:rFonts w:eastAsia="Times New Roman"/>
                <w:color w:val="000000"/>
                <w:lang w:eastAsia="en-GB"/>
              </w:rPr>
              <w:t>/</w:t>
            </w:r>
            <w:r w:rsidRPr="00F53F06">
              <w:rPr>
                <w:rFonts w:eastAsia="Times New Roman"/>
                <w:color w:val="000000"/>
                <w:lang w:eastAsia="en-GB"/>
              </w:rPr>
              <w:t>20</w:t>
            </w:r>
          </w:p>
        </w:tc>
      </w:tr>
      <w:tr w:rsidR="007F53E4" w:rsidRPr="00BB16F3" w14:paraId="2B4D99B5" w14:textId="77777777" w:rsidTr="00F53F06">
        <w:trPr>
          <w:trHeight w:val="300"/>
          <w:jc w:val="center"/>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14:paraId="357655C5" w14:textId="77777777" w:rsidR="007F53E4" w:rsidRPr="00F53F06" w:rsidRDefault="007F53E4" w:rsidP="007F53E4">
            <w:pPr>
              <w:spacing w:after="0" w:line="240" w:lineRule="auto"/>
              <w:jc w:val="center"/>
              <w:rPr>
                <w:rFonts w:eastAsia="Times New Roman"/>
                <w:b/>
                <w:bCs/>
                <w:color w:val="000000"/>
                <w:lang w:eastAsia="en-GB"/>
              </w:rPr>
            </w:pPr>
            <w:r w:rsidRPr="00F53F06">
              <w:rPr>
                <w:rFonts w:eastAsia="Times New Roman"/>
                <w:b/>
                <w:bCs/>
                <w:color w:val="000000"/>
                <w:lang w:eastAsia="en-GB"/>
              </w:rPr>
              <w:t xml:space="preserve"> Average </w:t>
            </w:r>
          </w:p>
        </w:tc>
        <w:tc>
          <w:tcPr>
            <w:tcW w:w="1055" w:type="dxa"/>
            <w:tcBorders>
              <w:top w:val="nil"/>
              <w:left w:val="nil"/>
              <w:bottom w:val="single" w:sz="4" w:space="0" w:color="auto"/>
              <w:right w:val="nil"/>
            </w:tcBorders>
            <w:shd w:val="clear" w:color="auto" w:fill="auto"/>
            <w:noWrap/>
            <w:vAlign w:val="center"/>
            <w:hideMark/>
          </w:tcPr>
          <w:p w14:paraId="17C532B2" w14:textId="77777777" w:rsidR="007F53E4" w:rsidRPr="00F53F06" w:rsidRDefault="00F53F06" w:rsidP="007F53E4">
            <w:pPr>
              <w:spacing w:after="0" w:line="240" w:lineRule="auto"/>
              <w:jc w:val="right"/>
              <w:rPr>
                <w:rFonts w:eastAsia="Times New Roman"/>
                <w:color w:val="000000"/>
                <w:lang w:eastAsia="en-GB"/>
              </w:rPr>
            </w:pPr>
            <w:r w:rsidRPr="00F53F06">
              <w:rPr>
                <w:rFonts w:eastAsia="Times New Roman"/>
                <w:color w:val="000000"/>
                <w:lang w:eastAsia="en-GB"/>
              </w:rPr>
              <w:t>1.43</w:t>
            </w:r>
            <w:r w:rsidR="007F53E4" w:rsidRPr="00F53F06">
              <w:rPr>
                <w:rFonts w:eastAsia="Times New Roman"/>
                <w:color w:val="000000"/>
                <w:lang w:eastAsia="en-GB"/>
              </w:rPr>
              <w:t>%</w:t>
            </w:r>
          </w:p>
        </w:tc>
        <w:tc>
          <w:tcPr>
            <w:tcW w:w="1055" w:type="dxa"/>
            <w:tcBorders>
              <w:top w:val="nil"/>
              <w:left w:val="nil"/>
              <w:bottom w:val="single" w:sz="4" w:space="0" w:color="auto"/>
              <w:right w:val="nil"/>
            </w:tcBorders>
            <w:shd w:val="clear" w:color="auto" w:fill="auto"/>
            <w:noWrap/>
            <w:vAlign w:val="center"/>
            <w:hideMark/>
          </w:tcPr>
          <w:p w14:paraId="03369F20" w14:textId="77777777" w:rsidR="007F53E4" w:rsidRPr="00F53F06" w:rsidRDefault="007F53E4" w:rsidP="00F53F06">
            <w:pPr>
              <w:spacing w:after="0" w:line="240" w:lineRule="auto"/>
              <w:jc w:val="right"/>
              <w:rPr>
                <w:rFonts w:eastAsia="Times New Roman"/>
                <w:color w:val="000000"/>
                <w:lang w:eastAsia="en-GB"/>
              </w:rPr>
            </w:pPr>
            <w:r w:rsidRPr="00F53F06">
              <w:rPr>
                <w:rFonts w:eastAsia="Times New Roman"/>
                <w:color w:val="000000"/>
                <w:lang w:eastAsia="en-GB"/>
              </w:rPr>
              <w:t>1.</w:t>
            </w:r>
            <w:r w:rsidR="00F53F06" w:rsidRPr="00F53F06">
              <w:rPr>
                <w:rFonts w:eastAsia="Times New Roman"/>
                <w:color w:val="000000"/>
                <w:lang w:eastAsia="en-GB"/>
              </w:rPr>
              <w:t>50</w:t>
            </w:r>
            <w:r w:rsidRPr="00F53F06">
              <w:rPr>
                <w:rFonts w:eastAsia="Times New Roman"/>
                <w:color w:val="000000"/>
                <w:lang w:eastAsia="en-GB"/>
              </w:rPr>
              <w:t>%</w:t>
            </w:r>
          </w:p>
        </w:tc>
        <w:tc>
          <w:tcPr>
            <w:tcW w:w="1055" w:type="dxa"/>
            <w:tcBorders>
              <w:top w:val="nil"/>
              <w:left w:val="nil"/>
              <w:bottom w:val="single" w:sz="4" w:space="0" w:color="auto"/>
              <w:right w:val="nil"/>
            </w:tcBorders>
            <w:shd w:val="clear" w:color="auto" w:fill="auto"/>
            <w:noWrap/>
            <w:vAlign w:val="center"/>
            <w:hideMark/>
          </w:tcPr>
          <w:p w14:paraId="61833489" w14:textId="77777777" w:rsidR="007F53E4" w:rsidRPr="00F53F06" w:rsidRDefault="00F53F06" w:rsidP="007F53E4">
            <w:pPr>
              <w:spacing w:after="0" w:line="240" w:lineRule="auto"/>
              <w:jc w:val="right"/>
              <w:rPr>
                <w:rFonts w:eastAsia="Times New Roman"/>
                <w:color w:val="000000"/>
                <w:lang w:eastAsia="en-GB"/>
              </w:rPr>
            </w:pPr>
            <w:r w:rsidRPr="00F53F06">
              <w:rPr>
                <w:rFonts w:eastAsia="Times New Roman"/>
                <w:color w:val="000000"/>
                <w:lang w:eastAsia="en-GB"/>
              </w:rPr>
              <w:t>1.81</w:t>
            </w:r>
            <w:r w:rsidR="007F53E4" w:rsidRPr="00F53F06">
              <w:rPr>
                <w:rFonts w:eastAsia="Times New Roman"/>
                <w:color w:val="000000"/>
                <w:lang w:eastAsia="en-GB"/>
              </w:rPr>
              <w:t>%</w:t>
            </w:r>
          </w:p>
        </w:tc>
        <w:tc>
          <w:tcPr>
            <w:tcW w:w="1055" w:type="dxa"/>
            <w:tcBorders>
              <w:top w:val="nil"/>
              <w:left w:val="nil"/>
              <w:bottom w:val="single" w:sz="4" w:space="0" w:color="auto"/>
              <w:right w:val="nil"/>
            </w:tcBorders>
            <w:shd w:val="clear" w:color="auto" w:fill="auto"/>
            <w:noWrap/>
            <w:vAlign w:val="center"/>
            <w:hideMark/>
          </w:tcPr>
          <w:p w14:paraId="01836888" w14:textId="77777777" w:rsidR="007F53E4" w:rsidRPr="00F53F06" w:rsidRDefault="007F53E4" w:rsidP="00F53F06">
            <w:pPr>
              <w:spacing w:after="0" w:line="240" w:lineRule="auto"/>
              <w:jc w:val="right"/>
              <w:rPr>
                <w:rFonts w:eastAsia="Times New Roman"/>
                <w:color w:val="000000"/>
                <w:lang w:eastAsia="en-GB"/>
              </w:rPr>
            </w:pPr>
            <w:r w:rsidRPr="00F53F06">
              <w:rPr>
                <w:rFonts w:eastAsia="Times New Roman"/>
                <w:color w:val="000000"/>
                <w:lang w:eastAsia="en-GB"/>
              </w:rPr>
              <w:t>2.</w:t>
            </w:r>
            <w:r w:rsidR="00F53F06" w:rsidRPr="00F53F06">
              <w:rPr>
                <w:rFonts w:eastAsia="Times New Roman"/>
                <w:color w:val="000000"/>
                <w:lang w:eastAsia="en-GB"/>
              </w:rPr>
              <w:t>33</w:t>
            </w:r>
            <w:r w:rsidRPr="00F53F06">
              <w:rPr>
                <w:rFonts w:eastAsia="Times New Roman"/>
                <w:color w:val="000000"/>
                <w:lang w:eastAsia="en-GB"/>
              </w:rPr>
              <w:t>%</w:t>
            </w:r>
          </w:p>
        </w:tc>
        <w:tc>
          <w:tcPr>
            <w:tcW w:w="1055" w:type="dxa"/>
            <w:tcBorders>
              <w:top w:val="nil"/>
              <w:left w:val="nil"/>
              <w:bottom w:val="single" w:sz="4" w:space="0" w:color="auto"/>
              <w:right w:val="single" w:sz="4" w:space="0" w:color="auto"/>
            </w:tcBorders>
            <w:shd w:val="clear" w:color="auto" w:fill="auto"/>
            <w:noWrap/>
            <w:vAlign w:val="center"/>
            <w:hideMark/>
          </w:tcPr>
          <w:p w14:paraId="294DDE15" w14:textId="77777777" w:rsidR="007F53E4" w:rsidRPr="00F53F06" w:rsidRDefault="007F53E4" w:rsidP="00F53F06">
            <w:pPr>
              <w:spacing w:after="0" w:line="240" w:lineRule="auto"/>
              <w:jc w:val="right"/>
              <w:rPr>
                <w:rFonts w:eastAsia="Times New Roman"/>
                <w:color w:val="000000"/>
                <w:lang w:eastAsia="en-GB"/>
              </w:rPr>
            </w:pPr>
            <w:r w:rsidRPr="00F53F06">
              <w:rPr>
                <w:rFonts w:eastAsia="Times New Roman"/>
                <w:color w:val="000000"/>
                <w:lang w:eastAsia="en-GB"/>
              </w:rPr>
              <w:t>2.</w:t>
            </w:r>
            <w:r w:rsidR="00F53F06" w:rsidRPr="00F53F06">
              <w:rPr>
                <w:rFonts w:eastAsia="Times New Roman"/>
                <w:color w:val="000000"/>
                <w:lang w:eastAsia="en-GB"/>
              </w:rPr>
              <w:t>14</w:t>
            </w:r>
            <w:r w:rsidRPr="00F53F06">
              <w:rPr>
                <w:rFonts w:eastAsia="Times New Roman"/>
                <w:color w:val="000000"/>
                <w:lang w:eastAsia="en-GB"/>
              </w:rPr>
              <w:t>%</w:t>
            </w:r>
          </w:p>
        </w:tc>
      </w:tr>
    </w:tbl>
    <w:p w14:paraId="5B0E7E12" w14:textId="77777777" w:rsidR="007F53E4" w:rsidRPr="00FD03D7" w:rsidRDefault="007F53E4" w:rsidP="00F246F4">
      <w:pPr>
        <w:tabs>
          <w:tab w:val="num" w:pos="1701"/>
        </w:tabs>
        <w:autoSpaceDE w:val="0"/>
        <w:autoSpaceDN w:val="0"/>
        <w:adjustRightInd w:val="0"/>
        <w:jc w:val="both"/>
        <w:rPr>
          <w:rFonts w:ascii="Arial" w:hAnsi="Arial" w:cs="Arial"/>
          <w:color w:val="0D0D0D"/>
          <w:sz w:val="4"/>
          <w:szCs w:val="4"/>
        </w:rPr>
      </w:pPr>
    </w:p>
    <w:p w14:paraId="56075B68" w14:textId="77777777" w:rsidR="00FD03D7" w:rsidRPr="00FD03D7" w:rsidRDefault="00FD03D7" w:rsidP="00F246F4">
      <w:pPr>
        <w:tabs>
          <w:tab w:val="num" w:pos="1701"/>
        </w:tabs>
        <w:autoSpaceDE w:val="0"/>
        <w:autoSpaceDN w:val="0"/>
        <w:adjustRightInd w:val="0"/>
        <w:jc w:val="both"/>
        <w:rPr>
          <w:rFonts w:ascii="Arial" w:hAnsi="Arial" w:cs="Arial"/>
          <w:color w:val="0D0D0D"/>
        </w:rPr>
      </w:pPr>
      <w:r w:rsidRPr="00FD03D7">
        <w:rPr>
          <w:rFonts w:ascii="Arial" w:hAnsi="Arial" w:cs="Arial"/>
          <w:color w:val="0D0D0D"/>
        </w:rPr>
        <w:t xml:space="preserve">Gilt </w:t>
      </w:r>
      <w:r>
        <w:rPr>
          <w:rFonts w:ascii="Arial" w:hAnsi="Arial" w:cs="Arial"/>
          <w:color w:val="0D0D0D"/>
        </w:rPr>
        <w:t>yields fell sharply from the start of 2020 due to the pandemic. Expectations of economic recovery started in 2021 and once the UK vaccination programme started making rapid progress, gilt yields and PWLB rates started rising sharply as confidence in economic recovery rebounded. At the close of play on 31 March 2021, all gilt yields from 1 to 5 years were between 0.19% and 0</w:t>
      </w:r>
      <w:r w:rsidRPr="00FD03D7">
        <w:rPr>
          <w:rFonts w:ascii="Arial" w:hAnsi="Arial" w:cs="Arial"/>
          <w:color w:val="0D0D0D"/>
        </w:rPr>
        <w:t xml:space="preserve">.58% whilst 10 year and </w:t>
      </w:r>
      <w:proofErr w:type="gramStart"/>
      <w:r w:rsidRPr="00FD03D7">
        <w:rPr>
          <w:rFonts w:ascii="Arial" w:hAnsi="Arial" w:cs="Arial"/>
          <w:color w:val="0D0D0D"/>
        </w:rPr>
        <w:t>25 year</w:t>
      </w:r>
      <w:proofErr w:type="gramEnd"/>
      <w:r w:rsidRPr="00FD03D7">
        <w:rPr>
          <w:rFonts w:ascii="Arial" w:hAnsi="Arial" w:cs="Arial"/>
          <w:color w:val="0D0D0D"/>
        </w:rPr>
        <w:t xml:space="preserve"> yields were at 1.11% and 1.59%. </w:t>
      </w:r>
    </w:p>
    <w:p w14:paraId="734A8549" w14:textId="77777777" w:rsidR="00FD03D7" w:rsidRPr="00FD03D7" w:rsidRDefault="00FD03D7" w:rsidP="00F246F4">
      <w:pPr>
        <w:tabs>
          <w:tab w:val="num" w:pos="1701"/>
        </w:tabs>
        <w:autoSpaceDE w:val="0"/>
        <w:autoSpaceDN w:val="0"/>
        <w:adjustRightInd w:val="0"/>
        <w:jc w:val="both"/>
        <w:rPr>
          <w:rFonts w:ascii="Arial" w:hAnsi="Arial" w:cs="Arial"/>
          <w:color w:val="0D0D0D"/>
        </w:rPr>
      </w:pPr>
      <w:r w:rsidRPr="00FD03D7">
        <w:rPr>
          <w:rFonts w:ascii="Arial" w:hAnsi="Arial" w:cs="Arial"/>
          <w:color w:val="0D0D0D"/>
        </w:rPr>
        <w:t xml:space="preserve">HM Treasury imposed an </w:t>
      </w:r>
      <w:r w:rsidR="00F246F4" w:rsidRPr="00FD03D7">
        <w:rPr>
          <w:rFonts w:ascii="Arial" w:hAnsi="Arial" w:cs="Arial"/>
          <w:color w:val="0D0D0D"/>
        </w:rPr>
        <w:t xml:space="preserve">additional 1% margin over gilts to all PWLB rates until 11 March 2020 when this was partially reversed </w:t>
      </w:r>
      <w:r w:rsidRPr="00FD03D7">
        <w:rPr>
          <w:rFonts w:ascii="Arial" w:hAnsi="Arial" w:cs="Arial"/>
          <w:color w:val="0D0D0D"/>
        </w:rPr>
        <w:t>for some forms of borrowing.</w:t>
      </w:r>
      <w:r>
        <w:rPr>
          <w:rFonts w:ascii="Arial" w:hAnsi="Arial" w:cs="Arial"/>
          <w:color w:val="0D0D0D"/>
        </w:rPr>
        <w:t xml:space="preserve"> A consultation was then held with local authorities and on 25 November 2020, the Chancellor announced the conclusion to the review of margins over gilt yields for PWLB rates; standard and certainty margins were reduced by 1%.</w:t>
      </w:r>
    </w:p>
    <w:p w14:paraId="0CE83FED" w14:textId="77777777" w:rsidR="00FD03D7" w:rsidRPr="00FD03D7" w:rsidRDefault="00FD03D7" w:rsidP="00AE27FF">
      <w:pPr>
        <w:rPr>
          <w:b/>
        </w:rPr>
      </w:pPr>
    </w:p>
    <w:p w14:paraId="44E92B0F" w14:textId="77777777" w:rsidR="00BF68B1" w:rsidRDefault="00BF68B1">
      <w:pPr>
        <w:spacing w:after="0" w:line="240" w:lineRule="auto"/>
        <w:rPr>
          <w:b/>
        </w:rPr>
      </w:pPr>
      <w:r>
        <w:rPr>
          <w:b/>
        </w:rPr>
        <w:br w:type="page"/>
      </w:r>
    </w:p>
    <w:p w14:paraId="4025AE9F" w14:textId="77777777" w:rsidR="00AE27FF" w:rsidRPr="00B51E3A" w:rsidRDefault="000F0FC9" w:rsidP="00AE27FF">
      <w:pPr>
        <w:rPr>
          <w:rFonts w:ascii="Arial" w:hAnsi="Arial" w:cs="Arial"/>
          <w:b/>
          <w:bCs/>
        </w:rPr>
      </w:pPr>
      <w:r w:rsidRPr="00B51E3A">
        <w:rPr>
          <w:b/>
        </w:rPr>
        <w:lastRenderedPageBreak/>
        <w:t xml:space="preserve">APPENDIX 5 – </w:t>
      </w:r>
      <w:r w:rsidR="00AE27FF" w:rsidRPr="00B51E3A">
        <w:rPr>
          <w:rFonts w:ascii="Arial" w:hAnsi="Arial" w:cs="Arial"/>
          <w:b/>
          <w:bCs/>
        </w:rPr>
        <w:t xml:space="preserve">Economic Update </w:t>
      </w:r>
    </w:p>
    <w:p w14:paraId="00A8F13E" w14:textId="77777777" w:rsidR="00B51E3A" w:rsidRDefault="00FD03D7" w:rsidP="00FD03D7">
      <w:pPr>
        <w:tabs>
          <w:tab w:val="num" w:pos="1701"/>
        </w:tabs>
        <w:autoSpaceDE w:val="0"/>
        <w:autoSpaceDN w:val="0"/>
        <w:adjustRightInd w:val="0"/>
        <w:jc w:val="both"/>
        <w:rPr>
          <w:rFonts w:ascii="Arial" w:hAnsi="Arial" w:cs="Arial"/>
          <w:bCs/>
          <w:color w:val="000000"/>
        </w:rPr>
      </w:pPr>
      <w:r w:rsidRPr="00B51E3A">
        <w:rPr>
          <w:rFonts w:ascii="Arial" w:eastAsia="Bliss 2 Regular" w:hAnsi="Arial" w:cs="Arial"/>
          <w:b/>
          <w:bCs/>
          <w:color w:val="0D0D0D"/>
        </w:rPr>
        <w:t>UK.</w:t>
      </w:r>
      <w:r w:rsidRPr="00B51E3A">
        <w:rPr>
          <w:rFonts w:ascii="Arial" w:eastAsia="Bliss 2 Regular" w:hAnsi="Arial" w:cs="Arial"/>
          <w:color w:val="0D0D0D"/>
        </w:rPr>
        <w:t xml:space="preserve">  </w:t>
      </w:r>
      <w:r w:rsidRPr="00B51E3A">
        <w:rPr>
          <w:rFonts w:ascii="Arial" w:eastAsia="Bliss 2 Regular" w:hAnsi="Arial" w:cs="Arial"/>
          <w:b/>
          <w:color w:val="0D0D0D"/>
        </w:rPr>
        <w:t>Coronavirus.</w:t>
      </w:r>
      <w:r w:rsidRPr="00B51E3A">
        <w:rPr>
          <w:rFonts w:ascii="Arial" w:eastAsia="Bliss 2 Regular" w:hAnsi="Arial" w:cs="Arial"/>
          <w:color w:val="0D0D0D"/>
        </w:rPr>
        <w:t xml:space="preserve"> </w:t>
      </w:r>
      <w:r w:rsidRPr="00B51E3A">
        <w:rPr>
          <w:rFonts w:ascii="Arial" w:hAnsi="Arial" w:cs="Arial"/>
          <w:bCs/>
          <w:color w:val="000000"/>
        </w:rPr>
        <w:t xml:space="preserve">The </w:t>
      </w:r>
      <w:r w:rsidR="00B51E3A">
        <w:rPr>
          <w:rFonts w:ascii="Arial" w:hAnsi="Arial" w:cs="Arial"/>
          <w:bCs/>
          <w:color w:val="000000"/>
        </w:rPr>
        <w:t>2020/21 financial year was dominated by the pandemic. The first national lockdown in late March 2020 had a significant impact on the economy. This caused an economic downturn exceeding the financial crisis of 2008/09. A second lockdown in November 2020 was followed by a third lockdown in January 2021. Businesses and individuals became more resilient in adapting to working in new ways so less impact was observed compared to the initial lockdown. Introduction of the vaccines promises to lead to a return to more normal life during the second half of 2021 which in turn will speed up economic recovery and reopening of the economy generally.</w:t>
      </w:r>
    </w:p>
    <w:p w14:paraId="6C3B8514" w14:textId="77777777" w:rsidR="00B51E3A" w:rsidRDefault="00417806" w:rsidP="00FD03D7">
      <w:pPr>
        <w:tabs>
          <w:tab w:val="num" w:pos="1701"/>
        </w:tabs>
        <w:autoSpaceDE w:val="0"/>
        <w:autoSpaceDN w:val="0"/>
        <w:adjustRightInd w:val="0"/>
        <w:jc w:val="both"/>
        <w:rPr>
          <w:rFonts w:ascii="Arial" w:hAnsi="Arial" w:cs="Arial"/>
          <w:bCs/>
          <w:color w:val="000000"/>
        </w:rPr>
      </w:pPr>
      <w:r>
        <w:rPr>
          <w:rFonts w:ascii="Arial" w:hAnsi="Arial" w:cs="Arial"/>
          <w:bCs/>
          <w:color w:val="000000"/>
        </w:rPr>
        <w:t>The Bank of England base rate has remained at 0.10% since 11 March 2020 as a result of the continuing uncertainty resulting from the coronavirus pandemic.</w:t>
      </w:r>
    </w:p>
    <w:p w14:paraId="426D3AE4" w14:textId="77777777" w:rsidR="00417806" w:rsidRPr="00BF68B1" w:rsidRDefault="00417806" w:rsidP="00FD03D7">
      <w:pPr>
        <w:tabs>
          <w:tab w:val="num" w:pos="1701"/>
        </w:tabs>
        <w:autoSpaceDE w:val="0"/>
        <w:autoSpaceDN w:val="0"/>
        <w:adjustRightInd w:val="0"/>
        <w:jc w:val="both"/>
        <w:rPr>
          <w:rFonts w:ascii="Arial" w:hAnsi="Arial" w:cs="Arial"/>
          <w:bCs/>
          <w:color w:val="000000"/>
        </w:rPr>
      </w:pPr>
      <w:r>
        <w:rPr>
          <w:rFonts w:ascii="Arial" w:hAnsi="Arial" w:cs="Arial"/>
          <w:bCs/>
          <w:color w:val="000000"/>
        </w:rPr>
        <w:t xml:space="preserve">The Chancellor implemented government support to businesses by way of cheap loans and protecting employment by paying for workers on furlough. This support comes at great cost </w:t>
      </w:r>
      <w:r w:rsidR="00386662">
        <w:rPr>
          <w:rFonts w:ascii="Arial" w:hAnsi="Arial" w:cs="Arial"/>
          <w:bCs/>
          <w:color w:val="000000"/>
        </w:rPr>
        <w:t xml:space="preserve">and increased debt to GDP ratio to circa 100%. Tax increases are planned for the three years </w:t>
      </w:r>
      <w:r w:rsidR="00386662" w:rsidRPr="00BF68B1">
        <w:rPr>
          <w:rFonts w:ascii="Arial" w:hAnsi="Arial" w:cs="Arial"/>
          <w:bCs/>
          <w:color w:val="000000"/>
        </w:rPr>
        <w:t xml:space="preserve">following 2021 and 2022 to help pay for pandemic costs. </w:t>
      </w:r>
    </w:p>
    <w:p w14:paraId="73790E1F" w14:textId="77777777" w:rsidR="00BF68B1" w:rsidRDefault="00AE27FF" w:rsidP="00AE27FF">
      <w:pPr>
        <w:tabs>
          <w:tab w:val="num" w:pos="1701"/>
        </w:tabs>
        <w:autoSpaceDE w:val="0"/>
        <w:autoSpaceDN w:val="0"/>
        <w:adjustRightInd w:val="0"/>
        <w:jc w:val="both"/>
        <w:rPr>
          <w:rFonts w:ascii="Arial" w:hAnsi="Arial" w:cs="Arial"/>
          <w:bCs/>
          <w:color w:val="000000"/>
        </w:rPr>
      </w:pPr>
      <w:r w:rsidRPr="00BF68B1">
        <w:rPr>
          <w:rFonts w:ascii="Arial" w:eastAsia="Bliss 2 Regular" w:hAnsi="Arial" w:cs="Arial"/>
          <w:b/>
          <w:bCs/>
          <w:color w:val="0D0D0D"/>
        </w:rPr>
        <w:t>UK.</w:t>
      </w:r>
      <w:r w:rsidRPr="00BF68B1">
        <w:rPr>
          <w:rFonts w:ascii="Arial" w:eastAsia="Bliss 2 Regular" w:hAnsi="Arial" w:cs="Arial"/>
          <w:color w:val="0D0D0D"/>
        </w:rPr>
        <w:t xml:space="preserve">  </w:t>
      </w:r>
      <w:r w:rsidRPr="00BF68B1">
        <w:rPr>
          <w:rFonts w:ascii="Arial" w:eastAsia="Bliss 2 Regular" w:hAnsi="Arial" w:cs="Arial"/>
          <w:b/>
          <w:color w:val="0D0D0D"/>
        </w:rPr>
        <w:t>Brexit.</w:t>
      </w:r>
      <w:r w:rsidRPr="00BF68B1">
        <w:rPr>
          <w:rFonts w:ascii="Arial" w:eastAsia="Bliss 2 Regular" w:hAnsi="Arial" w:cs="Arial"/>
          <w:color w:val="0D0D0D"/>
        </w:rPr>
        <w:t xml:space="preserve"> </w:t>
      </w:r>
      <w:r w:rsidRPr="00BF68B1">
        <w:rPr>
          <w:rFonts w:ascii="Arial" w:hAnsi="Arial" w:cs="Arial"/>
          <w:bCs/>
          <w:color w:val="000000"/>
        </w:rPr>
        <w:t>The</w:t>
      </w:r>
      <w:r w:rsidR="00BF68B1">
        <w:rPr>
          <w:rFonts w:ascii="Arial" w:hAnsi="Arial" w:cs="Arial"/>
          <w:bCs/>
          <w:color w:val="000000"/>
        </w:rPr>
        <w:t xml:space="preserve"> final agreement of 24 December 2020 eliminated some of the downside risk for the UK economy. Further work needs to be undertaken for the services sector and disruption was experienced during January due to form filling barriers to trade.</w:t>
      </w:r>
    </w:p>
    <w:p w14:paraId="061FBE8A" w14:textId="77777777" w:rsidR="005B4F58" w:rsidRPr="00AE27FF" w:rsidRDefault="005B4F58">
      <w:pPr>
        <w:rPr>
          <w:rFonts w:ascii="Arial" w:hAnsi="Arial" w:cs="Arial"/>
        </w:rPr>
      </w:pPr>
    </w:p>
    <w:sectPr w:rsidR="005B4F58" w:rsidRPr="00AE27F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29782" w14:textId="77777777" w:rsidR="0025525F" w:rsidRDefault="0025525F" w:rsidP="000F1771">
      <w:pPr>
        <w:spacing w:after="0" w:line="240" w:lineRule="auto"/>
      </w:pPr>
      <w:r>
        <w:separator/>
      </w:r>
    </w:p>
  </w:endnote>
  <w:endnote w:type="continuationSeparator" w:id="0">
    <w:p w14:paraId="3AC9F767" w14:textId="77777777" w:rsidR="0025525F" w:rsidRDefault="0025525F" w:rsidP="000F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iss 2 Regular">
    <w:altName w:val="Franklin Gothic Medium Con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0D83B" w14:textId="77777777" w:rsidR="002B6464" w:rsidRDefault="002B6464">
    <w:pPr>
      <w:pStyle w:val="Footer"/>
      <w:jc w:val="center"/>
      <w:rPr>
        <w:noProof/>
      </w:rPr>
    </w:pPr>
    <w:r>
      <w:fldChar w:fldCharType="begin"/>
    </w:r>
    <w:r>
      <w:instrText xml:space="preserve"> PAGE   \* MERGEFORMAT </w:instrText>
    </w:r>
    <w:r>
      <w:fldChar w:fldCharType="separate"/>
    </w:r>
    <w:r w:rsidR="00005B99">
      <w:rPr>
        <w:noProof/>
      </w:rPr>
      <w:t>9</w:t>
    </w:r>
    <w:r>
      <w:rPr>
        <w:noProof/>
      </w:rPr>
      <w:fldChar w:fldCharType="end"/>
    </w:r>
  </w:p>
  <w:p w14:paraId="09C3F4D4" w14:textId="77777777" w:rsidR="002B6464" w:rsidRDefault="002B6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3AD60" w14:textId="77777777" w:rsidR="0025525F" w:rsidRDefault="0025525F" w:rsidP="000F1771">
      <w:pPr>
        <w:spacing w:after="0" w:line="240" w:lineRule="auto"/>
      </w:pPr>
      <w:r>
        <w:separator/>
      </w:r>
    </w:p>
  </w:footnote>
  <w:footnote w:type="continuationSeparator" w:id="0">
    <w:p w14:paraId="75F8B7AA" w14:textId="77777777" w:rsidR="0025525F" w:rsidRDefault="0025525F" w:rsidP="000F1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5594C" w14:textId="7A647773" w:rsidR="002B6464" w:rsidRPr="003A103C" w:rsidRDefault="002B6464" w:rsidP="003A103C">
    <w:pPr>
      <w:pStyle w:val="Header"/>
      <w:rPr>
        <w:rFonts w:ascii="Arial" w:hAnsi="Arial" w:cs="Arial"/>
        <w:sz w:val="24"/>
        <w:szCs w:val="24"/>
      </w:rPr>
    </w:pPr>
    <w:r>
      <w:tab/>
    </w:r>
    <w:r w:rsidRPr="003A103C">
      <w:rPr>
        <w:rFonts w:ascii="Arial" w:hAnsi="Arial" w:cs="Arial"/>
        <w:sz w:val="24"/>
        <w:szCs w:val="24"/>
      </w:rPr>
      <w:t>OFFICIAL</w:t>
    </w:r>
    <w:r w:rsidRPr="003A103C">
      <w:rPr>
        <w:rFonts w:ascii="Arial" w:hAnsi="Arial" w:cs="Arial"/>
        <w:sz w:val="24"/>
        <w:szCs w:val="24"/>
      </w:rPr>
      <w:tab/>
    </w:r>
    <w:r w:rsidR="00412E1B">
      <w:rPr>
        <w:rFonts w:ascii="Arial" w:hAnsi="Arial" w:cs="Arial"/>
        <w:sz w:val="24"/>
        <w:szCs w:val="24"/>
      </w:rPr>
      <w:t>Item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56F58"/>
    <w:multiLevelType w:val="hybridMultilevel"/>
    <w:tmpl w:val="8C3E98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281E0E"/>
    <w:multiLevelType w:val="hybridMultilevel"/>
    <w:tmpl w:val="6AFA8C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4F3345"/>
    <w:multiLevelType w:val="hybridMultilevel"/>
    <w:tmpl w:val="38BCCC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7781709A"/>
    <w:multiLevelType w:val="multilevel"/>
    <w:tmpl w:val="E5C0B09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71"/>
    <w:rsid w:val="0000101D"/>
    <w:rsid w:val="00003D4D"/>
    <w:rsid w:val="00003FE5"/>
    <w:rsid w:val="00005B99"/>
    <w:rsid w:val="000139D8"/>
    <w:rsid w:val="000223F8"/>
    <w:rsid w:val="0002387B"/>
    <w:rsid w:val="00033B02"/>
    <w:rsid w:val="00040023"/>
    <w:rsid w:val="00041E68"/>
    <w:rsid w:val="00047C03"/>
    <w:rsid w:val="000803AE"/>
    <w:rsid w:val="00081B0A"/>
    <w:rsid w:val="000963A4"/>
    <w:rsid w:val="000A3CA0"/>
    <w:rsid w:val="000D2546"/>
    <w:rsid w:val="000F0FC9"/>
    <w:rsid w:val="000F1771"/>
    <w:rsid w:val="000F2ABB"/>
    <w:rsid w:val="000F5E0F"/>
    <w:rsid w:val="00121524"/>
    <w:rsid w:val="00121EF5"/>
    <w:rsid w:val="00123EEB"/>
    <w:rsid w:val="00135170"/>
    <w:rsid w:val="001433F2"/>
    <w:rsid w:val="001454D2"/>
    <w:rsid w:val="00196C8E"/>
    <w:rsid w:val="00197E89"/>
    <w:rsid w:val="001A42BF"/>
    <w:rsid w:val="001A748A"/>
    <w:rsid w:val="001D08DE"/>
    <w:rsid w:val="0021644B"/>
    <w:rsid w:val="00224444"/>
    <w:rsid w:val="00225124"/>
    <w:rsid w:val="00241B4C"/>
    <w:rsid w:val="002436C4"/>
    <w:rsid w:val="0025525F"/>
    <w:rsid w:val="00266A83"/>
    <w:rsid w:val="002703C2"/>
    <w:rsid w:val="00275566"/>
    <w:rsid w:val="0029138F"/>
    <w:rsid w:val="00293461"/>
    <w:rsid w:val="00295937"/>
    <w:rsid w:val="002B4E13"/>
    <w:rsid w:val="002B6464"/>
    <w:rsid w:val="002C21E2"/>
    <w:rsid w:val="002C7F4E"/>
    <w:rsid w:val="002E6594"/>
    <w:rsid w:val="002E65C2"/>
    <w:rsid w:val="002E7867"/>
    <w:rsid w:val="00304B61"/>
    <w:rsid w:val="0030516C"/>
    <w:rsid w:val="00314AEB"/>
    <w:rsid w:val="00377447"/>
    <w:rsid w:val="0038030A"/>
    <w:rsid w:val="00386662"/>
    <w:rsid w:val="003A103C"/>
    <w:rsid w:val="003B06C3"/>
    <w:rsid w:val="003B2722"/>
    <w:rsid w:val="003B6468"/>
    <w:rsid w:val="003E22F0"/>
    <w:rsid w:val="003F1128"/>
    <w:rsid w:val="00402CBE"/>
    <w:rsid w:val="00412E1B"/>
    <w:rsid w:val="00417806"/>
    <w:rsid w:val="00430CFA"/>
    <w:rsid w:val="004327E3"/>
    <w:rsid w:val="00450253"/>
    <w:rsid w:val="00465490"/>
    <w:rsid w:val="004908BA"/>
    <w:rsid w:val="004A031C"/>
    <w:rsid w:val="004A2D53"/>
    <w:rsid w:val="004C079D"/>
    <w:rsid w:val="004E5A65"/>
    <w:rsid w:val="004F56E1"/>
    <w:rsid w:val="004F6B50"/>
    <w:rsid w:val="00511587"/>
    <w:rsid w:val="00515418"/>
    <w:rsid w:val="00516C38"/>
    <w:rsid w:val="005275D5"/>
    <w:rsid w:val="005326D5"/>
    <w:rsid w:val="00542B1E"/>
    <w:rsid w:val="00544284"/>
    <w:rsid w:val="00553415"/>
    <w:rsid w:val="00573B7D"/>
    <w:rsid w:val="00591441"/>
    <w:rsid w:val="005B163B"/>
    <w:rsid w:val="005B4F58"/>
    <w:rsid w:val="005D5545"/>
    <w:rsid w:val="005E0178"/>
    <w:rsid w:val="005F4DED"/>
    <w:rsid w:val="006021B3"/>
    <w:rsid w:val="0062069C"/>
    <w:rsid w:val="00633B71"/>
    <w:rsid w:val="00633FC4"/>
    <w:rsid w:val="0064108D"/>
    <w:rsid w:val="00641C33"/>
    <w:rsid w:val="00643828"/>
    <w:rsid w:val="006528F0"/>
    <w:rsid w:val="0067795E"/>
    <w:rsid w:val="006B29DE"/>
    <w:rsid w:val="00710A8D"/>
    <w:rsid w:val="007173AA"/>
    <w:rsid w:val="00717DFE"/>
    <w:rsid w:val="0074008C"/>
    <w:rsid w:val="00746454"/>
    <w:rsid w:val="00755E4E"/>
    <w:rsid w:val="00791EA7"/>
    <w:rsid w:val="00794970"/>
    <w:rsid w:val="00794A78"/>
    <w:rsid w:val="007954A8"/>
    <w:rsid w:val="007A6340"/>
    <w:rsid w:val="007B3F11"/>
    <w:rsid w:val="007D26B4"/>
    <w:rsid w:val="007D2762"/>
    <w:rsid w:val="007D36D0"/>
    <w:rsid w:val="007D4803"/>
    <w:rsid w:val="007E6B77"/>
    <w:rsid w:val="007F1094"/>
    <w:rsid w:val="007F53E4"/>
    <w:rsid w:val="00807DFD"/>
    <w:rsid w:val="00810062"/>
    <w:rsid w:val="00817B2F"/>
    <w:rsid w:val="00820C59"/>
    <w:rsid w:val="0083609E"/>
    <w:rsid w:val="00866E8F"/>
    <w:rsid w:val="008707EE"/>
    <w:rsid w:val="00872BF0"/>
    <w:rsid w:val="008770D5"/>
    <w:rsid w:val="008A299D"/>
    <w:rsid w:val="008A7C0E"/>
    <w:rsid w:val="008B6DDC"/>
    <w:rsid w:val="008C2231"/>
    <w:rsid w:val="008D2037"/>
    <w:rsid w:val="008E0E4C"/>
    <w:rsid w:val="009169FF"/>
    <w:rsid w:val="00941ED7"/>
    <w:rsid w:val="00953829"/>
    <w:rsid w:val="00962F7E"/>
    <w:rsid w:val="009759FD"/>
    <w:rsid w:val="0098500C"/>
    <w:rsid w:val="00994D32"/>
    <w:rsid w:val="009A20F8"/>
    <w:rsid w:val="009C03DE"/>
    <w:rsid w:val="009C220E"/>
    <w:rsid w:val="009F15F3"/>
    <w:rsid w:val="00A03D18"/>
    <w:rsid w:val="00A154BE"/>
    <w:rsid w:val="00A476A9"/>
    <w:rsid w:val="00A570DE"/>
    <w:rsid w:val="00A57DE7"/>
    <w:rsid w:val="00A65758"/>
    <w:rsid w:val="00A71C87"/>
    <w:rsid w:val="00A733C6"/>
    <w:rsid w:val="00A80A87"/>
    <w:rsid w:val="00A83673"/>
    <w:rsid w:val="00AA500B"/>
    <w:rsid w:val="00AA6D49"/>
    <w:rsid w:val="00AB4DED"/>
    <w:rsid w:val="00AC05F3"/>
    <w:rsid w:val="00AD4811"/>
    <w:rsid w:val="00AE0E11"/>
    <w:rsid w:val="00AE27FF"/>
    <w:rsid w:val="00AF4E7D"/>
    <w:rsid w:val="00AF76EF"/>
    <w:rsid w:val="00B22BFB"/>
    <w:rsid w:val="00B23A7B"/>
    <w:rsid w:val="00B2589B"/>
    <w:rsid w:val="00B25E1A"/>
    <w:rsid w:val="00B46D2D"/>
    <w:rsid w:val="00B51E3A"/>
    <w:rsid w:val="00B52DC3"/>
    <w:rsid w:val="00B76E75"/>
    <w:rsid w:val="00B80E1C"/>
    <w:rsid w:val="00B8190C"/>
    <w:rsid w:val="00B86FFC"/>
    <w:rsid w:val="00BA134D"/>
    <w:rsid w:val="00BB16F3"/>
    <w:rsid w:val="00BB5980"/>
    <w:rsid w:val="00BC0A3D"/>
    <w:rsid w:val="00BC4B8A"/>
    <w:rsid w:val="00BD5B4A"/>
    <w:rsid w:val="00BD760B"/>
    <w:rsid w:val="00BE285C"/>
    <w:rsid w:val="00BF68B1"/>
    <w:rsid w:val="00C10E29"/>
    <w:rsid w:val="00C2692E"/>
    <w:rsid w:val="00C33B9E"/>
    <w:rsid w:val="00C5495F"/>
    <w:rsid w:val="00C5591E"/>
    <w:rsid w:val="00C70C95"/>
    <w:rsid w:val="00C724AC"/>
    <w:rsid w:val="00C76724"/>
    <w:rsid w:val="00C76CA3"/>
    <w:rsid w:val="00CB1833"/>
    <w:rsid w:val="00CC35D5"/>
    <w:rsid w:val="00CD0540"/>
    <w:rsid w:val="00CD18BC"/>
    <w:rsid w:val="00CD7AB2"/>
    <w:rsid w:val="00CE1B66"/>
    <w:rsid w:val="00CE5292"/>
    <w:rsid w:val="00CE71C4"/>
    <w:rsid w:val="00CF32BB"/>
    <w:rsid w:val="00CF760E"/>
    <w:rsid w:val="00CF764E"/>
    <w:rsid w:val="00D22E8A"/>
    <w:rsid w:val="00D2714D"/>
    <w:rsid w:val="00D2783F"/>
    <w:rsid w:val="00D3164B"/>
    <w:rsid w:val="00D756FE"/>
    <w:rsid w:val="00DB3A43"/>
    <w:rsid w:val="00DD24DC"/>
    <w:rsid w:val="00DF3F33"/>
    <w:rsid w:val="00E05F70"/>
    <w:rsid w:val="00E14469"/>
    <w:rsid w:val="00E15181"/>
    <w:rsid w:val="00E20778"/>
    <w:rsid w:val="00E20A18"/>
    <w:rsid w:val="00E26BCF"/>
    <w:rsid w:val="00E26FE6"/>
    <w:rsid w:val="00E30741"/>
    <w:rsid w:val="00E40F5B"/>
    <w:rsid w:val="00E64671"/>
    <w:rsid w:val="00E65F8B"/>
    <w:rsid w:val="00E73416"/>
    <w:rsid w:val="00E8325E"/>
    <w:rsid w:val="00E901F1"/>
    <w:rsid w:val="00E9035F"/>
    <w:rsid w:val="00E92569"/>
    <w:rsid w:val="00EC634B"/>
    <w:rsid w:val="00EF6093"/>
    <w:rsid w:val="00F02D7E"/>
    <w:rsid w:val="00F037EC"/>
    <w:rsid w:val="00F10CBE"/>
    <w:rsid w:val="00F13250"/>
    <w:rsid w:val="00F14E87"/>
    <w:rsid w:val="00F22892"/>
    <w:rsid w:val="00F246F4"/>
    <w:rsid w:val="00F3398F"/>
    <w:rsid w:val="00F3561D"/>
    <w:rsid w:val="00F53F06"/>
    <w:rsid w:val="00F54EB9"/>
    <w:rsid w:val="00F74D5E"/>
    <w:rsid w:val="00F9484A"/>
    <w:rsid w:val="00FA4381"/>
    <w:rsid w:val="00FB7D8C"/>
    <w:rsid w:val="00FC5155"/>
    <w:rsid w:val="00FD03D7"/>
    <w:rsid w:val="00FD58FB"/>
    <w:rsid w:val="00FE311D"/>
    <w:rsid w:val="00FF0BD6"/>
    <w:rsid w:val="00FF76FC"/>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A5C22E1"/>
  <w15:chartTrackingRefBased/>
  <w15:docId w15:val="{B76C6A93-FCA8-4E0E-9C20-028202B7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71"/>
    <w:pPr>
      <w:tabs>
        <w:tab w:val="center" w:pos="4513"/>
        <w:tab w:val="right" w:pos="9026"/>
      </w:tabs>
    </w:pPr>
  </w:style>
  <w:style w:type="character" w:customStyle="1" w:styleId="HeaderChar">
    <w:name w:val="Header Char"/>
    <w:link w:val="Header"/>
    <w:uiPriority w:val="99"/>
    <w:rsid w:val="000F1771"/>
    <w:rPr>
      <w:sz w:val="22"/>
      <w:szCs w:val="22"/>
      <w:lang w:eastAsia="en-US"/>
    </w:rPr>
  </w:style>
  <w:style w:type="paragraph" w:styleId="Footer">
    <w:name w:val="footer"/>
    <w:basedOn w:val="Normal"/>
    <w:link w:val="FooterChar"/>
    <w:uiPriority w:val="99"/>
    <w:unhideWhenUsed/>
    <w:rsid w:val="000F1771"/>
    <w:pPr>
      <w:tabs>
        <w:tab w:val="center" w:pos="4513"/>
        <w:tab w:val="right" w:pos="9026"/>
      </w:tabs>
    </w:pPr>
  </w:style>
  <w:style w:type="character" w:customStyle="1" w:styleId="FooterChar">
    <w:name w:val="Footer Char"/>
    <w:link w:val="Footer"/>
    <w:uiPriority w:val="99"/>
    <w:rsid w:val="000F1771"/>
    <w:rPr>
      <w:sz w:val="22"/>
      <w:szCs w:val="22"/>
      <w:lang w:eastAsia="en-US"/>
    </w:rPr>
  </w:style>
  <w:style w:type="paragraph" w:styleId="BalloonText">
    <w:name w:val="Balloon Text"/>
    <w:basedOn w:val="Normal"/>
    <w:link w:val="BalloonTextChar"/>
    <w:uiPriority w:val="99"/>
    <w:semiHidden/>
    <w:unhideWhenUsed/>
    <w:rsid w:val="000F17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1771"/>
    <w:rPr>
      <w:rFonts w:ascii="Tahoma" w:hAnsi="Tahoma" w:cs="Tahoma"/>
      <w:sz w:val="16"/>
      <w:szCs w:val="16"/>
      <w:lang w:eastAsia="en-US"/>
    </w:rPr>
  </w:style>
  <w:style w:type="paragraph" w:styleId="ListParagraph">
    <w:name w:val="List Paragraph"/>
    <w:basedOn w:val="Normal"/>
    <w:uiPriority w:val="34"/>
    <w:qFormat/>
    <w:rsid w:val="00FF76FC"/>
    <w:pPr>
      <w:ind w:left="720"/>
    </w:pPr>
  </w:style>
  <w:style w:type="paragraph" w:styleId="BodyText">
    <w:name w:val="Body Text"/>
    <w:basedOn w:val="Normal"/>
    <w:link w:val="BodyTextChar"/>
    <w:uiPriority w:val="99"/>
    <w:rsid w:val="00AE27FF"/>
    <w:pPr>
      <w:spacing w:after="220" w:line="180" w:lineRule="atLeast"/>
      <w:jc w:val="both"/>
    </w:pPr>
    <w:rPr>
      <w:rFonts w:ascii="Times New Roman" w:eastAsia="Times New Roman" w:hAnsi="Times New Roman"/>
      <w:szCs w:val="20"/>
      <w:lang w:val="x-none"/>
    </w:rPr>
  </w:style>
  <w:style w:type="character" w:customStyle="1" w:styleId="BodyTextChar">
    <w:name w:val="Body Text Char"/>
    <w:basedOn w:val="DefaultParagraphFont"/>
    <w:link w:val="BodyText"/>
    <w:uiPriority w:val="99"/>
    <w:rsid w:val="00AE27FF"/>
    <w:rPr>
      <w:rFonts w:ascii="Times New Roman" w:eastAsia="Times New Roman" w:hAnsi="Times New Roman"/>
      <w:sz w:val="22"/>
      <w:lang w:val="x-none" w:eastAsia="en-US"/>
    </w:rPr>
  </w:style>
  <w:style w:type="character" w:styleId="Hyperlink">
    <w:name w:val="Hyperlink"/>
    <w:basedOn w:val="DefaultParagraphFont"/>
    <w:uiPriority w:val="99"/>
    <w:unhideWhenUsed/>
    <w:rsid w:val="00AC05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39155">
      <w:bodyDiv w:val="1"/>
      <w:marLeft w:val="0"/>
      <w:marRight w:val="0"/>
      <w:marTop w:val="0"/>
      <w:marBottom w:val="0"/>
      <w:divBdr>
        <w:top w:val="none" w:sz="0" w:space="0" w:color="auto"/>
        <w:left w:val="none" w:sz="0" w:space="0" w:color="auto"/>
        <w:bottom w:val="none" w:sz="0" w:space="0" w:color="auto"/>
        <w:right w:val="none" w:sz="0" w:space="0" w:color="auto"/>
      </w:divBdr>
    </w:div>
    <w:div w:id="1247224789">
      <w:bodyDiv w:val="1"/>
      <w:marLeft w:val="0"/>
      <w:marRight w:val="0"/>
      <w:marTop w:val="0"/>
      <w:marBottom w:val="0"/>
      <w:divBdr>
        <w:top w:val="none" w:sz="0" w:space="0" w:color="auto"/>
        <w:left w:val="none" w:sz="0" w:space="0" w:color="auto"/>
        <w:bottom w:val="none" w:sz="0" w:space="0" w:color="auto"/>
        <w:right w:val="none" w:sz="0" w:space="0" w:color="auto"/>
      </w:divBdr>
    </w:div>
    <w:div w:id="1629966195">
      <w:bodyDiv w:val="1"/>
      <w:marLeft w:val="0"/>
      <w:marRight w:val="0"/>
      <w:marTop w:val="0"/>
      <w:marBottom w:val="0"/>
      <w:divBdr>
        <w:top w:val="none" w:sz="0" w:space="0" w:color="auto"/>
        <w:left w:val="none" w:sz="0" w:space="0" w:color="auto"/>
        <w:bottom w:val="none" w:sz="0" w:space="0" w:color="auto"/>
        <w:right w:val="none" w:sz="0" w:space="0" w:color="auto"/>
      </w:divBdr>
    </w:div>
    <w:div w:id="211513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Miranda.Kadwell@surrey.pnn.police.uk"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Pub1mntbrowne\Public\Finance&amp;Admin\FINANCIAL%20ACCOUNTING\Treasury%20Management%20&amp;%20Prudential%20Code\2020-21\Outturn%20TM%20report%20and%20calculations\2020-21%20Treasury%20Cash%20Flows%2021071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ub1mntbrowne\Public\Finance&amp;Admin\FINANCIAL%20ACCOUNTING\Treasury%20Management%20&amp;%20Prudential%20Code\2020-21\Outturn%20TM%20report%20and%20calculations\2020-21%20Treasury%20Cash%20Flows%2021071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ub1mntbrowne\Public\Finance&amp;Admin\FINANCIAL%20ACCOUNTING\Treasury%20Management%20&amp;%20Prudential%20Code\2020-21\Outturn%20TM%20report%20and%20calculations\2020-21%20Treasury%20Cash%20Flows%2021071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Interest Rates</a:t>
            </a:r>
          </a:p>
        </c:rich>
      </c:tx>
      <c:overlay val="0"/>
      <c:spPr>
        <a:noFill/>
        <a:ln w="25400">
          <a:noFill/>
        </a:ln>
      </c:spPr>
    </c:title>
    <c:autoTitleDeleted val="0"/>
    <c:plotArea>
      <c:layout/>
      <c:lineChart>
        <c:grouping val="standard"/>
        <c:varyColors val="0"/>
        <c:ser>
          <c:idx val="0"/>
          <c:order val="0"/>
          <c:spPr>
            <a:ln w="28575" cap="rnd">
              <a:solidFill>
                <a:schemeClr val="accent1"/>
              </a:solidFill>
              <a:round/>
            </a:ln>
            <a:effectLst/>
          </c:spPr>
          <c:marker>
            <c:symbol val="none"/>
          </c:marker>
          <c:cat>
            <c:strRef>
              <c:f>'Organised Data'!$B$26:$B$55</c:f>
              <c:strCache>
                <c:ptCount val="30"/>
                <c:pt idx="0">
                  <c:v>13/14 Q3</c:v>
                </c:pt>
                <c:pt idx="1">
                  <c:v>13/14 Q4</c:v>
                </c:pt>
                <c:pt idx="2">
                  <c:v>14/15 Q1</c:v>
                </c:pt>
                <c:pt idx="3">
                  <c:v>14/15 Q2</c:v>
                </c:pt>
                <c:pt idx="4">
                  <c:v>14/15 Q3</c:v>
                </c:pt>
                <c:pt idx="5">
                  <c:v>14/15 Q4</c:v>
                </c:pt>
                <c:pt idx="6">
                  <c:v>15/16 Q1</c:v>
                </c:pt>
                <c:pt idx="7">
                  <c:v>15/16 Q2</c:v>
                </c:pt>
                <c:pt idx="8">
                  <c:v>15/16 Q3</c:v>
                </c:pt>
                <c:pt idx="9">
                  <c:v>15/16 Q4</c:v>
                </c:pt>
                <c:pt idx="10">
                  <c:v>16/17 Q1</c:v>
                </c:pt>
                <c:pt idx="11">
                  <c:v>16/17 Q2</c:v>
                </c:pt>
                <c:pt idx="12">
                  <c:v>16/17 Q3</c:v>
                </c:pt>
                <c:pt idx="13">
                  <c:v>16/17 Q4</c:v>
                </c:pt>
                <c:pt idx="14">
                  <c:v>17/18 Q1</c:v>
                </c:pt>
                <c:pt idx="15">
                  <c:v>17/18 Q2</c:v>
                </c:pt>
                <c:pt idx="16">
                  <c:v>17/18 Q3</c:v>
                </c:pt>
                <c:pt idx="17">
                  <c:v>17/18 Q4</c:v>
                </c:pt>
                <c:pt idx="18">
                  <c:v>18/19 Q1</c:v>
                </c:pt>
                <c:pt idx="19">
                  <c:v>18/19 Q2</c:v>
                </c:pt>
                <c:pt idx="20">
                  <c:v>18/19 Q3</c:v>
                </c:pt>
                <c:pt idx="21">
                  <c:v>18/19 Q4</c:v>
                </c:pt>
                <c:pt idx="22">
                  <c:v>19/20 Q1</c:v>
                </c:pt>
                <c:pt idx="23">
                  <c:v>19/20 Q2</c:v>
                </c:pt>
                <c:pt idx="24">
                  <c:v>19/20 Q3</c:v>
                </c:pt>
                <c:pt idx="25">
                  <c:v>19/20 Q4</c:v>
                </c:pt>
                <c:pt idx="26">
                  <c:v>20/21 Q1</c:v>
                </c:pt>
                <c:pt idx="27">
                  <c:v>20/21 Q2</c:v>
                </c:pt>
                <c:pt idx="28">
                  <c:v>20/21 Q3</c:v>
                </c:pt>
                <c:pt idx="29">
                  <c:v>20/21 Q4</c:v>
                </c:pt>
              </c:strCache>
            </c:strRef>
          </c:cat>
          <c:val>
            <c:numRef>
              <c:f>'Organised Data'!$C$26:$C$55</c:f>
              <c:numCache>
                <c:formatCode>0.00</c:formatCode>
                <c:ptCount val="30"/>
                <c:pt idx="0">
                  <c:v>0.42</c:v>
                </c:pt>
                <c:pt idx="1">
                  <c:v>0.4</c:v>
                </c:pt>
                <c:pt idx="2">
                  <c:v>0.43</c:v>
                </c:pt>
                <c:pt idx="3">
                  <c:v>0.43</c:v>
                </c:pt>
                <c:pt idx="4">
                  <c:v>0.437</c:v>
                </c:pt>
                <c:pt idx="5">
                  <c:v>0.4</c:v>
                </c:pt>
                <c:pt idx="6">
                  <c:v>0.48</c:v>
                </c:pt>
                <c:pt idx="7">
                  <c:v>0.52</c:v>
                </c:pt>
                <c:pt idx="8">
                  <c:v>0.57999999999999996</c:v>
                </c:pt>
                <c:pt idx="9">
                  <c:v>0.59</c:v>
                </c:pt>
                <c:pt idx="10">
                  <c:v>0.5</c:v>
                </c:pt>
                <c:pt idx="11">
                  <c:v>0.41</c:v>
                </c:pt>
                <c:pt idx="12">
                  <c:v>0.3</c:v>
                </c:pt>
                <c:pt idx="13">
                  <c:v>0.26</c:v>
                </c:pt>
                <c:pt idx="14">
                  <c:v>0.21</c:v>
                </c:pt>
                <c:pt idx="15">
                  <c:v>0.18</c:v>
                </c:pt>
                <c:pt idx="16">
                  <c:v>0.41</c:v>
                </c:pt>
                <c:pt idx="17">
                  <c:v>0.5</c:v>
                </c:pt>
                <c:pt idx="18">
                  <c:v>0.5</c:v>
                </c:pt>
                <c:pt idx="19">
                  <c:v>0.61</c:v>
                </c:pt>
                <c:pt idx="20">
                  <c:v>0.75</c:v>
                </c:pt>
                <c:pt idx="21">
                  <c:v>0.76</c:v>
                </c:pt>
                <c:pt idx="22">
                  <c:v>0.75</c:v>
                </c:pt>
                <c:pt idx="23">
                  <c:v>0.7</c:v>
                </c:pt>
                <c:pt idx="24">
                  <c:v>0.68</c:v>
                </c:pt>
                <c:pt idx="25">
                  <c:v>0.63</c:v>
                </c:pt>
                <c:pt idx="26">
                  <c:v>0.309</c:v>
                </c:pt>
                <c:pt idx="27">
                  <c:v>0.13600000000000001</c:v>
                </c:pt>
                <c:pt idx="28">
                  <c:v>0.1</c:v>
                </c:pt>
                <c:pt idx="29">
                  <c:v>0.1</c:v>
                </c:pt>
              </c:numCache>
            </c:numRef>
          </c:val>
          <c:smooth val="0"/>
          <c:extLst>
            <c:ext xmlns:c16="http://schemas.microsoft.com/office/drawing/2014/chart" uri="{C3380CC4-5D6E-409C-BE32-E72D297353CC}">
              <c16:uniqueId val="{00000000-DECA-4290-BA01-E3617A2787D6}"/>
            </c:ext>
          </c:extLst>
        </c:ser>
        <c:dLbls>
          <c:showLegendKey val="0"/>
          <c:showVal val="0"/>
          <c:showCatName val="0"/>
          <c:showSerName val="0"/>
          <c:showPercent val="0"/>
          <c:showBubbleSize val="0"/>
        </c:dLbls>
        <c:smooth val="0"/>
        <c:axId val="335610208"/>
        <c:axId val="341676504"/>
      </c:lineChart>
      <c:catAx>
        <c:axId val="33561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vert="horz"/>
          <a:lstStyle/>
          <a:p>
            <a:pPr>
              <a:defRPr sz="900" b="0" i="0" u="none" strike="noStrike" baseline="0">
                <a:solidFill>
                  <a:srgbClr val="333333"/>
                </a:solidFill>
                <a:latin typeface="Calibri"/>
                <a:ea typeface="Calibri"/>
                <a:cs typeface="Calibri"/>
              </a:defRPr>
            </a:pPr>
            <a:endParaRPr lang="en-US"/>
          </a:p>
        </c:txPr>
        <c:crossAx val="341676504"/>
        <c:crosses val="autoZero"/>
        <c:auto val="1"/>
        <c:lblAlgn val="ctr"/>
        <c:lblOffset val="100"/>
        <c:noMultiLvlLbl val="0"/>
      </c:catAx>
      <c:valAx>
        <c:axId val="341676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en-GB"/>
                  <a:t>Interest Rates</a:t>
                </a:r>
              </a:p>
            </c:rich>
          </c:tx>
          <c:overlay val="0"/>
          <c:spPr>
            <a:noFill/>
            <a:ln w="25400">
              <a:noFill/>
            </a:ln>
          </c:spPr>
        </c:title>
        <c:numFmt formatCode="0.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33561020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Annual Interest Received</a:t>
            </a:r>
          </a:p>
        </c:rich>
      </c:tx>
      <c:overlay val="0"/>
      <c:spPr>
        <a:noFill/>
        <a:ln w="25400">
          <a:noFill/>
        </a:ln>
      </c:spPr>
    </c:title>
    <c:autoTitleDeleted val="0"/>
    <c:plotArea>
      <c:layout/>
      <c:lineChart>
        <c:grouping val="standard"/>
        <c:varyColors val="0"/>
        <c:ser>
          <c:idx val="0"/>
          <c:order val="0"/>
          <c:spPr>
            <a:ln w="28575" cap="rnd">
              <a:solidFill>
                <a:schemeClr val="accent1"/>
              </a:solidFill>
              <a:round/>
            </a:ln>
            <a:effectLst/>
          </c:spPr>
          <c:marker>
            <c:symbol val="none"/>
          </c:marker>
          <c:cat>
            <c:strRef>
              <c:f>'Organised Data'!$M$7:$M$14</c:f>
              <c:strCache>
                <c:ptCount val="8"/>
                <c:pt idx="0">
                  <c:v>2013/14</c:v>
                </c:pt>
                <c:pt idx="1">
                  <c:v>2014/15</c:v>
                </c:pt>
                <c:pt idx="2">
                  <c:v>2015/16</c:v>
                </c:pt>
                <c:pt idx="3">
                  <c:v>2016/17</c:v>
                </c:pt>
                <c:pt idx="4">
                  <c:v>2017/18</c:v>
                </c:pt>
                <c:pt idx="5">
                  <c:v>2018/19</c:v>
                </c:pt>
                <c:pt idx="6">
                  <c:v>2019/20</c:v>
                </c:pt>
                <c:pt idx="7">
                  <c:v>2020/21</c:v>
                </c:pt>
              </c:strCache>
            </c:strRef>
          </c:cat>
          <c:val>
            <c:numRef>
              <c:f>'Organised Data'!$N$7:$N$14</c:f>
              <c:numCache>
                <c:formatCode>#,##0</c:formatCode>
                <c:ptCount val="8"/>
                <c:pt idx="0">
                  <c:v>119.56319999999999</c:v>
                </c:pt>
                <c:pt idx="1">
                  <c:v>155.68669</c:v>
                </c:pt>
                <c:pt idx="2">
                  <c:v>229.75273000000001</c:v>
                </c:pt>
                <c:pt idx="3">
                  <c:v>148.71676000000002</c:v>
                </c:pt>
                <c:pt idx="4">
                  <c:v>119.69203</c:v>
                </c:pt>
                <c:pt idx="5">
                  <c:v>213.47278399999999</c:v>
                </c:pt>
                <c:pt idx="6">
                  <c:v>197.21988999999999</c:v>
                </c:pt>
                <c:pt idx="7">
                  <c:v>40.533433353321627</c:v>
                </c:pt>
              </c:numCache>
            </c:numRef>
          </c:val>
          <c:smooth val="0"/>
          <c:extLst>
            <c:ext xmlns:c16="http://schemas.microsoft.com/office/drawing/2014/chart" uri="{C3380CC4-5D6E-409C-BE32-E72D297353CC}">
              <c16:uniqueId val="{00000000-268C-479F-9BF9-1D50A9E02D8A}"/>
            </c:ext>
          </c:extLst>
        </c:ser>
        <c:dLbls>
          <c:showLegendKey val="0"/>
          <c:showVal val="0"/>
          <c:showCatName val="0"/>
          <c:showSerName val="0"/>
          <c:showPercent val="0"/>
          <c:showBubbleSize val="0"/>
        </c:dLbls>
        <c:smooth val="0"/>
        <c:axId val="341677288"/>
        <c:axId val="341677680"/>
      </c:lineChart>
      <c:catAx>
        <c:axId val="341677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341677680"/>
        <c:crosses val="autoZero"/>
        <c:auto val="1"/>
        <c:lblAlgn val="ctr"/>
        <c:lblOffset val="100"/>
        <c:noMultiLvlLbl val="0"/>
      </c:catAx>
      <c:valAx>
        <c:axId val="341677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en-GB"/>
                  <a:t>£'000s</a:t>
                </a:r>
              </a:p>
            </c:rich>
          </c:tx>
          <c:overlay val="0"/>
          <c:spPr>
            <a:noFill/>
            <a:ln w="25400">
              <a:noFill/>
            </a:ln>
          </c:spPr>
        </c:title>
        <c:numFmt formatCode="#,##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34167728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Average Investment</a:t>
            </a:r>
            <a:r>
              <a:rPr lang="en-GB" baseline="0"/>
              <a:t> £m</a:t>
            </a:r>
            <a:endParaRPr lang="en-GB"/>
          </a:p>
        </c:rich>
      </c:tx>
      <c:overlay val="0"/>
      <c:spPr>
        <a:noFill/>
        <a:ln w="25400">
          <a:noFill/>
        </a:ln>
      </c:spPr>
    </c:title>
    <c:autoTitleDeleted val="0"/>
    <c:plotArea>
      <c:layout>
        <c:manualLayout>
          <c:layoutTarget val="inner"/>
          <c:xMode val="edge"/>
          <c:yMode val="edge"/>
          <c:x val="8.2025371828521432E-2"/>
          <c:y val="0.16588807785888079"/>
          <c:w val="0.89019685039370078"/>
          <c:h val="0.70662643446941398"/>
        </c:manualLayout>
      </c:layout>
      <c:barChart>
        <c:barDir val="col"/>
        <c:grouping val="clustered"/>
        <c:varyColors val="0"/>
        <c:ser>
          <c:idx val="0"/>
          <c:order val="0"/>
          <c:spPr>
            <a:solidFill>
              <a:srgbClr val="5B9BD5"/>
            </a:solidFill>
            <a:ln w="2540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'Organised Data'!$P$7:$P$14</c:f>
              <c:strCache>
                <c:ptCount val="8"/>
                <c:pt idx="0">
                  <c:v>2013/14</c:v>
                </c:pt>
                <c:pt idx="1">
                  <c:v>2014/15</c:v>
                </c:pt>
                <c:pt idx="2">
                  <c:v>2015/16</c:v>
                </c:pt>
                <c:pt idx="3">
                  <c:v>2016/17</c:v>
                </c:pt>
                <c:pt idx="4">
                  <c:v>2017/18</c:v>
                </c:pt>
                <c:pt idx="5">
                  <c:v>2018/19</c:v>
                </c:pt>
                <c:pt idx="6">
                  <c:v>2019/20</c:v>
                </c:pt>
                <c:pt idx="7">
                  <c:v>2020/21</c:v>
                </c:pt>
              </c:strCache>
            </c:strRef>
          </c:cat>
          <c:val>
            <c:numRef>
              <c:f>'Organised Data'!$Q$7:$Q$14</c:f>
              <c:numCache>
                <c:formatCode>#,##0.0</c:formatCode>
                <c:ptCount val="8"/>
                <c:pt idx="0">
                  <c:v>21.7</c:v>
                </c:pt>
                <c:pt idx="1">
                  <c:v>29.3</c:v>
                </c:pt>
                <c:pt idx="2">
                  <c:v>32.5</c:v>
                </c:pt>
                <c:pt idx="3">
                  <c:v>30.9</c:v>
                </c:pt>
                <c:pt idx="4">
                  <c:v>24.2</c:v>
                </c:pt>
                <c:pt idx="5">
                  <c:v>23</c:v>
                </c:pt>
                <c:pt idx="6">
                  <c:v>28.6</c:v>
                </c:pt>
                <c:pt idx="7">
                  <c:v>27.4</c:v>
                </c:pt>
              </c:numCache>
            </c:numRef>
          </c:val>
          <c:extLst>
            <c:ext xmlns:c16="http://schemas.microsoft.com/office/drawing/2014/chart" uri="{C3380CC4-5D6E-409C-BE32-E72D297353CC}">
              <c16:uniqueId val="{00000000-7F17-4C82-AB19-1B7149B9D0C4}"/>
            </c:ext>
          </c:extLst>
        </c:ser>
        <c:dLbls>
          <c:showLegendKey val="0"/>
          <c:showVal val="0"/>
          <c:showCatName val="0"/>
          <c:showSerName val="0"/>
          <c:showPercent val="0"/>
          <c:showBubbleSize val="0"/>
        </c:dLbls>
        <c:gapWidth val="219"/>
        <c:overlap val="-27"/>
        <c:axId val="346325728"/>
        <c:axId val="346326120"/>
      </c:barChart>
      <c:catAx>
        <c:axId val="34632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346326120"/>
        <c:crosses val="autoZero"/>
        <c:auto val="1"/>
        <c:lblAlgn val="ctr"/>
        <c:lblOffset val="100"/>
        <c:noMultiLvlLbl val="0"/>
      </c:catAx>
      <c:valAx>
        <c:axId val="3463261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34632572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9</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Surrey Police</Company>
  <LinksUpToDate>false</LinksUpToDate>
  <CharactersWithSpaces>11331</CharactersWithSpaces>
  <SharedDoc>false</SharedDoc>
  <HLinks>
    <vt:vector size="6" baseType="variant">
      <vt:variant>
        <vt:i4>7274511</vt:i4>
      </vt:variant>
      <vt:variant>
        <vt:i4>15</vt:i4>
      </vt:variant>
      <vt:variant>
        <vt:i4>0</vt:i4>
      </vt:variant>
      <vt:variant>
        <vt:i4>5</vt:i4>
      </vt:variant>
      <vt:variant>
        <vt:lpwstr>mailto:Susan.Eaton@surrey.pnn.police.uk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Lohia, Minu 9416</dc:creator>
  <cp:keywords/>
  <cp:lastModifiedBy>Gordon, Sarah 9802</cp:lastModifiedBy>
  <cp:revision>33</cp:revision>
  <cp:lastPrinted>2021-07-16T10:54:00Z</cp:lastPrinted>
  <dcterms:created xsi:type="dcterms:W3CDTF">2020-07-07T13:17:00Z</dcterms:created>
  <dcterms:modified xsi:type="dcterms:W3CDTF">2021-07-16T10:54:00Z</dcterms:modified>
</cp:coreProperties>
</file>