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B5262" w14:textId="77777777" w:rsidR="004E1B9C" w:rsidRDefault="004E1B9C" w:rsidP="00F227D9">
      <w:pPr>
        <w:jc w:val="center"/>
        <w:rPr>
          <w:rFonts w:ascii="Verdana" w:hAnsi="Verdana"/>
          <w:b/>
          <w:sz w:val="56"/>
          <w:szCs w:val="56"/>
          <w:lang w:val="en-AU"/>
        </w:rPr>
      </w:pPr>
    </w:p>
    <w:p w14:paraId="634450BE" w14:textId="77777777" w:rsidR="004E1B9C" w:rsidRDefault="004E1B9C" w:rsidP="00F227D9">
      <w:pPr>
        <w:jc w:val="center"/>
        <w:rPr>
          <w:rFonts w:ascii="Verdana" w:hAnsi="Verdana"/>
          <w:b/>
          <w:sz w:val="56"/>
          <w:szCs w:val="56"/>
          <w:lang w:val="en-AU"/>
        </w:rPr>
      </w:pPr>
    </w:p>
    <w:p w14:paraId="4EDA6C61" w14:textId="77777777" w:rsidR="009D3E0B" w:rsidRDefault="009D3E0B" w:rsidP="009D3E0B">
      <w:pPr>
        <w:jc w:val="center"/>
        <w:rPr>
          <w:rFonts w:ascii="Verdana" w:hAnsi="Verdana"/>
          <w:b/>
          <w:sz w:val="56"/>
          <w:szCs w:val="56"/>
          <w:lang w:val="en-AU"/>
        </w:rPr>
      </w:pPr>
      <w:r>
        <w:rPr>
          <w:noProof/>
          <w:lang w:val="en-GB" w:eastAsia="en-GB"/>
        </w:rPr>
        <w:drawing>
          <wp:inline distT="0" distB="0" distL="0" distR="0" wp14:anchorId="55A1EA1F" wp14:editId="3F9F9302">
            <wp:extent cx="2501900" cy="1414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14780"/>
                    </a:xfrm>
                    <a:prstGeom prst="rect">
                      <a:avLst/>
                    </a:prstGeom>
                    <a:noFill/>
                    <a:ln>
                      <a:noFill/>
                    </a:ln>
                  </pic:spPr>
                </pic:pic>
              </a:graphicData>
            </a:graphic>
          </wp:inline>
        </w:drawing>
      </w:r>
    </w:p>
    <w:p w14:paraId="2C7C9989" w14:textId="77777777" w:rsidR="009D3E0B" w:rsidRDefault="009D3E0B" w:rsidP="00F227D9">
      <w:pPr>
        <w:jc w:val="center"/>
        <w:rPr>
          <w:rFonts w:ascii="Verdana" w:hAnsi="Verdana"/>
          <w:b/>
          <w:sz w:val="56"/>
          <w:szCs w:val="56"/>
          <w:lang w:val="en-AU"/>
        </w:rPr>
      </w:pPr>
    </w:p>
    <w:p w14:paraId="431ADD82" w14:textId="77777777" w:rsidR="009D3E0B" w:rsidRDefault="009D3E0B" w:rsidP="00F227D9">
      <w:pPr>
        <w:jc w:val="center"/>
        <w:rPr>
          <w:rFonts w:ascii="Verdana" w:hAnsi="Verdana"/>
          <w:b/>
          <w:sz w:val="56"/>
          <w:szCs w:val="56"/>
          <w:lang w:val="en-AU"/>
        </w:rPr>
      </w:pPr>
    </w:p>
    <w:p w14:paraId="78B09BAA" w14:textId="77777777" w:rsidR="004E1B9C" w:rsidRDefault="004E1B9C" w:rsidP="00F227D9">
      <w:pPr>
        <w:jc w:val="center"/>
        <w:rPr>
          <w:rFonts w:ascii="Verdana" w:hAnsi="Verdana"/>
          <w:b/>
          <w:sz w:val="56"/>
          <w:szCs w:val="56"/>
          <w:lang w:val="en-AU"/>
        </w:rPr>
      </w:pPr>
      <w:r w:rsidRPr="004E1B9C">
        <w:rPr>
          <w:rFonts w:ascii="Verdana" w:hAnsi="Verdana"/>
          <w:b/>
          <w:sz w:val="56"/>
          <w:szCs w:val="56"/>
          <w:lang w:val="en-AU"/>
        </w:rPr>
        <w:t>T</w:t>
      </w:r>
      <w:r w:rsidR="009D3E0B">
        <w:rPr>
          <w:rFonts w:ascii="Verdana" w:hAnsi="Verdana"/>
          <w:b/>
          <w:sz w:val="56"/>
          <w:szCs w:val="56"/>
          <w:lang w:val="en-AU"/>
        </w:rPr>
        <w:t>HE CHIEF CONSTABLE OF</w:t>
      </w:r>
      <w:bookmarkStart w:id="0" w:name="_GoBack"/>
      <w:bookmarkEnd w:id="0"/>
      <w:r w:rsidR="009D3E0B">
        <w:rPr>
          <w:rFonts w:ascii="Verdana" w:hAnsi="Verdana"/>
          <w:b/>
          <w:sz w:val="56"/>
          <w:szCs w:val="56"/>
          <w:lang w:val="en-AU"/>
        </w:rPr>
        <w:t xml:space="preserve"> SURREY</w:t>
      </w:r>
    </w:p>
    <w:p w14:paraId="2A50C7FD" w14:textId="77777777" w:rsidR="004E1B9C" w:rsidRDefault="004E1B9C" w:rsidP="00F227D9">
      <w:pPr>
        <w:jc w:val="center"/>
        <w:rPr>
          <w:rFonts w:ascii="Verdana" w:hAnsi="Verdana"/>
          <w:b/>
          <w:sz w:val="56"/>
          <w:szCs w:val="56"/>
          <w:lang w:val="en-AU"/>
        </w:rPr>
      </w:pPr>
    </w:p>
    <w:p w14:paraId="7814F8DE" w14:textId="77777777" w:rsidR="009D3E0B" w:rsidRDefault="009D3E0B" w:rsidP="00F227D9">
      <w:pPr>
        <w:jc w:val="center"/>
        <w:rPr>
          <w:rFonts w:ascii="Verdana" w:hAnsi="Verdana"/>
          <w:b/>
          <w:sz w:val="56"/>
          <w:szCs w:val="56"/>
          <w:lang w:val="en-AU"/>
        </w:rPr>
      </w:pPr>
    </w:p>
    <w:p w14:paraId="579C532F" w14:textId="77777777" w:rsidR="00F227D9" w:rsidRPr="009D3E0B" w:rsidRDefault="009D3E0B" w:rsidP="009D3E0B">
      <w:pPr>
        <w:jc w:val="center"/>
        <w:rPr>
          <w:rFonts w:ascii="Verdana" w:hAnsi="Verdana"/>
          <w:b/>
          <w:sz w:val="44"/>
          <w:szCs w:val="44"/>
          <w:lang w:val="en-AU"/>
        </w:rPr>
      </w:pPr>
      <w:r>
        <w:rPr>
          <w:rFonts w:ascii="Verdana" w:hAnsi="Verdana"/>
          <w:b/>
          <w:sz w:val="44"/>
          <w:szCs w:val="44"/>
          <w:lang w:val="en-AU"/>
        </w:rPr>
        <w:t xml:space="preserve">DRAFT </w:t>
      </w:r>
      <w:r w:rsidR="00F227D9" w:rsidRPr="001A1AFD">
        <w:rPr>
          <w:rFonts w:ascii="Verdana" w:hAnsi="Verdana"/>
          <w:b/>
          <w:sz w:val="44"/>
          <w:szCs w:val="44"/>
          <w:lang w:val="en-AU"/>
        </w:rPr>
        <w:t>Statement of Accounts for the year</w:t>
      </w:r>
      <w:r w:rsidR="00F227D9" w:rsidRPr="002A69A9">
        <w:rPr>
          <w:rFonts w:ascii="Verdana" w:hAnsi="Verdana"/>
          <w:b/>
          <w:sz w:val="44"/>
          <w:szCs w:val="44"/>
          <w:lang w:val="en-AU"/>
        </w:rPr>
        <w:t xml:space="preserve"> </w:t>
      </w:r>
      <w:r w:rsidR="00F227D9" w:rsidRPr="004E1B9C">
        <w:rPr>
          <w:rFonts w:ascii="Verdana" w:hAnsi="Verdana"/>
          <w:b/>
          <w:sz w:val="44"/>
          <w:szCs w:val="44"/>
          <w:lang w:val="en-AU"/>
        </w:rPr>
        <w:t>20</w:t>
      </w:r>
      <w:r w:rsidR="00F16347">
        <w:rPr>
          <w:rFonts w:ascii="Verdana" w:hAnsi="Verdana"/>
          <w:b/>
          <w:sz w:val="44"/>
          <w:szCs w:val="44"/>
          <w:lang w:val="en-AU"/>
        </w:rPr>
        <w:t>20</w:t>
      </w:r>
      <w:r w:rsidR="00F227D9" w:rsidRPr="004E1B9C">
        <w:rPr>
          <w:rFonts w:ascii="Verdana" w:hAnsi="Verdana"/>
          <w:b/>
          <w:sz w:val="44"/>
          <w:szCs w:val="44"/>
          <w:lang w:val="en-AU"/>
        </w:rPr>
        <w:t>/2</w:t>
      </w:r>
      <w:r w:rsidR="00F16347">
        <w:rPr>
          <w:rFonts w:ascii="Verdana" w:hAnsi="Verdana"/>
          <w:b/>
          <w:sz w:val="44"/>
          <w:szCs w:val="44"/>
          <w:lang w:val="en-AU"/>
        </w:rPr>
        <w:t>1</w:t>
      </w:r>
    </w:p>
    <w:p w14:paraId="233019B4" w14:textId="77777777" w:rsidR="00F227D9" w:rsidRDefault="00F227D9">
      <w:pPr>
        <w:rPr>
          <w:rFonts w:ascii="Verdana" w:hAnsi="Verdana"/>
          <w:sz w:val="22"/>
          <w:szCs w:val="22"/>
          <w:lang w:val="en-AU"/>
        </w:rPr>
      </w:pPr>
    </w:p>
    <w:p w14:paraId="0756C9E3" w14:textId="77777777" w:rsidR="00F227D9" w:rsidRDefault="00F227D9">
      <w:pPr>
        <w:rPr>
          <w:rFonts w:ascii="Verdana" w:hAnsi="Verdana"/>
          <w:sz w:val="22"/>
          <w:szCs w:val="22"/>
          <w:lang w:val="en-AU"/>
        </w:rPr>
      </w:pPr>
    </w:p>
    <w:p w14:paraId="278BC57C" w14:textId="77777777" w:rsidR="00F227D9" w:rsidRDefault="00F227D9">
      <w:pPr>
        <w:rPr>
          <w:rFonts w:ascii="Verdana" w:hAnsi="Verdana"/>
          <w:sz w:val="22"/>
          <w:szCs w:val="22"/>
          <w:lang w:val="en-AU"/>
        </w:rPr>
      </w:pPr>
    </w:p>
    <w:p w14:paraId="3823EC7B" w14:textId="77777777" w:rsidR="00F227D9" w:rsidRDefault="00F227D9">
      <w:pPr>
        <w:rPr>
          <w:rFonts w:ascii="Verdana" w:hAnsi="Verdana"/>
          <w:sz w:val="22"/>
          <w:szCs w:val="22"/>
          <w:lang w:val="en-AU"/>
        </w:rPr>
        <w:sectPr w:rsidR="00F227D9" w:rsidSect="00B54A0C">
          <w:footerReference w:type="default" r:id="rId9"/>
          <w:type w:val="nextColumn"/>
          <w:pgSz w:w="16840" w:h="11900" w:orient="landscape"/>
          <w:pgMar w:top="709" w:right="720" w:bottom="567" w:left="720" w:header="709" w:footer="709" w:gutter="0"/>
          <w:pgNumType w:start="1"/>
          <w:cols w:space="708"/>
          <w:docGrid w:linePitch="360"/>
        </w:sectPr>
      </w:pPr>
    </w:p>
    <w:sdt>
      <w:sdtPr>
        <w:rPr>
          <w:rFonts w:ascii="Verdana" w:eastAsiaTheme="minorHAnsi" w:hAnsi="Verdana" w:cstheme="minorBidi"/>
          <w:b w:val="0"/>
          <w:color w:val="auto"/>
          <w:sz w:val="24"/>
          <w:szCs w:val="24"/>
        </w:rPr>
        <w:id w:val="-1029258257"/>
        <w:docPartObj>
          <w:docPartGallery w:val="Table of Contents"/>
          <w:docPartUnique/>
        </w:docPartObj>
      </w:sdtPr>
      <w:sdtEndPr>
        <w:rPr>
          <w:bCs/>
          <w:noProof/>
        </w:rPr>
      </w:sdtEndPr>
      <w:sdtContent>
        <w:p w14:paraId="5533FAA2" w14:textId="77777777" w:rsidR="00F227D9" w:rsidRPr="008615E5" w:rsidRDefault="00F227D9" w:rsidP="00F227D9">
          <w:pPr>
            <w:pStyle w:val="TOCHeading"/>
            <w:rPr>
              <w:rFonts w:ascii="Verdana" w:hAnsi="Verdana"/>
              <w:color w:val="auto"/>
              <w:sz w:val="28"/>
              <w:szCs w:val="28"/>
            </w:rPr>
          </w:pPr>
          <w:r w:rsidRPr="008615E5">
            <w:rPr>
              <w:rFonts w:ascii="Verdana" w:hAnsi="Verdana"/>
              <w:color w:val="auto"/>
              <w:sz w:val="28"/>
              <w:szCs w:val="28"/>
            </w:rPr>
            <w:t>Contents</w:t>
          </w:r>
        </w:p>
        <w:p w14:paraId="0D80DA7F" w14:textId="77777777" w:rsidR="00F02451" w:rsidRDefault="00F227D9">
          <w:pPr>
            <w:pStyle w:val="TOC1"/>
            <w:tabs>
              <w:tab w:val="right" w:leader="dot" w:pos="15390"/>
            </w:tabs>
            <w:rPr>
              <w:rFonts w:eastAsiaTheme="minorEastAsia"/>
              <w:noProof/>
              <w:sz w:val="22"/>
              <w:szCs w:val="22"/>
              <w:lang w:val="en-GB" w:eastAsia="en-GB"/>
            </w:rPr>
          </w:pPr>
          <w:r w:rsidRPr="008615E5">
            <w:rPr>
              <w:rFonts w:ascii="Verdana" w:hAnsi="Verdana"/>
            </w:rPr>
            <w:fldChar w:fldCharType="begin"/>
          </w:r>
          <w:r w:rsidRPr="008615E5">
            <w:rPr>
              <w:rFonts w:ascii="Verdana" w:hAnsi="Verdana"/>
            </w:rPr>
            <w:instrText xml:space="preserve"> TOC \o "1-3" \h \z \u </w:instrText>
          </w:r>
          <w:r w:rsidRPr="008615E5">
            <w:rPr>
              <w:rFonts w:ascii="Verdana" w:hAnsi="Verdana"/>
            </w:rPr>
            <w:fldChar w:fldCharType="separate"/>
          </w:r>
          <w:hyperlink w:anchor="_Toc77095552" w:history="1">
            <w:r w:rsidR="00F02451" w:rsidRPr="00876422">
              <w:rPr>
                <w:rStyle w:val="Hyperlink"/>
                <w:noProof/>
                <w:lang w:val="en-GB" w:eastAsia="en-GB"/>
              </w:rPr>
              <w:t>Narrative Report</w:t>
            </w:r>
            <w:r w:rsidR="00F02451">
              <w:rPr>
                <w:noProof/>
                <w:webHidden/>
              </w:rPr>
              <w:tab/>
            </w:r>
            <w:r w:rsidR="00F02451">
              <w:rPr>
                <w:noProof/>
                <w:webHidden/>
              </w:rPr>
              <w:fldChar w:fldCharType="begin"/>
            </w:r>
            <w:r w:rsidR="00F02451">
              <w:rPr>
                <w:noProof/>
                <w:webHidden/>
              </w:rPr>
              <w:instrText xml:space="preserve"> PAGEREF _Toc77095552 \h </w:instrText>
            </w:r>
            <w:r w:rsidR="00F02451">
              <w:rPr>
                <w:noProof/>
                <w:webHidden/>
              </w:rPr>
            </w:r>
            <w:r w:rsidR="00F02451">
              <w:rPr>
                <w:noProof/>
                <w:webHidden/>
              </w:rPr>
              <w:fldChar w:fldCharType="separate"/>
            </w:r>
            <w:r w:rsidR="00F02451">
              <w:rPr>
                <w:noProof/>
                <w:webHidden/>
              </w:rPr>
              <w:t>3</w:t>
            </w:r>
            <w:r w:rsidR="00F02451">
              <w:rPr>
                <w:noProof/>
                <w:webHidden/>
              </w:rPr>
              <w:fldChar w:fldCharType="end"/>
            </w:r>
          </w:hyperlink>
        </w:p>
        <w:p w14:paraId="234AE6DF" w14:textId="77777777" w:rsidR="00F02451" w:rsidRDefault="00F02451">
          <w:pPr>
            <w:pStyle w:val="TOC1"/>
            <w:tabs>
              <w:tab w:val="right" w:leader="dot" w:pos="15390"/>
            </w:tabs>
            <w:rPr>
              <w:rFonts w:eastAsiaTheme="minorEastAsia"/>
              <w:noProof/>
              <w:sz w:val="22"/>
              <w:szCs w:val="22"/>
              <w:lang w:val="en-GB" w:eastAsia="en-GB"/>
            </w:rPr>
          </w:pPr>
          <w:hyperlink w:anchor="_Toc77095553" w:history="1">
            <w:r w:rsidRPr="00876422">
              <w:rPr>
                <w:rStyle w:val="Hyperlink"/>
                <w:noProof/>
                <w:highlight w:val="yellow"/>
              </w:rPr>
              <w:t>External Auditor’s Report</w:t>
            </w:r>
            <w:r>
              <w:rPr>
                <w:noProof/>
                <w:webHidden/>
              </w:rPr>
              <w:tab/>
            </w:r>
            <w:r>
              <w:rPr>
                <w:noProof/>
                <w:webHidden/>
              </w:rPr>
              <w:fldChar w:fldCharType="begin"/>
            </w:r>
            <w:r>
              <w:rPr>
                <w:noProof/>
                <w:webHidden/>
              </w:rPr>
              <w:instrText xml:space="preserve"> PAGEREF _Toc77095553 \h </w:instrText>
            </w:r>
            <w:r>
              <w:rPr>
                <w:noProof/>
                <w:webHidden/>
              </w:rPr>
            </w:r>
            <w:r>
              <w:rPr>
                <w:noProof/>
                <w:webHidden/>
              </w:rPr>
              <w:fldChar w:fldCharType="separate"/>
            </w:r>
            <w:r>
              <w:rPr>
                <w:noProof/>
                <w:webHidden/>
              </w:rPr>
              <w:t>20</w:t>
            </w:r>
            <w:r>
              <w:rPr>
                <w:noProof/>
                <w:webHidden/>
              </w:rPr>
              <w:fldChar w:fldCharType="end"/>
            </w:r>
          </w:hyperlink>
        </w:p>
        <w:p w14:paraId="0B87C8DA" w14:textId="77777777" w:rsidR="00F02451" w:rsidRDefault="00F02451">
          <w:pPr>
            <w:pStyle w:val="TOC1"/>
            <w:tabs>
              <w:tab w:val="right" w:leader="dot" w:pos="15390"/>
            </w:tabs>
            <w:rPr>
              <w:rFonts w:eastAsiaTheme="minorEastAsia"/>
              <w:noProof/>
              <w:sz w:val="22"/>
              <w:szCs w:val="22"/>
              <w:lang w:val="en-GB" w:eastAsia="en-GB"/>
            </w:rPr>
          </w:pPr>
          <w:hyperlink w:anchor="_Toc77095554" w:history="1">
            <w:r w:rsidRPr="00876422">
              <w:rPr>
                <w:rStyle w:val="Hyperlink"/>
                <w:noProof/>
                <w:lang w:val="en-GB" w:eastAsia="en-GB"/>
              </w:rPr>
              <w:t>Statement of Responsibilities</w:t>
            </w:r>
            <w:r>
              <w:rPr>
                <w:noProof/>
                <w:webHidden/>
              </w:rPr>
              <w:tab/>
            </w:r>
            <w:r>
              <w:rPr>
                <w:noProof/>
                <w:webHidden/>
              </w:rPr>
              <w:fldChar w:fldCharType="begin"/>
            </w:r>
            <w:r>
              <w:rPr>
                <w:noProof/>
                <w:webHidden/>
              </w:rPr>
              <w:instrText xml:space="preserve"> PAGEREF _Toc77095554 \h </w:instrText>
            </w:r>
            <w:r>
              <w:rPr>
                <w:noProof/>
                <w:webHidden/>
              </w:rPr>
            </w:r>
            <w:r>
              <w:rPr>
                <w:noProof/>
                <w:webHidden/>
              </w:rPr>
              <w:fldChar w:fldCharType="separate"/>
            </w:r>
            <w:r>
              <w:rPr>
                <w:noProof/>
                <w:webHidden/>
              </w:rPr>
              <w:t>21</w:t>
            </w:r>
            <w:r>
              <w:rPr>
                <w:noProof/>
                <w:webHidden/>
              </w:rPr>
              <w:fldChar w:fldCharType="end"/>
            </w:r>
          </w:hyperlink>
        </w:p>
        <w:p w14:paraId="73310821" w14:textId="77777777" w:rsidR="00F02451" w:rsidRDefault="00F02451">
          <w:pPr>
            <w:pStyle w:val="TOC1"/>
            <w:tabs>
              <w:tab w:val="right" w:leader="dot" w:pos="15390"/>
            </w:tabs>
            <w:rPr>
              <w:rFonts w:eastAsiaTheme="minorEastAsia"/>
              <w:noProof/>
              <w:sz w:val="22"/>
              <w:szCs w:val="22"/>
              <w:lang w:val="en-GB" w:eastAsia="en-GB"/>
            </w:rPr>
          </w:pPr>
          <w:hyperlink w:anchor="_Toc77095555" w:history="1">
            <w:r w:rsidRPr="00876422">
              <w:rPr>
                <w:rStyle w:val="Hyperlink"/>
                <w:noProof/>
              </w:rPr>
              <w:t>Annual Governance Statement</w:t>
            </w:r>
            <w:r>
              <w:rPr>
                <w:noProof/>
                <w:webHidden/>
              </w:rPr>
              <w:tab/>
            </w:r>
            <w:r>
              <w:rPr>
                <w:noProof/>
                <w:webHidden/>
              </w:rPr>
              <w:fldChar w:fldCharType="begin"/>
            </w:r>
            <w:r>
              <w:rPr>
                <w:noProof/>
                <w:webHidden/>
              </w:rPr>
              <w:instrText xml:space="preserve"> PAGEREF _Toc77095555 \h </w:instrText>
            </w:r>
            <w:r>
              <w:rPr>
                <w:noProof/>
                <w:webHidden/>
              </w:rPr>
            </w:r>
            <w:r>
              <w:rPr>
                <w:noProof/>
                <w:webHidden/>
              </w:rPr>
              <w:fldChar w:fldCharType="separate"/>
            </w:r>
            <w:r>
              <w:rPr>
                <w:noProof/>
                <w:webHidden/>
              </w:rPr>
              <w:t>22</w:t>
            </w:r>
            <w:r>
              <w:rPr>
                <w:noProof/>
                <w:webHidden/>
              </w:rPr>
              <w:fldChar w:fldCharType="end"/>
            </w:r>
          </w:hyperlink>
        </w:p>
        <w:p w14:paraId="3B11D3A3" w14:textId="77777777" w:rsidR="00F02451" w:rsidRDefault="00F02451">
          <w:pPr>
            <w:pStyle w:val="TOC1"/>
            <w:tabs>
              <w:tab w:val="right" w:leader="dot" w:pos="15390"/>
            </w:tabs>
            <w:rPr>
              <w:rFonts w:eastAsiaTheme="minorEastAsia"/>
              <w:noProof/>
              <w:sz w:val="22"/>
              <w:szCs w:val="22"/>
              <w:lang w:val="en-GB" w:eastAsia="en-GB"/>
            </w:rPr>
          </w:pPr>
          <w:hyperlink w:anchor="_Toc77095556" w:history="1">
            <w:r w:rsidRPr="00876422">
              <w:rPr>
                <w:rStyle w:val="Hyperlink"/>
                <w:noProof/>
                <w:lang w:val="pt-BR"/>
              </w:rPr>
              <w:t>Movement in Reserves Statement</w:t>
            </w:r>
            <w:r>
              <w:rPr>
                <w:noProof/>
                <w:webHidden/>
              </w:rPr>
              <w:tab/>
            </w:r>
            <w:r>
              <w:rPr>
                <w:noProof/>
                <w:webHidden/>
              </w:rPr>
              <w:fldChar w:fldCharType="begin"/>
            </w:r>
            <w:r>
              <w:rPr>
                <w:noProof/>
                <w:webHidden/>
              </w:rPr>
              <w:instrText xml:space="preserve"> PAGEREF _Toc77095556 \h </w:instrText>
            </w:r>
            <w:r>
              <w:rPr>
                <w:noProof/>
                <w:webHidden/>
              </w:rPr>
            </w:r>
            <w:r>
              <w:rPr>
                <w:noProof/>
                <w:webHidden/>
              </w:rPr>
              <w:fldChar w:fldCharType="separate"/>
            </w:r>
            <w:r>
              <w:rPr>
                <w:noProof/>
                <w:webHidden/>
              </w:rPr>
              <w:t>38</w:t>
            </w:r>
            <w:r>
              <w:rPr>
                <w:noProof/>
                <w:webHidden/>
              </w:rPr>
              <w:fldChar w:fldCharType="end"/>
            </w:r>
          </w:hyperlink>
        </w:p>
        <w:p w14:paraId="35F0D6D4" w14:textId="77777777" w:rsidR="00F02451" w:rsidRDefault="00F02451">
          <w:pPr>
            <w:pStyle w:val="TOC1"/>
            <w:tabs>
              <w:tab w:val="right" w:leader="dot" w:pos="15390"/>
            </w:tabs>
            <w:rPr>
              <w:rFonts w:eastAsiaTheme="minorEastAsia"/>
              <w:noProof/>
              <w:sz w:val="22"/>
              <w:szCs w:val="22"/>
              <w:lang w:val="en-GB" w:eastAsia="en-GB"/>
            </w:rPr>
          </w:pPr>
          <w:hyperlink w:anchor="_Toc77095557" w:history="1">
            <w:r w:rsidRPr="00876422">
              <w:rPr>
                <w:rStyle w:val="Hyperlink"/>
                <w:noProof/>
                <w:lang w:val="pt-BR"/>
              </w:rPr>
              <w:t>Comprehensive Income and Expenditure Statement</w:t>
            </w:r>
            <w:r>
              <w:rPr>
                <w:noProof/>
                <w:webHidden/>
              </w:rPr>
              <w:tab/>
            </w:r>
            <w:r>
              <w:rPr>
                <w:noProof/>
                <w:webHidden/>
              </w:rPr>
              <w:fldChar w:fldCharType="begin"/>
            </w:r>
            <w:r>
              <w:rPr>
                <w:noProof/>
                <w:webHidden/>
              </w:rPr>
              <w:instrText xml:space="preserve"> PAGEREF _Toc77095557 \h </w:instrText>
            </w:r>
            <w:r>
              <w:rPr>
                <w:noProof/>
                <w:webHidden/>
              </w:rPr>
            </w:r>
            <w:r>
              <w:rPr>
                <w:noProof/>
                <w:webHidden/>
              </w:rPr>
              <w:fldChar w:fldCharType="separate"/>
            </w:r>
            <w:r>
              <w:rPr>
                <w:noProof/>
                <w:webHidden/>
              </w:rPr>
              <w:t>39</w:t>
            </w:r>
            <w:r>
              <w:rPr>
                <w:noProof/>
                <w:webHidden/>
              </w:rPr>
              <w:fldChar w:fldCharType="end"/>
            </w:r>
          </w:hyperlink>
        </w:p>
        <w:p w14:paraId="736E48D9" w14:textId="77777777" w:rsidR="00F02451" w:rsidRDefault="00F02451">
          <w:pPr>
            <w:pStyle w:val="TOC1"/>
            <w:tabs>
              <w:tab w:val="right" w:leader="dot" w:pos="15390"/>
            </w:tabs>
            <w:rPr>
              <w:rFonts w:eastAsiaTheme="minorEastAsia"/>
              <w:noProof/>
              <w:sz w:val="22"/>
              <w:szCs w:val="22"/>
              <w:lang w:val="en-GB" w:eastAsia="en-GB"/>
            </w:rPr>
          </w:pPr>
          <w:hyperlink w:anchor="_Toc77095558" w:history="1">
            <w:r w:rsidRPr="00876422">
              <w:rPr>
                <w:rStyle w:val="Hyperlink"/>
                <w:noProof/>
                <w:lang w:val="pt-BR"/>
              </w:rPr>
              <w:t>Balance Sheet</w:t>
            </w:r>
            <w:r>
              <w:rPr>
                <w:noProof/>
                <w:webHidden/>
              </w:rPr>
              <w:tab/>
            </w:r>
            <w:r>
              <w:rPr>
                <w:noProof/>
                <w:webHidden/>
              </w:rPr>
              <w:fldChar w:fldCharType="begin"/>
            </w:r>
            <w:r>
              <w:rPr>
                <w:noProof/>
                <w:webHidden/>
              </w:rPr>
              <w:instrText xml:space="preserve"> PAGEREF _Toc77095558 \h </w:instrText>
            </w:r>
            <w:r>
              <w:rPr>
                <w:noProof/>
                <w:webHidden/>
              </w:rPr>
            </w:r>
            <w:r>
              <w:rPr>
                <w:noProof/>
                <w:webHidden/>
              </w:rPr>
              <w:fldChar w:fldCharType="separate"/>
            </w:r>
            <w:r>
              <w:rPr>
                <w:noProof/>
                <w:webHidden/>
              </w:rPr>
              <w:t>40</w:t>
            </w:r>
            <w:r>
              <w:rPr>
                <w:noProof/>
                <w:webHidden/>
              </w:rPr>
              <w:fldChar w:fldCharType="end"/>
            </w:r>
          </w:hyperlink>
        </w:p>
        <w:p w14:paraId="68ED91C2" w14:textId="77777777" w:rsidR="00F02451" w:rsidRDefault="00F02451">
          <w:pPr>
            <w:pStyle w:val="TOC1"/>
            <w:tabs>
              <w:tab w:val="right" w:leader="dot" w:pos="15390"/>
            </w:tabs>
            <w:rPr>
              <w:rFonts w:eastAsiaTheme="minorEastAsia"/>
              <w:noProof/>
              <w:sz w:val="22"/>
              <w:szCs w:val="22"/>
              <w:lang w:val="en-GB" w:eastAsia="en-GB"/>
            </w:rPr>
          </w:pPr>
          <w:hyperlink w:anchor="_Toc77095559" w:history="1">
            <w:r w:rsidRPr="00876422">
              <w:rPr>
                <w:rStyle w:val="Hyperlink"/>
                <w:noProof/>
                <w:lang w:val="pt-BR"/>
              </w:rPr>
              <w:t>Cash Flow Statement</w:t>
            </w:r>
            <w:r>
              <w:rPr>
                <w:noProof/>
                <w:webHidden/>
              </w:rPr>
              <w:tab/>
            </w:r>
            <w:r>
              <w:rPr>
                <w:noProof/>
                <w:webHidden/>
              </w:rPr>
              <w:fldChar w:fldCharType="begin"/>
            </w:r>
            <w:r>
              <w:rPr>
                <w:noProof/>
                <w:webHidden/>
              </w:rPr>
              <w:instrText xml:space="preserve"> PAGEREF _Toc77095559 \h </w:instrText>
            </w:r>
            <w:r>
              <w:rPr>
                <w:noProof/>
                <w:webHidden/>
              </w:rPr>
            </w:r>
            <w:r>
              <w:rPr>
                <w:noProof/>
                <w:webHidden/>
              </w:rPr>
              <w:fldChar w:fldCharType="separate"/>
            </w:r>
            <w:r>
              <w:rPr>
                <w:noProof/>
                <w:webHidden/>
              </w:rPr>
              <w:t>41</w:t>
            </w:r>
            <w:r>
              <w:rPr>
                <w:noProof/>
                <w:webHidden/>
              </w:rPr>
              <w:fldChar w:fldCharType="end"/>
            </w:r>
          </w:hyperlink>
        </w:p>
        <w:p w14:paraId="7CFDB316" w14:textId="77777777" w:rsidR="00F02451" w:rsidRDefault="00F02451">
          <w:pPr>
            <w:pStyle w:val="TOC1"/>
            <w:tabs>
              <w:tab w:val="right" w:leader="dot" w:pos="15390"/>
            </w:tabs>
            <w:rPr>
              <w:rFonts w:eastAsiaTheme="minorEastAsia"/>
              <w:noProof/>
              <w:sz w:val="22"/>
              <w:szCs w:val="22"/>
              <w:lang w:val="en-GB" w:eastAsia="en-GB"/>
            </w:rPr>
          </w:pPr>
          <w:hyperlink w:anchor="_Toc77095560" w:history="1">
            <w:r w:rsidRPr="00876422">
              <w:rPr>
                <w:rStyle w:val="Hyperlink"/>
                <w:noProof/>
                <w:lang w:val="pt-BR"/>
              </w:rPr>
              <w:t>Note 1 - Critical Judgements in Applying Accounting Policies</w:t>
            </w:r>
            <w:r>
              <w:rPr>
                <w:noProof/>
                <w:webHidden/>
              </w:rPr>
              <w:tab/>
            </w:r>
            <w:r>
              <w:rPr>
                <w:noProof/>
                <w:webHidden/>
              </w:rPr>
              <w:fldChar w:fldCharType="begin"/>
            </w:r>
            <w:r>
              <w:rPr>
                <w:noProof/>
                <w:webHidden/>
              </w:rPr>
              <w:instrText xml:space="preserve"> PAGEREF _Toc77095560 \h </w:instrText>
            </w:r>
            <w:r>
              <w:rPr>
                <w:noProof/>
                <w:webHidden/>
              </w:rPr>
            </w:r>
            <w:r>
              <w:rPr>
                <w:noProof/>
                <w:webHidden/>
              </w:rPr>
              <w:fldChar w:fldCharType="separate"/>
            </w:r>
            <w:r>
              <w:rPr>
                <w:noProof/>
                <w:webHidden/>
              </w:rPr>
              <w:t>42</w:t>
            </w:r>
            <w:r>
              <w:rPr>
                <w:noProof/>
                <w:webHidden/>
              </w:rPr>
              <w:fldChar w:fldCharType="end"/>
            </w:r>
          </w:hyperlink>
        </w:p>
        <w:p w14:paraId="2BCC5D9C" w14:textId="77777777" w:rsidR="00F02451" w:rsidRDefault="00F02451">
          <w:pPr>
            <w:pStyle w:val="TOC1"/>
            <w:tabs>
              <w:tab w:val="right" w:leader="dot" w:pos="15390"/>
            </w:tabs>
            <w:rPr>
              <w:rFonts w:eastAsiaTheme="minorEastAsia"/>
              <w:noProof/>
              <w:sz w:val="22"/>
              <w:szCs w:val="22"/>
              <w:lang w:val="en-GB" w:eastAsia="en-GB"/>
            </w:rPr>
          </w:pPr>
          <w:hyperlink w:anchor="_Toc77095561" w:history="1">
            <w:r w:rsidRPr="00876422">
              <w:rPr>
                <w:rStyle w:val="Hyperlink"/>
                <w:noProof/>
                <w:lang w:val="pt-BR"/>
              </w:rPr>
              <w:t>Note 2 – Going Concern</w:t>
            </w:r>
            <w:r>
              <w:rPr>
                <w:noProof/>
                <w:webHidden/>
              </w:rPr>
              <w:tab/>
            </w:r>
            <w:r>
              <w:rPr>
                <w:noProof/>
                <w:webHidden/>
              </w:rPr>
              <w:fldChar w:fldCharType="begin"/>
            </w:r>
            <w:r>
              <w:rPr>
                <w:noProof/>
                <w:webHidden/>
              </w:rPr>
              <w:instrText xml:space="preserve"> PAGEREF _Toc77095561 \h </w:instrText>
            </w:r>
            <w:r>
              <w:rPr>
                <w:noProof/>
                <w:webHidden/>
              </w:rPr>
            </w:r>
            <w:r>
              <w:rPr>
                <w:noProof/>
                <w:webHidden/>
              </w:rPr>
              <w:fldChar w:fldCharType="separate"/>
            </w:r>
            <w:r>
              <w:rPr>
                <w:noProof/>
                <w:webHidden/>
              </w:rPr>
              <w:t>44</w:t>
            </w:r>
            <w:r>
              <w:rPr>
                <w:noProof/>
                <w:webHidden/>
              </w:rPr>
              <w:fldChar w:fldCharType="end"/>
            </w:r>
          </w:hyperlink>
        </w:p>
        <w:p w14:paraId="5A300502" w14:textId="77777777" w:rsidR="00F02451" w:rsidRDefault="00F02451">
          <w:pPr>
            <w:pStyle w:val="TOC1"/>
            <w:tabs>
              <w:tab w:val="right" w:leader="dot" w:pos="15390"/>
            </w:tabs>
            <w:rPr>
              <w:rFonts w:eastAsiaTheme="minorEastAsia"/>
              <w:noProof/>
              <w:sz w:val="22"/>
              <w:szCs w:val="22"/>
              <w:lang w:val="en-GB" w:eastAsia="en-GB"/>
            </w:rPr>
          </w:pPr>
          <w:hyperlink w:anchor="_Toc77095562" w:history="1">
            <w:r w:rsidRPr="00876422">
              <w:rPr>
                <w:rStyle w:val="Hyperlink"/>
                <w:noProof/>
                <w:lang w:val="pt-BR"/>
              </w:rPr>
              <w:t>Note 3 - Events After the Balance Sheet Date</w:t>
            </w:r>
            <w:r>
              <w:rPr>
                <w:noProof/>
                <w:webHidden/>
              </w:rPr>
              <w:tab/>
            </w:r>
            <w:r>
              <w:rPr>
                <w:noProof/>
                <w:webHidden/>
              </w:rPr>
              <w:fldChar w:fldCharType="begin"/>
            </w:r>
            <w:r>
              <w:rPr>
                <w:noProof/>
                <w:webHidden/>
              </w:rPr>
              <w:instrText xml:space="preserve"> PAGEREF _Toc77095562 \h </w:instrText>
            </w:r>
            <w:r>
              <w:rPr>
                <w:noProof/>
                <w:webHidden/>
              </w:rPr>
            </w:r>
            <w:r>
              <w:rPr>
                <w:noProof/>
                <w:webHidden/>
              </w:rPr>
              <w:fldChar w:fldCharType="separate"/>
            </w:r>
            <w:r>
              <w:rPr>
                <w:noProof/>
                <w:webHidden/>
              </w:rPr>
              <w:t>44</w:t>
            </w:r>
            <w:r>
              <w:rPr>
                <w:noProof/>
                <w:webHidden/>
              </w:rPr>
              <w:fldChar w:fldCharType="end"/>
            </w:r>
          </w:hyperlink>
        </w:p>
        <w:p w14:paraId="7F3D07AC" w14:textId="77777777" w:rsidR="00F02451" w:rsidRDefault="00F02451">
          <w:pPr>
            <w:pStyle w:val="TOC1"/>
            <w:tabs>
              <w:tab w:val="right" w:leader="dot" w:pos="15390"/>
            </w:tabs>
            <w:rPr>
              <w:rFonts w:eastAsiaTheme="minorEastAsia"/>
              <w:noProof/>
              <w:sz w:val="22"/>
              <w:szCs w:val="22"/>
              <w:lang w:val="en-GB" w:eastAsia="en-GB"/>
            </w:rPr>
          </w:pPr>
          <w:hyperlink w:anchor="_Toc77095563" w:history="1">
            <w:r w:rsidRPr="00876422">
              <w:rPr>
                <w:rStyle w:val="Hyperlink"/>
                <w:noProof/>
                <w:lang w:val="pt-BR"/>
              </w:rPr>
              <w:t>Note 4 - Assumptions Made about the Future and Other Major Sources of Estimation Uncertainty</w:t>
            </w:r>
            <w:r>
              <w:rPr>
                <w:noProof/>
                <w:webHidden/>
              </w:rPr>
              <w:tab/>
            </w:r>
            <w:r>
              <w:rPr>
                <w:noProof/>
                <w:webHidden/>
              </w:rPr>
              <w:fldChar w:fldCharType="begin"/>
            </w:r>
            <w:r>
              <w:rPr>
                <w:noProof/>
                <w:webHidden/>
              </w:rPr>
              <w:instrText xml:space="preserve"> PAGEREF _Toc77095563 \h </w:instrText>
            </w:r>
            <w:r>
              <w:rPr>
                <w:noProof/>
                <w:webHidden/>
              </w:rPr>
            </w:r>
            <w:r>
              <w:rPr>
                <w:noProof/>
                <w:webHidden/>
              </w:rPr>
              <w:fldChar w:fldCharType="separate"/>
            </w:r>
            <w:r>
              <w:rPr>
                <w:noProof/>
                <w:webHidden/>
              </w:rPr>
              <w:t>45</w:t>
            </w:r>
            <w:r>
              <w:rPr>
                <w:noProof/>
                <w:webHidden/>
              </w:rPr>
              <w:fldChar w:fldCharType="end"/>
            </w:r>
          </w:hyperlink>
        </w:p>
        <w:p w14:paraId="635C4B8A" w14:textId="77777777" w:rsidR="00F02451" w:rsidRDefault="00F02451">
          <w:pPr>
            <w:pStyle w:val="TOC1"/>
            <w:tabs>
              <w:tab w:val="right" w:leader="dot" w:pos="15390"/>
            </w:tabs>
            <w:rPr>
              <w:rFonts w:eastAsiaTheme="minorEastAsia"/>
              <w:noProof/>
              <w:sz w:val="22"/>
              <w:szCs w:val="22"/>
              <w:lang w:val="en-GB" w:eastAsia="en-GB"/>
            </w:rPr>
          </w:pPr>
          <w:hyperlink w:anchor="_Toc77095564" w:history="1">
            <w:r w:rsidRPr="00876422">
              <w:rPr>
                <w:rStyle w:val="Hyperlink"/>
                <w:noProof/>
                <w:lang w:val="en-GB"/>
              </w:rPr>
              <w:t>Note 5 -Expenditure and Funding Analysis</w:t>
            </w:r>
            <w:r>
              <w:rPr>
                <w:noProof/>
                <w:webHidden/>
              </w:rPr>
              <w:tab/>
            </w:r>
            <w:r>
              <w:rPr>
                <w:noProof/>
                <w:webHidden/>
              </w:rPr>
              <w:fldChar w:fldCharType="begin"/>
            </w:r>
            <w:r>
              <w:rPr>
                <w:noProof/>
                <w:webHidden/>
              </w:rPr>
              <w:instrText xml:space="preserve"> PAGEREF _Toc77095564 \h </w:instrText>
            </w:r>
            <w:r>
              <w:rPr>
                <w:noProof/>
                <w:webHidden/>
              </w:rPr>
            </w:r>
            <w:r>
              <w:rPr>
                <w:noProof/>
                <w:webHidden/>
              </w:rPr>
              <w:fldChar w:fldCharType="separate"/>
            </w:r>
            <w:r>
              <w:rPr>
                <w:noProof/>
                <w:webHidden/>
              </w:rPr>
              <w:t>47</w:t>
            </w:r>
            <w:r>
              <w:rPr>
                <w:noProof/>
                <w:webHidden/>
              </w:rPr>
              <w:fldChar w:fldCharType="end"/>
            </w:r>
          </w:hyperlink>
        </w:p>
        <w:p w14:paraId="66CAE949" w14:textId="77777777" w:rsidR="00F02451" w:rsidRDefault="00F02451">
          <w:pPr>
            <w:pStyle w:val="TOC1"/>
            <w:tabs>
              <w:tab w:val="right" w:leader="dot" w:pos="15390"/>
            </w:tabs>
            <w:rPr>
              <w:rFonts w:eastAsiaTheme="minorEastAsia"/>
              <w:noProof/>
              <w:sz w:val="22"/>
              <w:szCs w:val="22"/>
              <w:lang w:val="en-GB" w:eastAsia="en-GB"/>
            </w:rPr>
          </w:pPr>
          <w:hyperlink w:anchor="_Toc77095565" w:history="1">
            <w:r w:rsidRPr="00876422">
              <w:rPr>
                <w:rStyle w:val="Hyperlink"/>
                <w:noProof/>
                <w:lang w:val="en-GB"/>
              </w:rPr>
              <w:t>Note 6 - Adjustments between Accounting Basis and Funding Basis under Regulations</w:t>
            </w:r>
            <w:r>
              <w:rPr>
                <w:noProof/>
                <w:webHidden/>
              </w:rPr>
              <w:tab/>
            </w:r>
            <w:r>
              <w:rPr>
                <w:noProof/>
                <w:webHidden/>
              </w:rPr>
              <w:fldChar w:fldCharType="begin"/>
            </w:r>
            <w:r>
              <w:rPr>
                <w:noProof/>
                <w:webHidden/>
              </w:rPr>
              <w:instrText xml:space="preserve"> PAGEREF _Toc77095565 \h </w:instrText>
            </w:r>
            <w:r>
              <w:rPr>
                <w:noProof/>
                <w:webHidden/>
              </w:rPr>
            </w:r>
            <w:r>
              <w:rPr>
                <w:noProof/>
                <w:webHidden/>
              </w:rPr>
              <w:fldChar w:fldCharType="separate"/>
            </w:r>
            <w:r>
              <w:rPr>
                <w:noProof/>
                <w:webHidden/>
              </w:rPr>
              <w:t>48</w:t>
            </w:r>
            <w:r>
              <w:rPr>
                <w:noProof/>
                <w:webHidden/>
              </w:rPr>
              <w:fldChar w:fldCharType="end"/>
            </w:r>
          </w:hyperlink>
        </w:p>
        <w:p w14:paraId="116494E7" w14:textId="77777777" w:rsidR="00F02451" w:rsidRDefault="00F02451">
          <w:pPr>
            <w:pStyle w:val="TOC1"/>
            <w:tabs>
              <w:tab w:val="right" w:leader="dot" w:pos="15390"/>
            </w:tabs>
            <w:rPr>
              <w:rFonts w:eastAsiaTheme="minorEastAsia"/>
              <w:noProof/>
              <w:sz w:val="22"/>
              <w:szCs w:val="22"/>
              <w:lang w:val="en-GB" w:eastAsia="en-GB"/>
            </w:rPr>
          </w:pPr>
          <w:hyperlink w:anchor="_Toc77095566" w:history="1">
            <w:r w:rsidRPr="00876422">
              <w:rPr>
                <w:rStyle w:val="Hyperlink"/>
                <w:noProof/>
                <w:lang w:val="pt-BR"/>
              </w:rPr>
              <w:t>Note 7 - Grant Income</w:t>
            </w:r>
            <w:r>
              <w:rPr>
                <w:noProof/>
                <w:webHidden/>
              </w:rPr>
              <w:tab/>
            </w:r>
            <w:r>
              <w:rPr>
                <w:noProof/>
                <w:webHidden/>
              </w:rPr>
              <w:fldChar w:fldCharType="begin"/>
            </w:r>
            <w:r>
              <w:rPr>
                <w:noProof/>
                <w:webHidden/>
              </w:rPr>
              <w:instrText xml:space="preserve"> PAGEREF _Toc77095566 \h </w:instrText>
            </w:r>
            <w:r>
              <w:rPr>
                <w:noProof/>
                <w:webHidden/>
              </w:rPr>
            </w:r>
            <w:r>
              <w:rPr>
                <w:noProof/>
                <w:webHidden/>
              </w:rPr>
              <w:fldChar w:fldCharType="separate"/>
            </w:r>
            <w:r>
              <w:rPr>
                <w:noProof/>
                <w:webHidden/>
              </w:rPr>
              <w:t>49</w:t>
            </w:r>
            <w:r>
              <w:rPr>
                <w:noProof/>
                <w:webHidden/>
              </w:rPr>
              <w:fldChar w:fldCharType="end"/>
            </w:r>
          </w:hyperlink>
        </w:p>
        <w:p w14:paraId="5AB10D4D" w14:textId="77777777" w:rsidR="00F02451" w:rsidRDefault="00F02451">
          <w:pPr>
            <w:pStyle w:val="TOC1"/>
            <w:tabs>
              <w:tab w:val="right" w:leader="dot" w:pos="15390"/>
            </w:tabs>
            <w:rPr>
              <w:rFonts w:eastAsiaTheme="minorEastAsia"/>
              <w:noProof/>
              <w:sz w:val="22"/>
              <w:szCs w:val="22"/>
              <w:lang w:val="en-GB" w:eastAsia="en-GB"/>
            </w:rPr>
          </w:pPr>
          <w:hyperlink w:anchor="_Toc77095567" w:history="1">
            <w:r w:rsidRPr="00876422">
              <w:rPr>
                <w:rStyle w:val="Hyperlink"/>
                <w:noProof/>
                <w:lang w:val="pt-BR"/>
              </w:rPr>
              <w:t>Note 8 - Unusable Reserves</w:t>
            </w:r>
            <w:r>
              <w:rPr>
                <w:noProof/>
                <w:webHidden/>
              </w:rPr>
              <w:tab/>
            </w:r>
            <w:r>
              <w:rPr>
                <w:noProof/>
                <w:webHidden/>
              </w:rPr>
              <w:fldChar w:fldCharType="begin"/>
            </w:r>
            <w:r>
              <w:rPr>
                <w:noProof/>
                <w:webHidden/>
              </w:rPr>
              <w:instrText xml:space="preserve"> PAGEREF _Toc77095567 \h </w:instrText>
            </w:r>
            <w:r>
              <w:rPr>
                <w:noProof/>
                <w:webHidden/>
              </w:rPr>
            </w:r>
            <w:r>
              <w:rPr>
                <w:noProof/>
                <w:webHidden/>
              </w:rPr>
              <w:fldChar w:fldCharType="separate"/>
            </w:r>
            <w:r>
              <w:rPr>
                <w:noProof/>
                <w:webHidden/>
              </w:rPr>
              <w:t>49</w:t>
            </w:r>
            <w:r>
              <w:rPr>
                <w:noProof/>
                <w:webHidden/>
              </w:rPr>
              <w:fldChar w:fldCharType="end"/>
            </w:r>
          </w:hyperlink>
        </w:p>
        <w:p w14:paraId="55582354" w14:textId="77777777" w:rsidR="00F02451" w:rsidRDefault="00F02451">
          <w:pPr>
            <w:pStyle w:val="TOC1"/>
            <w:tabs>
              <w:tab w:val="right" w:leader="dot" w:pos="15390"/>
            </w:tabs>
            <w:rPr>
              <w:rFonts w:eastAsiaTheme="minorEastAsia"/>
              <w:noProof/>
              <w:sz w:val="22"/>
              <w:szCs w:val="22"/>
              <w:lang w:val="en-GB" w:eastAsia="en-GB"/>
            </w:rPr>
          </w:pPr>
          <w:hyperlink w:anchor="_Toc77095568" w:history="1">
            <w:r w:rsidRPr="00876422">
              <w:rPr>
                <w:rStyle w:val="Hyperlink"/>
                <w:noProof/>
                <w:lang w:val="pt-BR"/>
              </w:rPr>
              <w:t>Note 9 - Debtors</w:t>
            </w:r>
            <w:r>
              <w:rPr>
                <w:noProof/>
                <w:webHidden/>
              </w:rPr>
              <w:tab/>
            </w:r>
            <w:r>
              <w:rPr>
                <w:noProof/>
                <w:webHidden/>
              </w:rPr>
              <w:fldChar w:fldCharType="begin"/>
            </w:r>
            <w:r>
              <w:rPr>
                <w:noProof/>
                <w:webHidden/>
              </w:rPr>
              <w:instrText xml:space="preserve"> PAGEREF _Toc77095568 \h </w:instrText>
            </w:r>
            <w:r>
              <w:rPr>
                <w:noProof/>
                <w:webHidden/>
              </w:rPr>
            </w:r>
            <w:r>
              <w:rPr>
                <w:noProof/>
                <w:webHidden/>
              </w:rPr>
              <w:fldChar w:fldCharType="separate"/>
            </w:r>
            <w:r>
              <w:rPr>
                <w:noProof/>
                <w:webHidden/>
              </w:rPr>
              <w:t>50</w:t>
            </w:r>
            <w:r>
              <w:rPr>
                <w:noProof/>
                <w:webHidden/>
              </w:rPr>
              <w:fldChar w:fldCharType="end"/>
            </w:r>
          </w:hyperlink>
        </w:p>
        <w:p w14:paraId="31503DFC" w14:textId="77777777" w:rsidR="00F02451" w:rsidRDefault="00F02451">
          <w:pPr>
            <w:pStyle w:val="TOC1"/>
            <w:tabs>
              <w:tab w:val="right" w:leader="dot" w:pos="15390"/>
            </w:tabs>
            <w:rPr>
              <w:rFonts w:eastAsiaTheme="minorEastAsia"/>
              <w:noProof/>
              <w:sz w:val="22"/>
              <w:szCs w:val="22"/>
              <w:lang w:val="en-GB" w:eastAsia="en-GB"/>
            </w:rPr>
          </w:pPr>
          <w:hyperlink w:anchor="_Toc77095569" w:history="1">
            <w:r w:rsidRPr="00876422">
              <w:rPr>
                <w:rStyle w:val="Hyperlink"/>
                <w:noProof/>
                <w:lang w:val="pt-BR"/>
              </w:rPr>
              <w:t>Note 10 - Creditors</w:t>
            </w:r>
            <w:r>
              <w:rPr>
                <w:noProof/>
                <w:webHidden/>
              </w:rPr>
              <w:tab/>
            </w:r>
            <w:r>
              <w:rPr>
                <w:noProof/>
                <w:webHidden/>
              </w:rPr>
              <w:fldChar w:fldCharType="begin"/>
            </w:r>
            <w:r>
              <w:rPr>
                <w:noProof/>
                <w:webHidden/>
              </w:rPr>
              <w:instrText xml:space="preserve"> PAGEREF _Toc77095569 \h </w:instrText>
            </w:r>
            <w:r>
              <w:rPr>
                <w:noProof/>
                <w:webHidden/>
              </w:rPr>
            </w:r>
            <w:r>
              <w:rPr>
                <w:noProof/>
                <w:webHidden/>
              </w:rPr>
              <w:fldChar w:fldCharType="separate"/>
            </w:r>
            <w:r>
              <w:rPr>
                <w:noProof/>
                <w:webHidden/>
              </w:rPr>
              <w:t>51</w:t>
            </w:r>
            <w:r>
              <w:rPr>
                <w:noProof/>
                <w:webHidden/>
              </w:rPr>
              <w:fldChar w:fldCharType="end"/>
            </w:r>
          </w:hyperlink>
        </w:p>
        <w:p w14:paraId="6E66B8AC" w14:textId="77777777" w:rsidR="00F02451" w:rsidRDefault="00F02451">
          <w:pPr>
            <w:pStyle w:val="TOC1"/>
            <w:tabs>
              <w:tab w:val="right" w:leader="dot" w:pos="15390"/>
            </w:tabs>
            <w:rPr>
              <w:rFonts w:eastAsiaTheme="minorEastAsia"/>
              <w:noProof/>
              <w:sz w:val="22"/>
              <w:szCs w:val="22"/>
              <w:lang w:val="en-GB" w:eastAsia="en-GB"/>
            </w:rPr>
          </w:pPr>
          <w:hyperlink w:anchor="_Toc77095570" w:history="1">
            <w:r w:rsidRPr="00876422">
              <w:rPr>
                <w:rStyle w:val="Hyperlink"/>
                <w:noProof/>
                <w:lang w:val="pt-BR"/>
              </w:rPr>
              <w:t>Note 11 - Provisions</w:t>
            </w:r>
            <w:r>
              <w:rPr>
                <w:noProof/>
                <w:webHidden/>
              </w:rPr>
              <w:tab/>
            </w:r>
            <w:r>
              <w:rPr>
                <w:noProof/>
                <w:webHidden/>
              </w:rPr>
              <w:fldChar w:fldCharType="begin"/>
            </w:r>
            <w:r>
              <w:rPr>
                <w:noProof/>
                <w:webHidden/>
              </w:rPr>
              <w:instrText xml:space="preserve"> PAGEREF _Toc77095570 \h </w:instrText>
            </w:r>
            <w:r>
              <w:rPr>
                <w:noProof/>
                <w:webHidden/>
              </w:rPr>
            </w:r>
            <w:r>
              <w:rPr>
                <w:noProof/>
                <w:webHidden/>
              </w:rPr>
              <w:fldChar w:fldCharType="separate"/>
            </w:r>
            <w:r>
              <w:rPr>
                <w:noProof/>
                <w:webHidden/>
              </w:rPr>
              <w:t>51</w:t>
            </w:r>
            <w:r>
              <w:rPr>
                <w:noProof/>
                <w:webHidden/>
              </w:rPr>
              <w:fldChar w:fldCharType="end"/>
            </w:r>
          </w:hyperlink>
        </w:p>
        <w:p w14:paraId="75C78D4D" w14:textId="77777777" w:rsidR="00F02451" w:rsidRDefault="00F02451">
          <w:pPr>
            <w:pStyle w:val="TOC1"/>
            <w:tabs>
              <w:tab w:val="right" w:leader="dot" w:pos="15390"/>
            </w:tabs>
            <w:rPr>
              <w:rFonts w:eastAsiaTheme="minorEastAsia"/>
              <w:noProof/>
              <w:sz w:val="22"/>
              <w:szCs w:val="22"/>
              <w:lang w:val="en-GB" w:eastAsia="en-GB"/>
            </w:rPr>
          </w:pPr>
          <w:hyperlink w:anchor="_Toc77095571" w:history="1">
            <w:r w:rsidRPr="00876422">
              <w:rPr>
                <w:rStyle w:val="Hyperlink"/>
                <w:noProof/>
              </w:rPr>
              <w:t>Note 12 - Joint Audit Committee</w:t>
            </w:r>
            <w:r>
              <w:rPr>
                <w:noProof/>
                <w:webHidden/>
              </w:rPr>
              <w:tab/>
            </w:r>
            <w:r>
              <w:rPr>
                <w:noProof/>
                <w:webHidden/>
              </w:rPr>
              <w:fldChar w:fldCharType="begin"/>
            </w:r>
            <w:r>
              <w:rPr>
                <w:noProof/>
                <w:webHidden/>
              </w:rPr>
              <w:instrText xml:space="preserve"> PAGEREF _Toc77095571 \h </w:instrText>
            </w:r>
            <w:r>
              <w:rPr>
                <w:noProof/>
                <w:webHidden/>
              </w:rPr>
            </w:r>
            <w:r>
              <w:rPr>
                <w:noProof/>
                <w:webHidden/>
              </w:rPr>
              <w:fldChar w:fldCharType="separate"/>
            </w:r>
            <w:r>
              <w:rPr>
                <w:noProof/>
                <w:webHidden/>
              </w:rPr>
              <w:t>52</w:t>
            </w:r>
            <w:r>
              <w:rPr>
                <w:noProof/>
                <w:webHidden/>
              </w:rPr>
              <w:fldChar w:fldCharType="end"/>
            </w:r>
          </w:hyperlink>
        </w:p>
        <w:p w14:paraId="0384B5B1" w14:textId="77777777" w:rsidR="00F02451" w:rsidRDefault="00F02451">
          <w:pPr>
            <w:pStyle w:val="TOC1"/>
            <w:tabs>
              <w:tab w:val="right" w:leader="dot" w:pos="15390"/>
            </w:tabs>
            <w:rPr>
              <w:rFonts w:eastAsiaTheme="minorEastAsia"/>
              <w:noProof/>
              <w:sz w:val="22"/>
              <w:szCs w:val="22"/>
              <w:lang w:val="en-GB" w:eastAsia="en-GB"/>
            </w:rPr>
          </w:pPr>
          <w:hyperlink w:anchor="_Toc77095572" w:history="1">
            <w:r w:rsidRPr="00876422">
              <w:rPr>
                <w:rStyle w:val="Hyperlink"/>
                <w:noProof/>
              </w:rPr>
              <w:t>Note 13 - Collaborations</w:t>
            </w:r>
            <w:r>
              <w:rPr>
                <w:noProof/>
                <w:webHidden/>
              </w:rPr>
              <w:tab/>
            </w:r>
            <w:r>
              <w:rPr>
                <w:noProof/>
                <w:webHidden/>
              </w:rPr>
              <w:fldChar w:fldCharType="begin"/>
            </w:r>
            <w:r>
              <w:rPr>
                <w:noProof/>
                <w:webHidden/>
              </w:rPr>
              <w:instrText xml:space="preserve"> PAGEREF _Toc77095572 \h </w:instrText>
            </w:r>
            <w:r>
              <w:rPr>
                <w:noProof/>
                <w:webHidden/>
              </w:rPr>
            </w:r>
            <w:r>
              <w:rPr>
                <w:noProof/>
                <w:webHidden/>
              </w:rPr>
              <w:fldChar w:fldCharType="separate"/>
            </w:r>
            <w:r>
              <w:rPr>
                <w:noProof/>
                <w:webHidden/>
              </w:rPr>
              <w:t>52</w:t>
            </w:r>
            <w:r>
              <w:rPr>
                <w:noProof/>
                <w:webHidden/>
              </w:rPr>
              <w:fldChar w:fldCharType="end"/>
            </w:r>
          </w:hyperlink>
        </w:p>
        <w:p w14:paraId="153AFE60" w14:textId="77777777" w:rsidR="00F02451" w:rsidRDefault="00F02451">
          <w:pPr>
            <w:pStyle w:val="TOC1"/>
            <w:tabs>
              <w:tab w:val="right" w:leader="dot" w:pos="15390"/>
            </w:tabs>
            <w:rPr>
              <w:rFonts w:eastAsiaTheme="minorEastAsia"/>
              <w:noProof/>
              <w:sz w:val="22"/>
              <w:szCs w:val="22"/>
              <w:lang w:val="en-GB" w:eastAsia="en-GB"/>
            </w:rPr>
          </w:pPr>
          <w:hyperlink w:anchor="_Toc77095573" w:history="1">
            <w:r w:rsidRPr="00876422">
              <w:rPr>
                <w:rStyle w:val="Hyperlink"/>
                <w:noProof/>
                <w:lang w:val="pt-BR"/>
              </w:rPr>
              <w:t>Note 14 - Officers’ Remuneration</w:t>
            </w:r>
            <w:r>
              <w:rPr>
                <w:noProof/>
                <w:webHidden/>
              </w:rPr>
              <w:tab/>
            </w:r>
            <w:r>
              <w:rPr>
                <w:noProof/>
                <w:webHidden/>
              </w:rPr>
              <w:fldChar w:fldCharType="begin"/>
            </w:r>
            <w:r>
              <w:rPr>
                <w:noProof/>
                <w:webHidden/>
              </w:rPr>
              <w:instrText xml:space="preserve"> PAGEREF _Toc77095573 \h </w:instrText>
            </w:r>
            <w:r>
              <w:rPr>
                <w:noProof/>
                <w:webHidden/>
              </w:rPr>
            </w:r>
            <w:r>
              <w:rPr>
                <w:noProof/>
                <w:webHidden/>
              </w:rPr>
              <w:fldChar w:fldCharType="separate"/>
            </w:r>
            <w:r>
              <w:rPr>
                <w:noProof/>
                <w:webHidden/>
              </w:rPr>
              <w:t>54</w:t>
            </w:r>
            <w:r>
              <w:rPr>
                <w:noProof/>
                <w:webHidden/>
              </w:rPr>
              <w:fldChar w:fldCharType="end"/>
            </w:r>
          </w:hyperlink>
        </w:p>
        <w:p w14:paraId="133D6FC3" w14:textId="77777777" w:rsidR="00F02451" w:rsidRDefault="00F02451">
          <w:pPr>
            <w:pStyle w:val="TOC1"/>
            <w:tabs>
              <w:tab w:val="right" w:leader="dot" w:pos="15390"/>
            </w:tabs>
            <w:rPr>
              <w:rFonts w:eastAsiaTheme="minorEastAsia"/>
              <w:noProof/>
              <w:sz w:val="22"/>
              <w:szCs w:val="22"/>
              <w:lang w:val="en-GB" w:eastAsia="en-GB"/>
            </w:rPr>
          </w:pPr>
          <w:hyperlink w:anchor="_Toc77095574" w:history="1">
            <w:r w:rsidRPr="00876422">
              <w:rPr>
                <w:rStyle w:val="Hyperlink"/>
                <w:noProof/>
                <w:lang w:val="pt-BR"/>
              </w:rPr>
              <w:t>Note 15 - External Audit Costs</w:t>
            </w:r>
            <w:r>
              <w:rPr>
                <w:noProof/>
                <w:webHidden/>
              </w:rPr>
              <w:tab/>
            </w:r>
            <w:r>
              <w:rPr>
                <w:noProof/>
                <w:webHidden/>
              </w:rPr>
              <w:fldChar w:fldCharType="begin"/>
            </w:r>
            <w:r>
              <w:rPr>
                <w:noProof/>
                <w:webHidden/>
              </w:rPr>
              <w:instrText xml:space="preserve"> PAGEREF _Toc77095574 \h </w:instrText>
            </w:r>
            <w:r>
              <w:rPr>
                <w:noProof/>
                <w:webHidden/>
              </w:rPr>
            </w:r>
            <w:r>
              <w:rPr>
                <w:noProof/>
                <w:webHidden/>
              </w:rPr>
              <w:fldChar w:fldCharType="separate"/>
            </w:r>
            <w:r>
              <w:rPr>
                <w:noProof/>
                <w:webHidden/>
              </w:rPr>
              <w:t>58</w:t>
            </w:r>
            <w:r>
              <w:rPr>
                <w:noProof/>
                <w:webHidden/>
              </w:rPr>
              <w:fldChar w:fldCharType="end"/>
            </w:r>
          </w:hyperlink>
        </w:p>
        <w:p w14:paraId="36F538DF" w14:textId="77777777" w:rsidR="00F02451" w:rsidRDefault="00F02451">
          <w:pPr>
            <w:pStyle w:val="TOC1"/>
            <w:tabs>
              <w:tab w:val="right" w:leader="dot" w:pos="15390"/>
            </w:tabs>
            <w:rPr>
              <w:rFonts w:eastAsiaTheme="minorEastAsia"/>
              <w:noProof/>
              <w:sz w:val="22"/>
              <w:szCs w:val="22"/>
              <w:lang w:val="en-GB" w:eastAsia="en-GB"/>
            </w:rPr>
          </w:pPr>
          <w:hyperlink w:anchor="_Toc77095575" w:history="1">
            <w:r w:rsidRPr="00876422">
              <w:rPr>
                <w:rStyle w:val="Hyperlink"/>
                <w:noProof/>
                <w:lang w:val="pt-BR"/>
              </w:rPr>
              <w:t>Note 16 - Related Parties</w:t>
            </w:r>
            <w:r>
              <w:rPr>
                <w:noProof/>
                <w:webHidden/>
              </w:rPr>
              <w:tab/>
            </w:r>
            <w:r>
              <w:rPr>
                <w:noProof/>
                <w:webHidden/>
              </w:rPr>
              <w:fldChar w:fldCharType="begin"/>
            </w:r>
            <w:r>
              <w:rPr>
                <w:noProof/>
                <w:webHidden/>
              </w:rPr>
              <w:instrText xml:space="preserve"> PAGEREF _Toc77095575 \h </w:instrText>
            </w:r>
            <w:r>
              <w:rPr>
                <w:noProof/>
                <w:webHidden/>
              </w:rPr>
            </w:r>
            <w:r>
              <w:rPr>
                <w:noProof/>
                <w:webHidden/>
              </w:rPr>
              <w:fldChar w:fldCharType="separate"/>
            </w:r>
            <w:r>
              <w:rPr>
                <w:noProof/>
                <w:webHidden/>
              </w:rPr>
              <w:t>58</w:t>
            </w:r>
            <w:r>
              <w:rPr>
                <w:noProof/>
                <w:webHidden/>
              </w:rPr>
              <w:fldChar w:fldCharType="end"/>
            </w:r>
          </w:hyperlink>
        </w:p>
        <w:p w14:paraId="7893A337" w14:textId="77777777" w:rsidR="00F02451" w:rsidRDefault="00F02451">
          <w:pPr>
            <w:pStyle w:val="TOC1"/>
            <w:tabs>
              <w:tab w:val="right" w:leader="dot" w:pos="15390"/>
            </w:tabs>
            <w:rPr>
              <w:rFonts w:eastAsiaTheme="minorEastAsia"/>
              <w:noProof/>
              <w:sz w:val="22"/>
              <w:szCs w:val="22"/>
              <w:lang w:val="en-GB" w:eastAsia="en-GB"/>
            </w:rPr>
          </w:pPr>
          <w:hyperlink w:anchor="_Toc77095576" w:history="1">
            <w:r w:rsidRPr="00876422">
              <w:rPr>
                <w:rStyle w:val="Hyperlink"/>
                <w:noProof/>
                <w:lang w:val="en-GB"/>
              </w:rPr>
              <w:t>Note 17 - Defined Benefit Pension Scheme</w:t>
            </w:r>
            <w:r>
              <w:rPr>
                <w:noProof/>
                <w:webHidden/>
              </w:rPr>
              <w:tab/>
            </w:r>
            <w:r>
              <w:rPr>
                <w:noProof/>
                <w:webHidden/>
              </w:rPr>
              <w:fldChar w:fldCharType="begin"/>
            </w:r>
            <w:r>
              <w:rPr>
                <w:noProof/>
                <w:webHidden/>
              </w:rPr>
              <w:instrText xml:space="preserve"> PAGEREF _Toc77095576 \h </w:instrText>
            </w:r>
            <w:r>
              <w:rPr>
                <w:noProof/>
                <w:webHidden/>
              </w:rPr>
            </w:r>
            <w:r>
              <w:rPr>
                <w:noProof/>
                <w:webHidden/>
              </w:rPr>
              <w:fldChar w:fldCharType="separate"/>
            </w:r>
            <w:r>
              <w:rPr>
                <w:noProof/>
                <w:webHidden/>
              </w:rPr>
              <w:t>59</w:t>
            </w:r>
            <w:r>
              <w:rPr>
                <w:noProof/>
                <w:webHidden/>
              </w:rPr>
              <w:fldChar w:fldCharType="end"/>
            </w:r>
          </w:hyperlink>
        </w:p>
        <w:p w14:paraId="52E97DE0" w14:textId="77777777" w:rsidR="00F02451" w:rsidRDefault="00F02451">
          <w:pPr>
            <w:pStyle w:val="TOC1"/>
            <w:tabs>
              <w:tab w:val="right" w:leader="dot" w:pos="15390"/>
            </w:tabs>
            <w:rPr>
              <w:rFonts w:eastAsiaTheme="minorEastAsia"/>
              <w:noProof/>
              <w:sz w:val="22"/>
              <w:szCs w:val="22"/>
              <w:lang w:val="en-GB" w:eastAsia="en-GB"/>
            </w:rPr>
          </w:pPr>
          <w:hyperlink w:anchor="_Toc77095577" w:history="1">
            <w:r w:rsidRPr="00876422">
              <w:rPr>
                <w:rStyle w:val="Hyperlink"/>
                <w:noProof/>
                <w:lang w:val="pt-BR"/>
              </w:rPr>
              <w:t>Note 18 - Contingent Liabilities</w:t>
            </w:r>
            <w:r>
              <w:rPr>
                <w:noProof/>
                <w:webHidden/>
              </w:rPr>
              <w:tab/>
            </w:r>
            <w:r>
              <w:rPr>
                <w:noProof/>
                <w:webHidden/>
              </w:rPr>
              <w:fldChar w:fldCharType="begin"/>
            </w:r>
            <w:r>
              <w:rPr>
                <w:noProof/>
                <w:webHidden/>
              </w:rPr>
              <w:instrText xml:space="preserve"> PAGEREF _Toc77095577 \h </w:instrText>
            </w:r>
            <w:r>
              <w:rPr>
                <w:noProof/>
                <w:webHidden/>
              </w:rPr>
            </w:r>
            <w:r>
              <w:rPr>
                <w:noProof/>
                <w:webHidden/>
              </w:rPr>
              <w:fldChar w:fldCharType="separate"/>
            </w:r>
            <w:r>
              <w:rPr>
                <w:noProof/>
                <w:webHidden/>
              </w:rPr>
              <w:t>68</w:t>
            </w:r>
            <w:r>
              <w:rPr>
                <w:noProof/>
                <w:webHidden/>
              </w:rPr>
              <w:fldChar w:fldCharType="end"/>
            </w:r>
          </w:hyperlink>
        </w:p>
        <w:p w14:paraId="628ECED1" w14:textId="77777777" w:rsidR="00F02451" w:rsidRDefault="00F02451">
          <w:pPr>
            <w:pStyle w:val="TOC1"/>
            <w:tabs>
              <w:tab w:val="right" w:leader="dot" w:pos="15390"/>
            </w:tabs>
            <w:rPr>
              <w:rFonts w:eastAsiaTheme="minorEastAsia"/>
              <w:noProof/>
              <w:sz w:val="22"/>
              <w:szCs w:val="22"/>
              <w:lang w:val="en-GB" w:eastAsia="en-GB"/>
            </w:rPr>
          </w:pPr>
          <w:hyperlink w:anchor="_Toc77095578" w:history="1">
            <w:r w:rsidRPr="00876422">
              <w:rPr>
                <w:rStyle w:val="Hyperlink"/>
                <w:noProof/>
                <w:lang w:val="pt-BR"/>
              </w:rPr>
              <w:t>Note 19 - Contingent Assets</w:t>
            </w:r>
            <w:r>
              <w:rPr>
                <w:noProof/>
                <w:webHidden/>
              </w:rPr>
              <w:tab/>
            </w:r>
            <w:r>
              <w:rPr>
                <w:noProof/>
                <w:webHidden/>
              </w:rPr>
              <w:fldChar w:fldCharType="begin"/>
            </w:r>
            <w:r>
              <w:rPr>
                <w:noProof/>
                <w:webHidden/>
              </w:rPr>
              <w:instrText xml:space="preserve"> PAGEREF _Toc77095578 \h </w:instrText>
            </w:r>
            <w:r>
              <w:rPr>
                <w:noProof/>
                <w:webHidden/>
              </w:rPr>
            </w:r>
            <w:r>
              <w:rPr>
                <w:noProof/>
                <w:webHidden/>
              </w:rPr>
              <w:fldChar w:fldCharType="separate"/>
            </w:r>
            <w:r>
              <w:rPr>
                <w:noProof/>
                <w:webHidden/>
              </w:rPr>
              <w:t>69</w:t>
            </w:r>
            <w:r>
              <w:rPr>
                <w:noProof/>
                <w:webHidden/>
              </w:rPr>
              <w:fldChar w:fldCharType="end"/>
            </w:r>
          </w:hyperlink>
        </w:p>
        <w:p w14:paraId="1BA11CF7" w14:textId="77777777" w:rsidR="00F02451" w:rsidRDefault="00F02451">
          <w:pPr>
            <w:pStyle w:val="TOC1"/>
            <w:tabs>
              <w:tab w:val="right" w:leader="dot" w:pos="15390"/>
            </w:tabs>
            <w:rPr>
              <w:rFonts w:eastAsiaTheme="minorEastAsia"/>
              <w:noProof/>
              <w:sz w:val="22"/>
              <w:szCs w:val="22"/>
              <w:lang w:val="en-GB" w:eastAsia="en-GB"/>
            </w:rPr>
          </w:pPr>
          <w:hyperlink w:anchor="_Toc77095579" w:history="1">
            <w:r w:rsidRPr="00876422">
              <w:rPr>
                <w:rStyle w:val="Hyperlink"/>
                <w:noProof/>
                <w:lang w:val="pt-BR"/>
              </w:rPr>
              <w:t>Note 20 - Financing and Investment Income and Expenditure</w:t>
            </w:r>
            <w:r>
              <w:rPr>
                <w:noProof/>
                <w:webHidden/>
              </w:rPr>
              <w:tab/>
            </w:r>
            <w:r>
              <w:rPr>
                <w:noProof/>
                <w:webHidden/>
              </w:rPr>
              <w:fldChar w:fldCharType="begin"/>
            </w:r>
            <w:r>
              <w:rPr>
                <w:noProof/>
                <w:webHidden/>
              </w:rPr>
              <w:instrText xml:space="preserve"> PAGEREF _Toc77095579 \h </w:instrText>
            </w:r>
            <w:r>
              <w:rPr>
                <w:noProof/>
                <w:webHidden/>
              </w:rPr>
            </w:r>
            <w:r>
              <w:rPr>
                <w:noProof/>
                <w:webHidden/>
              </w:rPr>
              <w:fldChar w:fldCharType="separate"/>
            </w:r>
            <w:r>
              <w:rPr>
                <w:noProof/>
                <w:webHidden/>
              </w:rPr>
              <w:t>69</w:t>
            </w:r>
            <w:r>
              <w:rPr>
                <w:noProof/>
                <w:webHidden/>
              </w:rPr>
              <w:fldChar w:fldCharType="end"/>
            </w:r>
          </w:hyperlink>
        </w:p>
        <w:p w14:paraId="0EE0FEEF" w14:textId="77777777" w:rsidR="00F02451" w:rsidRDefault="00F02451">
          <w:pPr>
            <w:pStyle w:val="TOC1"/>
            <w:tabs>
              <w:tab w:val="right" w:leader="dot" w:pos="15390"/>
            </w:tabs>
            <w:rPr>
              <w:rFonts w:eastAsiaTheme="minorEastAsia"/>
              <w:noProof/>
              <w:sz w:val="22"/>
              <w:szCs w:val="22"/>
              <w:lang w:val="en-GB" w:eastAsia="en-GB"/>
            </w:rPr>
          </w:pPr>
          <w:hyperlink w:anchor="_Toc77095580" w:history="1">
            <w:r w:rsidRPr="00876422">
              <w:rPr>
                <w:rStyle w:val="Hyperlink"/>
                <w:noProof/>
                <w:lang w:val="pt-BR"/>
              </w:rPr>
              <w:t>Note 21 - Other Operating Expenditure</w:t>
            </w:r>
            <w:r>
              <w:rPr>
                <w:noProof/>
                <w:webHidden/>
              </w:rPr>
              <w:tab/>
            </w:r>
            <w:r>
              <w:rPr>
                <w:noProof/>
                <w:webHidden/>
              </w:rPr>
              <w:fldChar w:fldCharType="begin"/>
            </w:r>
            <w:r>
              <w:rPr>
                <w:noProof/>
                <w:webHidden/>
              </w:rPr>
              <w:instrText xml:space="preserve"> PAGEREF _Toc77095580 \h </w:instrText>
            </w:r>
            <w:r>
              <w:rPr>
                <w:noProof/>
                <w:webHidden/>
              </w:rPr>
            </w:r>
            <w:r>
              <w:rPr>
                <w:noProof/>
                <w:webHidden/>
              </w:rPr>
              <w:fldChar w:fldCharType="separate"/>
            </w:r>
            <w:r>
              <w:rPr>
                <w:noProof/>
                <w:webHidden/>
              </w:rPr>
              <w:t>69</w:t>
            </w:r>
            <w:r>
              <w:rPr>
                <w:noProof/>
                <w:webHidden/>
              </w:rPr>
              <w:fldChar w:fldCharType="end"/>
            </w:r>
          </w:hyperlink>
        </w:p>
        <w:p w14:paraId="68A0CA13" w14:textId="77777777" w:rsidR="00F02451" w:rsidRDefault="00F02451">
          <w:pPr>
            <w:pStyle w:val="TOC1"/>
            <w:tabs>
              <w:tab w:val="right" w:leader="dot" w:pos="15390"/>
            </w:tabs>
            <w:rPr>
              <w:rFonts w:eastAsiaTheme="minorEastAsia"/>
              <w:noProof/>
              <w:sz w:val="22"/>
              <w:szCs w:val="22"/>
              <w:lang w:val="en-GB" w:eastAsia="en-GB"/>
            </w:rPr>
          </w:pPr>
          <w:hyperlink w:anchor="_Toc77095581" w:history="1">
            <w:r w:rsidRPr="00876422">
              <w:rPr>
                <w:rStyle w:val="Hyperlink"/>
                <w:noProof/>
                <w:lang w:val="en-GB" w:eastAsia="en-GB"/>
              </w:rPr>
              <w:t>Note 22 - Accounting Policies</w:t>
            </w:r>
            <w:r>
              <w:rPr>
                <w:noProof/>
                <w:webHidden/>
              </w:rPr>
              <w:tab/>
            </w:r>
            <w:r>
              <w:rPr>
                <w:noProof/>
                <w:webHidden/>
              </w:rPr>
              <w:fldChar w:fldCharType="begin"/>
            </w:r>
            <w:r>
              <w:rPr>
                <w:noProof/>
                <w:webHidden/>
              </w:rPr>
              <w:instrText xml:space="preserve"> PAGEREF _Toc77095581 \h </w:instrText>
            </w:r>
            <w:r>
              <w:rPr>
                <w:noProof/>
                <w:webHidden/>
              </w:rPr>
            </w:r>
            <w:r>
              <w:rPr>
                <w:noProof/>
                <w:webHidden/>
              </w:rPr>
              <w:fldChar w:fldCharType="separate"/>
            </w:r>
            <w:r>
              <w:rPr>
                <w:noProof/>
                <w:webHidden/>
              </w:rPr>
              <w:t>69</w:t>
            </w:r>
            <w:r>
              <w:rPr>
                <w:noProof/>
                <w:webHidden/>
              </w:rPr>
              <w:fldChar w:fldCharType="end"/>
            </w:r>
          </w:hyperlink>
        </w:p>
        <w:p w14:paraId="7B751E07" w14:textId="77777777" w:rsidR="00F02451" w:rsidRDefault="00F02451">
          <w:pPr>
            <w:pStyle w:val="TOC1"/>
            <w:tabs>
              <w:tab w:val="right" w:leader="dot" w:pos="15390"/>
            </w:tabs>
            <w:rPr>
              <w:rFonts w:eastAsiaTheme="minorEastAsia"/>
              <w:noProof/>
              <w:sz w:val="22"/>
              <w:szCs w:val="22"/>
              <w:lang w:val="en-GB" w:eastAsia="en-GB"/>
            </w:rPr>
          </w:pPr>
          <w:hyperlink w:anchor="_Toc77095582" w:history="1">
            <w:r w:rsidRPr="00876422">
              <w:rPr>
                <w:rStyle w:val="Hyperlink"/>
                <w:noProof/>
                <w:lang w:val="en-GB" w:eastAsia="en-GB"/>
              </w:rPr>
              <w:t>Note 23 - Accounting Standards issued but not yet adopted</w:t>
            </w:r>
            <w:r>
              <w:rPr>
                <w:noProof/>
                <w:webHidden/>
              </w:rPr>
              <w:tab/>
            </w:r>
            <w:r>
              <w:rPr>
                <w:noProof/>
                <w:webHidden/>
              </w:rPr>
              <w:fldChar w:fldCharType="begin"/>
            </w:r>
            <w:r>
              <w:rPr>
                <w:noProof/>
                <w:webHidden/>
              </w:rPr>
              <w:instrText xml:space="preserve"> PAGEREF _Toc77095582 \h </w:instrText>
            </w:r>
            <w:r>
              <w:rPr>
                <w:noProof/>
                <w:webHidden/>
              </w:rPr>
            </w:r>
            <w:r>
              <w:rPr>
                <w:noProof/>
                <w:webHidden/>
              </w:rPr>
              <w:fldChar w:fldCharType="separate"/>
            </w:r>
            <w:r>
              <w:rPr>
                <w:noProof/>
                <w:webHidden/>
              </w:rPr>
              <w:t>77</w:t>
            </w:r>
            <w:r>
              <w:rPr>
                <w:noProof/>
                <w:webHidden/>
              </w:rPr>
              <w:fldChar w:fldCharType="end"/>
            </w:r>
          </w:hyperlink>
        </w:p>
        <w:p w14:paraId="570DFEA8" w14:textId="77777777" w:rsidR="00F02451" w:rsidRDefault="00F02451">
          <w:pPr>
            <w:pStyle w:val="TOC1"/>
            <w:tabs>
              <w:tab w:val="right" w:leader="dot" w:pos="15390"/>
            </w:tabs>
            <w:rPr>
              <w:rFonts w:eastAsiaTheme="minorEastAsia"/>
              <w:noProof/>
              <w:sz w:val="22"/>
              <w:szCs w:val="22"/>
              <w:lang w:val="en-GB" w:eastAsia="en-GB"/>
            </w:rPr>
          </w:pPr>
          <w:hyperlink w:anchor="_Toc77095583" w:history="1">
            <w:r w:rsidRPr="00876422">
              <w:rPr>
                <w:rStyle w:val="Hyperlink"/>
                <w:noProof/>
              </w:rPr>
              <w:t>Police Pensions Fund Account Statements as at 31 March 2021</w:t>
            </w:r>
            <w:r>
              <w:rPr>
                <w:noProof/>
                <w:webHidden/>
              </w:rPr>
              <w:tab/>
            </w:r>
            <w:r>
              <w:rPr>
                <w:noProof/>
                <w:webHidden/>
              </w:rPr>
              <w:fldChar w:fldCharType="begin"/>
            </w:r>
            <w:r>
              <w:rPr>
                <w:noProof/>
                <w:webHidden/>
              </w:rPr>
              <w:instrText xml:space="preserve"> PAGEREF _Toc77095583 \h </w:instrText>
            </w:r>
            <w:r>
              <w:rPr>
                <w:noProof/>
                <w:webHidden/>
              </w:rPr>
            </w:r>
            <w:r>
              <w:rPr>
                <w:noProof/>
                <w:webHidden/>
              </w:rPr>
              <w:fldChar w:fldCharType="separate"/>
            </w:r>
            <w:r>
              <w:rPr>
                <w:noProof/>
                <w:webHidden/>
              </w:rPr>
              <w:t>79</w:t>
            </w:r>
            <w:r>
              <w:rPr>
                <w:noProof/>
                <w:webHidden/>
              </w:rPr>
              <w:fldChar w:fldCharType="end"/>
            </w:r>
          </w:hyperlink>
        </w:p>
        <w:p w14:paraId="4EEF66A5" w14:textId="77777777" w:rsidR="00F02451" w:rsidRDefault="00F02451">
          <w:pPr>
            <w:pStyle w:val="TOC1"/>
            <w:tabs>
              <w:tab w:val="right" w:leader="dot" w:pos="15390"/>
            </w:tabs>
            <w:rPr>
              <w:rFonts w:eastAsiaTheme="minorEastAsia"/>
              <w:noProof/>
              <w:sz w:val="22"/>
              <w:szCs w:val="22"/>
              <w:lang w:val="en-GB" w:eastAsia="en-GB"/>
            </w:rPr>
          </w:pPr>
          <w:hyperlink w:anchor="_Toc77095584" w:history="1">
            <w:r w:rsidRPr="00876422">
              <w:rPr>
                <w:rStyle w:val="Hyperlink"/>
                <w:noProof/>
                <w:lang w:eastAsia="en-GB"/>
              </w:rPr>
              <w:t>Police Pension Funds - Notes</w:t>
            </w:r>
            <w:r>
              <w:rPr>
                <w:noProof/>
                <w:webHidden/>
              </w:rPr>
              <w:tab/>
            </w:r>
            <w:r>
              <w:rPr>
                <w:noProof/>
                <w:webHidden/>
              </w:rPr>
              <w:fldChar w:fldCharType="begin"/>
            </w:r>
            <w:r>
              <w:rPr>
                <w:noProof/>
                <w:webHidden/>
              </w:rPr>
              <w:instrText xml:space="preserve"> PAGEREF _Toc77095584 \h </w:instrText>
            </w:r>
            <w:r>
              <w:rPr>
                <w:noProof/>
                <w:webHidden/>
              </w:rPr>
            </w:r>
            <w:r>
              <w:rPr>
                <w:noProof/>
                <w:webHidden/>
              </w:rPr>
              <w:fldChar w:fldCharType="separate"/>
            </w:r>
            <w:r>
              <w:rPr>
                <w:noProof/>
                <w:webHidden/>
              </w:rPr>
              <w:t>80</w:t>
            </w:r>
            <w:r>
              <w:rPr>
                <w:noProof/>
                <w:webHidden/>
              </w:rPr>
              <w:fldChar w:fldCharType="end"/>
            </w:r>
          </w:hyperlink>
        </w:p>
        <w:p w14:paraId="5141AC32" w14:textId="77777777" w:rsidR="00F02451" w:rsidRDefault="00F02451">
          <w:pPr>
            <w:pStyle w:val="TOC1"/>
            <w:tabs>
              <w:tab w:val="right" w:leader="dot" w:pos="15390"/>
            </w:tabs>
            <w:rPr>
              <w:rFonts w:eastAsiaTheme="minorEastAsia"/>
              <w:noProof/>
              <w:sz w:val="22"/>
              <w:szCs w:val="22"/>
              <w:lang w:val="en-GB" w:eastAsia="en-GB"/>
            </w:rPr>
          </w:pPr>
          <w:hyperlink w:anchor="_Toc77095585" w:history="1">
            <w:r w:rsidRPr="00876422">
              <w:rPr>
                <w:rStyle w:val="Hyperlink"/>
                <w:noProof/>
                <w:lang w:val="en-GB" w:eastAsia="en-GB"/>
              </w:rPr>
              <w:t>Glossary of Accounting Terms</w:t>
            </w:r>
            <w:r>
              <w:rPr>
                <w:noProof/>
                <w:webHidden/>
              </w:rPr>
              <w:tab/>
            </w:r>
            <w:r>
              <w:rPr>
                <w:noProof/>
                <w:webHidden/>
              </w:rPr>
              <w:fldChar w:fldCharType="begin"/>
            </w:r>
            <w:r>
              <w:rPr>
                <w:noProof/>
                <w:webHidden/>
              </w:rPr>
              <w:instrText xml:space="preserve"> PAGEREF _Toc77095585 \h </w:instrText>
            </w:r>
            <w:r>
              <w:rPr>
                <w:noProof/>
                <w:webHidden/>
              </w:rPr>
            </w:r>
            <w:r>
              <w:rPr>
                <w:noProof/>
                <w:webHidden/>
              </w:rPr>
              <w:fldChar w:fldCharType="separate"/>
            </w:r>
            <w:r>
              <w:rPr>
                <w:noProof/>
                <w:webHidden/>
              </w:rPr>
              <w:t>83</w:t>
            </w:r>
            <w:r>
              <w:rPr>
                <w:noProof/>
                <w:webHidden/>
              </w:rPr>
              <w:fldChar w:fldCharType="end"/>
            </w:r>
          </w:hyperlink>
        </w:p>
        <w:p w14:paraId="47561818" w14:textId="5073C418" w:rsidR="0053376B" w:rsidRPr="008615E5" w:rsidRDefault="00F227D9" w:rsidP="00F227D9">
          <w:pPr>
            <w:rPr>
              <w:rFonts w:ascii="Verdana" w:hAnsi="Verdana"/>
              <w:bCs/>
              <w:noProof/>
            </w:rPr>
          </w:pPr>
          <w:r w:rsidRPr="008615E5">
            <w:rPr>
              <w:rFonts w:ascii="Verdana" w:hAnsi="Verdana"/>
              <w:bCs/>
              <w:noProof/>
            </w:rPr>
            <w:fldChar w:fldCharType="end"/>
          </w:r>
        </w:p>
      </w:sdtContent>
    </w:sdt>
    <w:p w14:paraId="4CE726A9" w14:textId="77777777" w:rsidR="00F227D9" w:rsidRDefault="00F227D9" w:rsidP="00F227D9">
      <w:pPr>
        <w:rPr>
          <w:rFonts w:ascii="Verdana" w:hAnsi="Verdana"/>
          <w:sz w:val="22"/>
          <w:szCs w:val="22"/>
          <w:lang w:val="en-AU"/>
        </w:rPr>
      </w:pPr>
      <w:r>
        <w:rPr>
          <w:rFonts w:ascii="Verdana" w:hAnsi="Verdana"/>
          <w:sz w:val="22"/>
          <w:szCs w:val="22"/>
          <w:lang w:val="en-AU"/>
        </w:rPr>
        <w:t xml:space="preserve"> </w:t>
      </w:r>
    </w:p>
    <w:p w14:paraId="5AC30858" w14:textId="77777777" w:rsidR="00F227D9" w:rsidRDefault="00F227D9" w:rsidP="00F227D9">
      <w:pPr>
        <w:rPr>
          <w:rFonts w:ascii="Verdana" w:hAnsi="Verdana"/>
          <w:sz w:val="22"/>
          <w:szCs w:val="22"/>
          <w:lang w:val="en-AU"/>
        </w:rPr>
      </w:pPr>
      <w:r>
        <w:rPr>
          <w:rFonts w:ascii="Verdana" w:hAnsi="Verdana"/>
          <w:sz w:val="22"/>
          <w:szCs w:val="22"/>
          <w:lang w:val="en-AU"/>
        </w:rPr>
        <w:br w:type="page"/>
      </w:r>
    </w:p>
    <w:p w14:paraId="072407D7" w14:textId="77777777" w:rsidR="00F227D9" w:rsidRDefault="00F227D9">
      <w:pPr>
        <w:rPr>
          <w:rFonts w:ascii="Verdana" w:hAnsi="Verdana"/>
          <w:sz w:val="22"/>
          <w:szCs w:val="22"/>
          <w:lang w:val="en-AU"/>
        </w:rPr>
        <w:sectPr w:rsidR="00F227D9" w:rsidSect="00B54A0C">
          <w:footerReference w:type="default" r:id="rId10"/>
          <w:type w:val="nextColumn"/>
          <w:pgSz w:w="16840" w:h="11900" w:orient="landscape"/>
          <w:pgMar w:top="709" w:right="720" w:bottom="567" w:left="720" w:header="708" w:footer="708" w:gutter="0"/>
          <w:pgNumType w:start="1"/>
          <w:cols w:space="708"/>
          <w:docGrid w:linePitch="360"/>
        </w:sectPr>
      </w:pPr>
    </w:p>
    <w:p w14:paraId="0C4D7DDA" w14:textId="77777777" w:rsidR="00F227D9" w:rsidRPr="003D2925" w:rsidRDefault="00F227D9" w:rsidP="00F227D9">
      <w:pPr>
        <w:pStyle w:val="Heading1"/>
        <w:rPr>
          <w:lang w:val="en-GB" w:eastAsia="en-GB"/>
        </w:rPr>
      </w:pPr>
      <w:bookmarkStart w:id="1" w:name="_Toc77095552"/>
      <w:r w:rsidRPr="003D2925">
        <w:rPr>
          <w:lang w:val="en-GB" w:eastAsia="en-GB"/>
        </w:rPr>
        <w:lastRenderedPageBreak/>
        <w:t>Narrative Report</w:t>
      </w:r>
      <w:bookmarkEnd w:id="1"/>
    </w:p>
    <w:p w14:paraId="13E1D742" w14:textId="77777777" w:rsidR="00F227D9" w:rsidRPr="003D2925" w:rsidRDefault="00F227D9" w:rsidP="00F227D9">
      <w:pPr>
        <w:pStyle w:val="Style2"/>
        <w:rPr>
          <w:rFonts w:ascii="Verdana" w:hAnsi="Verdana"/>
          <w:sz w:val="22"/>
          <w:szCs w:val="22"/>
          <w:lang w:val="en-GB" w:eastAsia="en-GB"/>
        </w:rPr>
      </w:pPr>
    </w:p>
    <w:p w14:paraId="5A0BC841" w14:textId="77777777" w:rsidR="00F227D9" w:rsidRPr="003D2925" w:rsidRDefault="00F227D9" w:rsidP="005E3E6F">
      <w:pPr>
        <w:pStyle w:val="Style1"/>
        <w:numPr>
          <w:ilvl w:val="0"/>
          <w:numId w:val="5"/>
        </w:numPr>
        <w:rPr>
          <w:rFonts w:ascii="Verdana" w:hAnsi="Verdana"/>
          <w:sz w:val="22"/>
          <w:szCs w:val="22"/>
          <w:lang w:val="en-GB" w:eastAsia="en-GB"/>
        </w:rPr>
      </w:pPr>
      <w:r w:rsidRPr="003D2925">
        <w:rPr>
          <w:rFonts w:ascii="Verdana" w:hAnsi="Verdana"/>
          <w:sz w:val="22"/>
          <w:szCs w:val="22"/>
          <w:lang w:val="en-GB" w:eastAsia="en-GB"/>
        </w:rPr>
        <w:t>Introduction</w:t>
      </w:r>
    </w:p>
    <w:p w14:paraId="110E582F" w14:textId="77777777" w:rsidR="00F227D9" w:rsidRPr="000528E2" w:rsidRDefault="00F227D9" w:rsidP="00F227D9">
      <w:pPr>
        <w:pStyle w:val="Style1"/>
        <w:numPr>
          <w:ilvl w:val="0"/>
          <w:numId w:val="0"/>
        </w:numPr>
        <w:ind w:left="-142" w:right="1070"/>
        <w:rPr>
          <w:rFonts w:ascii="Verdana" w:hAnsi="Verdana"/>
          <w:sz w:val="22"/>
          <w:szCs w:val="22"/>
          <w:lang w:val="en-GB" w:eastAsia="en-GB"/>
        </w:rPr>
      </w:pPr>
    </w:p>
    <w:p w14:paraId="6E59AC22" w14:textId="2EA30056" w:rsidR="00F227D9" w:rsidRPr="000528E2" w:rsidRDefault="00F227D9" w:rsidP="00F227D9">
      <w:pPr>
        <w:pStyle w:val="Normal0"/>
        <w:jc w:val="both"/>
        <w:rPr>
          <w:rFonts w:ascii="Verdana" w:eastAsia="Times New Roman" w:hAnsi="Verdana" w:cs="Arial"/>
          <w:sz w:val="22"/>
          <w:szCs w:val="22"/>
          <w:lang w:val="en-GB" w:eastAsia="en-GB"/>
        </w:rPr>
      </w:pPr>
      <w:r w:rsidRPr="000528E2">
        <w:rPr>
          <w:rFonts w:ascii="Verdana" w:eastAsia="Times New Roman" w:hAnsi="Verdana" w:cs="Arial"/>
          <w:sz w:val="22"/>
          <w:szCs w:val="22"/>
          <w:lang w:val="en-GB" w:eastAsia="en-GB"/>
        </w:rPr>
        <w:t>The purpose of this narrative report is to provide a guide to the most significant matters reported in the 20</w:t>
      </w:r>
      <w:r w:rsidR="000528E2" w:rsidRPr="000528E2">
        <w:rPr>
          <w:rFonts w:ascii="Verdana" w:eastAsia="Times New Roman" w:hAnsi="Verdana" w:cs="Arial"/>
          <w:sz w:val="22"/>
          <w:szCs w:val="22"/>
          <w:lang w:val="en-GB" w:eastAsia="en-GB"/>
        </w:rPr>
        <w:t>20</w:t>
      </w:r>
      <w:r w:rsidRPr="000528E2">
        <w:rPr>
          <w:rFonts w:ascii="Verdana" w:eastAsia="Times New Roman" w:hAnsi="Verdana" w:cs="Arial"/>
          <w:sz w:val="22"/>
          <w:szCs w:val="22"/>
          <w:lang w:val="en-GB" w:eastAsia="en-GB"/>
        </w:rPr>
        <w:t>/</w:t>
      </w:r>
      <w:r w:rsidR="00FF3D29" w:rsidRPr="000528E2">
        <w:rPr>
          <w:rFonts w:ascii="Verdana" w:eastAsia="Times New Roman" w:hAnsi="Verdana" w:cs="Arial"/>
          <w:sz w:val="22"/>
          <w:szCs w:val="22"/>
          <w:lang w:val="en-GB" w:eastAsia="en-GB"/>
        </w:rPr>
        <w:t>2</w:t>
      </w:r>
      <w:r w:rsidR="000528E2" w:rsidRPr="000528E2">
        <w:rPr>
          <w:rFonts w:ascii="Verdana" w:eastAsia="Times New Roman" w:hAnsi="Verdana" w:cs="Arial"/>
          <w:sz w:val="22"/>
          <w:szCs w:val="22"/>
          <w:lang w:val="en-GB" w:eastAsia="en-GB"/>
        </w:rPr>
        <w:t>1</w:t>
      </w:r>
      <w:r w:rsidRPr="000528E2">
        <w:rPr>
          <w:rFonts w:ascii="Verdana" w:eastAsia="Times New Roman" w:hAnsi="Verdana" w:cs="Arial"/>
          <w:sz w:val="22"/>
          <w:szCs w:val="22"/>
          <w:lang w:val="en-GB" w:eastAsia="en-GB"/>
        </w:rPr>
        <w:t xml:space="preserve"> Financial Statements for the Chief Constable for Surrey. The narrative report explains the purpose of the Financial Statements, a summary of the financial activities and the financial position as at 31 March 20</w:t>
      </w:r>
      <w:r w:rsidR="00FF3D29" w:rsidRPr="000528E2">
        <w:rPr>
          <w:rFonts w:ascii="Verdana" w:eastAsia="Times New Roman" w:hAnsi="Verdana" w:cs="Arial"/>
          <w:sz w:val="22"/>
          <w:szCs w:val="22"/>
          <w:lang w:val="en-GB" w:eastAsia="en-GB"/>
        </w:rPr>
        <w:t>2</w:t>
      </w:r>
      <w:r w:rsidR="000528E2" w:rsidRPr="000528E2">
        <w:rPr>
          <w:rFonts w:ascii="Verdana" w:eastAsia="Times New Roman" w:hAnsi="Verdana" w:cs="Arial"/>
          <w:sz w:val="22"/>
          <w:szCs w:val="22"/>
          <w:lang w:val="en-GB" w:eastAsia="en-GB"/>
        </w:rPr>
        <w:t>1</w:t>
      </w:r>
      <w:r w:rsidRPr="000528E2">
        <w:rPr>
          <w:rFonts w:ascii="Verdana" w:eastAsia="Times New Roman" w:hAnsi="Verdana" w:cs="Arial"/>
          <w:sz w:val="22"/>
          <w:szCs w:val="22"/>
          <w:lang w:val="en-GB" w:eastAsia="en-GB"/>
        </w:rPr>
        <w:t>.</w:t>
      </w:r>
    </w:p>
    <w:p w14:paraId="012D82E0" w14:textId="77777777" w:rsidR="00F227D9" w:rsidRPr="000528E2" w:rsidRDefault="00F227D9" w:rsidP="00F227D9">
      <w:pPr>
        <w:pStyle w:val="Normal0"/>
        <w:jc w:val="both"/>
        <w:rPr>
          <w:rFonts w:ascii="Verdana" w:eastAsia="Times New Roman" w:hAnsi="Verdana" w:cs="Arial"/>
          <w:sz w:val="22"/>
          <w:szCs w:val="22"/>
          <w:lang w:val="en-GB" w:eastAsia="en-GB"/>
        </w:rPr>
      </w:pPr>
    </w:p>
    <w:p w14:paraId="4A027BDA" w14:textId="77777777" w:rsidR="00F227D9" w:rsidRPr="00503675" w:rsidRDefault="00F227D9" w:rsidP="00F227D9">
      <w:pPr>
        <w:pStyle w:val="Normal0"/>
        <w:spacing w:after="150"/>
        <w:jc w:val="both"/>
        <w:rPr>
          <w:rFonts w:ascii="Verdana" w:eastAsia="Times New Roman" w:hAnsi="Verdana" w:cs="Arial"/>
          <w:sz w:val="22"/>
          <w:szCs w:val="22"/>
          <w:lang w:val="en-GB" w:eastAsia="en-GB"/>
        </w:rPr>
      </w:pPr>
      <w:r w:rsidRPr="000528E2">
        <w:rPr>
          <w:rFonts w:ascii="Verdana" w:eastAsia="Times New Roman" w:hAnsi="Verdana" w:cs="Arial"/>
          <w:sz w:val="22"/>
          <w:szCs w:val="22"/>
          <w:lang w:val="en-GB" w:eastAsia="en-GB"/>
        </w:rPr>
        <w:t>Surrey is a county in the South East of England, covering 644 square-miles, with one county council</w:t>
      </w:r>
      <w:r w:rsidR="00D20C66" w:rsidRPr="000528E2">
        <w:rPr>
          <w:rFonts w:ascii="Verdana" w:eastAsia="Times New Roman" w:hAnsi="Verdana" w:cs="Arial"/>
          <w:sz w:val="22"/>
          <w:szCs w:val="22"/>
          <w:lang w:val="en-GB" w:eastAsia="en-GB"/>
        </w:rPr>
        <w:t>, 11 boroughs/districts and 6</w:t>
      </w:r>
      <w:r w:rsidRPr="000528E2">
        <w:rPr>
          <w:rFonts w:ascii="Verdana" w:eastAsia="Times New Roman" w:hAnsi="Verdana" w:cs="Arial"/>
          <w:sz w:val="22"/>
          <w:szCs w:val="22"/>
          <w:lang w:val="en-GB" w:eastAsia="en-GB"/>
        </w:rPr>
        <w:t xml:space="preserve"> major hospitals</w:t>
      </w:r>
      <w:r w:rsidR="00D20C66" w:rsidRPr="000528E2">
        <w:rPr>
          <w:rFonts w:ascii="Verdana" w:eastAsia="Times New Roman" w:hAnsi="Verdana" w:cs="Arial"/>
          <w:sz w:val="22"/>
          <w:szCs w:val="22"/>
          <w:lang w:val="en-GB" w:eastAsia="en-GB"/>
        </w:rPr>
        <w:t xml:space="preserve"> with A&amp;E departments</w:t>
      </w:r>
      <w:r w:rsidRPr="000528E2">
        <w:rPr>
          <w:rFonts w:ascii="Verdana" w:eastAsia="Times New Roman" w:hAnsi="Verdana" w:cs="Arial"/>
          <w:sz w:val="22"/>
          <w:szCs w:val="22"/>
          <w:lang w:val="en-GB" w:eastAsia="en-GB"/>
        </w:rPr>
        <w:t>. It has 62 miles of motorway, including the busiest M25 stretch. Surrey’s rivers include the Thames which is a notable flooding risk and 73% of the county is classified as greenbelt. Surrey borders the UK’s busiest two airports. It is the most densely populated county in South East England with a population of 1.2 million.</w:t>
      </w:r>
      <w:r w:rsidR="00FF1FF9" w:rsidRPr="000528E2">
        <w:rPr>
          <w:rFonts w:ascii="Verdana" w:eastAsia="Times New Roman" w:hAnsi="Verdana" w:cs="Arial"/>
          <w:sz w:val="22"/>
          <w:szCs w:val="22"/>
          <w:lang w:val="en-GB" w:eastAsia="en-GB"/>
        </w:rPr>
        <w:t xml:space="preserve"> The resident population is increased significantly by </w:t>
      </w:r>
      <w:r w:rsidR="00220628" w:rsidRPr="000528E2">
        <w:rPr>
          <w:rFonts w:ascii="Verdana" w:eastAsia="Times New Roman" w:hAnsi="Verdana" w:cs="Arial"/>
          <w:sz w:val="22"/>
          <w:szCs w:val="22"/>
          <w:lang w:val="en-GB" w:eastAsia="en-GB"/>
        </w:rPr>
        <w:t>university students and the large numbers who visit, socialise in, or travel through the area each year.</w:t>
      </w:r>
      <w:r w:rsidRPr="000528E2">
        <w:rPr>
          <w:rFonts w:ascii="Verdana" w:eastAsia="Times New Roman" w:hAnsi="Verdana" w:cs="Arial"/>
          <w:sz w:val="22"/>
          <w:szCs w:val="22"/>
          <w:lang w:val="en-GB" w:eastAsia="en-GB"/>
        </w:rPr>
        <w:t xml:space="preserve"> The Olympic legacy increased the sporting footprint, with national cycling competitions and</w:t>
      </w:r>
      <w:r w:rsidR="00220628" w:rsidRPr="000528E2">
        <w:rPr>
          <w:rFonts w:ascii="Verdana" w:eastAsia="Times New Roman" w:hAnsi="Verdana" w:cs="Arial"/>
          <w:sz w:val="22"/>
          <w:szCs w:val="22"/>
          <w:lang w:val="en-GB" w:eastAsia="en-GB"/>
        </w:rPr>
        <w:t xml:space="preserve"> Epsom Derby which is</w:t>
      </w:r>
      <w:r w:rsidRPr="000528E2">
        <w:rPr>
          <w:rFonts w:ascii="Verdana" w:eastAsia="Times New Roman" w:hAnsi="Verdana" w:cs="Arial"/>
          <w:sz w:val="22"/>
          <w:szCs w:val="22"/>
          <w:lang w:val="en-GB" w:eastAsia="en-GB"/>
        </w:rPr>
        <w:t xml:space="preserve"> the country’s largest one-</w:t>
      </w:r>
      <w:r w:rsidR="00220628" w:rsidRPr="000528E2">
        <w:rPr>
          <w:rFonts w:ascii="Verdana" w:eastAsia="Times New Roman" w:hAnsi="Verdana" w:cs="Arial"/>
          <w:sz w:val="22"/>
          <w:szCs w:val="22"/>
          <w:lang w:val="en-GB" w:eastAsia="en-GB"/>
        </w:rPr>
        <w:t xml:space="preserve">day sporting event attracting over 100,000 </w:t>
      </w:r>
      <w:r w:rsidR="00220628" w:rsidRPr="00503675">
        <w:rPr>
          <w:rFonts w:ascii="Verdana" w:eastAsia="Times New Roman" w:hAnsi="Verdana" w:cs="Arial"/>
          <w:sz w:val="22"/>
          <w:szCs w:val="22"/>
          <w:lang w:val="en-GB" w:eastAsia="en-GB"/>
        </w:rPr>
        <w:t>racegoers each year</w:t>
      </w:r>
      <w:r w:rsidRPr="00503675">
        <w:rPr>
          <w:rFonts w:ascii="Verdana" w:eastAsia="Times New Roman" w:hAnsi="Verdana" w:cs="Arial"/>
          <w:sz w:val="22"/>
          <w:szCs w:val="22"/>
          <w:lang w:val="en-GB" w:eastAsia="en-GB"/>
        </w:rPr>
        <w:t>.</w:t>
      </w:r>
    </w:p>
    <w:p w14:paraId="5C56480A" w14:textId="77777777" w:rsidR="00F227D9" w:rsidRPr="003250E3" w:rsidRDefault="00F227D9" w:rsidP="00F227D9">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503675">
        <w:rPr>
          <w:rFonts w:ascii="Verdana" w:eastAsia="Times New Roman" w:hAnsi="Verdana" w:cs="Arial"/>
          <w:sz w:val="22"/>
          <w:szCs w:val="22"/>
          <w:lang w:val="en-GB" w:eastAsia="en-GB"/>
        </w:rPr>
        <w:t xml:space="preserve">The vision for Surrey Police is to make Surrey the safest it can be in which to live and work, and a welcoming place to visit. Surrey Police has a track record of successful crime reduction and problem solving activity. Building on this experience and know-how, there is an </w:t>
      </w:r>
      <w:r w:rsidRPr="003250E3">
        <w:rPr>
          <w:rFonts w:ascii="Verdana" w:eastAsia="Times New Roman" w:hAnsi="Verdana" w:cs="Arial"/>
          <w:sz w:val="22"/>
          <w:szCs w:val="22"/>
          <w:lang w:val="en-GB" w:eastAsia="en-GB"/>
        </w:rPr>
        <w:t xml:space="preserve">aspiration to make Surrey even safer. </w:t>
      </w:r>
    </w:p>
    <w:p w14:paraId="282B73BE" w14:textId="77777777" w:rsidR="003250E3" w:rsidRPr="003250E3" w:rsidRDefault="003250E3" w:rsidP="003250E3">
      <w:pPr>
        <w:spacing w:after="160" w:line="259" w:lineRule="auto"/>
        <w:jc w:val="both"/>
        <w:rPr>
          <w:rFonts w:ascii="Verdana" w:eastAsia="Calibri" w:hAnsi="Verdana" w:cs="Times New Roman"/>
          <w:b/>
          <w:sz w:val="22"/>
          <w:szCs w:val="22"/>
          <w:lang w:val="en-GB"/>
        </w:rPr>
      </w:pPr>
      <w:r w:rsidRPr="003250E3">
        <w:rPr>
          <w:rFonts w:ascii="Verdana" w:eastAsia="Calibri" w:hAnsi="Verdana" w:cs="Times New Roman"/>
          <w:b/>
          <w:sz w:val="22"/>
          <w:szCs w:val="22"/>
          <w:lang w:val="en-GB"/>
        </w:rPr>
        <w:t>Covid-19 and a changing environment</w:t>
      </w:r>
    </w:p>
    <w:p w14:paraId="2604100C"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The Covid-19 pandemic has changed the balance of demand upon the service significantly; reducing demand in some areas such as domestic burglary and serious violence, while increasing demand in others such as domestic abuse. In addition to operational demand, the pandemic has necessitated a range of new ways of working; changing the use of the Force’s estate, and increasing the amount of remote working wherever possible. The Force has responded to these challenges, significantly accelerating the pace of development and roll-out of collaborative technology.</w:t>
      </w:r>
    </w:p>
    <w:p w14:paraId="04E875E7"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Surrey Police has worked closely with other forces and a range of local partners in response to the pandemic; with Sussex Police in a collaborated police response, and with local authority and health partners via the Local Resilience Forum and other partnership arrangements. These relationships – whether new partnerships forged in response to Covid-19, or existing partnerships that have been strengthened and refined – provide significant opportunities for Surrey Police, and the Force will continue to build on these.</w:t>
      </w:r>
    </w:p>
    <w:p w14:paraId="3C0A70D8" w14:textId="77777777" w:rsidR="003250E3" w:rsidRDefault="003250E3" w:rsidP="003250E3">
      <w:pPr>
        <w:spacing w:after="160" w:line="259" w:lineRule="auto"/>
        <w:jc w:val="both"/>
        <w:rPr>
          <w:rFonts w:ascii="Verdana" w:eastAsia="Calibri" w:hAnsi="Verdana" w:cs="Times New Roman"/>
          <w:b/>
          <w:sz w:val="22"/>
          <w:szCs w:val="22"/>
          <w:lang w:val="en-GB"/>
        </w:rPr>
      </w:pPr>
    </w:p>
    <w:p w14:paraId="64FFD4B7" w14:textId="77777777" w:rsidR="003250E3" w:rsidRPr="003250E3" w:rsidRDefault="003250E3" w:rsidP="003250E3">
      <w:pPr>
        <w:spacing w:after="160" w:line="259" w:lineRule="auto"/>
        <w:jc w:val="both"/>
        <w:rPr>
          <w:rFonts w:ascii="Verdana" w:eastAsia="Calibri" w:hAnsi="Verdana" w:cs="Times New Roman"/>
          <w:b/>
          <w:sz w:val="22"/>
          <w:szCs w:val="22"/>
          <w:lang w:val="en-GB"/>
        </w:rPr>
      </w:pPr>
      <w:r w:rsidRPr="003250E3">
        <w:rPr>
          <w:rFonts w:ascii="Verdana" w:eastAsia="Calibri" w:hAnsi="Verdana" w:cs="Times New Roman"/>
          <w:b/>
          <w:sz w:val="22"/>
          <w:szCs w:val="22"/>
          <w:lang w:val="en-GB"/>
        </w:rPr>
        <w:t>Adapting to the Future</w:t>
      </w:r>
    </w:p>
    <w:p w14:paraId="45905A5B"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There can be no doubt that the Covid-19 pandemic has changed society permanently. While some ways of life will return to a pre-pandemic normality over time, other changes are unlikely to be reversed. In many ways, the pandemic has simply accelerated societal and technological changes that were already underway, but Surrey Police does not underestimate the ongoing implications for the Force and the community, and the inherent uncertainties in responding to the new normality. Surrey Police is actively adopting the best of the changes that it made to ways of working, and working with a range of partners and the public to understand the ongoing impact of the pandemic on Surrey and wider society.</w:t>
      </w:r>
    </w:p>
    <w:p w14:paraId="4DE721C9" w14:textId="77777777" w:rsidR="003250E3" w:rsidRPr="003250E3" w:rsidRDefault="003250E3" w:rsidP="003250E3">
      <w:pPr>
        <w:spacing w:after="160" w:line="259" w:lineRule="auto"/>
        <w:jc w:val="both"/>
        <w:rPr>
          <w:rFonts w:ascii="Verdana" w:eastAsia="Calibri" w:hAnsi="Verdana" w:cs="Times New Roman"/>
          <w:b/>
          <w:sz w:val="22"/>
          <w:szCs w:val="22"/>
          <w:lang w:val="en-GB"/>
        </w:rPr>
      </w:pPr>
      <w:r w:rsidRPr="003250E3">
        <w:rPr>
          <w:rFonts w:ascii="Verdana" w:eastAsia="Calibri" w:hAnsi="Verdana" w:cs="Times New Roman"/>
          <w:b/>
          <w:sz w:val="22"/>
          <w:szCs w:val="22"/>
          <w:lang w:val="en-GB"/>
        </w:rPr>
        <w:t>Our Commitments</w:t>
      </w:r>
    </w:p>
    <w:p w14:paraId="3707F5DC"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Recognising the need for staff and public to see and understand a clear vision and strategy for the Force – never more so than in the midst of the turbulence caused by the Covid-19 pandemic – in September 2020 Surrey Police set out its strategy as “Our Commitments” to our Communities, our Force, and our People. The Force will use this framework to focus activity over the next five years.</w:t>
      </w:r>
    </w:p>
    <w:p w14:paraId="476FCA98"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Surrey Police Commitments 2020/25 - Be safe, feel safe. They aim to ensure Surrey is a county that is safe, and feels safe as follows:</w:t>
      </w:r>
    </w:p>
    <w:p w14:paraId="26BC029C" w14:textId="77777777" w:rsidR="003250E3" w:rsidRPr="003250E3" w:rsidRDefault="003250E3" w:rsidP="003250E3">
      <w:pPr>
        <w:numPr>
          <w:ilvl w:val="0"/>
          <w:numId w:val="28"/>
        </w:numPr>
        <w:spacing w:line="259" w:lineRule="auto"/>
        <w:jc w:val="both"/>
        <w:rPr>
          <w:rFonts w:ascii="Verdana" w:eastAsia="Calibri" w:hAnsi="Verdana" w:cs="Times New Roman"/>
          <w:b/>
          <w:sz w:val="22"/>
          <w:szCs w:val="22"/>
          <w:lang w:val="en-GB"/>
        </w:rPr>
      </w:pPr>
      <w:r w:rsidRPr="003250E3">
        <w:rPr>
          <w:rFonts w:ascii="Verdana" w:eastAsia="Calibri" w:hAnsi="Verdana" w:cs="Times New Roman"/>
          <w:b/>
          <w:sz w:val="22"/>
          <w:szCs w:val="22"/>
          <w:lang w:val="en-GB"/>
        </w:rPr>
        <w:t>Our Force:</w:t>
      </w:r>
    </w:p>
    <w:p w14:paraId="15BCE8E6" w14:textId="77777777" w:rsidR="003250E3" w:rsidRPr="003250E3" w:rsidRDefault="003250E3" w:rsidP="003250E3">
      <w:pPr>
        <w:ind w:left="720"/>
        <w:jc w:val="both"/>
        <w:rPr>
          <w:rFonts w:ascii="Verdana" w:eastAsia="Calibri" w:hAnsi="Verdana" w:cs="Times New Roman"/>
          <w:b/>
          <w:sz w:val="10"/>
          <w:szCs w:val="10"/>
          <w:lang w:val="en-GB"/>
        </w:rPr>
      </w:pPr>
    </w:p>
    <w:p w14:paraId="0B3F8B50"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Prevention</w:t>
      </w:r>
    </w:p>
    <w:p w14:paraId="1FD021AE"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proactively tackle the causes of crime and disorder</w:t>
      </w:r>
    </w:p>
    <w:p w14:paraId="0EA8CABC"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spot problems early; acting promptly to make a difference, and avoiding quick fixes that don’t last</w:t>
      </w:r>
    </w:p>
    <w:p w14:paraId="7C763C73"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All of our staff will use the same problem solving approach</w:t>
      </w:r>
    </w:p>
    <w:p w14:paraId="5EFA03C8"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Partnership</w:t>
      </w:r>
    </w:p>
    <w:p w14:paraId="3870012C"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work with everyone who can help make our communities safer</w:t>
      </w:r>
    </w:p>
    <w:p w14:paraId="3BE9D5F1"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continue to invest in the strength of our partnerships with Sussex Police and the region</w:t>
      </w:r>
    </w:p>
    <w:p w14:paraId="14C15A0B"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Through trusted relationships, we will solve the problems that cause people most harm, and be judged on our outcomes</w:t>
      </w:r>
    </w:p>
    <w:p w14:paraId="58A80327"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Potential</w:t>
      </w:r>
    </w:p>
    <w:p w14:paraId="408DE0FC"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become a more diverse organisation in order to be better at what we do</w:t>
      </w:r>
    </w:p>
    <w:p w14:paraId="1DFCFA04"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invest in technology to get the very best out of our information</w:t>
      </w:r>
    </w:p>
    <w:p w14:paraId="0D103676"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all take responsibility to protect the environment for future generations</w:t>
      </w:r>
    </w:p>
    <w:p w14:paraId="4205F986" w14:textId="77777777" w:rsidR="003250E3" w:rsidRPr="003250E3" w:rsidRDefault="003250E3" w:rsidP="003250E3">
      <w:pPr>
        <w:ind w:left="2154"/>
        <w:jc w:val="both"/>
        <w:rPr>
          <w:rFonts w:ascii="Verdana" w:eastAsia="Calibri" w:hAnsi="Verdana" w:cs="Times New Roman"/>
          <w:sz w:val="18"/>
          <w:szCs w:val="18"/>
          <w:lang w:val="en-GB"/>
        </w:rPr>
      </w:pPr>
    </w:p>
    <w:p w14:paraId="7A426D68" w14:textId="24FB8D6D" w:rsidR="003250E3" w:rsidRPr="003250E3" w:rsidRDefault="003250E3" w:rsidP="003250E3">
      <w:pPr>
        <w:numPr>
          <w:ilvl w:val="0"/>
          <w:numId w:val="28"/>
        </w:numPr>
        <w:spacing w:line="259" w:lineRule="auto"/>
        <w:jc w:val="both"/>
        <w:rPr>
          <w:rFonts w:ascii="Verdana" w:eastAsia="Calibri" w:hAnsi="Verdana" w:cs="Times New Roman"/>
          <w:b/>
          <w:sz w:val="22"/>
          <w:szCs w:val="22"/>
          <w:lang w:val="en-GB"/>
        </w:rPr>
      </w:pPr>
      <w:r w:rsidRPr="003250E3">
        <w:rPr>
          <w:rFonts w:ascii="Verdana" w:eastAsia="Calibri" w:hAnsi="Verdana" w:cs="Times New Roman"/>
          <w:b/>
          <w:sz w:val="22"/>
          <w:szCs w:val="22"/>
          <w:lang w:val="en-GB"/>
        </w:rPr>
        <w:t>Our Communities</w:t>
      </w:r>
      <w:r>
        <w:rPr>
          <w:rFonts w:ascii="Verdana" w:eastAsia="Calibri" w:hAnsi="Verdana" w:cs="Times New Roman"/>
          <w:b/>
          <w:sz w:val="22"/>
          <w:szCs w:val="22"/>
          <w:lang w:val="en-GB"/>
        </w:rPr>
        <w:t>:</w:t>
      </w:r>
    </w:p>
    <w:p w14:paraId="616C25EA" w14:textId="77777777" w:rsidR="003250E3" w:rsidRPr="003250E3" w:rsidRDefault="003250E3" w:rsidP="003250E3">
      <w:pPr>
        <w:ind w:left="720"/>
        <w:jc w:val="both"/>
        <w:rPr>
          <w:rFonts w:ascii="Verdana" w:eastAsia="Calibri" w:hAnsi="Verdana" w:cs="Times New Roman"/>
          <w:b/>
          <w:sz w:val="10"/>
          <w:szCs w:val="10"/>
          <w:lang w:val="en-GB"/>
        </w:rPr>
      </w:pPr>
    </w:p>
    <w:p w14:paraId="0CF77B05"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Prevent Crime</w:t>
      </w:r>
    </w:p>
    <w:p w14:paraId="0D372FB5"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be proactive in dealing with local issues</w:t>
      </w:r>
    </w:p>
    <w:p w14:paraId="192DF1C5"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ensure every community has local officers tackling local problems</w:t>
      </w:r>
    </w:p>
    <w:p w14:paraId="12A0E331"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help communities protect themselves from harm</w:t>
      </w:r>
    </w:p>
    <w:p w14:paraId="4138935C"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Protect our communities</w:t>
      </w:r>
    </w:p>
    <w:p w14:paraId="327A11FB"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work with others to help the vulnerable</w:t>
      </w:r>
    </w:p>
    <w:p w14:paraId="101090B2"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respond effectively to help people in crisis</w:t>
      </w:r>
    </w:p>
    <w:p w14:paraId="668BAD37"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protect communities from crimes and incidents that cause the most harm</w:t>
      </w:r>
    </w:p>
    <w:p w14:paraId="17810BCC"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Pursue offenders</w:t>
      </w:r>
    </w:p>
    <w:p w14:paraId="4CAE4B67"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put victims first, and complete high quality investigations to bring more offenders to justice</w:t>
      </w:r>
    </w:p>
    <w:p w14:paraId="558F9465"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target serious, harmful and persistent offenders; particularly those who prey on the vulnerable</w:t>
      </w:r>
    </w:p>
    <w:p w14:paraId="003CC8B4"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minimise the number of known offenders at large in our communities</w:t>
      </w:r>
    </w:p>
    <w:p w14:paraId="36EC44FC" w14:textId="77777777" w:rsidR="003250E3" w:rsidRPr="003250E3" w:rsidRDefault="003250E3" w:rsidP="003250E3">
      <w:pPr>
        <w:ind w:left="2154"/>
        <w:jc w:val="both"/>
        <w:rPr>
          <w:rFonts w:ascii="Verdana" w:eastAsia="Calibri" w:hAnsi="Verdana" w:cs="Times New Roman"/>
          <w:sz w:val="18"/>
          <w:szCs w:val="18"/>
          <w:lang w:val="en-GB"/>
        </w:rPr>
      </w:pPr>
    </w:p>
    <w:p w14:paraId="211F35BE" w14:textId="616D600B" w:rsidR="003250E3" w:rsidRPr="003250E3" w:rsidRDefault="003250E3" w:rsidP="003250E3">
      <w:pPr>
        <w:numPr>
          <w:ilvl w:val="0"/>
          <w:numId w:val="28"/>
        </w:numPr>
        <w:spacing w:line="259" w:lineRule="auto"/>
        <w:jc w:val="both"/>
        <w:rPr>
          <w:rFonts w:ascii="Verdana" w:eastAsia="Calibri" w:hAnsi="Verdana" w:cs="Times New Roman"/>
          <w:b/>
          <w:sz w:val="22"/>
          <w:szCs w:val="22"/>
          <w:lang w:val="en-GB"/>
        </w:rPr>
      </w:pPr>
      <w:r w:rsidRPr="003250E3">
        <w:rPr>
          <w:rFonts w:ascii="Verdana" w:eastAsia="Calibri" w:hAnsi="Verdana" w:cs="Times New Roman"/>
          <w:b/>
          <w:sz w:val="22"/>
          <w:szCs w:val="22"/>
          <w:lang w:val="en-GB"/>
        </w:rPr>
        <w:t>Our People</w:t>
      </w:r>
      <w:r>
        <w:rPr>
          <w:rFonts w:ascii="Verdana" w:eastAsia="Calibri" w:hAnsi="Verdana" w:cs="Times New Roman"/>
          <w:b/>
          <w:sz w:val="22"/>
          <w:szCs w:val="22"/>
          <w:lang w:val="en-GB"/>
        </w:rPr>
        <w:t>:</w:t>
      </w:r>
    </w:p>
    <w:p w14:paraId="455D72BF" w14:textId="77777777" w:rsidR="003250E3" w:rsidRPr="003250E3" w:rsidRDefault="003250E3" w:rsidP="003250E3">
      <w:pPr>
        <w:ind w:left="720"/>
        <w:jc w:val="both"/>
        <w:rPr>
          <w:rFonts w:ascii="Verdana" w:eastAsia="Calibri" w:hAnsi="Verdana" w:cs="Times New Roman"/>
          <w:b/>
          <w:sz w:val="10"/>
          <w:szCs w:val="10"/>
          <w:lang w:val="en-GB"/>
        </w:rPr>
      </w:pPr>
    </w:p>
    <w:p w14:paraId="2D07D01F"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Professional</w:t>
      </w:r>
    </w:p>
    <w:p w14:paraId="1FC7FAB9"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trust each other to do the right thing to give outstanding service</w:t>
      </w:r>
    </w:p>
    <w:p w14:paraId="55EA4D4B"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expect high standards and ethical behaviour</w:t>
      </w:r>
    </w:p>
    <w:p w14:paraId="18A41808"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challenge ourselves, and each other, to innovate, learn and improve</w:t>
      </w:r>
    </w:p>
    <w:p w14:paraId="6A3A9FF4"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Proud</w:t>
      </w:r>
    </w:p>
    <w:p w14:paraId="6617448E"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take pride in our service to the public</w:t>
      </w:r>
    </w:p>
    <w:p w14:paraId="25ADF186"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work as a team, making the most of people’s talents</w:t>
      </w:r>
    </w:p>
    <w:p w14:paraId="1D1777C6"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celebrate our achievements</w:t>
      </w:r>
    </w:p>
    <w:p w14:paraId="285AB575" w14:textId="77777777" w:rsidR="003250E3" w:rsidRPr="003250E3" w:rsidRDefault="003250E3" w:rsidP="003250E3">
      <w:pPr>
        <w:numPr>
          <w:ilvl w:val="1"/>
          <w:numId w:val="28"/>
        </w:numPr>
        <w:spacing w:line="259" w:lineRule="auto"/>
        <w:jc w:val="both"/>
        <w:rPr>
          <w:rFonts w:ascii="Verdana" w:eastAsia="Calibri" w:hAnsi="Verdana" w:cs="Times New Roman"/>
          <w:b/>
          <w:sz w:val="20"/>
          <w:szCs w:val="20"/>
          <w:lang w:val="en-GB"/>
        </w:rPr>
      </w:pPr>
      <w:r w:rsidRPr="003250E3">
        <w:rPr>
          <w:rFonts w:ascii="Verdana" w:eastAsia="Calibri" w:hAnsi="Verdana" w:cs="Times New Roman"/>
          <w:b/>
          <w:sz w:val="20"/>
          <w:szCs w:val="20"/>
          <w:lang w:val="en-GB"/>
        </w:rPr>
        <w:t>Inclusive</w:t>
      </w:r>
    </w:p>
    <w:p w14:paraId="3AF00AC4"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be kind, friendly, inclusive, and support our police families</w:t>
      </w:r>
    </w:p>
    <w:p w14:paraId="25D9E310"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respect, and reflect, the differences in communities we serve</w:t>
      </w:r>
    </w:p>
    <w:p w14:paraId="32E898D5" w14:textId="77777777" w:rsidR="003250E3" w:rsidRPr="003250E3" w:rsidRDefault="003250E3" w:rsidP="003250E3">
      <w:pPr>
        <w:numPr>
          <w:ilvl w:val="2"/>
          <w:numId w:val="28"/>
        </w:numPr>
        <w:spacing w:line="259" w:lineRule="auto"/>
        <w:ind w:left="2154" w:hanging="357"/>
        <w:jc w:val="both"/>
        <w:rPr>
          <w:rFonts w:ascii="Verdana" w:eastAsia="Calibri" w:hAnsi="Verdana" w:cs="Times New Roman"/>
          <w:sz w:val="18"/>
          <w:szCs w:val="18"/>
          <w:lang w:val="en-GB"/>
        </w:rPr>
      </w:pPr>
      <w:r w:rsidRPr="003250E3">
        <w:rPr>
          <w:rFonts w:ascii="Verdana" w:eastAsia="Calibri" w:hAnsi="Verdana" w:cs="Times New Roman"/>
          <w:sz w:val="18"/>
          <w:szCs w:val="18"/>
          <w:lang w:val="en-GB"/>
        </w:rPr>
        <w:t>We will value, and learn from, the different perspectives and experiences of others</w:t>
      </w:r>
    </w:p>
    <w:p w14:paraId="203BE9D0" w14:textId="77777777" w:rsidR="003250E3" w:rsidRPr="003250E3" w:rsidRDefault="003250E3" w:rsidP="003250E3">
      <w:pPr>
        <w:spacing w:line="259" w:lineRule="auto"/>
        <w:jc w:val="both"/>
        <w:rPr>
          <w:rFonts w:ascii="Verdana" w:eastAsia="Calibri" w:hAnsi="Verdana" w:cs="Times New Roman"/>
          <w:b/>
          <w:sz w:val="22"/>
          <w:szCs w:val="22"/>
          <w:lang w:val="en-GB"/>
        </w:rPr>
      </w:pPr>
    </w:p>
    <w:p w14:paraId="3585A083" w14:textId="77777777" w:rsidR="003250E3" w:rsidRPr="003250E3" w:rsidRDefault="003250E3" w:rsidP="003250E3">
      <w:pPr>
        <w:spacing w:after="160" w:line="259" w:lineRule="auto"/>
        <w:jc w:val="both"/>
        <w:rPr>
          <w:rFonts w:ascii="Verdana" w:eastAsia="Calibri" w:hAnsi="Verdana" w:cs="Times New Roman"/>
          <w:b/>
          <w:sz w:val="22"/>
          <w:szCs w:val="22"/>
          <w:lang w:val="en-GB"/>
        </w:rPr>
      </w:pPr>
      <w:r w:rsidRPr="003250E3">
        <w:rPr>
          <w:rFonts w:ascii="Verdana" w:eastAsia="Calibri" w:hAnsi="Verdana" w:cs="Times New Roman"/>
          <w:b/>
          <w:sz w:val="22"/>
          <w:szCs w:val="22"/>
          <w:lang w:val="en-GB"/>
        </w:rPr>
        <w:t>Focus for the Force</w:t>
      </w:r>
    </w:p>
    <w:p w14:paraId="626B9429"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In line with Our Commitments, Surrey Police’s focus over the next year will be:</w:t>
      </w:r>
    </w:p>
    <w:p w14:paraId="541FC92D" w14:textId="77777777" w:rsidR="003250E3" w:rsidRPr="003250E3" w:rsidRDefault="003250E3" w:rsidP="003250E3">
      <w:pPr>
        <w:numPr>
          <w:ilvl w:val="0"/>
          <w:numId w:val="27"/>
        </w:num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Investigative capacity and capability</w:t>
      </w:r>
    </w:p>
    <w:p w14:paraId="6275ACD8" w14:textId="77777777" w:rsidR="003250E3" w:rsidRPr="003250E3" w:rsidRDefault="003250E3" w:rsidP="003250E3">
      <w:pPr>
        <w:numPr>
          <w:ilvl w:val="0"/>
          <w:numId w:val="27"/>
        </w:num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Understanding demand</w:t>
      </w:r>
    </w:p>
    <w:p w14:paraId="5774D114" w14:textId="77777777" w:rsidR="003250E3" w:rsidRPr="003250E3" w:rsidRDefault="003250E3" w:rsidP="003250E3">
      <w:pPr>
        <w:numPr>
          <w:ilvl w:val="0"/>
          <w:numId w:val="27"/>
        </w:num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 xml:space="preserve">Workforce wellbeing </w:t>
      </w:r>
    </w:p>
    <w:p w14:paraId="3785DAB6" w14:textId="77777777" w:rsidR="003250E3" w:rsidRPr="003250E3" w:rsidRDefault="003250E3" w:rsidP="003250E3">
      <w:pPr>
        <w:spacing w:after="160" w:line="259" w:lineRule="auto"/>
        <w:jc w:val="both"/>
        <w:rPr>
          <w:rFonts w:ascii="Verdana" w:eastAsia="Calibri" w:hAnsi="Verdana" w:cs="Times New Roman"/>
          <w:i/>
          <w:sz w:val="22"/>
          <w:szCs w:val="22"/>
          <w:lang w:val="en-GB"/>
        </w:rPr>
      </w:pPr>
      <w:r w:rsidRPr="003250E3">
        <w:rPr>
          <w:rFonts w:ascii="Verdana" w:eastAsia="Calibri" w:hAnsi="Verdana" w:cs="Times New Roman"/>
          <w:i/>
          <w:sz w:val="22"/>
          <w:szCs w:val="22"/>
          <w:lang w:val="en-GB"/>
        </w:rPr>
        <w:t>Investigative capacity and capability</w:t>
      </w:r>
    </w:p>
    <w:p w14:paraId="252447EB"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Surrey Police has a significant programme of work ongoing to improve its investigative capacity and capability, and recognises the need to continue to focus on this over the next year.  We have a strong motivation to ensure that more victims of crime see justice done, and that we work effectively with criminal justice partners to keep crime levels low in Surrey. In 2020, the Force used Op Uplift and Precept investment to introduce the Incident Review Team, to improve the management of grade 3 incidents; providing an improved service to the public and reducing demand on Neighbourhood Policing Teams. In 2021, the Force has made further Op Uplift investment in investigative teams and has piloted changes to the way that the CID and Safeguarding Investigation Units operate; establishing dedicated Domestic Abuse and Child Abuse investigation units, with these changes due to be implemented forcewide in June 2021. Further investment from both Op Uplift and Precept has been allocated to the establishment of Neighbourhood Policing Investigation Teams, which are being designed to manage certain volume crime investigations and detained persons, and are due to be established by the end of the calendar year.</w:t>
      </w:r>
    </w:p>
    <w:p w14:paraId="7BE7C701" w14:textId="77777777" w:rsidR="003250E3" w:rsidRPr="003250E3" w:rsidRDefault="003250E3" w:rsidP="003250E3">
      <w:pPr>
        <w:spacing w:after="160" w:line="259" w:lineRule="auto"/>
        <w:jc w:val="both"/>
        <w:rPr>
          <w:rFonts w:ascii="Verdana" w:eastAsia="Calibri" w:hAnsi="Verdana" w:cs="Times New Roman"/>
          <w:i/>
          <w:sz w:val="22"/>
          <w:szCs w:val="22"/>
          <w:lang w:val="en-GB"/>
        </w:rPr>
      </w:pPr>
      <w:r w:rsidRPr="003250E3">
        <w:rPr>
          <w:rFonts w:ascii="Verdana" w:eastAsia="Calibri" w:hAnsi="Verdana" w:cs="Times New Roman"/>
          <w:i/>
          <w:sz w:val="22"/>
          <w:szCs w:val="22"/>
          <w:lang w:val="en-GB"/>
        </w:rPr>
        <w:t>Understanding demand</w:t>
      </w:r>
    </w:p>
    <w:p w14:paraId="05CA59E4"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In 2020 Surrey Police invested in a dedicated demand analysis team of two analysts, and in 2021 the Force has restructured the Corporate Development Department, with an increase of three staff in the Strategic Governance Team and a commitment to create secondment opportunities to form an Insights Team. The Force is also developing the capability of its analytical tools, with an on-premise version of Power BI rolled out in 2020, and a project ongoing to implement a cloud-based PowerBI solution in 2021/22. Surrey Police is committed to maximising the opportunities presented by these investments to better understand its demand, and to embed processes whereby that enhanced understanding is used to improve the efficiency of the Force and its service to the public.</w:t>
      </w:r>
    </w:p>
    <w:p w14:paraId="3EE7424A" w14:textId="77777777" w:rsidR="003250E3" w:rsidRPr="003250E3" w:rsidRDefault="003250E3" w:rsidP="003250E3">
      <w:pPr>
        <w:spacing w:after="160" w:line="259" w:lineRule="auto"/>
        <w:jc w:val="both"/>
        <w:rPr>
          <w:rFonts w:ascii="Verdana" w:eastAsia="Calibri" w:hAnsi="Verdana" w:cs="Times New Roman"/>
          <w:i/>
          <w:sz w:val="22"/>
          <w:szCs w:val="22"/>
          <w:lang w:val="en-GB"/>
        </w:rPr>
      </w:pPr>
      <w:r w:rsidRPr="003250E3">
        <w:rPr>
          <w:rFonts w:ascii="Verdana" w:eastAsia="Calibri" w:hAnsi="Verdana" w:cs="Times New Roman"/>
          <w:i/>
          <w:sz w:val="22"/>
          <w:szCs w:val="22"/>
          <w:lang w:val="en-GB"/>
        </w:rPr>
        <w:t>Workforce wellbeing</w:t>
      </w:r>
    </w:p>
    <w:p w14:paraId="48E6EF24" w14:textId="77777777" w:rsidR="003250E3" w:rsidRPr="003250E3" w:rsidRDefault="003250E3" w:rsidP="003250E3">
      <w:pPr>
        <w:spacing w:after="160" w:line="259" w:lineRule="auto"/>
        <w:jc w:val="both"/>
        <w:rPr>
          <w:rFonts w:ascii="Verdana" w:eastAsia="Calibri" w:hAnsi="Verdana" w:cs="Times New Roman"/>
          <w:sz w:val="22"/>
          <w:szCs w:val="22"/>
          <w:lang w:val="en-GB"/>
        </w:rPr>
      </w:pPr>
      <w:r w:rsidRPr="003250E3">
        <w:rPr>
          <w:rFonts w:ascii="Verdana" w:eastAsia="Calibri" w:hAnsi="Verdana" w:cs="Times New Roman"/>
          <w:sz w:val="22"/>
          <w:szCs w:val="22"/>
          <w:lang w:val="en-GB"/>
        </w:rPr>
        <w:t xml:space="preserve">In 2019/20 Surrey Police and Sussex Police developed a joint wellbeing strategy, with forcewide and divisional/departmental wellbeing boards. Throughout the Covid-19 pandemic, the Force has prioritised the wellbeing of its staff; ensuring adequate supply of PPE, implementing changes to working practices to ensure staff safety, and focusing on staff welfare, including initiatives to maximise work/life balance. Surrey Police has undertaken a project to ensure that learning from the revised ways of working is captured and embedded in future plans, and this will be continued throughout the next year and used to further develop estates plans as part of the Force’s </w:t>
      </w:r>
      <w:r w:rsidRPr="003250E3">
        <w:rPr>
          <w:rFonts w:ascii="Verdana" w:eastAsia="Calibri" w:hAnsi="Verdana" w:cs="Times New Roman"/>
          <w:i/>
          <w:sz w:val="22"/>
          <w:szCs w:val="22"/>
          <w:lang w:val="en-GB"/>
        </w:rPr>
        <w:t>Building the Future</w:t>
      </w:r>
      <w:r w:rsidRPr="003250E3">
        <w:rPr>
          <w:rFonts w:ascii="Verdana" w:eastAsia="Calibri" w:hAnsi="Verdana" w:cs="Times New Roman"/>
          <w:sz w:val="22"/>
          <w:szCs w:val="22"/>
          <w:lang w:val="en-GB"/>
        </w:rPr>
        <w:t xml:space="preserve"> programme.</w:t>
      </w:r>
    </w:p>
    <w:p w14:paraId="437693C5" w14:textId="5E71253F" w:rsidR="00503675" w:rsidRPr="007D1189" w:rsidRDefault="003250E3" w:rsidP="003250E3">
      <w:pPr>
        <w:pStyle w:val="Normal0"/>
        <w:shd w:val="clear" w:color="auto" w:fill="FFFFFF"/>
        <w:spacing w:before="100" w:beforeAutospacing="1" w:after="100" w:afterAutospacing="1"/>
        <w:jc w:val="both"/>
        <w:rPr>
          <w:rFonts w:ascii="Verdana" w:eastAsia="Times New Roman" w:hAnsi="Verdana" w:cs="Arial"/>
          <w:sz w:val="22"/>
          <w:szCs w:val="22"/>
          <w:lang w:val="en-GB" w:eastAsia="en-GB"/>
        </w:rPr>
      </w:pPr>
      <w:r w:rsidRPr="003250E3">
        <w:rPr>
          <w:rFonts w:ascii="Verdana" w:eastAsia="Calibri" w:hAnsi="Verdana" w:cs="Times New Roman"/>
          <w:sz w:val="22"/>
          <w:szCs w:val="22"/>
          <w:lang w:val="en-GB"/>
        </w:rPr>
        <w:t xml:space="preserve">Our Commitments set out our strong ambitions for an organisation that is well equipped for future challenges and responsibilities; that is an inclusive, rewarding and energetic place to work; and </w:t>
      </w:r>
      <w:r w:rsidRPr="007D1189">
        <w:rPr>
          <w:rFonts w:ascii="Verdana" w:eastAsia="Calibri" w:hAnsi="Verdana" w:cs="Times New Roman"/>
          <w:sz w:val="22"/>
          <w:szCs w:val="22"/>
          <w:lang w:val="en-GB"/>
        </w:rPr>
        <w:t>that is determined to keep Surrey safe and feeling safe.</w:t>
      </w:r>
    </w:p>
    <w:p w14:paraId="63C533FE" w14:textId="77777777" w:rsidR="00F227D9" w:rsidRPr="007D1189" w:rsidRDefault="00F227D9" w:rsidP="003250E3">
      <w:pPr>
        <w:pStyle w:val="Style1"/>
        <w:numPr>
          <w:ilvl w:val="0"/>
          <w:numId w:val="5"/>
        </w:numPr>
        <w:rPr>
          <w:rFonts w:ascii="Verdana" w:hAnsi="Verdana"/>
          <w:sz w:val="22"/>
          <w:szCs w:val="22"/>
          <w:lang w:val="en-GB" w:eastAsia="en-GB"/>
        </w:rPr>
      </w:pPr>
      <w:r w:rsidRPr="007D1189">
        <w:rPr>
          <w:rFonts w:ascii="Verdana" w:hAnsi="Verdana"/>
          <w:sz w:val="22"/>
          <w:szCs w:val="22"/>
          <w:lang w:val="en-GB" w:eastAsia="en-GB"/>
        </w:rPr>
        <w:t>The Chief Constable &amp; Police and Crime Commissioner</w:t>
      </w:r>
    </w:p>
    <w:p w14:paraId="1F68905C" w14:textId="77777777" w:rsidR="00F227D9" w:rsidRPr="007D1189" w:rsidRDefault="00F227D9" w:rsidP="00F227D9">
      <w:pPr>
        <w:pStyle w:val="Style1"/>
        <w:numPr>
          <w:ilvl w:val="0"/>
          <w:numId w:val="0"/>
        </w:numPr>
        <w:ind w:left="720"/>
        <w:rPr>
          <w:rFonts w:ascii="Verdana" w:hAnsi="Verdana"/>
          <w:sz w:val="22"/>
          <w:szCs w:val="22"/>
          <w:lang w:val="en-GB" w:eastAsia="en-GB"/>
        </w:rPr>
      </w:pPr>
    </w:p>
    <w:p w14:paraId="0976E148"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The Chief Constable and the Police and Crime Commissioner (PCC) are set up as separate corporation sole bodies. The Chief Constable is a 100% subsidiary of the PCC as set out under the Police Reform and Social Responsibility Act 2011. The ‘Surrey Police Group’ refers to both ‘The Chief Constable of Surrey’ and ‘The Police and Crime Commissioner for Surrey’ combined.</w:t>
      </w:r>
    </w:p>
    <w:p w14:paraId="30AD420D" w14:textId="77777777" w:rsidR="00F227D9" w:rsidRPr="007D1189" w:rsidRDefault="00F227D9" w:rsidP="00F227D9">
      <w:pPr>
        <w:pStyle w:val="Normal0"/>
        <w:jc w:val="both"/>
        <w:rPr>
          <w:rFonts w:ascii="Verdana" w:eastAsia="Times New Roman" w:hAnsi="Verdana" w:cs="Arial"/>
          <w:sz w:val="22"/>
          <w:szCs w:val="22"/>
          <w:lang w:val="en-GB" w:eastAsia="en-GB"/>
        </w:rPr>
      </w:pPr>
    </w:p>
    <w:p w14:paraId="01CBBDB9" w14:textId="77777777" w:rsidR="00F227D9" w:rsidRPr="007D1189" w:rsidRDefault="00F227D9" w:rsidP="00F227D9">
      <w:pPr>
        <w:pStyle w:val="Normal0"/>
        <w:jc w:val="both"/>
        <w:rPr>
          <w:rFonts w:ascii="Verdana" w:eastAsia="Times New Roman" w:hAnsi="Verdana" w:cs="Arial"/>
          <w:b/>
          <w:sz w:val="22"/>
          <w:szCs w:val="22"/>
          <w:lang w:val="en-GB" w:eastAsia="en-GB"/>
        </w:rPr>
      </w:pPr>
      <w:r w:rsidRPr="007D1189">
        <w:rPr>
          <w:rFonts w:ascii="Verdana" w:eastAsia="Times New Roman" w:hAnsi="Verdana" w:cs="Arial"/>
          <w:b/>
          <w:sz w:val="22"/>
          <w:szCs w:val="22"/>
          <w:lang w:val="en-GB" w:eastAsia="en-GB"/>
        </w:rPr>
        <w:t>The Chief Constable</w:t>
      </w:r>
    </w:p>
    <w:p w14:paraId="003A2340" w14:textId="77777777" w:rsidR="00F227D9" w:rsidRPr="007D1189" w:rsidRDefault="00F227D9" w:rsidP="00F227D9">
      <w:pPr>
        <w:pStyle w:val="Normal0"/>
        <w:jc w:val="both"/>
        <w:rPr>
          <w:rFonts w:ascii="Verdana" w:eastAsia="Times New Roman" w:hAnsi="Verdana" w:cs="Arial"/>
          <w:b/>
          <w:sz w:val="22"/>
          <w:szCs w:val="22"/>
          <w:lang w:val="en-GB" w:eastAsia="en-GB"/>
        </w:rPr>
      </w:pPr>
    </w:p>
    <w:p w14:paraId="5166F4D7"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The primary function of the entity headed by the Chief Constable is the exercise of operational policing duties under the Police Act 1996. The Chief Constable holds office under the Crown, but is appointed by the PCC and has responsibility for:</w:t>
      </w:r>
    </w:p>
    <w:p w14:paraId="75CBBB7B" w14:textId="77777777" w:rsidR="00693255" w:rsidRPr="007D1189" w:rsidRDefault="00693255" w:rsidP="00F227D9">
      <w:pPr>
        <w:pStyle w:val="Normal0"/>
        <w:jc w:val="both"/>
        <w:rPr>
          <w:rFonts w:ascii="Verdana" w:eastAsia="Times New Roman" w:hAnsi="Verdana" w:cs="Arial"/>
          <w:sz w:val="22"/>
          <w:szCs w:val="22"/>
          <w:lang w:val="en-GB" w:eastAsia="en-GB"/>
        </w:rPr>
      </w:pPr>
    </w:p>
    <w:p w14:paraId="23E45665" w14:textId="77777777" w:rsidR="00F227D9" w:rsidRPr="007D1189" w:rsidRDefault="00F227D9" w:rsidP="005E3E6F">
      <w:pPr>
        <w:pStyle w:val="ListParagraph"/>
        <w:numPr>
          <w:ilvl w:val="0"/>
          <w:numId w:val="6"/>
        </w:numPr>
        <w:jc w:val="both"/>
        <w:rPr>
          <w:rFonts w:ascii="Verdana" w:hAnsi="Verdana" w:cs="Arial"/>
          <w:sz w:val="22"/>
          <w:szCs w:val="22"/>
          <w:lang w:val="en-GB" w:eastAsia="en-GB"/>
        </w:rPr>
      </w:pPr>
      <w:r w:rsidRPr="007D1189">
        <w:rPr>
          <w:rFonts w:ascii="Verdana" w:hAnsi="Verdana" w:cs="Arial"/>
          <w:sz w:val="22"/>
          <w:szCs w:val="22"/>
          <w:lang w:val="en-GB" w:eastAsia="en-GB"/>
        </w:rPr>
        <w:t>Operational independence to deliver the operational policing plan</w:t>
      </w:r>
    </w:p>
    <w:p w14:paraId="09D32C26" w14:textId="77777777" w:rsidR="00F227D9" w:rsidRPr="007D1189" w:rsidRDefault="00F227D9" w:rsidP="005E3E6F">
      <w:pPr>
        <w:pStyle w:val="ListParagraph"/>
        <w:numPr>
          <w:ilvl w:val="0"/>
          <w:numId w:val="6"/>
        </w:numPr>
        <w:jc w:val="both"/>
        <w:rPr>
          <w:rFonts w:ascii="Verdana" w:hAnsi="Verdana" w:cs="Arial"/>
          <w:sz w:val="22"/>
          <w:szCs w:val="22"/>
          <w:lang w:val="en-GB" w:eastAsia="en-GB"/>
        </w:rPr>
      </w:pPr>
      <w:r w:rsidRPr="007D1189">
        <w:rPr>
          <w:rFonts w:ascii="Verdana" w:hAnsi="Verdana" w:cs="Arial"/>
          <w:sz w:val="22"/>
          <w:szCs w:val="22"/>
          <w:lang w:val="en-GB" w:eastAsia="en-GB"/>
        </w:rPr>
        <w:t>Direction and control over the force’s officers and staff</w:t>
      </w:r>
    </w:p>
    <w:p w14:paraId="05515DEA" w14:textId="77777777" w:rsidR="00F227D9" w:rsidRPr="007D1189" w:rsidRDefault="00F227D9" w:rsidP="005E3E6F">
      <w:pPr>
        <w:pStyle w:val="ListParagraph"/>
        <w:numPr>
          <w:ilvl w:val="0"/>
          <w:numId w:val="6"/>
        </w:numPr>
        <w:jc w:val="both"/>
        <w:rPr>
          <w:rFonts w:ascii="Verdana" w:hAnsi="Verdana" w:cs="Arial"/>
          <w:sz w:val="22"/>
          <w:szCs w:val="22"/>
          <w:lang w:val="en-GB" w:eastAsia="en-GB"/>
        </w:rPr>
      </w:pPr>
      <w:r w:rsidRPr="007D1189">
        <w:rPr>
          <w:rFonts w:ascii="Verdana" w:hAnsi="Verdana" w:cs="Arial"/>
          <w:sz w:val="22"/>
          <w:szCs w:val="22"/>
          <w:lang w:val="en-GB" w:eastAsia="en-GB"/>
        </w:rPr>
        <w:t>Managing the operational delivery budget; and</w:t>
      </w:r>
    </w:p>
    <w:p w14:paraId="1D8C7EA6" w14:textId="77777777" w:rsidR="00F227D9" w:rsidRPr="007D1189" w:rsidRDefault="00F227D9" w:rsidP="005E3E6F">
      <w:pPr>
        <w:pStyle w:val="ListParagraph"/>
        <w:numPr>
          <w:ilvl w:val="0"/>
          <w:numId w:val="6"/>
        </w:numPr>
        <w:jc w:val="both"/>
        <w:rPr>
          <w:rFonts w:ascii="Verdana" w:hAnsi="Verdana" w:cs="Arial"/>
          <w:sz w:val="22"/>
          <w:szCs w:val="22"/>
          <w:lang w:val="en-GB" w:eastAsia="en-GB"/>
        </w:rPr>
      </w:pPr>
      <w:r w:rsidRPr="007D1189">
        <w:rPr>
          <w:rFonts w:ascii="Verdana" w:hAnsi="Verdana" w:cs="Arial"/>
          <w:sz w:val="22"/>
          <w:szCs w:val="22"/>
          <w:lang w:val="en-GB" w:eastAsia="en-GB"/>
        </w:rPr>
        <w:t>Appointing a qualified person to act as chief finance officer</w:t>
      </w:r>
    </w:p>
    <w:p w14:paraId="31E37954" w14:textId="77777777" w:rsidR="00AC5A2C" w:rsidRPr="007D1189" w:rsidRDefault="00AC5A2C" w:rsidP="00F227D9">
      <w:pPr>
        <w:pStyle w:val="Normal0"/>
        <w:jc w:val="both"/>
        <w:rPr>
          <w:rFonts w:ascii="Verdana" w:eastAsia="Times New Roman" w:hAnsi="Verdana" w:cs="Arial"/>
          <w:sz w:val="22"/>
          <w:szCs w:val="22"/>
          <w:lang w:val="en-GB" w:eastAsia="en-GB"/>
        </w:rPr>
      </w:pPr>
    </w:p>
    <w:p w14:paraId="7EB248E1"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The Chief Constable incurs all operating costs (excluding those relating to the Office of the PCC) and receives any associated operating income, the net of which is funded directly by the PCC. The Chief Constable accounts for all pension costs, including the associated pension liability that is shown in the Chief Constable’s Balance Sheet.</w:t>
      </w:r>
    </w:p>
    <w:p w14:paraId="18A2D6E1" w14:textId="77777777" w:rsidR="00F227D9" w:rsidRPr="007D1189" w:rsidRDefault="00F227D9" w:rsidP="00F227D9">
      <w:pPr>
        <w:pStyle w:val="Normal0"/>
        <w:jc w:val="both"/>
        <w:rPr>
          <w:rFonts w:ascii="Verdana" w:eastAsia="Times New Roman" w:hAnsi="Verdana" w:cs="Arial"/>
          <w:sz w:val="22"/>
          <w:szCs w:val="22"/>
          <w:lang w:val="en-GB" w:eastAsia="en-GB"/>
        </w:rPr>
      </w:pPr>
    </w:p>
    <w:p w14:paraId="3A1A2206" w14:textId="77777777" w:rsidR="00F227D9" w:rsidRPr="007D1189" w:rsidRDefault="00F227D9" w:rsidP="00F227D9">
      <w:pPr>
        <w:pStyle w:val="Normal0"/>
        <w:jc w:val="both"/>
        <w:rPr>
          <w:rFonts w:ascii="Verdana" w:eastAsia="Times New Roman" w:hAnsi="Verdana" w:cs="Arial"/>
          <w:b/>
          <w:sz w:val="22"/>
          <w:szCs w:val="22"/>
          <w:lang w:val="en-GB" w:eastAsia="en-GB"/>
        </w:rPr>
      </w:pPr>
      <w:r w:rsidRPr="007D1189">
        <w:rPr>
          <w:rFonts w:ascii="Verdana" w:eastAsia="Times New Roman" w:hAnsi="Verdana" w:cs="Arial"/>
          <w:b/>
          <w:sz w:val="22"/>
          <w:szCs w:val="22"/>
          <w:lang w:val="en-GB" w:eastAsia="en-GB"/>
        </w:rPr>
        <w:t>The Police and Crime Commissioner</w:t>
      </w:r>
    </w:p>
    <w:p w14:paraId="17980112" w14:textId="77777777" w:rsidR="00F227D9" w:rsidRPr="007D1189" w:rsidRDefault="00F227D9" w:rsidP="00F227D9">
      <w:pPr>
        <w:pStyle w:val="Normal0"/>
        <w:jc w:val="both"/>
        <w:rPr>
          <w:rFonts w:ascii="Verdana" w:eastAsia="Times New Roman" w:hAnsi="Verdana" w:cs="Arial"/>
          <w:sz w:val="22"/>
          <w:szCs w:val="22"/>
          <w:lang w:val="en-GB" w:eastAsia="en-GB"/>
        </w:rPr>
      </w:pPr>
    </w:p>
    <w:p w14:paraId="3D6DCE8E" w14:textId="77777777" w:rsidR="00693255"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The Primary function of the PCC is to secure the maintenance of an efficient and effective police force in Surrey, and to hold the Chief Constable to account for the exercise of operational policing duties under the Police Act 1996.</w:t>
      </w:r>
      <w:r w:rsidR="00AC5A2C" w:rsidRPr="007D1189">
        <w:rPr>
          <w:rFonts w:ascii="Verdana" w:eastAsia="Times New Roman" w:hAnsi="Verdana" w:cs="Arial"/>
          <w:sz w:val="22"/>
          <w:szCs w:val="22"/>
          <w:lang w:val="en-GB" w:eastAsia="en-GB"/>
        </w:rPr>
        <w:t xml:space="preserve"> </w:t>
      </w:r>
    </w:p>
    <w:p w14:paraId="3899EE36" w14:textId="77777777" w:rsidR="00693255" w:rsidRPr="007D1189" w:rsidRDefault="00693255" w:rsidP="00F227D9">
      <w:pPr>
        <w:pStyle w:val="Normal0"/>
        <w:jc w:val="both"/>
        <w:rPr>
          <w:rFonts w:ascii="Verdana" w:eastAsia="Times New Roman" w:hAnsi="Verdana" w:cs="Arial"/>
          <w:sz w:val="22"/>
          <w:szCs w:val="22"/>
          <w:lang w:val="en-GB" w:eastAsia="en-GB"/>
        </w:rPr>
      </w:pPr>
    </w:p>
    <w:p w14:paraId="0454522E"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The PCC is responsible for the finances of the whole Group and controls all assets, liabilities and reserves. The PCC incurs costs relating to the Office of the Police and Crime Commissioner (OPCC) and receives all income and funding and makes all the payments for the Group from the overall Police Fund. In turn the Chief Constable of Surrey fulfils his functions under the Act within an annual budget (set by the PCC in consultation with the Chief Constable). A Scheme of Consent is in operation between the two bodies determining their respective responsibilities, as well as local arrangements in respect of the use of The PCC’s assets and staff.</w:t>
      </w:r>
    </w:p>
    <w:p w14:paraId="31E169E8" w14:textId="77777777" w:rsidR="00F227D9" w:rsidRPr="007D1189" w:rsidRDefault="00F227D9" w:rsidP="00F227D9">
      <w:pPr>
        <w:pStyle w:val="Normal0"/>
        <w:jc w:val="both"/>
        <w:rPr>
          <w:rFonts w:ascii="Verdana" w:eastAsia="Times New Roman" w:hAnsi="Verdana" w:cs="Arial"/>
          <w:sz w:val="22"/>
          <w:szCs w:val="22"/>
          <w:lang w:val="en-GB" w:eastAsia="en-GB"/>
        </w:rPr>
      </w:pPr>
    </w:p>
    <w:p w14:paraId="2FA8AFCA" w14:textId="77777777" w:rsidR="00F227D9" w:rsidRPr="007D1189" w:rsidRDefault="00F227D9" w:rsidP="00F227D9">
      <w:pPr>
        <w:pStyle w:val="Normal0"/>
        <w:jc w:val="both"/>
        <w:rPr>
          <w:rFonts w:ascii="Verdana" w:eastAsia="Times New Roman" w:hAnsi="Verdana" w:cs="Arial"/>
          <w:b/>
          <w:sz w:val="22"/>
          <w:szCs w:val="22"/>
          <w:lang w:val="en-GB" w:eastAsia="en-GB"/>
        </w:rPr>
      </w:pPr>
      <w:r w:rsidRPr="007D1189">
        <w:rPr>
          <w:rFonts w:ascii="Verdana" w:eastAsia="Times New Roman" w:hAnsi="Verdana" w:cs="Arial"/>
          <w:b/>
          <w:sz w:val="22"/>
          <w:szCs w:val="22"/>
          <w:lang w:val="en-GB" w:eastAsia="en-GB"/>
        </w:rPr>
        <w:t>Accounting Arrangements</w:t>
      </w:r>
    </w:p>
    <w:p w14:paraId="756CAF4C" w14:textId="77777777" w:rsidR="00F227D9" w:rsidRPr="007D1189" w:rsidRDefault="00F227D9" w:rsidP="00F227D9">
      <w:pPr>
        <w:pStyle w:val="Normal0"/>
        <w:jc w:val="both"/>
        <w:rPr>
          <w:rFonts w:ascii="Verdana" w:eastAsia="Times New Roman" w:hAnsi="Verdana" w:cs="Arial"/>
          <w:sz w:val="22"/>
          <w:szCs w:val="22"/>
          <w:lang w:val="en-GB" w:eastAsia="en-GB"/>
        </w:rPr>
      </w:pPr>
    </w:p>
    <w:p w14:paraId="658DEB6C"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Each Public Body has a statutory responsibility to prepare its own accounts to present fairly its operations during the year. They must be prepared in accordance with proper practices as set out in the Code of Practice on Local Authority Accounting in the United Kingdom (the Code).</w:t>
      </w:r>
    </w:p>
    <w:p w14:paraId="108D6EF8" w14:textId="77777777" w:rsidR="00693255" w:rsidRPr="007D1189" w:rsidRDefault="00693255" w:rsidP="00F227D9">
      <w:pPr>
        <w:pStyle w:val="Normal0"/>
        <w:jc w:val="both"/>
        <w:rPr>
          <w:rFonts w:ascii="Verdana" w:eastAsia="Times New Roman" w:hAnsi="Verdana" w:cs="Arial"/>
          <w:sz w:val="22"/>
          <w:szCs w:val="22"/>
          <w:lang w:val="en-GB" w:eastAsia="en-GB"/>
        </w:rPr>
      </w:pPr>
    </w:p>
    <w:p w14:paraId="1CE6E6AE" w14:textId="69FF6D4A"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This Statement of Accounts includes all the financial transactions incurred during 20</w:t>
      </w:r>
      <w:r w:rsidR="007D1189" w:rsidRPr="007D1189">
        <w:rPr>
          <w:rFonts w:ascii="Verdana" w:eastAsia="Times New Roman" w:hAnsi="Verdana" w:cs="Arial"/>
          <w:sz w:val="22"/>
          <w:szCs w:val="22"/>
          <w:lang w:val="en-GB" w:eastAsia="en-GB"/>
        </w:rPr>
        <w:t>20</w:t>
      </w:r>
      <w:r w:rsidRPr="007D1189">
        <w:rPr>
          <w:rFonts w:ascii="Verdana" w:eastAsia="Times New Roman" w:hAnsi="Verdana" w:cs="Arial"/>
          <w:sz w:val="22"/>
          <w:szCs w:val="22"/>
          <w:lang w:val="en-GB" w:eastAsia="en-GB"/>
        </w:rPr>
        <w:t>/</w:t>
      </w:r>
      <w:r w:rsidR="00693255" w:rsidRPr="007D1189">
        <w:rPr>
          <w:rFonts w:ascii="Verdana" w:eastAsia="Times New Roman" w:hAnsi="Verdana" w:cs="Arial"/>
          <w:sz w:val="22"/>
          <w:szCs w:val="22"/>
          <w:lang w:val="en-GB" w:eastAsia="en-GB"/>
        </w:rPr>
        <w:t>2</w:t>
      </w:r>
      <w:r w:rsidR="007D1189" w:rsidRPr="007D1189">
        <w:rPr>
          <w:rFonts w:ascii="Verdana" w:eastAsia="Times New Roman" w:hAnsi="Verdana" w:cs="Arial"/>
          <w:sz w:val="22"/>
          <w:szCs w:val="22"/>
          <w:lang w:val="en-GB" w:eastAsia="en-GB"/>
        </w:rPr>
        <w:t>1</w:t>
      </w:r>
      <w:r w:rsidRPr="007D1189">
        <w:rPr>
          <w:rFonts w:ascii="Verdana" w:eastAsia="Times New Roman" w:hAnsi="Verdana" w:cs="Arial"/>
          <w:sz w:val="22"/>
          <w:szCs w:val="22"/>
          <w:lang w:val="en-GB" w:eastAsia="en-GB"/>
        </w:rPr>
        <w:t xml:space="preserve"> relating to the Chief Constable. The consolidated Group position including the Chief Constable and PCC, have been prepared in a separate Statement of Accounts.</w:t>
      </w:r>
    </w:p>
    <w:p w14:paraId="612C58BB"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 xml:space="preserve"> </w:t>
      </w:r>
    </w:p>
    <w:p w14:paraId="7D54EE9F" w14:textId="77777777" w:rsidR="00F227D9" w:rsidRPr="007D1189" w:rsidRDefault="00F227D9" w:rsidP="003250E3">
      <w:pPr>
        <w:pStyle w:val="Style1"/>
        <w:numPr>
          <w:ilvl w:val="0"/>
          <w:numId w:val="5"/>
        </w:numPr>
        <w:rPr>
          <w:rFonts w:ascii="Verdana" w:hAnsi="Verdana"/>
          <w:sz w:val="22"/>
          <w:szCs w:val="22"/>
          <w:lang w:val="en-GB" w:eastAsia="en-GB"/>
        </w:rPr>
      </w:pPr>
      <w:r w:rsidRPr="007D1189">
        <w:rPr>
          <w:rFonts w:ascii="Verdana" w:hAnsi="Verdana"/>
          <w:sz w:val="22"/>
          <w:szCs w:val="22"/>
          <w:lang w:val="en-GB" w:eastAsia="en-GB"/>
        </w:rPr>
        <w:t>The Statement of Accounts</w:t>
      </w:r>
    </w:p>
    <w:p w14:paraId="3E535128" w14:textId="77777777" w:rsidR="00F227D9" w:rsidRPr="007D1189" w:rsidRDefault="00F227D9" w:rsidP="00F227D9">
      <w:pPr>
        <w:pStyle w:val="Normal0"/>
        <w:jc w:val="both"/>
        <w:rPr>
          <w:rFonts w:ascii="Verdana" w:eastAsia="Times New Roman" w:hAnsi="Verdana" w:cs="Arial"/>
          <w:sz w:val="22"/>
          <w:szCs w:val="22"/>
          <w:lang w:val="en-GB" w:eastAsia="en-GB"/>
        </w:rPr>
      </w:pPr>
    </w:p>
    <w:p w14:paraId="1D5D4E10" w14:textId="2689FECA" w:rsidR="00490CB1" w:rsidRPr="007D1189" w:rsidRDefault="00490CB1" w:rsidP="00490CB1">
      <w:pPr>
        <w:jc w:val="both"/>
        <w:rPr>
          <w:rFonts w:ascii="Verdana" w:hAnsi="Verdana" w:cs="Arial"/>
          <w:sz w:val="22"/>
          <w:szCs w:val="22"/>
        </w:rPr>
      </w:pPr>
      <w:r w:rsidRPr="007D1189">
        <w:rPr>
          <w:rFonts w:ascii="Verdana" w:hAnsi="Verdana" w:cs="Arial"/>
          <w:sz w:val="22"/>
          <w:szCs w:val="22"/>
        </w:rPr>
        <w:t>The Financial Statements</w:t>
      </w:r>
      <w:r w:rsidR="00693255" w:rsidRPr="007D1189">
        <w:rPr>
          <w:rFonts w:ascii="Verdana" w:hAnsi="Verdana" w:cs="Arial"/>
          <w:sz w:val="22"/>
          <w:szCs w:val="22"/>
        </w:rPr>
        <w:t xml:space="preserve"> for 20</w:t>
      </w:r>
      <w:r w:rsidR="007D1189" w:rsidRPr="007D1189">
        <w:rPr>
          <w:rFonts w:ascii="Verdana" w:hAnsi="Verdana" w:cs="Arial"/>
          <w:sz w:val="22"/>
          <w:szCs w:val="22"/>
        </w:rPr>
        <w:t>20</w:t>
      </w:r>
      <w:r w:rsidR="00693255" w:rsidRPr="007D1189">
        <w:rPr>
          <w:rFonts w:ascii="Verdana" w:hAnsi="Verdana" w:cs="Arial"/>
          <w:sz w:val="22"/>
          <w:szCs w:val="22"/>
        </w:rPr>
        <w:t>/2</w:t>
      </w:r>
      <w:r w:rsidR="007D1189" w:rsidRPr="007D1189">
        <w:rPr>
          <w:rFonts w:ascii="Verdana" w:hAnsi="Verdana" w:cs="Arial"/>
          <w:sz w:val="22"/>
          <w:szCs w:val="22"/>
        </w:rPr>
        <w:t>1</w:t>
      </w:r>
      <w:r w:rsidRPr="007D1189">
        <w:rPr>
          <w:rFonts w:ascii="Verdana" w:hAnsi="Verdana" w:cs="Arial"/>
          <w:sz w:val="22"/>
          <w:szCs w:val="22"/>
        </w:rPr>
        <w:t>, which follow this narrative report have been prepared in accordance with the Code of Practice on Local Authority Accounting in the United Kingdom 20</w:t>
      </w:r>
      <w:r w:rsidR="007D1189" w:rsidRPr="007D1189">
        <w:rPr>
          <w:rFonts w:ascii="Verdana" w:hAnsi="Verdana" w:cs="Arial"/>
          <w:sz w:val="22"/>
          <w:szCs w:val="22"/>
        </w:rPr>
        <w:t>20</w:t>
      </w:r>
      <w:r w:rsidRPr="007D1189">
        <w:rPr>
          <w:rFonts w:ascii="Verdana" w:hAnsi="Verdana" w:cs="Arial"/>
          <w:sz w:val="22"/>
          <w:szCs w:val="22"/>
        </w:rPr>
        <w:t>/2</w:t>
      </w:r>
      <w:r w:rsidR="007D1189" w:rsidRPr="007D1189">
        <w:rPr>
          <w:rFonts w:ascii="Verdana" w:hAnsi="Verdana" w:cs="Arial"/>
          <w:sz w:val="22"/>
          <w:szCs w:val="22"/>
        </w:rPr>
        <w:t>1</w:t>
      </w:r>
      <w:r w:rsidRPr="007D1189">
        <w:rPr>
          <w:rFonts w:ascii="Verdana" w:hAnsi="Verdana" w:cs="Arial"/>
          <w:sz w:val="22"/>
          <w:szCs w:val="22"/>
        </w:rPr>
        <w:t xml:space="preserve"> Based on International Financial Reporting Standards) issued by the Chartered Institute of Public Finance &amp; Accountancy (CIPFA) and comprise of:</w:t>
      </w:r>
    </w:p>
    <w:p w14:paraId="1F88902F" w14:textId="77777777" w:rsidR="00490CB1" w:rsidRPr="007D1189" w:rsidRDefault="00490CB1" w:rsidP="00F227D9">
      <w:pPr>
        <w:pStyle w:val="Normal0"/>
        <w:jc w:val="both"/>
        <w:rPr>
          <w:rFonts w:ascii="Verdana" w:eastAsia="Times New Roman" w:hAnsi="Verdana" w:cs="Arial"/>
          <w:sz w:val="22"/>
          <w:szCs w:val="22"/>
          <w:lang w:val="en-GB" w:eastAsia="en-GB"/>
        </w:rPr>
      </w:pPr>
    </w:p>
    <w:p w14:paraId="551022C8" w14:textId="77777777" w:rsidR="00693255" w:rsidRPr="007D1189" w:rsidRDefault="00F227D9" w:rsidP="00F227D9">
      <w:pPr>
        <w:pStyle w:val="Normal0"/>
        <w:ind w:left="720" w:hanging="720"/>
        <w:jc w:val="both"/>
        <w:rPr>
          <w:rFonts w:ascii="Verdana" w:eastAsia="Times New Roman" w:hAnsi="Verdana" w:cs="Arial"/>
          <w:b/>
          <w:sz w:val="22"/>
          <w:szCs w:val="22"/>
          <w:lang w:val="en-GB" w:eastAsia="en-GB"/>
        </w:rPr>
      </w:pPr>
      <w:r w:rsidRPr="007D1189">
        <w:rPr>
          <w:rFonts w:ascii="Verdana" w:eastAsia="Times New Roman" w:hAnsi="Verdana" w:cs="Arial"/>
          <w:b/>
          <w:sz w:val="22"/>
          <w:szCs w:val="22"/>
          <w:lang w:val="en-GB" w:eastAsia="en-GB"/>
        </w:rPr>
        <w:t>Comprehensive In</w:t>
      </w:r>
      <w:r w:rsidR="00693255" w:rsidRPr="007D1189">
        <w:rPr>
          <w:rFonts w:ascii="Verdana" w:eastAsia="Times New Roman" w:hAnsi="Verdana" w:cs="Arial"/>
          <w:b/>
          <w:sz w:val="22"/>
          <w:szCs w:val="22"/>
          <w:lang w:val="en-GB" w:eastAsia="en-GB"/>
        </w:rPr>
        <w:t>come and Expenditure Statement (CIES)</w:t>
      </w:r>
    </w:p>
    <w:p w14:paraId="671325F9" w14:textId="77777777" w:rsidR="00F227D9" w:rsidRPr="007D1189" w:rsidRDefault="00F227D9" w:rsidP="00693255">
      <w:pPr>
        <w:pStyle w:val="Normal0"/>
        <w:spacing w:line="257" w:lineRule="auto"/>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 xml:space="preserve">The CIES consolidates all income, expenditure, gains and losses experienced during the financial year. This includes all day-to-day expenses and related income prepared on an accruals basis, as well as transactions measuring the value of fixed assets consumed and the real projected value of retirement benefits earned by employees in the year. The PCC raises taxation to cover expenditure in accordance with specific rules as to how tax rates are set in relation to the income and expenses of the Group. This means the expenditure covered by local taxation (funding basis) may be different to the full accounting cost recorded in the CIES (accounting basis). The adjustments between the funding basis and accounting basis are shown in the Movement in Reserves Statement (MIRS). </w:t>
      </w:r>
    </w:p>
    <w:p w14:paraId="64A4C10F" w14:textId="77777777" w:rsidR="00F227D9" w:rsidRPr="007D1189" w:rsidRDefault="00F227D9" w:rsidP="00F227D9">
      <w:pPr>
        <w:pStyle w:val="Normal0"/>
        <w:ind w:left="720" w:hanging="72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 xml:space="preserve">  </w:t>
      </w:r>
    </w:p>
    <w:p w14:paraId="1F8F431A" w14:textId="77777777" w:rsidR="00693255" w:rsidRPr="007D1189" w:rsidRDefault="00693255" w:rsidP="00F227D9">
      <w:pPr>
        <w:pStyle w:val="Normal0"/>
        <w:ind w:left="720" w:hanging="720"/>
        <w:jc w:val="both"/>
        <w:rPr>
          <w:rFonts w:ascii="Verdana" w:eastAsia="Times New Roman" w:hAnsi="Verdana" w:cs="Arial"/>
          <w:b/>
          <w:sz w:val="22"/>
          <w:szCs w:val="22"/>
          <w:lang w:val="en-GB" w:eastAsia="en-GB"/>
        </w:rPr>
      </w:pPr>
      <w:r w:rsidRPr="007D1189">
        <w:rPr>
          <w:rFonts w:ascii="Verdana" w:eastAsia="Times New Roman" w:hAnsi="Verdana" w:cs="Arial"/>
          <w:b/>
          <w:sz w:val="22"/>
          <w:szCs w:val="22"/>
          <w:lang w:val="en-GB" w:eastAsia="en-GB"/>
        </w:rPr>
        <w:t>Movement in Reserves Statement (MIRS)</w:t>
      </w:r>
    </w:p>
    <w:p w14:paraId="560E1070" w14:textId="77777777" w:rsidR="00F227D9" w:rsidRPr="007D1189" w:rsidRDefault="00F227D9" w:rsidP="00693255">
      <w:pPr>
        <w:pStyle w:val="Normal0"/>
        <w:spacing w:line="257" w:lineRule="auto"/>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The Movement in Reserves Statement (MIRS) is a summary of the changes that have taken place in the bottom half of the Balance Sheet over the financial year. It shows the movement in year on the different reserves, analysed into ‘useable’ (i.e. those that can be applied to fund expenditure or reduce local taxation) and other reserves.</w:t>
      </w:r>
    </w:p>
    <w:p w14:paraId="74998A47" w14:textId="77777777" w:rsidR="00F227D9" w:rsidRPr="007D1189" w:rsidRDefault="00F227D9" w:rsidP="00F227D9">
      <w:pPr>
        <w:pStyle w:val="Normal0"/>
        <w:jc w:val="both"/>
        <w:rPr>
          <w:rFonts w:ascii="Verdana" w:eastAsia="Times New Roman" w:hAnsi="Verdana" w:cs="Arial"/>
          <w:sz w:val="22"/>
          <w:szCs w:val="22"/>
          <w:lang w:val="en-GB" w:eastAsia="en-GB"/>
        </w:rPr>
      </w:pPr>
    </w:p>
    <w:p w14:paraId="415AADB8" w14:textId="77777777" w:rsidR="00693255" w:rsidRPr="007D1189" w:rsidRDefault="00F227D9" w:rsidP="00F227D9">
      <w:pPr>
        <w:pStyle w:val="Normal0"/>
        <w:ind w:left="720" w:hanging="720"/>
        <w:jc w:val="both"/>
        <w:rPr>
          <w:rFonts w:ascii="Verdana" w:eastAsia="Times New Roman" w:hAnsi="Verdana" w:cs="Arial"/>
          <w:sz w:val="22"/>
          <w:szCs w:val="22"/>
          <w:lang w:val="en-GB" w:eastAsia="en-GB"/>
        </w:rPr>
      </w:pPr>
      <w:r w:rsidRPr="007D1189">
        <w:rPr>
          <w:rFonts w:ascii="Verdana" w:eastAsia="Times New Roman" w:hAnsi="Verdana" w:cs="Arial"/>
          <w:b/>
          <w:sz w:val="22"/>
          <w:szCs w:val="22"/>
          <w:lang w:val="en-GB" w:eastAsia="en-GB"/>
        </w:rPr>
        <w:t>Balance Sheet</w:t>
      </w:r>
    </w:p>
    <w:p w14:paraId="4EC74349" w14:textId="77777777" w:rsidR="00F227D9" w:rsidRPr="007D1189" w:rsidRDefault="00F227D9" w:rsidP="00693255">
      <w:pPr>
        <w:pStyle w:val="Normal0"/>
        <w:spacing w:line="257" w:lineRule="auto"/>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This shows the value the assets and liabilities held by the Chief Constable as at 31 March for the current and prior years. The net liabilities (assets less liabilities) are matched by</w:t>
      </w:r>
      <w:r w:rsidR="00693255" w:rsidRPr="007D1189">
        <w:rPr>
          <w:rFonts w:ascii="Verdana" w:eastAsia="Times New Roman" w:hAnsi="Verdana" w:cs="Arial"/>
          <w:sz w:val="22"/>
          <w:szCs w:val="22"/>
          <w:lang w:val="en-GB" w:eastAsia="en-GB"/>
        </w:rPr>
        <w:t xml:space="preserve"> the total</w:t>
      </w:r>
      <w:r w:rsidRPr="007D1189">
        <w:rPr>
          <w:rFonts w:ascii="Verdana" w:eastAsia="Times New Roman" w:hAnsi="Verdana" w:cs="Arial"/>
          <w:sz w:val="22"/>
          <w:szCs w:val="22"/>
          <w:lang w:val="en-GB" w:eastAsia="en-GB"/>
        </w:rPr>
        <w:t xml:space="preserve"> reserves.</w:t>
      </w:r>
    </w:p>
    <w:p w14:paraId="4D6D2062"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 xml:space="preserve"> </w:t>
      </w:r>
    </w:p>
    <w:p w14:paraId="6E8039C6" w14:textId="77777777" w:rsidR="00693255" w:rsidRPr="007D1189" w:rsidRDefault="00F227D9" w:rsidP="00F227D9">
      <w:pPr>
        <w:pStyle w:val="Normal0"/>
        <w:ind w:left="720" w:hanging="720"/>
        <w:jc w:val="both"/>
        <w:rPr>
          <w:rFonts w:ascii="Verdana" w:eastAsia="Times New Roman" w:hAnsi="Verdana" w:cs="Arial"/>
          <w:sz w:val="22"/>
          <w:szCs w:val="22"/>
          <w:lang w:val="en-GB" w:eastAsia="en-GB"/>
        </w:rPr>
      </w:pPr>
      <w:r w:rsidRPr="007D1189">
        <w:rPr>
          <w:rFonts w:ascii="Verdana" w:eastAsia="Times New Roman" w:hAnsi="Verdana" w:cs="Arial"/>
          <w:b/>
          <w:sz w:val="22"/>
          <w:szCs w:val="22"/>
          <w:lang w:val="en-GB" w:eastAsia="en-GB"/>
        </w:rPr>
        <w:t>Cash Flow Statement</w:t>
      </w:r>
      <w:r w:rsidRPr="007D1189">
        <w:rPr>
          <w:rFonts w:ascii="Verdana" w:eastAsia="Times New Roman" w:hAnsi="Verdana" w:cs="Arial"/>
          <w:sz w:val="22"/>
          <w:szCs w:val="22"/>
          <w:lang w:val="en-GB" w:eastAsia="en-GB"/>
        </w:rPr>
        <w:t xml:space="preserve">. </w:t>
      </w:r>
    </w:p>
    <w:p w14:paraId="48354988" w14:textId="77777777" w:rsidR="00F227D9" w:rsidRPr="007D1189" w:rsidRDefault="00F227D9" w:rsidP="00693255">
      <w:pPr>
        <w:pStyle w:val="Normal0"/>
        <w:spacing w:line="257" w:lineRule="auto"/>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 xml:space="preserve">This statement shows the changes in cash and cash equivalents of the Chief Constable during the reporting period. The Chief Constable does not manage any of these transactions and accordingly </w:t>
      </w:r>
      <w:r w:rsidR="00693255" w:rsidRPr="007D1189">
        <w:rPr>
          <w:rFonts w:ascii="Verdana" w:eastAsia="Times New Roman" w:hAnsi="Verdana" w:cs="Arial"/>
          <w:sz w:val="22"/>
          <w:szCs w:val="22"/>
          <w:lang w:val="en-GB" w:eastAsia="en-GB"/>
        </w:rPr>
        <w:t>the net cash impact is £Nil in these accounts</w:t>
      </w:r>
      <w:r w:rsidRPr="007D1189">
        <w:rPr>
          <w:rFonts w:ascii="Verdana" w:eastAsia="Times New Roman" w:hAnsi="Verdana" w:cs="Arial"/>
          <w:sz w:val="22"/>
          <w:szCs w:val="22"/>
          <w:lang w:val="en-GB" w:eastAsia="en-GB"/>
        </w:rPr>
        <w:t>. Movements of monies are included in the PCC’s Statement of Accounts</w:t>
      </w:r>
      <w:r w:rsidR="00693255" w:rsidRPr="007D1189">
        <w:rPr>
          <w:rFonts w:ascii="Verdana" w:eastAsia="Times New Roman" w:hAnsi="Verdana" w:cs="Arial"/>
          <w:sz w:val="22"/>
          <w:szCs w:val="22"/>
          <w:lang w:val="en-GB" w:eastAsia="en-GB"/>
        </w:rPr>
        <w:t xml:space="preserve"> and only the net deficit on the provision of services and adjustments for non-cash movements are included in the Chief Constables cash flow statement</w:t>
      </w:r>
      <w:r w:rsidRPr="007D1189">
        <w:rPr>
          <w:rFonts w:ascii="Verdana" w:eastAsia="Times New Roman" w:hAnsi="Verdana" w:cs="Arial"/>
          <w:sz w:val="22"/>
          <w:szCs w:val="22"/>
          <w:lang w:val="en-GB" w:eastAsia="en-GB"/>
        </w:rPr>
        <w:t>.</w:t>
      </w:r>
    </w:p>
    <w:p w14:paraId="3F52AFC3" w14:textId="77777777" w:rsidR="00F227D9" w:rsidRPr="007D1189" w:rsidRDefault="00F227D9" w:rsidP="00F227D9">
      <w:pPr>
        <w:pStyle w:val="Normal0"/>
        <w:ind w:left="720" w:hanging="720"/>
        <w:jc w:val="both"/>
        <w:rPr>
          <w:rFonts w:ascii="Verdana" w:eastAsia="Times New Roman" w:hAnsi="Verdana" w:cs="Arial"/>
          <w:sz w:val="22"/>
          <w:szCs w:val="22"/>
          <w:lang w:val="en-GB" w:eastAsia="en-GB"/>
        </w:rPr>
      </w:pPr>
    </w:p>
    <w:p w14:paraId="622D9F02" w14:textId="77777777" w:rsidR="00693255" w:rsidRPr="007D1189" w:rsidRDefault="00F227D9" w:rsidP="00F227D9">
      <w:pPr>
        <w:pStyle w:val="Normal0"/>
        <w:ind w:left="720" w:hanging="720"/>
        <w:jc w:val="both"/>
        <w:rPr>
          <w:rFonts w:ascii="Verdana" w:eastAsia="Times New Roman" w:hAnsi="Verdana" w:cs="Arial"/>
          <w:b/>
          <w:sz w:val="22"/>
          <w:szCs w:val="22"/>
          <w:lang w:val="en-GB" w:eastAsia="en-GB"/>
        </w:rPr>
      </w:pPr>
      <w:r w:rsidRPr="007D1189">
        <w:rPr>
          <w:rFonts w:ascii="Verdana" w:eastAsia="Times New Roman" w:hAnsi="Verdana" w:cs="Arial"/>
          <w:b/>
          <w:sz w:val="22"/>
          <w:szCs w:val="22"/>
          <w:lang w:val="en-GB" w:eastAsia="en-GB"/>
        </w:rPr>
        <w:t xml:space="preserve">Notes to the Accounts.  </w:t>
      </w:r>
    </w:p>
    <w:p w14:paraId="0B3A0165" w14:textId="77777777" w:rsidR="00F227D9" w:rsidRPr="007D1189" w:rsidRDefault="00F227D9" w:rsidP="00693255">
      <w:pPr>
        <w:pStyle w:val="Normal0"/>
        <w:spacing w:line="257" w:lineRule="auto"/>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These provide additional information to support the figures included in the financial statements and are designed to aid the reader. They comprise significant accounting policies and other explanatory information.</w:t>
      </w:r>
    </w:p>
    <w:p w14:paraId="4B544839" w14:textId="77777777" w:rsidR="00F227D9" w:rsidRPr="007D1189" w:rsidRDefault="00F227D9" w:rsidP="00F227D9">
      <w:pPr>
        <w:pStyle w:val="Normal0"/>
        <w:ind w:left="720" w:hanging="720"/>
        <w:jc w:val="both"/>
        <w:rPr>
          <w:rFonts w:ascii="Verdana" w:eastAsia="Times New Roman" w:hAnsi="Verdana" w:cs="Arial"/>
          <w:sz w:val="22"/>
          <w:szCs w:val="22"/>
          <w:lang w:val="en-GB" w:eastAsia="en-GB"/>
        </w:rPr>
      </w:pPr>
    </w:p>
    <w:p w14:paraId="7B6385F3" w14:textId="77777777" w:rsidR="00F227D9"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In addition to the Financial Statements, the annual accounts include a Statement of Responsibilities for the Accounts and information on the Police Officer Pension Fund (providing statements for pension fund income and expenditure, assets and liabilities).</w:t>
      </w:r>
    </w:p>
    <w:p w14:paraId="3416B3EA" w14:textId="77777777" w:rsidR="00F227D9" w:rsidRPr="007D1189" w:rsidRDefault="00F227D9" w:rsidP="00F227D9">
      <w:pPr>
        <w:pStyle w:val="Normal0"/>
        <w:jc w:val="both"/>
        <w:rPr>
          <w:rFonts w:ascii="Verdana" w:eastAsia="Times New Roman" w:hAnsi="Verdana" w:cs="Arial"/>
          <w:sz w:val="22"/>
          <w:szCs w:val="22"/>
          <w:lang w:val="en-GB" w:eastAsia="en-GB"/>
        </w:rPr>
      </w:pPr>
    </w:p>
    <w:p w14:paraId="6600DC91" w14:textId="77777777" w:rsidR="00F227D9" w:rsidRPr="007D1189" w:rsidRDefault="00F227D9" w:rsidP="00F227D9">
      <w:pPr>
        <w:pStyle w:val="Normal0"/>
        <w:jc w:val="both"/>
        <w:rPr>
          <w:rFonts w:ascii="Verdana" w:eastAsia="Times New Roman" w:hAnsi="Verdana" w:cs="Arial"/>
          <w:b/>
          <w:sz w:val="22"/>
          <w:szCs w:val="22"/>
          <w:lang w:val="en-GB" w:eastAsia="en-GB"/>
        </w:rPr>
      </w:pPr>
      <w:r w:rsidRPr="007D1189">
        <w:rPr>
          <w:rFonts w:ascii="Verdana" w:eastAsia="Times New Roman" w:hAnsi="Verdana" w:cs="Arial"/>
          <w:b/>
          <w:sz w:val="22"/>
          <w:szCs w:val="22"/>
          <w:lang w:val="en-GB" w:eastAsia="en-GB"/>
        </w:rPr>
        <w:t>Governance</w:t>
      </w:r>
    </w:p>
    <w:p w14:paraId="4A1A883B" w14:textId="77777777" w:rsidR="00693255" w:rsidRPr="007D1189"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 xml:space="preserve">The accounts are subject to detailed review by an independent external auditor. The audit provides assurance that the accounts provide a true and fair view of the financial position, are prepared correctly, that proper accounting practices have been followed and that arrangements have been followed and that arrangements have been made for securing economy, efficiency and effectiveness in the use of resources. </w:t>
      </w:r>
    </w:p>
    <w:p w14:paraId="76E92C4D" w14:textId="77777777" w:rsidR="00693255" w:rsidRPr="007D1189" w:rsidRDefault="00693255" w:rsidP="00F227D9">
      <w:pPr>
        <w:pStyle w:val="Normal0"/>
        <w:jc w:val="both"/>
        <w:rPr>
          <w:rFonts w:ascii="Verdana" w:eastAsia="Times New Roman" w:hAnsi="Verdana" w:cs="Arial"/>
          <w:sz w:val="22"/>
          <w:szCs w:val="22"/>
          <w:lang w:val="en-GB" w:eastAsia="en-GB"/>
        </w:rPr>
      </w:pPr>
    </w:p>
    <w:p w14:paraId="6A558340" w14:textId="77777777" w:rsidR="003267F1" w:rsidRPr="00F408BC" w:rsidRDefault="00F227D9" w:rsidP="00F227D9">
      <w:pPr>
        <w:pStyle w:val="Normal0"/>
        <w:jc w:val="both"/>
        <w:rPr>
          <w:rFonts w:ascii="Verdana" w:eastAsia="Times New Roman" w:hAnsi="Verdana" w:cs="Arial"/>
          <w:sz w:val="22"/>
          <w:szCs w:val="22"/>
          <w:lang w:val="en-GB" w:eastAsia="en-GB"/>
        </w:rPr>
      </w:pPr>
      <w:r w:rsidRPr="007D1189">
        <w:rPr>
          <w:rFonts w:ascii="Verdana" w:eastAsia="Times New Roman" w:hAnsi="Verdana" w:cs="Arial"/>
          <w:sz w:val="22"/>
          <w:szCs w:val="22"/>
          <w:lang w:val="en-GB" w:eastAsia="en-GB"/>
        </w:rPr>
        <w:t xml:space="preserve">The Accounts and Audit (England) Regulations 2015 require that the Annual Governance Statement (AGS) should accompany the Statement of Accounts. The Chief Constable’s AGS is included within this Statement of Accounts and explains the governance processes and procedures in place to enable the Chief Constable to </w:t>
      </w:r>
      <w:r w:rsidR="00693255" w:rsidRPr="007D1189">
        <w:rPr>
          <w:rFonts w:ascii="Verdana" w:eastAsia="Times New Roman" w:hAnsi="Verdana" w:cs="Arial"/>
          <w:sz w:val="22"/>
          <w:szCs w:val="22"/>
          <w:lang w:val="en-GB" w:eastAsia="en-GB"/>
        </w:rPr>
        <w:t xml:space="preserve">carry out functions effectively </w:t>
      </w:r>
      <w:r w:rsidRPr="007D1189">
        <w:rPr>
          <w:rFonts w:ascii="Verdana" w:eastAsia="Times New Roman" w:hAnsi="Verdana" w:cs="Arial"/>
          <w:sz w:val="22"/>
          <w:szCs w:val="22"/>
          <w:lang w:val="en-GB" w:eastAsia="en-GB"/>
        </w:rPr>
        <w:t>by highlighting the internal control environment, commenting on effectiveness and iden</w:t>
      </w:r>
      <w:r w:rsidR="00693255" w:rsidRPr="007D1189">
        <w:rPr>
          <w:rFonts w:ascii="Verdana" w:eastAsia="Times New Roman" w:hAnsi="Verdana" w:cs="Arial"/>
          <w:sz w:val="22"/>
          <w:szCs w:val="22"/>
          <w:lang w:val="en-GB" w:eastAsia="en-GB"/>
        </w:rPr>
        <w:t xml:space="preserve">tifying issues for </w:t>
      </w:r>
      <w:r w:rsidR="00693255" w:rsidRPr="00F408BC">
        <w:rPr>
          <w:rFonts w:ascii="Verdana" w:eastAsia="Times New Roman" w:hAnsi="Verdana" w:cs="Arial"/>
          <w:sz w:val="22"/>
          <w:szCs w:val="22"/>
          <w:lang w:val="en-GB" w:eastAsia="en-GB"/>
        </w:rPr>
        <w:t>future work.</w:t>
      </w:r>
    </w:p>
    <w:p w14:paraId="6D992310" w14:textId="77777777" w:rsidR="003267F1" w:rsidRPr="00F408BC" w:rsidRDefault="003267F1" w:rsidP="00F227D9">
      <w:pPr>
        <w:pStyle w:val="Normal0"/>
        <w:jc w:val="both"/>
        <w:rPr>
          <w:rFonts w:ascii="Verdana" w:eastAsia="Times New Roman" w:hAnsi="Verdana" w:cs="Arial"/>
          <w:sz w:val="22"/>
          <w:szCs w:val="22"/>
          <w:lang w:val="en-GB" w:eastAsia="en-GB"/>
        </w:rPr>
      </w:pPr>
    </w:p>
    <w:p w14:paraId="26E2FD79" w14:textId="77777777" w:rsidR="00F227D9" w:rsidRPr="00F408BC" w:rsidRDefault="00F227D9" w:rsidP="003250E3">
      <w:pPr>
        <w:pStyle w:val="Style1"/>
        <w:numPr>
          <w:ilvl w:val="0"/>
          <w:numId w:val="5"/>
        </w:numPr>
        <w:rPr>
          <w:rFonts w:ascii="Verdana" w:hAnsi="Verdana"/>
          <w:sz w:val="22"/>
          <w:szCs w:val="22"/>
          <w:lang w:val="en-GB" w:eastAsia="en-GB"/>
        </w:rPr>
      </w:pPr>
      <w:r w:rsidRPr="00F408BC">
        <w:rPr>
          <w:rFonts w:ascii="Verdana" w:hAnsi="Verdana"/>
          <w:sz w:val="22"/>
          <w:szCs w:val="22"/>
          <w:lang w:val="en-GB" w:eastAsia="en-GB"/>
        </w:rPr>
        <w:t>Financial Arrangements</w:t>
      </w:r>
    </w:p>
    <w:p w14:paraId="6D22CAB8" w14:textId="77777777" w:rsidR="00F227D9" w:rsidRPr="00F408BC" w:rsidRDefault="00F227D9" w:rsidP="00F227D9">
      <w:pPr>
        <w:pStyle w:val="Normal0"/>
        <w:jc w:val="both"/>
        <w:rPr>
          <w:rFonts w:ascii="Verdana" w:eastAsia="Times New Roman" w:hAnsi="Verdana" w:cs="Arial"/>
          <w:b/>
          <w:sz w:val="22"/>
          <w:szCs w:val="22"/>
          <w:lang w:val="en-GB" w:eastAsia="en-GB"/>
        </w:rPr>
      </w:pPr>
    </w:p>
    <w:p w14:paraId="6AC7E4C9" w14:textId="77777777" w:rsidR="00F227D9" w:rsidRPr="00F408BC" w:rsidRDefault="00F227D9" w:rsidP="00F227D9">
      <w:pPr>
        <w:pStyle w:val="Normal0"/>
        <w:jc w:val="both"/>
        <w:rPr>
          <w:rFonts w:ascii="Verdana" w:eastAsia="Times New Roman" w:hAnsi="Verdana" w:cs="Arial"/>
          <w:b/>
          <w:sz w:val="22"/>
          <w:szCs w:val="22"/>
          <w:lang w:val="en-GB" w:eastAsia="en-GB"/>
        </w:rPr>
      </w:pPr>
      <w:r w:rsidRPr="00F408BC">
        <w:rPr>
          <w:rFonts w:ascii="Verdana" w:eastAsia="Times New Roman" w:hAnsi="Verdana" w:cs="Arial"/>
          <w:b/>
          <w:sz w:val="22"/>
          <w:szCs w:val="22"/>
          <w:lang w:val="en-GB" w:eastAsia="en-GB"/>
        </w:rPr>
        <w:t>Setting the Budget</w:t>
      </w:r>
    </w:p>
    <w:p w14:paraId="11A0DB3F" w14:textId="77777777" w:rsidR="00490CB1" w:rsidRPr="00F65DB2" w:rsidRDefault="00490CB1" w:rsidP="00490CB1">
      <w:pPr>
        <w:jc w:val="both"/>
        <w:rPr>
          <w:rFonts w:ascii="Verdana" w:hAnsi="Verdana" w:cs="Arial"/>
          <w:sz w:val="22"/>
          <w:szCs w:val="22"/>
        </w:rPr>
      </w:pPr>
      <w:r w:rsidRPr="00F408BC">
        <w:rPr>
          <w:rFonts w:ascii="Verdana" w:hAnsi="Verdana" w:cs="Arial"/>
          <w:sz w:val="22"/>
          <w:szCs w:val="22"/>
        </w:rPr>
        <w:t>The Chief Constable delivers the operational policing against a delivery plan and net budget approved by the Police and Crime Commissioner (PCC). The PCC Group net revenue budget (o</w:t>
      </w:r>
      <w:r w:rsidR="009D2F7C" w:rsidRPr="00F408BC">
        <w:rPr>
          <w:rFonts w:ascii="Verdana" w:hAnsi="Verdana" w:cs="Arial"/>
          <w:sz w:val="22"/>
          <w:szCs w:val="22"/>
        </w:rPr>
        <w:t>r operating budget) for 2020</w:t>
      </w:r>
      <w:r w:rsidR="005E4528" w:rsidRPr="00F408BC">
        <w:rPr>
          <w:rFonts w:ascii="Verdana" w:hAnsi="Verdana" w:cs="Arial"/>
          <w:sz w:val="22"/>
          <w:szCs w:val="22"/>
        </w:rPr>
        <w:t>/2</w:t>
      </w:r>
      <w:r w:rsidR="009D2F7C" w:rsidRPr="00F408BC">
        <w:rPr>
          <w:rFonts w:ascii="Verdana" w:hAnsi="Verdana" w:cs="Arial"/>
          <w:sz w:val="22"/>
          <w:szCs w:val="22"/>
        </w:rPr>
        <w:t>1</w:t>
      </w:r>
      <w:r w:rsidRPr="00F408BC">
        <w:rPr>
          <w:rFonts w:ascii="Verdana" w:hAnsi="Verdana" w:cs="Arial"/>
          <w:sz w:val="22"/>
          <w:szCs w:val="22"/>
        </w:rPr>
        <w:t xml:space="preserve"> was set at £250.0m (2019/20 £235.1m) of which £247.9m (2019/20 £233.0m) was </w:t>
      </w:r>
      <w:r w:rsidRPr="00F65DB2">
        <w:rPr>
          <w:rFonts w:ascii="Verdana" w:hAnsi="Verdana" w:cs="Arial"/>
          <w:sz w:val="22"/>
          <w:szCs w:val="22"/>
        </w:rPr>
        <w:t>attributed to policing under the direction of the Chief Constable for the year, the remaining gross revenue budget being attributed to the cost of administering the Office of the PCC.</w:t>
      </w:r>
    </w:p>
    <w:p w14:paraId="6307CCD6" w14:textId="77777777" w:rsidR="00490CB1" w:rsidRPr="00F65DB2" w:rsidRDefault="00490CB1" w:rsidP="00490CB1">
      <w:pPr>
        <w:jc w:val="both"/>
        <w:rPr>
          <w:rFonts w:ascii="Verdana" w:hAnsi="Verdana" w:cs="Arial"/>
          <w:sz w:val="22"/>
          <w:szCs w:val="22"/>
        </w:rPr>
      </w:pPr>
    </w:p>
    <w:p w14:paraId="3D4A1C7D" w14:textId="09DC5CA0" w:rsidR="00F227D9" w:rsidRPr="00F65DB2" w:rsidRDefault="00215C2F" w:rsidP="006E4155">
      <w:pPr>
        <w:jc w:val="both"/>
        <w:rPr>
          <w:rFonts w:ascii="Verdana" w:eastAsia="Times New Roman" w:hAnsi="Verdana" w:cs="Arial"/>
          <w:sz w:val="22"/>
          <w:szCs w:val="22"/>
          <w:lang w:val="en-GB" w:eastAsia="en-GB"/>
        </w:rPr>
      </w:pPr>
      <w:r w:rsidRPr="00F65DB2">
        <w:rPr>
          <w:rFonts w:ascii="Verdana" w:hAnsi="Verdana" w:cs="Arial"/>
          <w:sz w:val="22"/>
          <w:szCs w:val="22"/>
        </w:rPr>
        <w:t>The following chart show</w:t>
      </w:r>
      <w:r w:rsidR="00F65DB2" w:rsidRPr="00F65DB2">
        <w:rPr>
          <w:rFonts w:ascii="Verdana" w:hAnsi="Verdana" w:cs="Arial"/>
          <w:sz w:val="22"/>
          <w:szCs w:val="22"/>
        </w:rPr>
        <w:t>s</w:t>
      </w:r>
      <w:r w:rsidRPr="00F65DB2">
        <w:rPr>
          <w:rFonts w:ascii="Verdana" w:hAnsi="Verdana" w:cs="Arial"/>
          <w:sz w:val="22"/>
          <w:szCs w:val="22"/>
        </w:rPr>
        <w:t xml:space="preserve"> a summary of the </w:t>
      </w:r>
      <w:r w:rsidR="00490CB1" w:rsidRPr="00F65DB2">
        <w:rPr>
          <w:rFonts w:ascii="Verdana" w:hAnsi="Verdana" w:cs="Arial"/>
          <w:sz w:val="22"/>
          <w:szCs w:val="22"/>
        </w:rPr>
        <w:t>annual revenue budget by types of subjective expenditure</w:t>
      </w:r>
      <w:r w:rsidRPr="00F65DB2">
        <w:rPr>
          <w:rFonts w:ascii="Verdana" w:hAnsi="Verdana" w:cs="Arial"/>
          <w:sz w:val="22"/>
          <w:szCs w:val="22"/>
        </w:rPr>
        <w:t>.</w:t>
      </w:r>
    </w:p>
    <w:p w14:paraId="5F33ACB8" w14:textId="77777777" w:rsidR="00F227D9" w:rsidRPr="00F65DB2" w:rsidRDefault="00F227D9" w:rsidP="00F227D9">
      <w:pPr>
        <w:pStyle w:val="Normal0"/>
        <w:jc w:val="both"/>
        <w:rPr>
          <w:rFonts w:ascii="Verdana" w:eastAsia="Times New Roman" w:hAnsi="Verdana" w:cs="Arial"/>
          <w:sz w:val="22"/>
          <w:szCs w:val="22"/>
          <w:lang w:val="en-GB" w:eastAsia="en-GB"/>
        </w:rPr>
      </w:pPr>
    </w:p>
    <w:p w14:paraId="32863215" w14:textId="2F2B4A88" w:rsidR="003C15B1" w:rsidRPr="00F65DB2" w:rsidRDefault="007A0243" w:rsidP="00E73C9B">
      <w:pPr>
        <w:pStyle w:val="Normal0"/>
        <w:jc w:val="center"/>
        <w:rPr>
          <w:rFonts w:ascii="Verdana" w:eastAsia="Times New Roman" w:hAnsi="Verdana" w:cs="Arial"/>
          <w:sz w:val="22"/>
          <w:szCs w:val="22"/>
          <w:lang w:val="en-GB" w:eastAsia="en-GB"/>
        </w:rPr>
      </w:pPr>
      <w:r w:rsidRPr="00F65DB2">
        <w:rPr>
          <w:noProof/>
          <w:lang w:val="en-GB" w:eastAsia="en-GB"/>
        </w:rPr>
        <w:drawing>
          <wp:inline distT="0" distB="0" distL="0" distR="0" wp14:anchorId="2AD6FF80" wp14:editId="048C49DA">
            <wp:extent cx="4469130" cy="28575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3C2A4A" w14:textId="77777777" w:rsidR="003C15B1" w:rsidRDefault="003C15B1" w:rsidP="00F227D9">
      <w:pPr>
        <w:pStyle w:val="Normal0"/>
        <w:jc w:val="both"/>
        <w:rPr>
          <w:rFonts w:ascii="Verdana" w:eastAsia="Times New Roman" w:hAnsi="Verdana" w:cs="Arial"/>
          <w:sz w:val="22"/>
          <w:szCs w:val="22"/>
          <w:highlight w:val="yellow"/>
          <w:lang w:val="en-GB" w:eastAsia="en-GB"/>
        </w:rPr>
      </w:pPr>
    </w:p>
    <w:p w14:paraId="2B0AB2BA" w14:textId="77777777" w:rsidR="003C15B1" w:rsidRDefault="003C15B1" w:rsidP="00F227D9">
      <w:pPr>
        <w:pStyle w:val="Normal0"/>
        <w:jc w:val="both"/>
        <w:rPr>
          <w:rFonts w:ascii="Verdana" w:eastAsia="Times New Roman" w:hAnsi="Verdana" w:cs="Arial"/>
          <w:sz w:val="22"/>
          <w:szCs w:val="22"/>
          <w:highlight w:val="yellow"/>
          <w:lang w:val="en-GB" w:eastAsia="en-GB"/>
        </w:rPr>
        <w:sectPr w:rsidR="003C15B1" w:rsidSect="00B54A0C">
          <w:type w:val="nextColumn"/>
          <w:pgSz w:w="16840" w:h="11900" w:orient="landscape"/>
          <w:pgMar w:top="709" w:right="720" w:bottom="567" w:left="720" w:header="708" w:footer="708" w:gutter="0"/>
          <w:cols w:space="708"/>
          <w:docGrid w:linePitch="360"/>
        </w:sectPr>
      </w:pPr>
    </w:p>
    <w:p w14:paraId="03D86657" w14:textId="77777777" w:rsidR="00F227D9" w:rsidRPr="003823CA" w:rsidRDefault="00F227D9" w:rsidP="00F227D9">
      <w:pPr>
        <w:pStyle w:val="Normal0"/>
        <w:jc w:val="both"/>
        <w:rPr>
          <w:rFonts w:ascii="Verdana" w:eastAsia="Times New Roman" w:hAnsi="Verdana" w:cs="Times New Roman"/>
          <w:sz w:val="22"/>
          <w:szCs w:val="22"/>
          <w:lang w:val="en-GB" w:eastAsia="en-GB"/>
        </w:rPr>
      </w:pPr>
      <w:r w:rsidRPr="00F408BC">
        <w:rPr>
          <w:rFonts w:ascii="Verdana" w:eastAsia="Times New Roman" w:hAnsi="Verdana" w:cs="Times New Roman"/>
          <w:sz w:val="22"/>
          <w:szCs w:val="22"/>
          <w:lang w:val="en-GB" w:eastAsia="en-GB"/>
        </w:rPr>
        <w:t xml:space="preserve">The capital budget </w:t>
      </w:r>
      <w:r w:rsidRPr="003823CA">
        <w:rPr>
          <w:rFonts w:ascii="Verdana" w:eastAsia="Times New Roman" w:hAnsi="Verdana" w:cs="Times New Roman"/>
          <w:sz w:val="22"/>
          <w:szCs w:val="22"/>
          <w:lang w:val="en-GB" w:eastAsia="en-GB"/>
        </w:rPr>
        <w:t>included planned expenditure and receipts from sales in line with the Estates Strategy, improvements to IT infrastructure, replacement programmes for fleet and operational equipment and major projects including digital policing.</w:t>
      </w:r>
    </w:p>
    <w:p w14:paraId="1FDAD0C7" w14:textId="77777777" w:rsidR="00F227D9" w:rsidRPr="003823CA" w:rsidRDefault="00F227D9" w:rsidP="00F227D9">
      <w:pPr>
        <w:pStyle w:val="Normal0"/>
        <w:jc w:val="both"/>
        <w:rPr>
          <w:rFonts w:ascii="Verdana" w:eastAsia="Times New Roman" w:hAnsi="Verdana" w:cs="Arial"/>
          <w:sz w:val="22"/>
          <w:szCs w:val="22"/>
          <w:lang w:val="en-GB" w:eastAsia="en-GB"/>
        </w:rPr>
      </w:pPr>
    </w:p>
    <w:p w14:paraId="28882C79" w14:textId="77777777" w:rsidR="00F227D9" w:rsidRPr="003823CA" w:rsidRDefault="00F227D9" w:rsidP="00F227D9">
      <w:pPr>
        <w:pStyle w:val="Normal0"/>
        <w:jc w:val="both"/>
        <w:rPr>
          <w:rFonts w:ascii="Verdana" w:eastAsia="Times New Roman" w:hAnsi="Verdana" w:cs="Arial"/>
          <w:b/>
          <w:sz w:val="22"/>
          <w:szCs w:val="22"/>
          <w:lang w:val="en-GB" w:eastAsia="en-GB"/>
        </w:rPr>
      </w:pPr>
      <w:r w:rsidRPr="003823CA">
        <w:rPr>
          <w:rFonts w:ascii="Verdana" w:eastAsia="Times New Roman" w:hAnsi="Verdana" w:cs="Arial"/>
          <w:b/>
          <w:sz w:val="22"/>
          <w:szCs w:val="22"/>
          <w:lang w:val="en-GB" w:eastAsia="en-GB"/>
        </w:rPr>
        <w:t>Final Revenue Outturn</w:t>
      </w:r>
    </w:p>
    <w:p w14:paraId="0B1EF10E" w14:textId="77777777" w:rsidR="006E4155" w:rsidRPr="003823CA" w:rsidRDefault="006E4155" w:rsidP="00F227D9">
      <w:pPr>
        <w:pStyle w:val="Normal0"/>
        <w:jc w:val="both"/>
        <w:rPr>
          <w:rFonts w:ascii="Verdana" w:eastAsia="Times New Roman" w:hAnsi="Verdana" w:cs="Arial"/>
          <w:b/>
          <w:sz w:val="22"/>
          <w:szCs w:val="22"/>
          <w:lang w:val="en-GB" w:eastAsia="en-GB"/>
        </w:rPr>
      </w:pPr>
    </w:p>
    <w:p w14:paraId="3D126A6C" w14:textId="7979F3E1" w:rsidR="006E4155" w:rsidRPr="003823CA" w:rsidRDefault="006E4155" w:rsidP="006E4155">
      <w:pPr>
        <w:jc w:val="both"/>
        <w:rPr>
          <w:rFonts w:ascii="Verdana" w:hAnsi="Verdana" w:cs="Arial"/>
          <w:sz w:val="22"/>
          <w:szCs w:val="22"/>
        </w:rPr>
      </w:pPr>
      <w:r w:rsidRPr="003823CA">
        <w:rPr>
          <w:rFonts w:ascii="Verdana" w:hAnsi="Verdana" w:cs="Arial"/>
          <w:sz w:val="22"/>
          <w:szCs w:val="22"/>
        </w:rPr>
        <w:t xml:space="preserve">Actual </w:t>
      </w:r>
      <w:r w:rsidR="003823CA" w:rsidRPr="003823CA">
        <w:rPr>
          <w:rFonts w:ascii="Verdana" w:hAnsi="Verdana" w:cs="Arial"/>
          <w:sz w:val="22"/>
          <w:szCs w:val="22"/>
        </w:rPr>
        <w:t xml:space="preserve">net </w:t>
      </w:r>
      <w:r w:rsidRPr="003823CA">
        <w:rPr>
          <w:rFonts w:ascii="Verdana" w:hAnsi="Verdana" w:cs="Arial"/>
          <w:sz w:val="22"/>
          <w:szCs w:val="22"/>
        </w:rPr>
        <w:t>expenditure attributable to policing under the direction of the Chief Constable was £2</w:t>
      </w:r>
      <w:r w:rsidR="003823CA" w:rsidRPr="003823CA">
        <w:rPr>
          <w:rFonts w:ascii="Verdana" w:hAnsi="Verdana" w:cs="Arial"/>
          <w:sz w:val="22"/>
          <w:szCs w:val="22"/>
        </w:rPr>
        <w:t>46.4</w:t>
      </w:r>
      <w:r w:rsidRPr="003823CA">
        <w:rPr>
          <w:rFonts w:ascii="Verdana" w:hAnsi="Verdana" w:cs="Arial"/>
          <w:sz w:val="22"/>
          <w:szCs w:val="22"/>
        </w:rPr>
        <w:t>m (201</w:t>
      </w:r>
      <w:r w:rsidR="00F408BC" w:rsidRPr="003823CA">
        <w:rPr>
          <w:rFonts w:ascii="Verdana" w:hAnsi="Verdana" w:cs="Arial"/>
          <w:sz w:val="22"/>
          <w:szCs w:val="22"/>
        </w:rPr>
        <w:t>9</w:t>
      </w:r>
      <w:r w:rsidRPr="003823CA">
        <w:rPr>
          <w:rFonts w:ascii="Verdana" w:hAnsi="Verdana" w:cs="Arial"/>
          <w:sz w:val="22"/>
          <w:szCs w:val="22"/>
        </w:rPr>
        <w:t>/</w:t>
      </w:r>
      <w:r w:rsidR="00F408BC" w:rsidRPr="003823CA">
        <w:rPr>
          <w:rFonts w:ascii="Verdana" w:hAnsi="Verdana" w:cs="Arial"/>
          <w:sz w:val="22"/>
          <w:szCs w:val="22"/>
        </w:rPr>
        <w:t>20</w:t>
      </w:r>
      <w:r w:rsidRPr="003823CA">
        <w:rPr>
          <w:rFonts w:ascii="Verdana" w:hAnsi="Verdana" w:cs="Arial"/>
          <w:sz w:val="22"/>
          <w:szCs w:val="22"/>
        </w:rPr>
        <w:t xml:space="preserve"> £2</w:t>
      </w:r>
      <w:r w:rsidR="00F408BC" w:rsidRPr="003823CA">
        <w:rPr>
          <w:rFonts w:ascii="Verdana" w:hAnsi="Verdana" w:cs="Arial"/>
          <w:sz w:val="22"/>
          <w:szCs w:val="22"/>
        </w:rPr>
        <w:t>31.6</w:t>
      </w:r>
      <w:r w:rsidRPr="003823CA">
        <w:rPr>
          <w:rFonts w:ascii="Verdana" w:hAnsi="Verdana" w:cs="Arial"/>
          <w:sz w:val="22"/>
          <w:szCs w:val="22"/>
        </w:rPr>
        <w:t xml:space="preserve">m), against a budget of </w:t>
      </w:r>
      <w:r w:rsidR="00E30927" w:rsidRPr="003823CA">
        <w:rPr>
          <w:rFonts w:ascii="Verdana" w:hAnsi="Verdana" w:cs="Arial"/>
          <w:sz w:val="22"/>
          <w:szCs w:val="22"/>
        </w:rPr>
        <w:t>£2</w:t>
      </w:r>
      <w:r w:rsidR="003823CA" w:rsidRPr="003823CA">
        <w:rPr>
          <w:rFonts w:ascii="Verdana" w:hAnsi="Verdana" w:cs="Arial"/>
          <w:sz w:val="22"/>
          <w:szCs w:val="22"/>
        </w:rPr>
        <w:t>47.9</w:t>
      </w:r>
      <w:r w:rsidRPr="003823CA">
        <w:rPr>
          <w:rFonts w:ascii="Verdana" w:hAnsi="Verdana" w:cs="Arial"/>
          <w:sz w:val="22"/>
          <w:szCs w:val="22"/>
        </w:rPr>
        <w:t>m (201</w:t>
      </w:r>
      <w:r w:rsidR="00F408BC" w:rsidRPr="003823CA">
        <w:rPr>
          <w:rFonts w:ascii="Verdana" w:hAnsi="Verdana" w:cs="Arial"/>
          <w:sz w:val="22"/>
          <w:szCs w:val="22"/>
        </w:rPr>
        <w:t>9</w:t>
      </w:r>
      <w:r w:rsidRPr="003823CA">
        <w:rPr>
          <w:rFonts w:ascii="Verdana" w:hAnsi="Verdana" w:cs="Arial"/>
          <w:sz w:val="22"/>
          <w:szCs w:val="22"/>
        </w:rPr>
        <w:t>/</w:t>
      </w:r>
      <w:r w:rsidR="00F408BC" w:rsidRPr="003823CA">
        <w:rPr>
          <w:rFonts w:ascii="Verdana" w:hAnsi="Verdana" w:cs="Arial"/>
          <w:sz w:val="22"/>
          <w:szCs w:val="22"/>
        </w:rPr>
        <w:t>20</w:t>
      </w:r>
      <w:r w:rsidRPr="003823CA">
        <w:rPr>
          <w:rFonts w:ascii="Verdana" w:hAnsi="Verdana" w:cs="Arial"/>
          <w:sz w:val="22"/>
          <w:szCs w:val="22"/>
        </w:rPr>
        <w:t xml:space="preserve"> £2</w:t>
      </w:r>
      <w:r w:rsidR="00F408BC" w:rsidRPr="003823CA">
        <w:rPr>
          <w:rFonts w:ascii="Verdana" w:hAnsi="Verdana" w:cs="Arial"/>
          <w:sz w:val="22"/>
          <w:szCs w:val="22"/>
        </w:rPr>
        <w:t>31.9</w:t>
      </w:r>
      <w:r w:rsidRPr="003823CA">
        <w:rPr>
          <w:rFonts w:ascii="Verdana" w:hAnsi="Verdana" w:cs="Arial"/>
          <w:sz w:val="22"/>
          <w:szCs w:val="22"/>
        </w:rPr>
        <w:t>m)</w:t>
      </w:r>
      <w:r w:rsidR="003823CA" w:rsidRPr="003823CA">
        <w:rPr>
          <w:rFonts w:ascii="Verdana" w:hAnsi="Verdana" w:cs="Arial"/>
          <w:sz w:val="22"/>
          <w:szCs w:val="22"/>
        </w:rPr>
        <w:t xml:space="preserve"> resulting in underspend of £1.5</w:t>
      </w:r>
      <w:r w:rsidRPr="003823CA">
        <w:rPr>
          <w:rFonts w:ascii="Verdana" w:hAnsi="Verdana" w:cs="Arial"/>
          <w:sz w:val="22"/>
          <w:szCs w:val="22"/>
        </w:rPr>
        <w:t>m for the current year</w:t>
      </w:r>
      <w:r w:rsidR="00E30927" w:rsidRPr="003823CA">
        <w:rPr>
          <w:rFonts w:ascii="Verdana" w:hAnsi="Verdana" w:cs="Arial"/>
          <w:sz w:val="22"/>
          <w:szCs w:val="22"/>
        </w:rPr>
        <w:t xml:space="preserve">.  </w:t>
      </w:r>
    </w:p>
    <w:p w14:paraId="06897DE4" w14:textId="77777777" w:rsidR="00215C2F" w:rsidRPr="003823CA" w:rsidRDefault="00215C2F" w:rsidP="006E4155">
      <w:pPr>
        <w:jc w:val="both"/>
        <w:rPr>
          <w:rFonts w:ascii="Verdana" w:hAnsi="Verdana" w:cs="Arial"/>
          <w:sz w:val="22"/>
          <w:szCs w:val="22"/>
        </w:rPr>
      </w:pPr>
    </w:p>
    <w:p w14:paraId="63AF4055" w14:textId="701181E7" w:rsidR="006E4155" w:rsidRPr="003823CA" w:rsidRDefault="006E4155" w:rsidP="006E4155">
      <w:pPr>
        <w:jc w:val="both"/>
        <w:rPr>
          <w:rFonts w:ascii="Verdana" w:hAnsi="Verdana"/>
          <w:sz w:val="22"/>
          <w:szCs w:val="22"/>
        </w:rPr>
      </w:pPr>
      <w:r w:rsidRPr="003823CA">
        <w:rPr>
          <w:rFonts w:ascii="Verdana" w:hAnsi="Verdana" w:cs="Arial"/>
          <w:sz w:val="22"/>
          <w:szCs w:val="22"/>
        </w:rPr>
        <w:t>The following chart shows the actual expenditure for the Chief Constable, along with a table comparing actual expenditure to budget for 20</w:t>
      </w:r>
      <w:r w:rsidR="00F408BC" w:rsidRPr="003823CA">
        <w:rPr>
          <w:rFonts w:ascii="Verdana" w:hAnsi="Verdana" w:cs="Arial"/>
          <w:sz w:val="22"/>
          <w:szCs w:val="22"/>
        </w:rPr>
        <w:t>20</w:t>
      </w:r>
      <w:r w:rsidRPr="003823CA">
        <w:rPr>
          <w:rFonts w:ascii="Verdana" w:hAnsi="Verdana" w:cs="Arial"/>
          <w:sz w:val="22"/>
          <w:szCs w:val="22"/>
        </w:rPr>
        <w:t>/2</w:t>
      </w:r>
      <w:r w:rsidR="00F408BC" w:rsidRPr="003823CA">
        <w:rPr>
          <w:rFonts w:ascii="Verdana" w:hAnsi="Verdana" w:cs="Arial"/>
          <w:sz w:val="22"/>
          <w:szCs w:val="22"/>
        </w:rPr>
        <w:t>1</w:t>
      </w:r>
      <w:r w:rsidRPr="003823CA">
        <w:rPr>
          <w:rFonts w:ascii="Verdana" w:hAnsi="Verdana" w:cs="Arial"/>
          <w:sz w:val="22"/>
          <w:szCs w:val="22"/>
        </w:rPr>
        <w:t xml:space="preserve"> by cost type</w:t>
      </w:r>
      <w:r w:rsidRPr="003823CA">
        <w:rPr>
          <w:rFonts w:ascii="Verdana" w:hAnsi="Verdana"/>
          <w:sz w:val="22"/>
          <w:szCs w:val="22"/>
        </w:rPr>
        <w:t xml:space="preserve"> for the year.</w:t>
      </w:r>
    </w:p>
    <w:p w14:paraId="4462258F" w14:textId="77777777" w:rsidR="003F4F65" w:rsidRDefault="003F4F65" w:rsidP="00F227D9">
      <w:pPr>
        <w:pStyle w:val="Normal0"/>
        <w:jc w:val="both"/>
        <w:rPr>
          <w:rFonts w:ascii="Verdana" w:eastAsia="Times New Roman" w:hAnsi="Verdana" w:cs="Times New Roman"/>
          <w:sz w:val="22"/>
          <w:szCs w:val="22"/>
          <w:highlight w:val="yellow"/>
          <w:lang w:val="en-GB" w:eastAsia="en-GB"/>
        </w:rPr>
      </w:pPr>
    </w:p>
    <w:p w14:paraId="55C2F31B" w14:textId="77777777" w:rsidR="00E73C9B" w:rsidRDefault="00E73C9B" w:rsidP="000545F4">
      <w:pPr>
        <w:pStyle w:val="Normal0"/>
        <w:jc w:val="center"/>
        <w:rPr>
          <w:noProof/>
          <w:lang w:val="en-GB" w:eastAsia="en-GB"/>
        </w:rPr>
        <w:sectPr w:rsidR="00E73C9B" w:rsidSect="00B54A0C">
          <w:type w:val="nextColumn"/>
          <w:pgSz w:w="16840" w:h="11900" w:orient="landscape"/>
          <w:pgMar w:top="709" w:right="720" w:bottom="567" w:left="720" w:header="708" w:footer="708" w:gutter="0"/>
          <w:cols w:space="708"/>
          <w:docGrid w:linePitch="360"/>
        </w:sectPr>
      </w:pPr>
    </w:p>
    <w:p w14:paraId="672203AA" w14:textId="388EB503" w:rsidR="000545F4" w:rsidRDefault="000545F4" w:rsidP="000545F4">
      <w:pPr>
        <w:pStyle w:val="Normal0"/>
        <w:jc w:val="center"/>
        <w:rPr>
          <w:noProof/>
          <w:lang w:val="en-GB" w:eastAsia="en-GB"/>
        </w:rPr>
      </w:pPr>
    </w:p>
    <w:p w14:paraId="1ACA6CEC" w14:textId="037C851E" w:rsidR="00E73C9B" w:rsidRDefault="00E73C9B" w:rsidP="000545F4">
      <w:pPr>
        <w:pStyle w:val="Normal0"/>
        <w:jc w:val="center"/>
        <w:rPr>
          <w:rFonts w:ascii="Verdana" w:eastAsia="Times New Roman" w:hAnsi="Verdana" w:cs="Times New Roman"/>
          <w:sz w:val="22"/>
          <w:szCs w:val="22"/>
          <w:highlight w:val="yellow"/>
          <w:lang w:val="en-GB" w:eastAsia="en-GB"/>
        </w:rPr>
      </w:pPr>
      <w:r>
        <w:rPr>
          <w:noProof/>
          <w:lang w:val="en-GB" w:eastAsia="en-GB"/>
        </w:rPr>
        <w:drawing>
          <wp:inline distT="0" distB="0" distL="0" distR="0" wp14:anchorId="5B0B89D1" wp14:editId="4C5B45DF">
            <wp:extent cx="4408098" cy="2596551"/>
            <wp:effectExtent l="0" t="0" r="1206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F391A3" w14:textId="77777777" w:rsidR="000545F4" w:rsidRDefault="000545F4" w:rsidP="00F227D9">
      <w:pPr>
        <w:pStyle w:val="Normal0"/>
        <w:jc w:val="both"/>
        <w:rPr>
          <w:rFonts w:ascii="Verdana" w:eastAsia="Times New Roman" w:hAnsi="Verdana" w:cs="Times New Roman"/>
          <w:sz w:val="22"/>
          <w:szCs w:val="22"/>
          <w:highlight w:val="yellow"/>
          <w:lang w:val="en-GB" w:eastAsia="en-GB"/>
        </w:rPr>
      </w:pPr>
    </w:p>
    <w:p w14:paraId="0126DDE1" w14:textId="77777777" w:rsidR="000545F4" w:rsidRDefault="000545F4" w:rsidP="00F227D9">
      <w:pPr>
        <w:pStyle w:val="Normal0"/>
        <w:jc w:val="both"/>
        <w:rPr>
          <w:rFonts w:ascii="Verdana" w:eastAsia="Times New Roman" w:hAnsi="Verdana" w:cs="Times New Roman"/>
          <w:sz w:val="22"/>
          <w:szCs w:val="22"/>
          <w:highlight w:val="yellow"/>
          <w:lang w:val="en-GB" w:eastAsia="en-GB"/>
        </w:rPr>
      </w:pPr>
    </w:p>
    <w:p w14:paraId="6C5048A8" w14:textId="77777777" w:rsidR="00E73C9B" w:rsidRDefault="00E73C9B" w:rsidP="00F227D9">
      <w:pPr>
        <w:pStyle w:val="Normal0"/>
        <w:jc w:val="both"/>
        <w:rPr>
          <w:rFonts w:ascii="Verdana" w:eastAsia="Times New Roman" w:hAnsi="Verdana" w:cs="Times New Roman"/>
          <w:sz w:val="22"/>
          <w:szCs w:val="22"/>
          <w:highlight w:val="yellow"/>
          <w:lang w:val="en-GB" w:eastAsia="en-GB"/>
        </w:rPr>
      </w:pPr>
    </w:p>
    <w:p w14:paraId="5B2E68EB" w14:textId="77777777" w:rsidR="00616CA4" w:rsidRDefault="00616CA4" w:rsidP="00F227D9">
      <w:pPr>
        <w:pStyle w:val="Normal0"/>
        <w:jc w:val="both"/>
        <w:rPr>
          <w:rFonts w:ascii="Verdana" w:eastAsia="Times New Roman" w:hAnsi="Verdana" w:cs="Times New Roman"/>
          <w:sz w:val="22"/>
          <w:szCs w:val="22"/>
          <w:highlight w:val="yellow"/>
          <w:lang w:val="en-GB" w:eastAsia="en-GB"/>
        </w:rPr>
      </w:pPr>
    </w:p>
    <w:p w14:paraId="5889C6BC" w14:textId="77777777" w:rsidR="00E73C9B" w:rsidRDefault="00E73C9B" w:rsidP="00F227D9">
      <w:pPr>
        <w:pStyle w:val="Normal0"/>
        <w:jc w:val="both"/>
        <w:rPr>
          <w:rFonts w:ascii="Verdana" w:eastAsia="Times New Roman" w:hAnsi="Verdana" w:cs="Times New Roman"/>
          <w:sz w:val="22"/>
          <w:szCs w:val="22"/>
          <w:highlight w:val="yellow"/>
          <w:lang w:val="en-GB" w:eastAsia="en-GB"/>
        </w:rPr>
      </w:pPr>
    </w:p>
    <w:p w14:paraId="389A0FC9" w14:textId="77777777" w:rsidR="00E73C9B" w:rsidRDefault="00E73C9B" w:rsidP="00F227D9">
      <w:pPr>
        <w:pStyle w:val="Normal0"/>
        <w:jc w:val="both"/>
        <w:rPr>
          <w:rFonts w:ascii="Verdana" w:eastAsia="Times New Roman" w:hAnsi="Verdana" w:cs="Times New Roman"/>
          <w:sz w:val="22"/>
          <w:szCs w:val="22"/>
          <w:highlight w:val="yellow"/>
          <w:lang w:val="en-GB" w:eastAsia="en-GB"/>
        </w:rPr>
      </w:pPr>
    </w:p>
    <w:p w14:paraId="095C64AB" w14:textId="77777777" w:rsidR="00E73C9B" w:rsidRPr="00DC1077" w:rsidRDefault="00E73C9B" w:rsidP="00F227D9">
      <w:pPr>
        <w:pStyle w:val="Normal0"/>
        <w:jc w:val="both"/>
        <w:rPr>
          <w:rFonts w:ascii="Verdana" w:eastAsia="Times New Roman" w:hAnsi="Verdana" w:cs="Times New Roman"/>
          <w:sz w:val="22"/>
          <w:szCs w:val="22"/>
          <w:highlight w:val="yellow"/>
          <w:lang w:val="en-GB" w:eastAsia="en-GB"/>
        </w:rPr>
      </w:pPr>
    </w:p>
    <w:tbl>
      <w:tblPr>
        <w:tblW w:w="6914" w:type="dxa"/>
        <w:jc w:val="center"/>
        <w:tblLook w:val="04A0" w:firstRow="1" w:lastRow="0" w:firstColumn="1" w:lastColumn="0" w:noHBand="0" w:noVBand="1"/>
      </w:tblPr>
      <w:tblGrid>
        <w:gridCol w:w="3914"/>
        <w:gridCol w:w="1000"/>
        <w:gridCol w:w="1000"/>
        <w:gridCol w:w="1000"/>
      </w:tblGrid>
      <w:tr w:rsidR="00E73C9B" w:rsidRPr="00E73C9B" w14:paraId="105C4321" w14:textId="77777777" w:rsidTr="00E73C9B">
        <w:trPr>
          <w:trHeight w:val="300"/>
          <w:jc w:val="center"/>
        </w:trPr>
        <w:tc>
          <w:tcPr>
            <w:tcW w:w="3914" w:type="dxa"/>
            <w:tcBorders>
              <w:top w:val="single" w:sz="4" w:space="0" w:color="auto"/>
              <w:left w:val="single" w:sz="4" w:space="0" w:color="auto"/>
              <w:bottom w:val="nil"/>
              <w:right w:val="single" w:sz="4" w:space="0" w:color="auto"/>
            </w:tcBorders>
            <w:shd w:val="clear" w:color="auto" w:fill="auto"/>
            <w:noWrap/>
            <w:vAlign w:val="center"/>
            <w:hideMark/>
          </w:tcPr>
          <w:p w14:paraId="5C7547B5" w14:textId="77777777" w:rsidR="00E73C9B" w:rsidRPr="00E73C9B" w:rsidRDefault="00E73C9B" w:rsidP="00E73C9B">
            <w:pPr>
              <w:rPr>
                <w:rFonts w:ascii="Calibri" w:eastAsia="Times New Roman" w:hAnsi="Calibri" w:cs="Times New Roman"/>
                <w:b/>
                <w:bCs/>
                <w:color w:val="000000"/>
                <w:sz w:val="22"/>
                <w:szCs w:val="22"/>
                <w:lang w:val="en-GB" w:eastAsia="en-GB"/>
              </w:rPr>
            </w:pPr>
            <w:r w:rsidRPr="00E73C9B">
              <w:rPr>
                <w:rFonts w:ascii="Calibri" w:eastAsia="Times New Roman" w:hAnsi="Calibri" w:cs="Times New Roman"/>
                <w:b/>
                <w:bCs/>
                <w:color w:val="000000"/>
                <w:sz w:val="22"/>
                <w:szCs w:val="22"/>
                <w:lang w:val="en-GB" w:eastAsia="en-GB"/>
              </w:rPr>
              <w:t> </w:t>
            </w:r>
          </w:p>
        </w:tc>
        <w:tc>
          <w:tcPr>
            <w:tcW w:w="3000" w:type="dxa"/>
            <w:gridSpan w:val="3"/>
            <w:tcBorders>
              <w:top w:val="single" w:sz="4" w:space="0" w:color="auto"/>
              <w:left w:val="nil"/>
              <w:bottom w:val="nil"/>
              <w:right w:val="single" w:sz="4" w:space="0" w:color="auto"/>
            </w:tcBorders>
            <w:shd w:val="clear" w:color="auto" w:fill="auto"/>
            <w:noWrap/>
            <w:vAlign w:val="center"/>
            <w:hideMark/>
          </w:tcPr>
          <w:p w14:paraId="1A4CD38B" w14:textId="77777777" w:rsidR="00E73C9B" w:rsidRPr="00E73C9B" w:rsidRDefault="00E73C9B" w:rsidP="00E73C9B">
            <w:pPr>
              <w:jc w:val="center"/>
              <w:rPr>
                <w:rFonts w:ascii="Calibri" w:eastAsia="Times New Roman" w:hAnsi="Calibri" w:cs="Times New Roman"/>
                <w:b/>
                <w:bCs/>
                <w:color w:val="000000"/>
                <w:sz w:val="22"/>
                <w:szCs w:val="22"/>
                <w:lang w:val="en-GB" w:eastAsia="en-GB"/>
              </w:rPr>
            </w:pPr>
            <w:r w:rsidRPr="00E73C9B">
              <w:rPr>
                <w:rFonts w:ascii="Calibri" w:eastAsia="Times New Roman" w:hAnsi="Calibri" w:cs="Times New Roman"/>
                <w:b/>
                <w:bCs/>
                <w:color w:val="000000"/>
                <w:sz w:val="22"/>
                <w:szCs w:val="22"/>
                <w:lang w:val="en-GB" w:eastAsia="en-GB"/>
              </w:rPr>
              <w:t xml:space="preserve"> 2020/21 </w:t>
            </w:r>
          </w:p>
        </w:tc>
      </w:tr>
      <w:tr w:rsidR="00E73C9B" w:rsidRPr="00E73C9B" w14:paraId="6EE49B5B" w14:textId="77777777" w:rsidTr="00E73C9B">
        <w:trPr>
          <w:trHeight w:val="600"/>
          <w:jc w:val="center"/>
        </w:trPr>
        <w:tc>
          <w:tcPr>
            <w:tcW w:w="3914" w:type="dxa"/>
            <w:tcBorders>
              <w:top w:val="nil"/>
              <w:left w:val="single" w:sz="4" w:space="0" w:color="auto"/>
              <w:bottom w:val="single" w:sz="4" w:space="0" w:color="auto"/>
              <w:right w:val="single" w:sz="4" w:space="0" w:color="auto"/>
            </w:tcBorders>
            <w:shd w:val="clear" w:color="auto" w:fill="auto"/>
            <w:noWrap/>
            <w:vAlign w:val="center"/>
            <w:hideMark/>
          </w:tcPr>
          <w:p w14:paraId="3E881557" w14:textId="77777777" w:rsidR="00E73C9B" w:rsidRPr="00E73C9B" w:rsidRDefault="00E73C9B" w:rsidP="00E73C9B">
            <w:pPr>
              <w:rPr>
                <w:rFonts w:ascii="Calibri" w:eastAsia="Times New Roman" w:hAnsi="Calibri" w:cs="Times New Roman"/>
                <w:b/>
                <w:bCs/>
                <w:color w:val="000000"/>
                <w:sz w:val="22"/>
                <w:szCs w:val="22"/>
                <w:lang w:val="en-GB" w:eastAsia="en-GB"/>
              </w:rPr>
            </w:pPr>
            <w:r w:rsidRPr="00E73C9B">
              <w:rPr>
                <w:rFonts w:ascii="Calibri" w:eastAsia="Times New Roman" w:hAnsi="Calibri" w:cs="Times New Roman"/>
                <w:b/>
                <w:bCs/>
                <w:color w:val="000000"/>
                <w:sz w:val="22"/>
                <w:szCs w:val="22"/>
                <w:lang w:val="en-GB" w:eastAsia="en-GB"/>
              </w:rPr>
              <w:t>Expenditure &amp; Income Categories</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14:paraId="05A787F8" w14:textId="77777777" w:rsidR="00E73C9B" w:rsidRPr="00E73C9B" w:rsidRDefault="00E73C9B" w:rsidP="00E73C9B">
            <w:pPr>
              <w:jc w:val="center"/>
              <w:rPr>
                <w:rFonts w:ascii="Calibri" w:eastAsia="Times New Roman" w:hAnsi="Calibri" w:cs="Times New Roman"/>
                <w:color w:val="000000"/>
                <w:sz w:val="22"/>
                <w:szCs w:val="22"/>
                <w:lang w:val="en-GB" w:eastAsia="en-GB"/>
              </w:rPr>
            </w:pPr>
            <w:r w:rsidRPr="00E73C9B">
              <w:rPr>
                <w:rFonts w:ascii="Calibri" w:eastAsia="Times New Roman" w:hAnsi="Calibri" w:cs="Times New Roman"/>
                <w:color w:val="000000"/>
                <w:sz w:val="22"/>
                <w:szCs w:val="22"/>
                <w:lang w:val="en-GB" w:eastAsia="en-GB"/>
              </w:rPr>
              <w:t xml:space="preserve">Actual </w:t>
            </w:r>
            <w:r w:rsidRPr="00E73C9B">
              <w:rPr>
                <w:rFonts w:ascii="Calibri" w:eastAsia="Times New Roman" w:hAnsi="Calibri" w:cs="Times New Roman"/>
                <w:color w:val="000000"/>
                <w:sz w:val="22"/>
                <w:szCs w:val="22"/>
                <w:lang w:val="en-GB" w:eastAsia="en-GB"/>
              </w:rPr>
              <w:b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F503" w14:textId="77777777" w:rsidR="00E73C9B" w:rsidRPr="00E73C9B" w:rsidRDefault="00E73C9B" w:rsidP="00E73C9B">
            <w:pPr>
              <w:jc w:val="center"/>
              <w:rPr>
                <w:rFonts w:ascii="Calibri" w:eastAsia="Times New Roman" w:hAnsi="Calibri" w:cs="Times New Roman"/>
                <w:color w:val="000000"/>
                <w:sz w:val="22"/>
                <w:szCs w:val="22"/>
                <w:lang w:val="en-GB" w:eastAsia="en-GB"/>
              </w:rPr>
            </w:pPr>
            <w:r w:rsidRPr="00E73C9B">
              <w:rPr>
                <w:rFonts w:ascii="Calibri" w:eastAsia="Times New Roman" w:hAnsi="Calibri" w:cs="Times New Roman"/>
                <w:color w:val="000000"/>
                <w:sz w:val="22"/>
                <w:szCs w:val="22"/>
                <w:lang w:val="en-GB" w:eastAsia="en-GB"/>
              </w:rPr>
              <w:t>Budget</w:t>
            </w:r>
            <w:r w:rsidRPr="00E73C9B">
              <w:rPr>
                <w:rFonts w:ascii="Calibri" w:eastAsia="Times New Roman" w:hAnsi="Calibri" w:cs="Times New Roman"/>
                <w:color w:val="000000"/>
                <w:sz w:val="22"/>
                <w:szCs w:val="22"/>
                <w:lang w:val="en-GB" w:eastAsia="en-GB"/>
              </w:rPr>
              <w:br/>
              <w: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253E" w14:textId="77777777" w:rsidR="00E73C9B" w:rsidRPr="00E73C9B" w:rsidRDefault="00E73C9B" w:rsidP="00E73C9B">
            <w:pPr>
              <w:jc w:val="center"/>
              <w:rPr>
                <w:rFonts w:ascii="Calibri" w:eastAsia="Times New Roman" w:hAnsi="Calibri" w:cs="Times New Roman"/>
                <w:color w:val="000000"/>
                <w:sz w:val="22"/>
                <w:szCs w:val="22"/>
                <w:lang w:val="en-GB" w:eastAsia="en-GB"/>
              </w:rPr>
            </w:pPr>
            <w:r w:rsidRPr="00E73C9B">
              <w:rPr>
                <w:rFonts w:ascii="Calibri" w:eastAsia="Times New Roman" w:hAnsi="Calibri" w:cs="Times New Roman"/>
                <w:color w:val="000000"/>
                <w:sz w:val="22"/>
                <w:szCs w:val="22"/>
                <w:lang w:val="en-GB" w:eastAsia="en-GB"/>
              </w:rPr>
              <w:t>Variance</w:t>
            </w:r>
            <w:r w:rsidRPr="00E73C9B">
              <w:rPr>
                <w:rFonts w:ascii="Calibri" w:eastAsia="Times New Roman" w:hAnsi="Calibri" w:cs="Times New Roman"/>
                <w:color w:val="000000"/>
                <w:sz w:val="22"/>
                <w:szCs w:val="22"/>
                <w:lang w:val="en-GB" w:eastAsia="en-GB"/>
              </w:rPr>
              <w:br/>
              <w:t>£</w:t>
            </w:r>
          </w:p>
        </w:tc>
      </w:tr>
      <w:tr w:rsidR="00E73C9B" w:rsidRPr="00E73C9B" w14:paraId="2D6E1106" w14:textId="77777777" w:rsidTr="00E73C9B">
        <w:trPr>
          <w:trHeight w:val="300"/>
          <w:jc w:val="center"/>
        </w:trPr>
        <w:tc>
          <w:tcPr>
            <w:tcW w:w="3914" w:type="dxa"/>
            <w:tcBorders>
              <w:top w:val="single" w:sz="4" w:space="0" w:color="auto"/>
              <w:left w:val="single" w:sz="4" w:space="0" w:color="auto"/>
              <w:bottom w:val="nil"/>
              <w:right w:val="single" w:sz="4" w:space="0" w:color="auto"/>
            </w:tcBorders>
            <w:shd w:val="clear" w:color="auto" w:fill="auto"/>
            <w:noWrap/>
            <w:vAlign w:val="center"/>
            <w:hideMark/>
          </w:tcPr>
          <w:p w14:paraId="5328D81C" w14:textId="77777777" w:rsidR="00E73C9B" w:rsidRPr="00E73C9B" w:rsidRDefault="00E73C9B" w:rsidP="00616CA4">
            <w:pPr>
              <w:rPr>
                <w:lang w:val="en-GB" w:eastAsia="en-GB"/>
              </w:rPr>
            </w:pPr>
            <w:r w:rsidRPr="00E73C9B">
              <w:rPr>
                <w:lang w:val="en-GB" w:eastAsia="en-GB"/>
              </w:rPr>
              <w:t>Police Officer Pay</w:t>
            </w:r>
          </w:p>
        </w:tc>
        <w:tc>
          <w:tcPr>
            <w:tcW w:w="1000" w:type="dxa"/>
            <w:tcBorders>
              <w:top w:val="nil"/>
              <w:left w:val="single" w:sz="4" w:space="0" w:color="auto"/>
              <w:bottom w:val="nil"/>
              <w:right w:val="single" w:sz="4" w:space="0" w:color="auto"/>
            </w:tcBorders>
            <w:shd w:val="clear" w:color="auto" w:fill="auto"/>
            <w:noWrap/>
            <w:vAlign w:val="center"/>
            <w:hideMark/>
          </w:tcPr>
          <w:p w14:paraId="60F7934B" w14:textId="77777777" w:rsidR="00E73C9B" w:rsidRPr="00E73C9B" w:rsidRDefault="00E73C9B" w:rsidP="00616CA4">
            <w:pPr>
              <w:jc w:val="right"/>
              <w:rPr>
                <w:lang w:val="en-GB" w:eastAsia="en-GB"/>
              </w:rPr>
            </w:pPr>
            <w:r w:rsidRPr="00E73C9B">
              <w:rPr>
                <w:lang w:val="en-GB" w:eastAsia="en-GB"/>
              </w:rPr>
              <w:t>118</w:t>
            </w:r>
          </w:p>
        </w:tc>
        <w:tc>
          <w:tcPr>
            <w:tcW w:w="1000" w:type="dxa"/>
            <w:tcBorders>
              <w:top w:val="nil"/>
              <w:left w:val="single" w:sz="4" w:space="0" w:color="auto"/>
              <w:bottom w:val="nil"/>
              <w:right w:val="single" w:sz="4" w:space="0" w:color="auto"/>
            </w:tcBorders>
            <w:shd w:val="clear" w:color="auto" w:fill="auto"/>
            <w:noWrap/>
            <w:vAlign w:val="center"/>
            <w:hideMark/>
          </w:tcPr>
          <w:p w14:paraId="14DA9E62" w14:textId="77777777" w:rsidR="00E73C9B" w:rsidRPr="00E73C9B" w:rsidRDefault="00E73C9B" w:rsidP="00616CA4">
            <w:pPr>
              <w:jc w:val="right"/>
              <w:rPr>
                <w:lang w:val="en-GB" w:eastAsia="en-GB"/>
              </w:rPr>
            </w:pPr>
            <w:r w:rsidRPr="00E73C9B">
              <w:rPr>
                <w:lang w:val="en-GB" w:eastAsia="en-GB"/>
              </w:rPr>
              <w:t>120</w:t>
            </w:r>
          </w:p>
        </w:tc>
        <w:tc>
          <w:tcPr>
            <w:tcW w:w="1000" w:type="dxa"/>
            <w:tcBorders>
              <w:top w:val="nil"/>
              <w:left w:val="single" w:sz="4" w:space="0" w:color="auto"/>
              <w:bottom w:val="nil"/>
              <w:right w:val="single" w:sz="4" w:space="0" w:color="auto"/>
            </w:tcBorders>
            <w:shd w:val="clear" w:color="auto" w:fill="auto"/>
            <w:noWrap/>
            <w:vAlign w:val="center"/>
            <w:hideMark/>
          </w:tcPr>
          <w:p w14:paraId="21FACBED" w14:textId="77777777" w:rsidR="00E73C9B" w:rsidRPr="00E73C9B" w:rsidRDefault="00E73C9B" w:rsidP="00616CA4">
            <w:pPr>
              <w:jc w:val="right"/>
              <w:rPr>
                <w:lang w:val="en-GB" w:eastAsia="en-GB"/>
              </w:rPr>
            </w:pPr>
            <w:r w:rsidRPr="00E73C9B">
              <w:rPr>
                <w:lang w:val="en-GB" w:eastAsia="en-GB"/>
              </w:rPr>
              <w:t>(2)</w:t>
            </w:r>
          </w:p>
        </w:tc>
      </w:tr>
      <w:tr w:rsidR="00E73C9B" w:rsidRPr="00E73C9B" w14:paraId="49B644D9"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728FE96B" w14:textId="77777777" w:rsidR="00E73C9B" w:rsidRPr="00E73C9B" w:rsidRDefault="00E73C9B" w:rsidP="00616CA4">
            <w:pPr>
              <w:rPr>
                <w:lang w:val="en-GB" w:eastAsia="en-GB"/>
              </w:rPr>
            </w:pPr>
            <w:r w:rsidRPr="00E73C9B">
              <w:rPr>
                <w:lang w:val="en-GB" w:eastAsia="en-GB"/>
              </w:rPr>
              <w:t>Police Officer Overtime</w:t>
            </w:r>
          </w:p>
        </w:tc>
        <w:tc>
          <w:tcPr>
            <w:tcW w:w="1000" w:type="dxa"/>
            <w:tcBorders>
              <w:top w:val="nil"/>
              <w:left w:val="single" w:sz="4" w:space="0" w:color="auto"/>
              <w:bottom w:val="nil"/>
              <w:right w:val="single" w:sz="4" w:space="0" w:color="auto"/>
            </w:tcBorders>
            <w:shd w:val="clear" w:color="auto" w:fill="auto"/>
            <w:noWrap/>
            <w:vAlign w:val="center"/>
            <w:hideMark/>
          </w:tcPr>
          <w:p w14:paraId="15FAB0B3" w14:textId="77777777" w:rsidR="00E73C9B" w:rsidRPr="00E73C9B" w:rsidRDefault="00E73C9B" w:rsidP="00616CA4">
            <w:pPr>
              <w:jc w:val="right"/>
              <w:rPr>
                <w:lang w:val="en-GB" w:eastAsia="en-GB"/>
              </w:rPr>
            </w:pPr>
            <w:r w:rsidRPr="00E73C9B">
              <w:rPr>
                <w:lang w:val="en-GB" w:eastAsia="en-GB"/>
              </w:rPr>
              <w:t>6</w:t>
            </w:r>
          </w:p>
        </w:tc>
        <w:tc>
          <w:tcPr>
            <w:tcW w:w="1000" w:type="dxa"/>
            <w:tcBorders>
              <w:top w:val="nil"/>
              <w:left w:val="single" w:sz="4" w:space="0" w:color="auto"/>
              <w:bottom w:val="nil"/>
              <w:right w:val="single" w:sz="4" w:space="0" w:color="auto"/>
            </w:tcBorders>
            <w:shd w:val="clear" w:color="auto" w:fill="auto"/>
            <w:noWrap/>
            <w:vAlign w:val="center"/>
            <w:hideMark/>
          </w:tcPr>
          <w:p w14:paraId="4D597C32" w14:textId="77777777" w:rsidR="00E73C9B" w:rsidRPr="00E73C9B" w:rsidRDefault="00E73C9B" w:rsidP="00616CA4">
            <w:pPr>
              <w:jc w:val="right"/>
              <w:rPr>
                <w:lang w:val="en-GB" w:eastAsia="en-GB"/>
              </w:rPr>
            </w:pPr>
            <w:r w:rsidRPr="00E73C9B">
              <w:rPr>
                <w:lang w:val="en-GB" w:eastAsia="en-GB"/>
              </w:rPr>
              <w:t>5</w:t>
            </w:r>
          </w:p>
        </w:tc>
        <w:tc>
          <w:tcPr>
            <w:tcW w:w="1000" w:type="dxa"/>
            <w:tcBorders>
              <w:top w:val="nil"/>
              <w:left w:val="single" w:sz="4" w:space="0" w:color="auto"/>
              <w:bottom w:val="nil"/>
              <w:right w:val="single" w:sz="4" w:space="0" w:color="auto"/>
            </w:tcBorders>
            <w:shd w:val="clear" w:color="auto" w:fill="auto"/>
            <w:noWrap/>
            <w:vAlign w:val="center"/>
            <w:hideMark/>
          </w:tcPr>
          <w:p w14:paraId="7CFE7AB4" w14:textId="77777777" w:rsidR="00E73C9B" w:rsidRPr="00E73C9B" w:rsidRDefault="00E73C9B" w:rsidP="00616CA4">
            <w:pPr>
              <w:jc w:val="right"/>
              <w:rPr>
                <w:lang w:val="en-GB" w:eastAsia="en-GB"/>
              </w:rPr>
            </w:pPr>
            <w:r w:rsidRPr="00E73C9B">
              <w:rPr>
                <w:lang w:val="en-GB" w:eastAsia="en-GB"/>
              </w:rPr>
              <w:t>1</w:t>
            </w:r>
          </w:p>
        </w:tc>
      </w:tr>
      <w:tr w:rsidR="00E73C9B" w:rsidRPr="00E73C9B" w14:paraId="06A0E284"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707C239A" w14:textId="77777777" w:rsidR="00E73C9B" w:rsidRPr="00E73C9B" w:rsidRDefault="00E73C9B" w:rsidP="00616CA4">
            <w:pPr>
              <w:rPr>
                <w:lang w:val="en-GB" w:eastAsia="en-GB"/>
              </w:rPr>
            </w:pPr>
            <w:r w:rsidRPr="00E73C9B">
              <w:rPr>
                <w:lang w:val="en-GB" w:eastAsia="en-GB"/>
              </w:rPr>
              <w:t>Police Staff Pay</w:t>
            </w:r>
          </w:p>
        </w:tc>
        <w:tc>
          <w:tcPr>
            <w:tcW w:w="1000" w:type="dxa"/>
            <w:tcBorders>
              <w:top w:val="nil"/>
              <w:left w:val="single" w:sz="4" w:space="0" w:color="auto"/>
              <w:bottom w:val="nil"/>
              <w:right w:val="single" w:sz="4" w:space="0" w:color="auto"/>
            </w:tcBorders>
            <w:shd w:val="clear" w:color="auto" w:fill="auto"/>
            <w:noWrap/>
            <w:vAlign w:val="center"/>
            <w:hideMark/>
          </w:tcPr>
          <w:p w14:paraId="656EC4ED" w14:textId="77777777" w:rsidR="00E73C9B" w:rsidRPr="00E73C9B" w:rsidRDefault="00E73C9B" w:rsidP="00616CA4">
            <w:pPr>
              <w:jc w:val="right"/>
              <w:rPr>
                <w:lang w:val="en-GB" w:eastAsia="en-GB"/>
              </w:rPr>
            </w:pPr>
            <w:r w:rsidRPr="00E73C9B">
              <w:rPr>
                <w:lang w:val="en-GB" w:eastAsia="en-GB"/>
              </w:rPr>
              <w:t>74</w:t>
            </w:r>
          </w:p>
        </w:tc>
        <w:tc>
          <w:tcPr>
            <w:tcW w:w="1000" w:type="dxa"/>
            <w:tcBorders>
              <w:top w:val="nil"/>
              <w:left w:val="single" w:sz="4" w:space="0" w:color="auto"/>
              <w:bottom w:val="nil"/>
              <w:right w:val="single" w:sz="4" w:space="0" w:color="auto"/>
            </w:tcBorders>
            <w:shd w:val="clear" w:color="auto" w:fill="auto"/>
            <w:noWrap/>
            <w:vAlign w:val="center"/>
            <w:hideMark/>
          </w:tcPr>
          <w:p w14:paraId="6585AD35" w14:textId="77777777" w:rsidR="00E73C9B" w:rsidRPr="00E73C9B" w:rsidRDefault="00E73C9B" w:rsidP="00616CA4">
            <w:pPr>
              <w:jc w:val="right"/>
              <w:rPr>
                <w:lang w:val="en-GB" w:eastAsia="en-GB"/>
              </w:rPr>
            </w:pPr>
            <w:r w:rsidRPr="00E73C9B">
              <w:rPr>
                <w:lang w:val="en-GB" w:eastAsia="en-GB"/>
              </w:rPr>
              <w:t>74</w:t>
            </w:r>
          </w:p>
        </w:tc>
        <w:tc>
          <w:tcPr>
            <w:tcW w:w="1000" w:type="dxa"/>
            <w:tcBorders>
              <w:top w:val="nil"/>
              <w:left w:val="single" w:sz="4" w:space="0" w:color="auto"/>
              <w:bottom w:val="nil"/>
              <w:right w:val="single" w:sz="4" w:space="0" w:color="auto"/>
            </w:tcBorders>
            <w:shd w:val="clear" w:color="auto" w:fill="auto"/>
            <w:noWrap/>
            <w:vAlign w:val="center"/>
            <w:hideMark/>
          </w:tcPr>
          <w:p w14:paraId="5452C6C9" w14:textId="77777777" w:rsidR="00E73C9B" w:rsidRPr="00E73C9B" w:rsidRDefault="00E73C9B" w:rsidP="00616CA4">
            <w:pPr>
              <w:jc w:val="right"/>
              <w:rPr>
                <w:lang w:val="en-GB" w:eastAsia="en-GB"/>
              </w:rPr>
            </w:pPr>
            <w:r w:rsidRPr="00E73C9B">
              <w:rPr>
                <w:lang w:val="en-GB" w:eastAsia="en-GB"/>
              </w:rPr>
              <w:t>(0)</w:t>
            </w:r>
          </w:p>
        </w:tc>
      </w:tr>
      <w:tr w:rsidR="00E73C9B" w:rsidRPr="00E73C9B" w14:paraId="0838161B"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651E9F18" w14:textId="77777777" w:rsidR="00E73C9B" w:rsidRPr="00E73C9B" w:rsidRDefault="00E73C9B" w:rsidP="00616CA4">
            <w:pPr>
              <w:rPr>
                <w:lang w:val="en-GB" w:eastAsia="en-GB"/>
              </w:rPr>
            </w:pPr>
            <w:r w:rsidRPr="00E73C9B">
              <w:rPr>
                <w:lang w:val="en-GB" w:eastAsia="en-GB"/>
              </w:rPr>
              <w:t>Police Staff Overtime</w:t>
            </w:r>
          </w:p>
        </w:tc>
        <w:tc>
          <w:tcPr>
            <w:tcW w:w="1000" w:type="dxa"/>
            <w:tcBorders>
              <w:top w:val="nil"/>
              <w:left w:val="single" w:sz="4" w:space="0" w:color="auto"/>
              <w:bottom w:val="nil"/>
              <w:right w:val="single" w:sz="4" w:space="0" w:color="auto"/>
            </w:tcBorders>
            <w:shd w:val="clear" w:color="auto" w:fill="auto"/>
            <w:noWrap/>
            <w:vAlign w:val="center"/>
            <w:hideMark/>
          </w:tcPr>
          <w:p w14:paraId="62CA3DF3" w14:textId="77777777" w:rsidR="00E73C9B" w:rsidRPr="00E73C9B" w:rsidRDefault="00E73C9B" w:rsidP="00616CA4">
            <w:pPr>
              <w:jc w:val="right"/>
              <w:rPr>
                <w:lang w:val="en-GB" w:eastAsia="en-GB"/>
              </w:rPr>
            </w:pPr>
            <w:r w:rsidRPr="00E73C9B">
              <w:rPr>
                <w:lang w:val="en-GB" w:eastAsia="en-GB"/>
              </w:rPr>
              <w:t>2</w:t>
            </w:r>
          </w:p>
        </w:tc>
        <w:tc>
          <w:tcPr>
            <w:tcW w:w="1000" w:type="dxa"/>
            <w:tcBorders>
              <w:top w:val="nil"/>
              <w:left w:val="single" w:sz="4" w:space="0" w:color="auto"/>
              <w:bottom w:val="nil"/>
              <w:right w:val="single" w:sz="4" w:space="0" w:color="auto"/>
            </w:tcBorders>
            <w:shd w:val="clear" w:color="auto" w:fill="auto"/>
            <w:noWrap/>
            <w:vAlign w:val="center"/>
            <w:hideMark/>
          </w:tcPr>
          <w:p w14:paraId="03B77224" w14:textId="77777777" w:rsidR="00E73C9B" w:rsidRPr="00E73C9B" w:rsidRDefault="00E73C9B" w:rsidP="00616CA4">
            <w:pPr>
              <w:jc w:val="right"/>
              <w:rPr>
                <w:lang w:val="en-GB" w:eastAsia="en-GB"/>
              </w:rPr>
            </w:pPr>
            <w:r w:rsidRPr="00E73C9B">
              <w:rPr>
                <w:lang w:val="en-GB" w:eastAsia="en-GB"/>
              </w:rPr>
              <w:t>1</w:t>
            </w:r>
          </w:p>
        </w:tc>
        <w:tc>
          <w:tcPr>
            <w:tcW w:w="1000" w:type="dxa"/>
            <w:tcBorders>
              <w:top w:val="nil"/>
              <w:left w:val="single" w:sz="4" w:space="0" w:color="auto"/>
              <w:bottom w:val="nil"/>
              <w:right w:val="single" w:sz="4" w:space="0" w:color="auto"/>
            </w:tcBorders>
            <w:shd w:val="clear" w:color="auto" w:fill="auto"/>
            <w:noWrap/>
            <w:vAlign w:val="center"/>
            <w:hideMark/>
          </w:tcPr>
          <w:p w14:paraId="2FA280E8" w14:textId="77777777" w:rsidR="00E73C9B" w:rsidRPr="00E73C9B" w:rsidRDefault="00E73C9B" w:rsidP="00616CA4">
            <w:pPr>
              <w:jc w:val="right"/>
              <w:rPr>
                <w:lang w:val="en-GB" w:eastAsia="en-GB"/>
              </w:rPr>
            </w:pPr>
            <w:r w:rsidRPr="00E73C9B">
              <w:rPr>
                <w:lang w:val="en-GB" w:eastAsia="en-GB"/>
              </w:rPr>
              <w:t>1</w:t>
            </w:r>
          </w:p>
        </w:tc>
      </w:tr>
      <w:tr w:rsidR="00E73C9B" w:rsidRPr="00E73C9B" w14:paraId="44C2A4B7"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6AB4CAC5" w14:textId="77777777" w:rsidR="00E73C9B" w:rsidRPr="00E73C9B" w:rsidRDefault="00E73C9B" w:rsidP="00616CA4">
            <w:pPr>
              <w:rPr>
                <w:lang w:val="en-GB" w:eastAsia="en-GB"/>
              </w:rPr>
            </w:pPr>
            <w:r w:rsidRPr="00E73C9B">
              <w:rPr>
                <w:lang w:val="en-GB" w:eastAsia="en-GB"/>
              </w:rPr>
              <w:t>PO Injury, Ill Health &amp; Death Pensions</w:t>
            </w:r>
          </w:p>
        </w:tc>
        <w:tc>
          <w:tcPr>
            <w:tcW w:w="1000" w:type="dxa"/>
            <w:tcBorders>
              <w:top w:val="nil"/>
              <w:left w:val="single" w:sz="4" w:space="0" w:color="auto"/>
              <w:bottom w:val="nil"/>
              <w:right w:val="single" w:sz="4" w:space="0" w:color="auto"/>
            </w:tcBorders>
            <w:shd w:val="clear" w:color="auto" w:fill="auto"/>
            <w:noWrap/>
            <w:vAlign w:val="center"/>
            <w:hideMark/>
          </w:tcPr>
          <w:p w14:paraId="34D3D3EA" w14:textId="77777777" w:rsidR="00E73C9B" w:rsidRPr="00E73C9B" w:rsidRDefault="00E73C9B" w:rsidP="00616CA4">
            <w:pPr>
              <w:jc w:val="right"/>
              <w:rPr>
                <w:lang w:val="en-GB" w:eastAsia="en-GB"/>
              </w:rPr>
            </w:pPr>
            <w:r w:rsidRPr="00E73C9B">
              <w:rPr>
                <w:lang w:val="en-GB" w:eastAsia="en-GB"/>
              </w:rPr>
              <w:t>2</w:t>
            </w:r>
          </w:p>
        </w:tc>
        <w:tc>
          <w:tcPr>
            <w:tcW w:w="1000" w:type="dxa"/>
            <w:tcBorders>
              <w:top w:val="nil"/>
              <w:left w:val="single" w:sz="4" w:space="0" w:color="auto"/>
              <w:bottom w:val="nil"/>
              <w:right w:val="single" w:sz="4" w:space="0" w:color="auto"/>
            </w:tcBorders>
            <w:shd w:val="clear" w:color="auto" w:fill="auto"/>
            <w:noWrap/>
            <w:vAlign w:val="center"/>
            <w:hideMark/>
          </w:tcPr>
          <w:p w14:paraId="3D758483" w14:textId="77777777" w:rsidR="00E73C9B" w:rsidRPr="00E73C9B" w:rsidRDefault="00E73C9B" w:rsidP="00616CA4">
            <w:pPr>
              <w:jc w:val="right"/>
              <w:rPr>
                <w:lang w:val="en-GB" w:eastAsia="en-GB"/>
              </w:rPr>
            </w:pPr>
            <w:r w:rsidRPr="00E73C9B">
              <w:rPr>
                <w:lang w:val="en-GB" w:eastAsia="en-GB"/>
              </w:rPr>
              <w:t>2</w:t>
            </w:r>
          </w:p>
        </w:tc>
        <w:tc>
          <w:tcPr>
            <w:tcW w:w="1000" w:type="dxa"/>
            <w:tcBorders>
              <w:top w:val="nil"/>
              <w:left w:val="single" w:sz="4" w:space="0" w:color="auto"/>
              <w:bottom w:val="nil"/>
              <w:right w:val="single" w:sz="4" w:space="0" w:color="auto"/>
            </w:tcBorders>
            <w:shd w:val="clear" w:color="auto" w:fill="auto"/>
            <w:noWrap/>
            <w:vAlign w:val="center"/>
            <w:hideMark/>
          </w:tcPr>
          <w:p w14:paraId="60695A86" w14:textId="77777777" w:rsidR="00E73C9B" w:rsidRPr="00E73C9B" w:rsidRDefault="00E73C9B" w:rsidP="00616CA4">
            <w:pPr>
              <w:jc w:val="right"/>
              <w:rPr>
                <w:lang w:val="en-GB" w:eastAsia="en-GB"/>
              </w:rPr>
            </w:pPr>
            <w:r w:rsidRPr="00E73C9B">
              <w:rPr>
                <w:lang w:val="en-GB" w:eastAsia="en-GB"/>
              </w:rPr>
              <w:t>0</w:t>
            </w:r>
          </w:p>
        </w:tc>
      </w:tr>
      <w:tr w:rsidR="00E73C9B" w:rsidRPr="00E73C9B" w14:paraId="177A28BC"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7A35D8BE" w14:textId="77777777" w:rsidR="00E73C9B" w:rsidRPr="00E73C9B" w:rsidRDefault="00E73C9B" w:rsidP="00616CA4">
            <w:pPr>
              <w:rPr>
                <w:lang w:val="en-GB" w:eastAsia="en-GB"/>
              </w:rPr>
            </w:pPr>
            <w:r w:rsidRPr="00E73C9B">
              <w:rPr>
                <w:lang w:val="en-GB" w:eastAsia="en-GB"/>
              </w:rPr>
              <w:t>Other Employee Expenses</w:t>
            </w:r>
          </w:p>
        </w:tc>
        <w:tc>
          <w:tcPr>
            <w:tcW w:w="1000" w:type="dxa"/>
            <w:tcBorders>
              <w:top w:val="nil"/>
              <w:left w:val="single" w:sz="4" w:space="0" w:color="auto"/>
              <w:bottom w:val="nil"/>
              <w:right w:val="single" w:sz="4" w:space="0" w:color="auto"/>
            </w:tcBorders>
            <w:shd w:val="clear" w:color="auto" w:fill="auto"/>
            <w:noWrap/>
            <w:vAlign w:val="center"/>
            <w:hideMark/>
          </w:tcPr>
          <w:p w14:paraId="7EC8F02C" w14:textId="77777777" w:rsidR="00E73C9B" w:rsidRPr="00E73C9B" w:rsidRDefault="00E73C9B" w:rsidP="00616CA4">
            <w:pPr>
              <w:jc w:val="right"/>
              <w:rPr>
                <w:lang w:val="en-GB" w:eastAsia="en-GB"/>
              </w:rPr>
            </w:pPr>
            <w:r w:rsidRPr="00E73C9B">
              <w:rPr>
                <w:lang w:val="en-GB" w:eastAsia="en-GB"/>
              </w:rPr>
              <w:t>2</w:t>
            </w:r>
          </w:p>
        </w:tc>
        <w:tc>
          <w:tcPr>
            <w:tcW w:w="1000" w:type="dxa"/>
            <w:tcBorders>
              <w:top w:val="nil"/>
              <w:left w:val="single" w:sz="4" w:space="0" w:color="auto"/>
              <w:bottom w:val="nil"/>
              <w:right w:val="single" w:sz="4" w:space="0" w:color="auto"/>
            </w:tcBorders>
            <w:shd w:val="clear" w:color="auto" w:fill="auto"/>
            <w:noWrap/>
            <w:vAlign w:val="center"/>
            <w:hideMark/>
          </w:tcPr>
          <w:p w14:paraId="7DB2D1A0" w14:textId="77777777" w:rsidR="00E73C9B" w:rsidRPr="00E73C9B" w:rsidRDefault="00E73C9B" w:rsidP="00616CA4">
            <w:pPr>
              <w:jc w:val="right"/>
              <w:rPr>
                <w:lang w:val="en-GB" w:eastAsia="en-GB"/>
              </w:rPr>
            </w:pPr>
            <w:r w:rsidRPr="00E73C9B">
              <w:rPr>
                <w:lang w:val="en-GB" w:eastAsia="en-GB"/>
              </w:rPr>
              <w:t>2</w:t>
            </w:r>
          </w:p>
        </w:tc>
        <w:tc>
          <w:tcPr>
            <w:tcW w:w="1000" w:type="dxa"/>
            <w:tcBorders>
              <w:top w:val="nil"/>
              <w:left w:val="single" w:sz="4" w:space="0" w:color="auto"/>
              <w:bottom w:val="nil"/>
              <w:right w:val="single" w:sz="4" w:space="0" w:color="auto"/>
            </w:tcBorders>
            <w:shd w:val="clear" w:color="auto" w:fill="auto"/>
            <w:noWrap/>
            <w:vAlign w:val="center"/>
            <w:hideMark/>
          </w:tcPr>
          <w:p w14:paraId="5020DAE3" w14:textId="77777777" w:rsidR="00E73C9B" w:rsidRPr="00E73C9B" w:rsidRDefault="00E73C9B" w:rsidP="00616CA4">
            <w:pPr>
              <w:jc w:val="right"/>
              <w:rPr>
                <w:lang w:val="en-GB" w:eastAsia="en-GB"/>
              </w:rPr>
            </w:pPr>
            <w:r w:rsidRPr="00E73C9B">
              <w:rPr>
                <w:lang w:val="en-GB" w:eastAsia="en-GB"/>
              </w:rPr>
              <w:t>1</w:t>
            </w:r>
          </w:p>
        </w:tc>
      </w:tr>
      <w:tr w:rsidR="00E73C9B" w:rsidRPr="00E73C9B" w14:paraId="52939454"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447967D9" w14:textId="77777777" w:rsidR="00E73C9B" w:rsidRPr="00E73C9B" w:rsidRDefault="00E73C9B" w:rsidP="00616CA4">
            <w:pPr>
              <w:rPr>
                <w:lang w:val="en-GB" w:eastAsia="en-GB"/>
              </w:rPr>
            </w:pPr>
            <w:r w:rsidRPr="00E73C9B">
              <w:rPr>
                <w:lang w:val="en-GB" w:eastAsia="en-GB"/>
              </w:rPr>
              <w:t>Temporary or Agency Staff</w:t>
            </w:r>
          </w:p>
        </w:tc>
        <w:tc>
          <w:tcPr>
            <w:tcW w:w="1000" w:type="dxa"/>
            <w:tcBorders>
              <w:top w:val="nil"/>
              <w:left w:val="single" w:sz="4" w:space="0" w:color="auto"/>
              <w:bottom w:val="nil"/>
              <w:right w:val="single" w:sz="4" w:space="0" w:color="auto"/>
            </w:tcBorders>
            <w:shd w:val="clear" w:color="auto" w:fill="auto"/>
            <w:noWrap/>
            <w:vAlign w:val="center"/>
            <w:hideMark/>
          </w:tcPr>
          <w:p w14:paraId="0091C87A" w14:textId="77777777" w:rsidR="00E73C9B" w:rsidRPr="00E73C9B" w:rsidRDefault="00E73C9B" w:rsidP="00616CA4">
            <w:pPr>
              <w:jc w:val="right"/>
              <w:rPr>
                <w:lang w:val="en-GB" w:eastAsia="en-GB"/>
              </w:rPr>
            </w:pPr>
            <w:r w:rsidRPr="00E73C9B">
              <w:rPr>
                <w:lang w:val="en-GB" w:eastAsia="en-GB"/>
              </w:rPr>
              <w:t>3</w:t>
            </w:r>
          </w:p>
        </w:tc>
        <w:tc>
          <w:tcPr>
            <w:tcW w:w="1000" w:type="dxa"/>
            <w:tcBorders>
              <w:top w:val="nil"/>
              <w:left w:val="single" w:sz="4" w:space="0" w:color="auto"/>
              <w:bottom w:val="nil"/>
              <w:right w:val="single" w:sz="4" w:space="0" w:color="auto"/>
            </w:tcBorders>
            <w:shd w:val="clear" w:color="auto" w:fill="auto"/>
            <w:noWrap/>
            <w:vAlign w:val="center"/>
            <w:hideMark/>
          </w:tcPr>
          <w:p w14:paraId="73C49F39" w14:textId="77777777" w:rsidR="00E73C9B" w:rsidRPr="00E73C9B" w:rsidRDefault="00E73C9B" w:rsidP="00616CA4">
            <w:pPr>
              <w:jc w:val="right"/>
              <w:rPr>
                <w:lang w:val="en-GB" w:eastAsia="en-GB"/>
              </w:rPr>
            </w:pPr>
            <w:r w:rsidRPr="00E73C9B">
              <w:rPr>
                <w:lang w:val="en-GB" w:eastAsia="en-GB"/>
              </w:rPr>
              <w:t>1</w:t>
            </w:r>
          </w:p>
        </w:tc>
        <w:tc>
          <w:tcPr>
            <w:tcW w:w="1000" w:type="dxa"/>
            <w:tcBorders>
              <w:top w:val="nil"/>
              <w:left w:val="single" w:sz="4" w:space="0" w:color="auto"/>
              <w:bottom w:val="nil"/>
              <w:right w:val="single" w:sz="4" w:space="0" w:color="auto"/>
            </w:tcBorders>
            <w:shd w:val="clear" w:color="auto" w:fill="auto"/>
            <w:noWrap/>
            <w:vAlign w:val="center"/>
            <w:hideMark/>
          </w:tcPr>
          <w:p w14:paraId="591D42AC" w14:textId="77777777" w:rsidR="00E73C9B" w:rsidRPr="00E73C9B" w:rsidRDefault="00E73C9B" w:rsidP="00616CA4">
            <w:pPr>
              <w:jc w:val="right"/>
              <w:rPr>
                <w:lang w:val="en-GB" w:eastAsia="en-GB"/>
              </w:rPr>
            </w:pPr>
            <w:r w:rsidRPr="00E73C9B">
              <w:rPr>
                <w:lang w:val="en-GB" w:eastAsia="en-GB"/>
              </w:rPr>
              <w:t>2</w:t>
            </w:r>
          </w:p>
        </w:tc>
      </w:tr>
      <w:tr w:rsidR="00E73C9B" w:rsidRPr="00E73C9B" w14:paraId="10413780" w14:textId="77777777" w:rsidTr="00E73C9B">
        <w:trPr>
          <w:trHeight w:val="300"/>
          <w:jc w:val="center"/>
        </w:trPr>
        <w:tc>
          <w:tcPr>
            <w:tcW w:w="3914" w:type="dxa"/>
            <w:tcBorders>
              <w:top w:val="nil"/>
              <w:left w:val="single" w:sz="4" w:space="0" w:color="auto"/>
              <w:bottom w:val="single" w:sz="4" w:space="0" w:color="auto"/>
              <w:right w:val="single" w:sz="4" w:space="0" w:color="auto"/>
            </w:tcBorders>
            <w:shd w:val="clear" w:color="auto" w:fill="auto"/>
            <w:noWrap/>
            <w:vAlign w:val="center"/>
            <w:hideMark/>
          </w:tcPr>
          <w:p w14:paraId="02AE3E2D" w14:textId="77777777" w:rsidR="00E73C9B" w:rsidRPr="00E73C9B" w:rsidRDefault="00E73C9B" w:rsidP="00616CA4">
            <w:pPr>
              <w:rPr>
                <w:lang w:val="en-GB" w:eastAsia="en-GB"/>
              </w:rPr>
            </w:pPr>
            <w:r w:rsidRPr="00E73C9B">
              <w:rPr>
                <w:lang w:val="en-GB" w:eastAsia="en-GB"/>
              </w:rPr>
              <w:t>Restructure, Training &amp; Conference Costs</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193E7C9" w14:textId="77777777" w:rsidR="00E73C9B" w:rsidRPr="00E73C9B" w:rsidRDefault="00E73C9B" w:rsidP="00616CA4">
            <w:pPr>
              <w:jc w:val="right"/>
              <w:rPr>
                <w:lang w:val="en-GB" w:eastAsia="en-GB"/>
              </w:rPr>
            </w:pPr>
            <w:r w:rsidRPr="00E73C9B">
              <w:rPr>
                <w:lang w:val="en-GB" w:eastAsia="en-GB"/>
              </w:rPr>
              <w:t>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2300700" w14:textId="77777777" w:rsidR="00E73C9B" w:rsidRPr="00E73C9B" w:rsidRDefault="00E73C9B" w:rsidP="00616CA4">
            <w:pPr>
              <w:jc w:val="right"/>
              <w:rPr>
                <w:lang w:val="en-GB" w:eastAsia="en-GB"/>
              </w:rPr>
            </w:pPr>
            <w:r w:rsidRPr="00E73C9B">
              <w:rPr>
                <w:lang w:val="en-GB" w:eastAsia="en-GB"/>
              </w:rPr>
              <w:t>2</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7897B05" w14:textId="77777777" w:rsidR="00E73C9B" w:rsidRPr="00E73C9B" w:rsidRDefault="00E73C9B" w:rsidP="00616CA4">
            <w:pPr>
              <w:jc w:val="right"/>
              <w:rPr>
                <w:lang w:val="en-GB" w:eastAsia="en-GB"/>
              </w:rPr>
            </w:pPr>
            <w:r w:rsidRPr="00E73C9B">
              <w:rPr>
                <w:lang w:val="en-GB" w:eastAsia="en-GB"/>
              </w:rPr>
              <w:t>(1)</w:t>
            </w:r>
          </w:p>
        </w:tc>
      </w:tr>
      <w:tr w:rsidR="00E73C9B" w:rsidRPr="00E73C9B" w14:paraId="21DDBF1D"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30FAE452" w14:textId="77777777" w:rsidR="00E73C9B" w:rsidRPr="00E73C9B" w:rsidRDefault="00E73C9B" w:rsidP="00616CA4">
            <w:pPr>
              <w:rPr>
                <w:lang w:val="en-GB" w:eastAsia="en-GB"/>
              </w:rPr>
            </w:pPr>
            <w:r w:rsidRPr="00E73C9B">
              <w:rPr>
                <w:lang w:val="en-GB" w:eastAsia="en-GB"/>
              </w:rPr>
              <w:t>Total Employee Costs</w:t>
            </w:r>
          </w:p>
        </w:tc>
        <w:tc>
          <w:tcPr>
            <w:tcW w:w="1000" w:type="dxa"/>
            <w:tcBorders>
              <w:top w:val="nil"/>
              <w:left w:val="single" w:sz="4" w:space="0" w:color="auto"/>
              <w:bottom w:val="nil"/>
              <w:right w:val="single" w:sz="4" w:space="0" w:color="auto"/>
            </w:tcBorders>
            <w:shd w:val="clear" w:color="auto" w:fill="auto"/>
            <w:noWrap/>
            <w:vAlign w:val="center"/>
            <w:hideMark/>
          </w:tcPr>
          <w:p w14:paraId="2415E7D2" w14:textId="77777777" w:rsidR="00E73C9B" w:rsidRPr="00E73C9B" w:rsidRDefault="00E73C9B" w:rsidP="00616CA4">
            <w:pPr>
              <w:jc w:val="right"/>
              <w:rPr>
                <w:lang w:val="en-GB" w:eastAsia="en-GB"/>
              </w:rPr>
            </w:pPr>
            <w:r w:rsidRPr="00E73C9B">
              <w:rPr>
                <w:lang w:val="en-GB" w:eastAsia="en-GB"/>
              </w:rPr>
              <w:t>208</w:t>
            </w:r>
          </w:p>
        </w:tc>
        <w:tc>
          <w:tcPr>
            <w:tcW w:w="1000" w:type="dxa"/>
            <w:tcBorders>
              <w:top w:val="nil"/>
              <w:left w:val="single" w:sz="4" w:space="0" w:color="auto"/>
              <w:bottom w:val="nil"/>
              <w:right w:val="single" w:sz="4" w:space="0" w:color="auto"/>
            </w:tcBorders>
            <w:shd w:val="clear" w:color="auto" w:fill="auto"/>
            <w:noWrap/>
            <w:vAlign w:val="center"/>
            <w:hideMark/>
          </w:tcPr>
          <w:p w14:paraId="776B2872" w14:textId="77777777" w:rsidR="00E73C9B" w:rsidRPr="00E73C9B" w:rsidRDefault="00E73C9B" w:rsidP="00616CA4">
            <w:pPr>
              <w:jc w:val="right"/>
              <w:rPr>
                <w:lang w:val="en-GB" w:eastAsia="en-GB"/>
              </w:rPr>
            </w:pPr>
            <w:r w:rsidRPr="00E73C9B">
              <w:rPr>
                <w:lang w:val="en-GB" w:eastAsia="en-GB"/>
              </w:rPr>
              <w:t>207</w:t>
            </w:r>
          </w:p>
        </w:tc>
        <w:tc>
          <w:tcPr>
            <w:tcW w:w="1000" w:type="dxa"/>
            <w:tcBorders>
              <w:top w:val="nil"/>
              <w:left w:val="single" w:sz="4" w:space="0" w:color="auto"/>
              <w:bottom w:val="nil"/>
              <w:right w:val="single" w:sz="4" w:space="0" w:color="auto"/>
            </w:tcBorders>
            <w:shd w:val="clear" w:color="auto" w:fill="auto"/>
            <w:noWrap/>
            <w:vAlign w:val="center"/>
            <w:hideMark/>
          </w:tcPr>
          <w:p w14:paraId="64FB905A" w14:textId="77777777" w:rsidR="00E73C9B" w:rsidRPr="00E73C9B" w:rsidRDefault="00E73C9B" w:rsidP="00616CA4">
            <w:pPr>
              <w:jc w:val="right"/>
              <w:rPr>
                <w:lang w:val="en-GB" w:eastAsia="en-GB"/>
              </w:rPr>
            </w:pPr>
            <w:r w:rsidRPr="00E73C9B">
              <w:rPr>
                <w:lang w:val="en-GB" w:eastAsia="en-GB"/>
              </w:rPr>
              <w:t>1</w:t>
            </w:r>
          </w:p>
        </w:tc>
      </w:tr>
      <w:tr w:rsidR="00E73C9B" w:rsidRPr="00E73C9B" w14:paraId="3AFF7726"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52F97D06" w14:textId="77777777" w:rsidR="00E73C9B" w:rsidRPr="00E73C9B" w:rsidRDefault="00E73C9B" w:rsidP="00616CA4">
            <w:pPr>
              <w:rPr>
                <w:lang w:val="en-GB" w:eastAsia="en-GB"/>
              </w:rPr>
            </w:pPr>
            <w:r w:rsidRPr="00E73C9B">
              <w:rPr>
                <w:lang w:val="en-GB" w:eastAsia="en-GB"/>
              </w:rPr>
              <w:t xml:space="preserve">Premises </w:t>
            </w:r>
          </w:p>
        </w:tc>
        <w:tc>
          <w:tcPr>
            <w:tcW w:w="1000" w:type="dxa"/>
            <w:tcBorders>
              <w:top w:val="nil"/>
              <w:left w:val="single" w:sz="4" w:space="0" w:color="auto"/>
              <w:bottom w:val="nil"/>
              <w:right w:val="single" w:sz="4" w:space="0" w:color="auto"/>
            </w:tcBorders>
            <w:shd w:val="clear" w:color="auto" w:fill="auto"/>
            <w:noWrap/>
            <w:vAlign w:val="center"/>
            <w:hideMark/>
          </w:tcPr>
          <w:p w14:paraId="483E1F94" w14:textId="77777777" w:rsidR="00E73C9B" w:rsidRPr="00E73C9B" w:rsidRDefault="00E73C9B" w:rsidP="00616CA4">
            <w:pPr>
              <w:jc w:val="right"/>
              <w:rPr>
                <w:lang w:val="en-GB" w:eastAsia="en-GB"/>
              </w:rPr>
            </w:pPr>
            <w:r w:rsidRPr="00E73C9B">
              <w:rPr>
                <w:lang w:val="en-GB" w:eastAsia="en-GB"/>
              </w:rPr>
              <w:t>10</w:t>
            </w:r>
          </w:p>
        </w:tc>
        <w:tc>
          <w:tcPr>
            <w:tcW w:w="1000" w:type="dxa"/>
            <w:tcBorders>
              <w:top w:val="nil"/>
              <w:left w:val="single" w:sz="4" w:space="0" w:color="auto"/>
              <w:bottom w:val="nil"/>
              <w:right w:val="single" w:sz="4" w:space="0" w:color="auto"/>
            </w:tcBorders>
            <w:shd w:val="clear" w:color="auto" w:fill="auto"/>
            <w:noWrap/>
            <w:vAlign w:val="center"/>
            <w:hideMark/>
          </w:tcPr>
          <w:p w14:paraId="124E46C9" w14:textId="77777777" w:rsidR="00E73C9B" w:rsidRPr="00E73C9B" w:rsidRDefault="00E73C9B" w:rsidP="00616CA4">
            <w:pPr>
              <w:jc w:val="right"/>
              <w:rPr>
                <w:lang w:val="en-GB" w:eastAsia="en-GB"/>
              </w:rPr>
            </w:pPr>
            <w:r w:rsidRPr="00E73C9B">
              <w:rPr>
                <w:lang w:val="en-GB" w:eastAsia="en-GB"/>
              </w:rPr>
              <w:t>10</w:t>
            </w:r>
          </w:p>
        </w:tc>
        <w:tc>
          <w:tcPr>
            <w:tcW w:w="1000" w:type="dxa"/>
            <w:tcBorders>
              <w:top w:val="nil"/>
              <w:left w:val="single" w:sz="4" w:space="0" w:color="auto"/>
              <w:bottom w:val="nil"/>
              <w:right w:val="single" w:sz="4" w:space="0" w:color="auto"/>
            </w:tcBorders>
            <w:shd w:val="clear" w:color="auto" w:fill="auto"/>
            <w:noWrap/>
            <w:vAlign w:val="center"/>
            <w:hideMark/>
          </w:tcPr>
          <w:p w14:paraId="5FFE5493" w14:textId="77777777" w:rsidR="00E73C9B" w:rsidRPr="00E73C9B" w:rsidRDefault="00E73C9B" w:rsidP="00616CA4">
            <w:pPr>
              <w:jc w:val="right"/>
              <w:rPr>
                <w:lang w:val="en-GB" w:eastAsia="en-GB"/>
              </w:rPr>
            </w:pPr>
            <w:r w:rsidRPr="00E73C9B">
              <w:rPr>
                <w:lang w:val="en-GB" w:eastAsia="en-GB"/>
              </w:rPr>
              <w:t>(1)</w:t>
            </w:r>
          </w:p>
        </w:tc>
      </w:tr>
      <w:tr w:rsidR="00E73C9B" w:rsidRPr="00E73C9B" w14:paraId="2FC2AE32"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758ACE49" w14:textId="77777777" w:rsidR="00E73C9B" w:rsidRPr="00E73C9B" w:rsidRDefault="00E73C9B" w:rsidP="00616CA4">
            <w:pPr>
              <w:rPr>
                <w:lang w:val="en-GB" w:eastAsia="en-GB"/>
              </w:rPr>
            </w:pPr>
            <w:r w:rsidRPr="00E73C9B">
              <w:rPr>
                <w:lang w:val="en-GB" w:eastAsia="en-GB"/>
              </w:rPr>
              <w:t>Transport</w:t>
            </w:r>
          </w:p>
        </w:tc>
        <w:tc>
          <w:tcPr>
            <w:tcW w:w="1000" w:type="dxa"/>
            <w:tcBorders>
              <w:top w:val="nil"/>
              <w:left w:val="single" w:sz="4" w:space="0" w:color="auto"/>
              <w:bottom w:val="nil"/>
              <w:right w:val="single" w:sz="4" w:space="0" w:color="auto"/>
            </w:tcBorders>
            <w:shd w:val="clear" w:color="auto" w:fill="auto"/>
            <w:noWrap/>
            <w:vAlign w:val="center"/>
            <w:hideMark/>
          </w:tcPr>
          <w:p w14:paraId="6918AC6B" w14:textId="77777777" w:rsidR="00E73C9B" w:rsidRPr="00E73C9B" w:rsidRDefault="00E73C9B" w:rsidP="00616CA4">
            <w:pPr>
              <w:jc w:val="right"/>
              <w:rPr>
                <w:lang w:val="en-GB" w:eastAsia="en-GB"/>
              </w:rPr>
            </w:pPr>
            <w:r w:rsidRPr="00E73C9B">
              <w:rPr>
                <w:lang w:val="en-GB" w:eastAsia="en-GB"/>
              </w:rPr>
              <w:t>5</w:t>
            </w:r>
          </w:p>
        </w:tc>
        <w:tc>
          <w:tcPr>
            <w:tcW w:w="1000" w:type="dxa"/>
            <w:tcBorders>
              <w:top w:val="nil"/>
              <w:left w:val="single" w:sz="4" w:space="0" w:color="auto"/>
              <w:bottom w:val="nil"/>
              <w:right w:val="single" w:sz="4" w:space="0" w:color="auto"/>
            </w:tcBorders>
            <w:shd w:val="clear" w:color="auto" w:fill="auto"/>
            <w:noWrap/>
            <w:vAlign w:val="center"/>
            <w:hideMark/>
          </w:tcPr>
          <w:p w14:paraId="729B8645" w14:textId="77777777" w:rsidR="00E73C9B" w:rsidRPr="00E73C9B" w:rsidRDefault="00E73C9B" w:rsidP="00616CA4">
            <w:pPr>
              <w:jc w:val="right"/>
              <w:rPr>
                <w:lang w:val="en-GB" w:eastAsia="en-GB"/>
              </w:rPr>
            </w:pPr>
            <w:r w:rsidRPr="00E73C9B">
              <w:rPr>
                <w:lang w:val="en-GB" w:eastAsia="en-GB"/>
              </w:rPr>
              <w:t>5</w:t>
            </w:r>
          </w:p>
        </w:tc>
        <w:tc>
          <w:tcPr>
            <w:tcW w:w="1000" w:type="dxa"/>
            <w:tcBorders>
              <w:top w:val="nil"/>
              <w:left w:val="single" w:sz="4" w:space="0" w:color="auto"/>
              <w:bottom w:val="nil"/>
              <w:right w:val="single" w:sz="4" w:space="0" w:color="auto"/>
            </w:tcBorders>
            <w:shd w:val="clear" w:color="auto" w:fill="auto"/>
            <w:noWrap/>
            <w:vAlign w:val="center"/>
            <w:hideMark/>
          </w:tcPr>
          <w:p w14:paraId="537AF981" w14:textId="77777777" w:rsidR="00E73C9B" w:rsidRPr="00E73C9B" w:rsidRDefault="00E73C9B" w:rsidP="00616CA4">
            <w:pPr>
              <w:jc w:val="right"/>
              <w:rPr>
                <w:lang w:val="en-GB" w:eastAsia="en-GB"/>
              </w:rPr>
            </w:pPr>
            <w:r w:rsidRPr="00E73C9B">
              <w:rPr>
                <w:lang w:val="en-GB" w:eastAsia="en-GB"/>
              </w:rPr>
              <w:t>(0)</w:t>
            </w:r>
          </w:p>
        </w:tc>
      </w:tr>
      <w:tr w:rsidR="00E73C9B" w:rsidRPr="00E73C9B" w14:paraId="150A49A0"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5AA16FF5" w14:textId="77777777" w:rsidR="00E73C9B" w:rsidRPr="00E73C9B" w:rsidRDefault="00E73C9B" w:rsidP="00616CA4">
            <w:pPr>
              <w:rPr>
                <w:lang w:val="en-GB" w:eastAsia="en-GB"/>
              </w:rPr>
            </w:pPr>
            <w:r w:rsidRPr="00E73C9B">
              <w:rPr>
                <w:lang w:val="en-GB" w:eastAsia="en-GB"/>
              </w:rPr>
              <w:t>Supplies &amp; Services</w:t>
            </w:r>
          </w:p>
        </w:tc>
        <w:tc>
          <w:tcPr>
            <w:tcW w:w="1000" w:type="dxa"/>
            <w:tcBorders>
              <w:top w:val="nil"/>
              <w:left w:val="single" w:sz="4" w:space="0" w:color="auto"/>
              <w:bottom w:val="nil"/>
              <w:right w:val="single" w:sz="4" w:space="0" w:color="auto"/>
            </w:tcBorders>
            <w:shd w:val="clear" w:color="auto" w:fill="auto"/>
            <w:noWrap/>
            <w:vAlign w:val="center"/>
            <w:hideMark/>
          </w:tcPr>
          <w:p w14:paraId="7E50E1E4" w14:textId="77777777" w:rsidR="00E73C9B" w:rsidRPr="00E73C9B" w:rsidRDefault="00E73C9B" w:rsidP="00616CA4">
            <w:pPr>
              <w:jc w:val="right"/>
              <w:rPr>
                <w:lang w:val="en-GB" w:eastAsia="en-GB"/>
              </w:rPr>
            </w:pPr>
            <w:r w:rsidRPr="00E73C9B">
              <w:rPr>
                <w:lang w:val="en-GB" w:eastAsia="en-GB"/>
              </w:rPr>
              <w:t>31</w:t>
            </w:r>
          </w:p>
        </w:tc>
        <w:tc>
          <w:tcPr>
            <w:tcW w:w="1000" w:type="dxa"/>
            <w:tcBorders>
              <w:top w:val="nil"/>
              <w:left w:val="single" w:sz="4" w:space="0" w:color="auto"/>
              <w:bottom w:val="nil"/>
              <w:right w:val="single" w:sz="4" w:space="0" w:color="auto"/>
            </w:tcBorders>
            <w:shd w:val="clear" w:color="auto" w:fill="auto"/>
            <w:noWrap/>
            <w:vAlign w:val="center"/>
            <w:hideMark/>
          </w:tcPr>
          <w:p w14:paraId="7FF6EA80" w14:textId="77777777" w:rsidR="00E73C9B" w:rsidRPr="00E73C9B" w:rsidRDefault="00E73C9B" w:rsidP="00616CA4">
            <w:pPr>
              <w:jc w:val="right"/>
              <w:rPr>
                <w:lang w:val="en-GB" w:eastAsia="en-GB"/>
              </w:rPr>
            </w:pPr>
            <w:r w:rsidRPr="00E73C9B">
              <w:rPr>
                <w:lang w:val="en-GB" w:eastAsia="en-GB"/>
              </w:rPr>
              <w:t>32</w:t>
            </w:r>
          </w:p>
        </w:tc>
        <w:tc>
          <w:tcPr>
            <w:tcW w:w="1000" w:type="dxa"/>
            <w:tcBorders>
              <w:top w:val="nil"/>
              <w:left w:val="single" w:sz="4" w:space="0" w:color="auto"/>
              <w:bottom w:val="nil"/>
              <w:right w:val="single" w:sz="4" w:space="0" w:color="auto"/>
            </w:tcBorders>
            <w:shd w:val="clear" w:color="auto" w:fill="auto"/>
            <w:noWrap/>
            <w:vAlign w:val="center"/>
            <w:hideMark/>
          </w:tcPr>
          <w:p w14:paraId="3E8F2850" w14:textId="77777777" w:rsidR="00E73C9B" w:rsidRPr="00E73C9B" w:rsidRDefault="00E73C9B" w:rsidP="00616CA4">
            <w:pPr>
              <w:jc w:val="right"/>
              <w:rPr>
                <w:lang w:val="en-GB" w:eastAsia="en-GB"/>
              </w:rPr>
            </w:pPr>
            <w:r w:rsidRPr="00E73C9B">
              <w:rPr>
                <w:lang w:val="en-GB" w:eastAsia="en-GB"/>
              </w:rPr>
              <w:t>(1)</w:t>
            </w:r>
          </w:p>
        </w:tc>
      </w:tr>
      <w:tr w:rsidR="00E73C9B" w:rsidRPr="00E73C9B" w14:paraId="4C373B6E"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46B73A51" w14:textId="77777777" w:rsidR="00E73C9B" w:rsidRPr="00E73C9B" w:rsidRDefault="00E73C9B" w:rsidP="00616CA4">
            <w:pPr>
              <w:rPr>
                <w:lang w:val="en-GB" w:eastAsia="en-GB"/>
              </w:rPr>
            </w:pPr>
            <w:r w:rsidRPr="00E73C9B">
              <w:rPr>
                <w:lang w:val="en-GB" w:eastAsia="en-GB"/>
              </w:rPr>
              <w:t xml:space="preserve">Financing </w:t>
            </w:r>
          </w:p>
        </w:tc>
        <w:tc>
          <w:tcPr>
            <w:tcW w:w="1000" w:type="dxa"/>
            <w:tcBorders>
              <w:top w:val="nil"/>
              <w:left w:val="single" w:sz="4" w:space="0" w:color="auto"/>
              <w:bottom w:val="nil"/>
              <w:right w:val="single" w:sz="4" w:space="0" w:color="auto"/>
            </w:tcBorders>
            <w:shd w:val="clear" w:color="auto" w:fill="auto"/>
            <w:noWrap/>
            <w:vAlign w:val="center"/>
            <w:hideMark/>
          </w:tcPr>
          <w:p w14:paraId="7E45224B" w14:textId="77777777" w:rsidR="00E73C9B" w:rsidRPr="00E73C9B" w:rsidRDefault="00E73C9B" w:rsidP="00616CA4">
            <w:pPr>
              <w:jc w:val="right"/>
              <w:rPr>
                <w:lang w:val="en-GB" w:eastAsia="en-GB"/>
              </w:rPr>
            </w:pPr>
            <w:r w:rsidRPr="00E73C9B">
              <w:rPr>
                <w:lang w:val="en-GB" w:eastAsia="en-GB"/>
              </w:rPr>
              <w:t>10</w:t>
            </w:r>
          </w:p>
        </w:tc>
        <w:tc>
          <w:tcPr>
            <w:tcW w:w="1000" w:type="dxa"/>
            <w:tcBorders>
              <w:top w:val="nil"/>
              <w:left w:val="single" w:sz="4" w:space="0" w:color="auto"/>
              <w:bottom w:val="nil"/>
              <w:right w:val="single" w:sz="4" w:space="0" w:color="auto"/>
            </w:tcBorders>
            <w:shd w:val="clear" w:color="auto" w:fill="auto"/>
            <w:noWrap/>
            <w:vAlign w:val="center"/>
            <w:hideMark/>
          </w:tcPr>
          <w:p w14:paraId="3D419487" w14:textId="77777777" w:rsidR="00E73C9B" w:rsidRPr="00E73C9B" w:rsidRDefault="00E73C9B" w:rsidP="00616CA4">
            <w:pPr>
              <w:jc w:val="right"/>
              <w:rPr>
                <w:lang w:val="en-GB" w:eastAsia="en-GB"/>
              </w:rPr>
            </w:pPr>
            <w:r w:rsidRPr="00E73C9B">
              <w:rPr>
                <w:lang w:val="en-GB" w:eastAsia="en-GB"/>
              </w:rPr>
              <w:t>6</w:t>
            </w:r>
          </w:p>
        </w:tc>
        <w:tc>
          <w:tcPr>
            <w:tcW w:w="1000" w:type="dxa"/>
            <w:tcBorders>
              <w:top w:val="nil"/>
              <w:left w:val="single" w:sz="4" w:space="0" w:color="auto"/>
              <w:bottom w:val="nil"/>
              <w:right w:val="single" w:sz="4" w:space="0" w:color="auto"/>
            </w:tcBorders>
            <w:shd w:val="clear" w:color="auto" w:fill="auto"/>
            <w:noWrap/>
            <w:vAlign w:val="center"/>
            <w:hideMark/>
          </w:tcPr>
          <w:p w14:paraId="17EBCD7F" w14:textId="77777777" w:rsidR="00E73C9B" w:rsidRPr="00E73C9B" w:rsidRDefault="00E73C9B" w:rsidP="00616CA4">
            <w:pPr>
              <w:jc w:val="right"/>
              <w:rPr>
                <w:lang w:val="en-GB" w:eastAsia="en-GB"/>
              </w:rPr>
            </w:pPr>
            <w:r w:rsidRPr="00E73C9B">
              <w:rPr>
                <w:lang w:val="en-GB" w:eastAsia="en-GB"/>
              </w:rPr>
              <w:t>4</w:t>
            </w:r>
          </w:p>
        </w:tc>
      </w:tr>
      <w:tr w:rsidR="00E73C9B" w:rsidRPr="00E73C9B" w14:paraId="532D9EB5" w14:textId="77777777" w:rsidTr="00E73C9B">
        <w:trPr>
          <w:trHeight w:val="300"/>
          <w:jc w:val="center"/>
        </w:trPr>
        <w:tc>
          <w:tcPr>
            <w:tcW w:w="3914" w:type="dxa"/>
            <w:tcBorders>
              <w:top w:val="nil"/>
              <w:left w:val="single" w:sz="4" w:space="0" w:color="auto"/>
              <w:bottom w:val="nil"/>
              <w:right w:val="single" w:sz="4" w:space="0" w:color="auto"/>
            </w:tcBorders>
            <w:shd w:val="clear" w:color="auto" w:fill="auto"/>
            <w:noWrap/>
            <w:vAlign w:val="center"/>
            <w:hideMark/>
          </w:tcPr>
          <w:p w14:paraId="7DEFD0EF" w14:textId="77777777" w:rsidR="00E73C9B" w:rsidRPr="00E73C9B" w:rsidRDefault="00E73C9B" w:rsidP="00616CA4">
            <w:pPr>
              <w:rPr>
                <w:lang w:val="en-GB" w:eastAsia="en-GB"/>
              </w:rPr>
            </w:pPr>
            <w:r w:rsidRPr="00E73C9B">
              <w:rPr>
                <w:lang w:val="en-GB" w:eastAsia="en-GB"/>
              </w:rPr>
              <w:t>Grants &amp; Income</w:t>
            </w:r>
          </w:p>
        </w:tc>
        <w:tc>
          <w:tcPr>
            <w:tcW w:w="1000" w:type="dxa"/>
            <w:tcBorders>
              <w:top w:val="nil"/>
              <w:left w:val="single" w:sz="4" w:space="0" w:color="auto"/>
              <w:bottom w:val="nil"/>
              <w:right w:val="single" w:sz="4" w:space="0" w:color="auto"/>
            </w:tcBorders>
            <w:shd w:val="clear" w:color="auto" w:fill="auto"/>
            <w:noWrap/>
            <w:vAlign w:val="center"/>
            <w:hideMark/>
          </w:tcPr>
          <w:p w14:paraId="742F6931" w14:textId="77777777" w:rsidR="00E73C9B" w:rsidRPr="00E73C9B" w:rsidRDefault="00E73C9B" w:rsidP="00616CA4">
            <w:pPr>
              <w:jc w:val="right"/>
              <w:rPr>
                <w:lang w:val="en-GB" w:eastAsia="en-GB"/>
              </w:rPr>
            </w:pPr>
            <w:r w:rsidRPr="00E73C9B">
              <w:rPr>
                <w:lang w:val="en-GB" w:eastAsia="en-GB"/>
              </w:rPr>
              <w:t>(18)</w:t>
            </w:r>
          </w:p>
        </w:tc>
        <w:tc>
          <w:tcPr>
            <w:tcW w:w="1000" w:type="dxa"/>
            <w:tcBorders>
              <w:top w:val="nil"/>
              <w:left w:val="single" w:sz="4" w:space="0" w:color="auto"/>
              <w:bottom w:val="nil"/>
              <w:right w:val="single" w:sz="4" w:space="0" w:color="auto"/>
            </w:tcBorders>
            <w:shd w:val="clear" w:color="auto" w:fill="auto"/>
            <w:noWrap/>
            <w:vAlign w:val="center"/>
            <w:hideMark/>
          </w:tcPr>
          <w:p w14:paraId="59E36D1E" w14:textId="77777777" w:rsidR="00E73C9B" w:rsidRPr="00E73C9B" w:rsidRDefault="00E73C9B" w:rsidP="00616CA4">
            <w:pPr>
              <w:jc w:val="right"/>
              <w:rPr>
                <w:lang w:val="en-GB" w:eastAsia="en-GB"/>
              </w:rPr>
            </w:pPr>
            <w:r w:rsidRPr="00E73C9B">
              <w:rPr>
                <w:lang w:val="en-GB" w:eastAsia="en-GB"/>
              </w:rPr>
              <w:t>(13)</w:t>
            </w:r>
          </w:p>
        </w:tc>
        <w:tc>
          <w:tcPr>
            <w:tcW w:w="1000" w:type="dxa"/>
            <w:tcBorders>
              <w:top w:val="nil"/>
              <w:left w:val="single" w:sz="4" w:space="0" w:color="auto"/>
              <w:bottom w:val="nil"/>
              <w:right w:val="single" w:sz="4" w:space="0" w:color="auto"/>
            </w:tcBorders>
            <w:shd w:val="clear" w:color="auto" w:fill="auto"/>
            <w:noWrap/>
            <w:vAlign w:val="center"/>
            <w:hideMark/>
          </w:tcPr>
          <w:p w14:paraId="04DDFC88" w14:textId="77777777" w:rsidR="00E73C9B" w:rsidRPr="00E73C9B" w:rsidRDefault="00E73C9B" w:rsidP="00616CA4">
            <w:pPr>
              <w:jc w:val="right"/>
              <w:rPr>
                <w:lang w:val="en-GB" w:eastAsia="en-GB"/>
              </w:rPr>
            </w:pPr>
            <w:r w:rsidRPr="00E73C9B">
              <w:rPr>
                <w:lang w:val="en-GB" w:eastAsia="en-GB"/>
              </w:rPr>
              <w:t>(5)</w:t>
            </w:r>
          </w:p>
        </w:tc>
      </w:tr>
      <w:tr w:rsidR="00E73C9B" w:rsidRPr="00E73C9B" w14:paraId="68C64A18" w14:textId="77777777" w:rsidTr="00E73C9B">
        <w:trPr>
          <w:trHeight w:val="300"/>
          <w:jc w:val="center"/>
        </w:trPr>
        <w:tc>
          <w:tcPr>
            <w:tcW w:w="3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E7387" w14:textId="77777777" w:rsidR="00E73C9B" w:rsidRPr="00E73C9B" w:rsidRDefault="00E73C9B" w:rsidP="00E73C9B">
            <w:pPr>
              <w:rPr>
                <w:rFonts w:ascii="Calibri" w:eastAsia="Times New Roman" w:hAnsi="Calibri" w:cs="Times New Roman"/>
                <w:b/>
                <w:bCs/>
                <w:color w:val="000000"/>
                <w:sz w:val="22"/>
                <w:szCs w:val="22"/>
                <w:lang w:val="en-GB" w:eastAsia="en-GB"/>
              </w:rPr>
            </w:pPr>
            <w:r w:rsidRPr="00E73C9B">
              <w:rPr>
                <w:rFonts w:ascii="Calibri" w:eastAsia="Times New Roman" w:hAnsi="Calibri" w:cs="Times New Roman"/>
                <w:b/>
                <w:bCs/>
                <w:color w:val="000000"/>
                <w:sz w:val="22"/>
                <w:szCs w:val="22"/>
                <w:lang w:val="en-GB" w:eastAsia="en-GB"/>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2B97D" w14:textId="77777777" w:rsidR="00E73C9B" w:rsidRPr="00E73C9B" w:rsidRDefault="00E73C9B" w:rsidP="00616CA4">
            <w:pPr>
              <w:jc w:val="right"/>
              <w:rPr>
                <w:b/>
                <w:bCs/>
                <w:lang w:val="en-GB" w:eastAsia="en-GB"/>
              </w:rPr>
            </w:pPr>
            <w:r w:rsidRPr="00E73C9B">
              <w:rPr>
                <w:b/>
                <w:bCs/>
                <w:lang w:val="en-GB" w:eastAsia="en-GB"/>
              </w:rPr>
              <w:t>246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DA22" w14:textId="77777777" w:rsidR="00E73C9B" w:rsidRPr="00E73C9B" w:rsidRDefault="00E73C9B" w:rsidP="00616CA4">
            <w:pPr>
              <w:jc w:val="right"/>
              <w:rPr>
                <w:b/>
                <w:bCs/>
                <w:lang w:val="en-GB" w:eastAsia="en-GB"/>
              </w:rPr>
            </w:pPr>
            <w:r w:rsidRPr="00E73C9B">
              <w:rPr>
                <w:b/>
                <w:bCs/>
                <w:lang w:val="en-GB" w:eastAsia="en-GB"/>
              </w:rPr>
              <w:t>248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2F81" w14:textId="77777777" w:rsidR="00E73C9B" w:rsidRPr="00E73C9B" w:rsidRDefault="00E73C9B" w:rsidP="00616CA4">
            <w:pPr>
              <w:jc w:val="right"/>
              <w:rPr>
                <w:b/>
                <w:bCs/>
                <w:lang w:val="en-GB" w:eastAsia="en-GB"/>
              </w:rPr>
            </w:pPr>
            <w:r w:rsidRPr="00E73C9B">
              <w:rPr>
                <w:b/>
                <w:bCs/>
                <w:lang w:val="en-GB" w:eastAsia="en-GB"/>
              </w:rPr>
              <w:t>(2)</w:t>
            </w:r>
          </w:p>
        </w:tc>
      </w:tr>
    </w:tbl>
    <w:p w14:paraId="6D57C506" w14:textId="77777777" w:rsidR="00616CA4" w:rsidRDefault="00616CA4" w:rsidP="00E73C9B">
      <w:pPr>
        <w:pStyle w:val="Normal0"/>
        <w:jc w:val="center"/>
        <w:rPr>
          <w:rFonts w:ascii="Verdana" w:eastAsia="Times New Roman" w:hAnsi="Verdana" w:cs="Arial"/>
          <w:sz w:val="22"/>
          <w:szCs w:val="22"/>
          <w:highlight w:val="yellow"/>
          <w:lang w:val="en-GB" w:eastAsia="en-GB"/>
        </w:rPr>
      </w:pPr>
    </w:p>
    <w:p w14:paraId="291CB700" w14:textId="77777777" w:rsidR="00E73C9B" w:rsidRDefault="00E73C9B" w:rsidP="00E73C9B">
      <w:pPr>
        <w:pStyle w:val="Normal0"/>
        <w:jc w:val="center"/>
        <w:rPr>
          <w:rFonts w:ascii="Verdana" w:eastAsia="Times New Roman" w:hAnsi="Verdana" w:cs="Arial"/>
          <w:sz w:val="22"/>
          <w:szCs w:val="22"/>
          <w:highlight w:val="yellow"/>
          <w:lang w:val="en-GB" w:eastAsia="en-GB"/>
        </w:rPr>
      </w:pPr>
    </w:p>
    <w:p w14:paraId="015D1DE3" w14:textId="77777777" w:rsidR="00E73C9B" w:rsidRDefault="00E73C9B" w:rsidP="00E73C9B">
      <w:pPr>
        <w:pStyle w:val="Normal0"/>
        <w:jc w:val="center"/>
        <w:rPr>
          <w:rFonts w:ascii="Verdana" w:eastAsia="Times New Roman" w:hAnsi="Verdana" w:cs="Arial"/>
          <w:sz w:val="22"/>
          <w:szCs w:val="22"/>
          <w:highlight w:val="yellow"/>
          <w:lang w:val="en-GB" w:eastAsia="en-GB"/>
        </w:rPr>
        <w:sectPr w:rsidR="00E73C9B" w:rsidSect="00B54A0C">
          <w:type w:val="continuous"/>
          <w:pgSz w:w="16840" w:h="11900" w:orient="landscape"/>
          <w:pgMar w:top="709" w:right="720" w:bottom="567" w:left="720" w:header="708" w:footer="708" w:gutter="0"/>
          <w:cols w:num="2" w:space="708"/>
          <w:docGrid w:linePitch="360"/>
        </w:sectPr>
      </w:pPr>
    </w:p>
    <w:p w14:paraId="4DA54661" w14:textId="32F5236F" w:rsidR="00E73C9B" w:rsidRPr="00DC1077" w:rsidRDefault="00E73C9B" w:rsidP="00E73C9B">
      <w:pPr>
        <w:pStyle w:val="Normal0"/>
        <w:jc w:val="center"/>
        <w:rPr>
          <w:rFonts w:ascii="Verdana" w:eastAsia="Times New Roman" w:hAnsi="Verdana" w:cs="Arial"/>
          <w:sz w:val="22"/>
          <w:szCs w:val="22"/>
          <w:highlight w:val="yellow"/>
          <w:lang w:val="en-GB" w:eastAsia="en-GB"/>
        </w:rPr>
      </w:pPr>
    </w:p>
    <w:p w14:paraId="77DEC53E" w14:textId="5197CFD0" w:rsidR="005A35AA" w:rsidRPr="005A35AA" w:rsidRDefault="005A35AA" w:rsidP="005A35AA">
      <w:pPr>
        <w:jc w:val="both"/>
        <w:rPr>
          <w:rFonts w:ascii="Verdana" w:hAnsi="Verdana" w:cs="Arial"/>
          <w:sz w:val="22"/>
          <w:szCs w:val="22"/>
        </w:rPr>
      </w:pPr>
      <w:r w:rsidRPr="00DC720D">
        <w:rPr>
          <w:rFonts w:ascii="Verdana" w:hAnsi="Verdana" w:cs="Arial"/>
          <w:sz w:val="22"/>
          <w:szCs w:val="22"/>
        </w:rPr>
        <w:t xml:space="preserve">The operational response to the COVID 19 pandemic resulted in additional unplanned costs </w:t>
      </w:r>
      <w:r>
        <w:rPr>
          <w:rFonts w:ascii="Verdana" w:hAnsi="Verdana" w:cs="Arial"/>
          <w:sz w:val="22"/>
          <w:szCs w:val="22"/>
        </w:rPr>
        <w:t>for</w:t>
      </w:r>
      <w:r w:rsidRPr="00DC720D">
        <w:rPr>
          <w:rFonts w:ascii="Verdana" w:hAnsi="Verdana" w:cs="Arial"/>
          <w:sz w:val="22"/>
          <w:szCs w:val="22"/>
        </w:rPr>
        <w:t xml:space="preserve"> police officers and staff</w:t>
      </w:r>
      <w:r>
        <w:rPr>
          <w:rFonts w:ascii="Verdana" w:hAnsi="Verdana" w:cs="Arial"/>
          <w:sz w:val="22"/>
          <w:szCs w:val="22"/>
        </w:rPr>
        <w:t xml:space="preserve"> </w:t>
      </w:r>
      <w:r w:rsidRPr="00DC720D">
        <w:rPr>
          <w:rFonts w:ascii="Verdana" w:hAnsi="Verdana" w:cs="Arial"/>
          <w:sz w:val="22"/>
          <w:szCs w:val="22"/>
        </w:rPr>
        <w:t xml:space="preserve">salary costs, employee overtime, premises, lost income and supplies &amp; services, </w:t>
      </w:r>
      <w:r>
        <w:rPr>
          <w:rFonts w:ascii="Verdana" w:hAnsi="Verdana" w:cs="Arial"/>
          <w:sz w:val="22"/>
          <w:szCs w:val="22"/>
        </w:rPr>
        <w:t xml:space="preserve">with </w:t>
      </w:r>
      <w:r w:rsidRPr="00DC720D">
        <w:rPr>
          <w:rFonts w:ascii="Verdana" w:hAnsi="Verdana" w:cs="Arial"/>
          <w:sz w:val="22"/>
          <w:szCs w:val="22"/>
        </w:rPr>
        <w:t>the</w:t>
      </w:r>
      <w:r>
        <w:rPr>
          <w:rFonts w:ascii="Verdana" w:hAnsi="Verdana" w:cs="Arial"/>
          <w:sz w:val="22"/>
          <w:szCs w:val="22"/>
        </w:rPr>
        <w:t xml:space="preserve"> </w:t>
      </w:r>
      <w:r w:rsidRPr="00DC720D">
        <w:rPr>
          <w:rFonts w:ascii="Verdana" w:hAnsi="Verdana" w:cs="Arial"/>
          <w:sz w:val="22"/>
          <w:szCs w:val="22"/>
        </w:rPr>
        <w:t>most significant cost for the Personal P</w:t>
      </w:r>
      <w:r>
        <w:rPr>
          <w:rFonts w:ascii="Verdana" w:hAnsi="Verdana" w:cs="Arial"/>
          <w:sz w:val="22"/>
          <w:szCs w:val="22"/>
        </w:rPr>
        <w:t xml:space="preserve">rotective Equipment (PPE). </w:t>
      </w:r>
      <w:r w:rsidRPr="00DC720D">
        <w:rPr>
          <w:rFonts w:ascii="Verdana" w:hAnsi="Verdana" w:cs="Arial"/>
          <w:sz w:val="22"/>
          <w:szCs w:val="22"/>
        </w:rPr>
        <w:t>Forces recover</w:t>
      </w:r>
      <w:r>
        <w:rPr>
          <w:rFonts w:ascii="Verdana" w:hAnsi="Verdana" w:cs="Arial"/>
          <w:sz w:val="22"/>
          <w:szCs w:val="22"/>
        </w:rPr>
        <w:t>ed</w:t>
      </w:r>
      <w:r w:rsidRPr="00DC720D">
        <w:rPr>
          <w:rFonts w:ascii="Verdana" w:hAnsi="Verdana" w:cs="Arial"/>
          <w:sz w:val="22"/>
          <w:szCs w:val="22"/>
        </w:rPr>
        <w:t xml:space="preserve"> the costs of PPE, lost income and additional Covid relief</w:t>
      </w:r>
      <w:r>
        <w:rPr>
          <w:rFonts w:ascii="Verdana" w:hAnsi="Verdana" w:cs="Arial"/>
          <w:sz w:val="22"/>
          <w:szCs w:val="22"/>
        </w:rPr>
        <w:t xml:space="preserve"> from Home Office grants</w:t>
      </w:r>
      <w:r w:rsidRPr="00DC720D">
        <w:rPr>
          <w:rFonts w:ascii="Verdana" w:hAnsi="Verdana" w:cs="Arial"/>
          <w:sz w:val="22"/>
          <w:szCs w:val="22"/>
        </w:rPr>
        <w:t>, which amounted to £4.2m for Surrey. The Home Office also awarded Surrey £</w:t>
      </w:r>
      <w:r>
        <w:rPr>
          <w:rFonts w:ascii="Verdana" w:hAnsi="Verdana" w:cs="Arial"/>
          <w:sz w:val="22"/>
          <w:szCs w:val="22"/>
        </w:rPr>
        <w:t>0.4m</w:t>
      </w:r>
      <w:r w:rsidRPr="00DC720D">
        <w:rPr>
          <w:rFonts w:ascii="Verdana" w:hAnsi="Verdana" w:cs="Arial"/>
          <w:sz w:val="22"/>
          <w:szCs w:val="22"/>
        </w:rPr>
        <w:t xml:space="preserve"> from the £30m Covid Surge Fund allocated to police forces</w:t>
      </w:r>
      <w:r>
        <w:rPr>
          <w:rFonts w:ascii="Verdana" w:hAnsi="Verdana" w:cs="Arial"/>
          <w:sz w:val="22"/>
          <w:szCs w:val="22"/>
        </w:rPr>
        <w:t>, with a further £0.8m being awarded from an additional £58m for policing towards the end of the year</w:t>
      </w:r>
      <w:r w:rsidRPr="00DC720D">
        <w:rPr>
          <w:rFonts w:ascii="Verdana" w:hAnsi="Verdana" w:cs="Arial"/>
          <w:sz w:val="22"/>
          <w:szCs w:val="22"/>
        </w:rPr>
        <w:t>.</w:t>
      </w:r>
      <w:r>
        <w:rPr>
          <w:rFonts w:ascii="Verdana" w:hAnsi="Verdana" w:cs="Arial"/>
          <w:sz w:val="22"/>
          <w:szCs w:val="22"/>
        </w:rPr>
        <w:t xml:space="preserve"> The force mitigated remaining additional costs with savings across the force, including savings in training and staff travel where costs were lower than expected due to the ongoing pandemic.</w:t>
      </w:r>
    </w:p>
    <w:p w14:paraId="1B31A881" w14:textId="77777777" w:rsidR="005A35AA" w:rsidRDefault="005A35AA" w:rsidP="006E4155">
      <w:pPr>
        <w:jc w:val="both"/>
        <w:rPr>
          <w:rFonts w:ascii="Verdana" w:hAnsi="Verdana" w:cs="Arial"/>
          <w:sz w:val="22"/>
          <w:szCs w:val="22"/>
        </w:rPr>
      </w:pPr>
    </w:p>
    <w:p w14:paraId="3CC8924C" w14:textId="45453169" w:rsidR="005A35AA" w:rsidRDefault="005A35AA" w:rsidP="006E4155">
      <w:pPr>
        <w:jc w:val="both"/>
        <w:rPr>
          <w:rFonts w:ascii="Verdana" w:hAnsi="Verdana" w:cs="Arial"/>
          <w:sz w:val="22"/>
          <w:szCs w:val="22"/>
        </w:rPr>
      </w:pPr>
      <w:r>
        <w:rPr>
          <w:rFonts w:ascii="Verdana" w:hAnsi="Verdana" w:cs="Arial"/>
          <w:sz w:val="22"/>
          <w:szCs w:val="22"/>
        </w:rPr>
        <w:t>Total costs for the response to the Covid-19 pandemic are summarised in the following table:</w:t>
      </w:r>
    </w:p>
    <w:p w14:paraId="7DDA5A56" w14:textId="77777777" w:rsidR="005A35AA" w:rsidRDefault="005A35AA" w:rsidP="006E4155">
      <w:pPr>
        <w:jc w:val="both"/>
        <w:rPr>
          <w:rFonts w:ascii="Verdana" w:hAnsi="Verdana" w:cs="Arial"/>
          <w:sz w:val="22"/>
          <w:szCs w:val="22"/>
        </w:rPr>
      </w:pPr>
    </w:p>
    <w:tbl>
      <w:tblPr>
        <w:tblW w:w="3600" w:type="dxa"/>
        <w:jc w:val="center"/>
        <w:tblLook w:val="04A0" w:firstRow="1" w:lastRow="0" w:firstColumn="1" w:lastColumn="0" w:noHBand="0" w:noVBand="1"/>
      </w:tblPr>
      <w:tblGrid>
        <w:gridCol w:w="1940"/>
        <w:gridCol w:w="1660"/>
      </w:tblGrid>
      <w:tr w:rsidR="005A35AA" w:rsidRPr="005A35AA" w14:paraId="5CEAA56B" w14:textId="77777777" w:rsidTr="005A35AA">
        <w:trPr>
          <w:trHeight w:val="765"/>
          <w:jc w:val="center"/>
        </w:trPr>
        <w:tc>
          <w:tcPr>
            <w:tcW w:w="1940" w:type="dxa"/>
            <w:tcBorders>
              <w:top w:val="single" w:sz="4" w:space="0" w:color="auto"/>
              <w:left w:val="single" w:sz="4" w:space="0" w:color="auto"/>
              <w:bottom w:val="single" w:sz="4" w:space="0" w:color="auto"/>
              <w:right w:val="nil"/>
            </w:tcBorders>
            <w:shd w:val="clear" w:color="auto" w:fill="auto"/>
            <w:vAlign w:val="center"/>
            <w:hideMark/>
          </w:tcPr>
          <w:p w14:paraId="28120987" w14:textId="77777777" w:rsidR="005A35AA" w:rsidRPr="005A35AA" w:rsidRDefault="005A35AA" w:rsidP="005A35AA">
            <w:pPr>
              <w:jc w:val="center"/>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Expenditure &amp; Income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7045982" w14:textId="63596A5D" w:rsidR="005A35AA" w:rsidRPr="005A35AA" w:rsidRDefault="005A35AA" w:rsidP="005A35AA">
            <w:pPr>
              <w:jc w:val="center"/>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Covid-19 Costs</w:t>
            </w:r>
            <w:r w:rsidRPr="005A35AA">
              <w:rPr>
                <w:rFonts w:ascii="Verdana" w:eastAsia="Times New Roman" w:hAnsi="Verdana" w:cs="Times New Roman"/>
                <w:b/>
                <w:bCs/>
                <w:color w:val="000000"/>
                <w:sz w:val="20"/>
                <w:szCs w:val="20"/>
                <w:lang w:val="en-GB" w:eastAsia="en-GB"/>
              </w:rPr>
              <w:br/>
              <w:t>£</w:t>
            </w:r>
            <w:r w:rsidR="00B30C50">
              <w:rPr>
                <w:rFonts w:ascii="Verdana" w:eastAsia="Times New Roman" w:hAnsi="Verdana" w:cs="Times New Roman"/>
                <w:b/>
                <w:bCs/>
                <w:color w:val="000000"/>
                <w:sz w:val="20"/>
                <w:szCs w:val="20"/>
                <w:lang w:val="en-GB" w:eastAsia="en-GB"/>
              </w:rPr>
              <w:t>’000</w:t>
            </w:r>
          </w:p>
        </w:tc>
      </w:tr>
      <w:tr w:rsidR="005A35AA" w:rsidRPr="005A35AA" w14:paraId="2727695D" w14:textId="77777777" w:rsidTr="005A35AA">
        <w:trPr>
          <w:trHeight w:val="255"/>
          <w:jc w:val="center"/>
        </w:trPr>
        <w:tc>
          <w:tcPr>
            <w:tcW w:w="1940" w:type="dxa"/>
            <w:tcBorders>
              <w:top w:val="nil"/>
              <w:left w:val="single" w:sz="4" w:space="0" w:color="auto"/>
              <w:bottom w:val="nil"/>
              <w:right w:val="nil"/>
            </w:tcBorders>
            <w:shd w:val="clear" w:color="auto" w:fill="auto"/>
            <w:noWrap/>
            <w:vAlign w:val="center"/>
            <w:hideMark/>
          </w:tcPr>
          <w:p w14:paraId="30D8E7DE" w14:textId="77777777" w:rsidR="005A35AA" w:rsidRPr="005A35AA" w:rsidRDefault="005A35AA" w:rsidP="005A35AA">
            <w:pPr>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National PPE</w:t>
            </w:r>
          </w:p>
        </w:tc>
        <w:tc>
          <w:tcPr>
            <w:tcW w:w="1660" w:type="dxa"/>
            <w:tcBorders>
              <w:top w:val="nil"/>
              <w:left w:val="nil"/>
              <w:bottom w:val="nil"/>
              <w:right w:val="single" w:sz="4" w:space="0" w:color="auto"/>
            </w:tcBorders>
            <w:shd w:val="clear" w:color="auto" w:fill="auto"/>
            <w:noWrap/>
            <w:vAlign w:val="center"/>
            <w:hideMark/>
          </w:tcPr>
          <w:p w14:paraId="0C43FC01" w14:textId="77777777" w:rsidR="005A35AA" w:rsidRPr="005A35AA" w:rsidRDefault="005A35AA" w:rsidP="005A35AA">
            <w:pPr>
              <w:jc w:val="right"/>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2,275</w:t>
            </w:r>
          </w:p>
        </w:tc>
      </w:tr>
      <w:tr w:rsidR="005A35AA" w:rsidRPr="005A35AA" w14:paraId="00B9EA55" w14:textId="77777777" w:rsidTr="005A35AA">
        <w:trPr>
          <w:trHeight w:val="255"/>
          <w:jc w:val="center"/>
        </w:trPr>
        <w:tc>
          <w:tcPr>
            <w:tcW w:w="1940" w:type="dxa"/>
            <w:tcBorders>
              <w:top w:val="nil"/>
              <w:left w:val="single" w:sz="4" w:space="0" w:color="auto"/>
              <w:bottom w:val="nil"/>
              <w:right w:val="nil"/>
            </w:tcBorders>
            <w:shd w:val="clear" w:color="auto" w:fill="auto"/>
            <w:noWrap/>
            <w:vAlign w:val="center"/>
            <w:hideMark/>
          </w:tcPr>
          <w:p w14:paraId="2E01D4B3" w14:textId="77777777" w:rsidR="005A35AA" w:rsidRPr="005A35AA" w:rsidRDefault="005A35AA" w:rsidP="005A35AA">
            <w:pPr>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Local PPE</w:t>
            </w:r>
          </w:p>
        </w:tc>
        <w:tc>
          <w:tcPr>
            <w:tcW w:w="1660" w:type="dxa"/>
            <w:tcBorders>
              <w:top w:val="nil"/>
              <w:left w:val="nil"/>
              <w:bottom w:val="nil"/>
              <w:right w:val="single" w:sz="4" w:space="0" w:color="auto"/>
            </w:tcBorders>
            <w:shd w:val="clear" w:color="auto" w:fill="auto"/>
            <w:noWrap/>
            <w:vAlign w:val="center"/>
            <w:hideMark/>
          </w:tcPr>
          <w:p w14:paraId="1749AE8C" w14:textId="77777777" w:rsidR="005A35AA" w:rsidRPr="005A35AA" w:rsidRDefault="005A35AA" w:rsidP="005A35AA">
            <w:pPr>
              <w:jc w:val="right"/>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489</w:t>
            </w:r>
          </w:p>
        </w:tc>
      </w:tr>
      <w:tr w:rsidR="005A35AA" w:rsidRPr="005A35AA" w14:paraId="56ECFD1D" w14:textId="77777777" w:rsidTr="005A35AA">
        <w:trPr>
          <w:trHeight w:val="255"/>
          <w:jc w:val="center"/>
        </w:trPr>
        <w:tc>
          <w:tcPr>
            <w:tcW w:w="1940" w:type="dxa"/>
            <w:tcBorders>
              <w:top w:val="nil"/>
              <w:left w:val="single" w:sz="4" w:space="0" w:color="auto"/>
              <w:bottom w:val="nil"/>
              <w:right w:val="nil"/>
            </w:tcBorders>
            <w:shd w:val="clear" w:color="auto" w:fill="auto"/>
            <w:noWrap/>
            <w:vAlign w:val="center"/>
            <w:hideMark/>
          </w:tcPr>
          <w:p w14:paraId="775F7E91" w14:textId="77777777" w:rsidR="005A35AA" w:rsidRPr="005A35AA" w:rsidRDefault="005A35AA" w:rsidP="005A35AA">
            <w:pPr>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Other Local Costs</w:t>
            </w:r>
          </w:p>
        </w:tc>
        <w:tc>
          <w:tcPr>
            <w:tcW w:w="1660" w:type="dxa"/>
            <w:tcBorders>
              <w:top w:val="nil"/>
              <w:left w:val="nil"/>
              <w:bottom w:val="nil"/>
              <w:right w:val="single" w:sz="4" w:space="0" w:color="auto"/>
            </w:tcBorders>
            <w:shd w:val="clear" w:color="auto" w:fill="auto"/>
            <w:noWrap/>
            <w:vAlign w:val="center"/>
            <w:hideMark/>
          </w:tcPr>
          <w:p w14:paraId="258769A7" w14:textId="77777777" w:rsidR="005A35AA" w:rsidRPr="005A35AA" w:rsidRDefault="005A35AA" w:rsidP="005A35AA">
            <w:pPr>
              <w:jc w:val="right"/>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3,867</w:t>
            </w:r>
          </w:p>
        </w:tc>
      </w:tr>
      <w:tr w:rsidR="005A35AA" w:rsidRPr="005A35AA" w14:paraId="65DED06D" w14:textId="77777777" w:rsidTr="005A35AA">
        <w:trPr>
          <w:trHeight w:val="255"/>
          <w:jc w:val="center"/>
        </w:trPr>
        <w:tc>
          <w:tcPr>
            <w:tcW w:w="1940" w:type="dxa"/>
            <w:tcBorders>
              <w:top w:val="single" w:sz="4" w:space="0" w:color="auto"/>
              <w:left w:val="single" w:sz="4" w:space="0" w:color="auto"/>
              <w:bottom w:val="single" w:sz="4" w:space="0" w:color="auto"/>
              <w:right w:val="nil"/>
            </w:tcBorders>
            <w:shd w:val="clear" w:color="000000" w:fill="FFFFCC"/>
            <w:noWrap/>
            <w:vAlign w:val="center"/>
            <w:hideMark/>
          </w:tcPr>
          <w:p w14:paraId="5CB72C62" w14:textId="77777777" w:rsidR="005A35AA" w:rsidRPr="005A35AA" w:rsidRDefault="005A35AA" w:rsidP="005A35AA">
            <w:pPr>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Total Costs</w:t>
            </w:r>
          </w:p>
        </w:tc>
        <w:tc>
          <w:tcPr>
            <w:tcW w:w="1660" w:type="dxa"/>
            <w:tcBorders>
              <w:top w:val="single" w:sz="4" w:space="0" w:color="auto"/>
              <w:left w:val="nil"/>
              <w:bottom w:val="single" w:sz="4" w:space="0" w:color="auto"/>
              <w:right w:val="single" w:sz="4" w:space="0" w:color="auto"/>
            </w:tcBorders>
            <w:shd w:val="clear" w:color="000000" w:fill="FFFFCC"/>
            <w:noWrap/>
            <w:vAlign w:val="center"/>
            <w:hideMark/>
          </w:tcPr>
          <w:p w14:paraId="7A2E8630" w14:textId="77777777" w:rsidR="005A35AA" w:rsidRPr="005A35AA" w:rsidRDefault="005A35AA" w:rsidP="005A35AA">
            <w:pPr>
              <w:jc w:val="right"/>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6,631</w:t>
            </w:r>
          </w:p>
        </w:tc>
      </w:tr>
      <w:tr w:rsidR="005A35AA" w:rsidRPr="005A35AA" w14:paraId="58E820A4" w14:textId="77777777" w:rsidTr="005A35AA">
        <w:trPr>
          <w:trHeight w:val="255"/>
          <w:jc w:val="center"/>
        </w:trPr>
        <w:tc>
          <w:tcPr>
            <w:tcW w:w="1940" w:type="dxa"/>
            <w:tcBorders>
              <w:top w:val="nil"/>
              <w:left w:val="single" w:sz="4" w:space="0" w:color="auto"/>
              <w:bottom w:val="nil"/>
              <w:right w:val="nil"/>
            </w:tcBorders>
            <w:shd w:val="clear" w:color="auto" w:fill="auto"/>
            <w:noWrap/>
            <w:vAlign w:val="center"/>
            <w:hideMark/>
          </w:tcPr>
          <w:p w14:paraId="2FEEE281" w14:textId="77777777" w:rsidR="005A35AA" w:rsidRPr="005A35AA" w:rsidRDefault="005A35AA" w:rsidP="005A35AA">
            <w:pPr>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Income</w:t>
            </w:r>
          </w:p>
        </w:tc>
        <w:tc>
          <w:tcPr>
            <w:tcW w:w="1660" w:type="dxa"/>
            <w:tcBorders>
              <w:top w:val="nil"/>
              <w:left w:val="nil"/>
              <w:bottom w:val="nil"/>
              <w:right w:val="single" w:sz="4" w:space="0" w:color="auto"/>
            </w:tcBorders>
            <w:shd w:val="clear" w:color="auto" w:fill="auto"/>
            <w:noWrap/>
            <w:vAlign w:val="center"/>
            <w:hideMark/>
          </w:tcPr>
          <w:p w14:paraId="7A7440D5" w14:textId="77777777" w:rsidR="005A35AA" w:rsidRPr="005A35AA" w:rsidRDefault="005A35AA" w:rsidP="005A35AA">
            <w:pPr>
              <w:jc w:val="right"/>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(4,229)</w:t>
            </w:r>
          </w:p>
        </w:tc>
      </w:tr>
      <w:tr w:rsidR="005A35AA" w:rsidRPr="005A35AA" w14:paraId="695229CB" w14:textId="77777777" w:rsidTr="005A35AA">
        <w:trPr>
          <w:trHeight w:val="255"/>
          <w:jc w:val="center"/>
        </w:trPr>
        <w:tc>
          <w:tcPr>
            <w:tcW w:w="1940" w:type="dxa"/>
            <w:tcBorders>
              <w:top w:val="single" w:sz="4" w:space="0" w:color="auto"/>
              <w:left w:val="single" w:sz="4" w:space="0" w:color="auto"/>
              <w:bottom w:val="single" w:sz="4" w:space="0" w:color="auto"/>
              <w:right w:val="nil"/>
            </w:tcBorders>
            <w:shd w:val="clear" w:color="auto" w:fill="auto"/>
            <w:noWrap/>
            <w:vAlign w:val="center"/>
            <w:hideMark/>
          </w:tcPr>
          <w:p w14:paraId="5C3917C1" w14:textId="77777777" w:rsidR="005A35AA" w:rsidRPr="005A35AA" w:rsidRDefault="005A35AA" w:rsidP="005A35AA">
            <w:pPr>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Net Expenditure</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55141B3" w14:textId="77777777" w:rsidR="005A35AA" w:rsidRPr="005A35AA" w:rsidRDefault="005A35AA" w:rsidP="005A35AA">
            <w:pPr>
              <w:jc w:val="right"/>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2,402</w:t>
            </w:r>
          </w:p>
        </w:tc>
      </w:tr>
      <w:tr w:rsidR="005A35AA" w:rsidRPr="005A35AA" w14:paraId="74E20626" w14:textId="77777777" w:rsidTr="005A35AA">
        <w:trPr>
          <w:trHeight w:val="255"/>
          <w:jc w:val="center"/>
        </w:trPr>
        <w:tc>
          <w:tcPr>
            <w:tcW w:w="1940" w:type="dxa"/>
            <w:tcBorders>
              <w:top w:val="nil"/>
              <w:left w:val="single" w:sz="4" w:space="0" w:color="auto"/>
              <w:bottom w:val="nil"/>
              <w:right w:val="nil"/>
            </w:tcBorders>
            <w:shd w:val="clear" w:color="auto" w:fill="auto"/>
            <w:noWrap/>
            <w:vAlign w:val="center"/>
            <w:hideMark/>
          </w:tcPr>
          <w:p w14:paraId="101A52AD" w14:textId="77777777" w:rsidR="005A35AA" w:rsidRPr="005A35AA" w:rsidRDefault="005A35AA" w:rsidP="005A35AA">
            <w:pPr>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 </w:t>
            </w:r>
          </w:p>
        </w:tc>
        <w:tc>
          <w:tcPr>
            <w:tcW w:w="1660" w:type="dxa"/>
            <w:tcBorders>
              <w:top w:val="nil"/>
              <w:left w:val="nil"/>
              <w:bottom w:val="nil"/>
              <w:right w:val="single" w:sz="4" w:space="0" w:color="auto"/>
            </w:tcBorders>
            <w:shd w:val="clear" w:color="auto" w:fill="auto"/>
            <w:noWrap/>
            <w:vAlign w:val="center"/>
            <w:hideMark/>
          </w:tcPr>
          <w:p w14:paraId="5CE268F9" w14:textId="77777777" w:rsidR="005A35AA" w:rsidRPr="005A35AA" w:rsidRDefault="005A35AA" w:rsidP="005A35AA">
            <w:pPr>
              <w:rPr>
                <w:rFonts w:ascii="Verdana" w:eastAsia="Times New Roman" w:hAnsi="Verdana" w:cs="Times New Roman"/>
                <w:color w:val="000000"/>
                <w:sz w:val="20"/>
                <w:szCs w:val="20"/>
                <w:lang w:val="en-GB" w:eastAsia="en-GB"/>
              </w:rPr>
            </w:pPr>
            <w:r w:rsidRPr="005A35AA">
              <w:rPr>
                <w:rFonts w:ascii="Verdana" w:eastAsia="Times New Roman" w:hAnsi="Verdana" w:cs="Times New Roman"/>
                <w:color w:val="000000"/>
                <w:sz w:val="20"/>
                <w:szCs w:val="20"/>
                <w:lang w:val="en-GB" w:eastAsia="en-GB"/>
              </w:rPr>
              <w:t> </w:t>
            </w:r>
          </w:p>
        </w:tc>
      </w:tr>
      <w:tr w:rsidR="005A35AA" w:rsidRPr="005A35AA" w14:paraId="52883CB0" w14:textId="77777777" w:rsidTr="005A35AA">
        <w:trPr>
          <w:trHeight w:val="255"/>
          <w:jc w:val="center"/>
        </w:trPr>
        <w:tc>
          <w:tcPr>
            <w:tcW w:w="1940" w:type="dxa"/>
            <w:tcBorders>
              <w:top w:val="single" w:sz="4" w:space="0" w:color="auto"/>
              <w:left w:val="single" w:sz="4" w:space="0" w:color="auto"/>
              <w:bottom w:val="single" w:sz="4" w:space="0" w:color="auto"/>
              <w:right w:val="nil"/>
            </w:tcBorders>
            <w:shd w:val="clear" w:color="auto" w:fill="auto"/>
            <w:noWrap/>
            <w:vAlign w:val="center"/>
            <w:hideMark/>
          </w:tcPr>
          <w:p w14:paraId="1E12DD03" w14:textId="77777777" w:rsidR="005A35AA" w:rsidRPr="005A35AA" w:rsidRDefault="005A35AA" w:rsidP="005A35AA">
            <w:pPr>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Total PPE cost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4B583A5" w14:textId="77777777" w:rsidR="005A35AA" w:rsidRPr="005A35AA" w:rsidRDefault="005A35AA" w:rsidP="005A35AA">
            <w:pPr>
              <w:jc w:val="right"/>
              <w:rPr>
                <w:rFonts w:ascii="Verdana" w:eastAsia="Times New Roman" w:hAnsi="Verdana" w:cs="Times New Roman"/>
                <w:b/>
                <w:bCs/>
                <w:color w:val="000000"/>
                <w:sz w:val="20"/>
                <w:szCs w:val="20"/>
                <w:lang w:val="en-GB" w:eastAsia="en-GB"/>
              </w:rPr>
            </w:pPr>
            <w:r w:rsidRPr="005A35AA">
              <w:rPr>
                <w:rFonts w:ascii="Verdana" w:eastAsia="Times New Roman" w:hAnsi="Verdana" w:cs="Times New Roman"/>
                <w:b/>
                <w:bCs/>
                <w:color w:val="000000"/>
                <w:sz w:val="20"/>
                <w:szCs w:val="20"/>
                <w:lang w:val="en-GB" w:eastAsia="en-GB"/>
              </w:rPr>
              <w:t>2,764</w:t>
            </w:r>
          </w:p>
        </w:tc>
      </w:tr>
    </w:tbl>
    <w:p w14:paraId="0A855294" w14:textId="77777777" w:rsidR="005A35AA" w:rsidRDefault="005A35AA" w:rsidP="006E4155">
      <w:pPr>
        <w:jc w:val="both"/>
        <w:rPr>
          <w:rFonts w:ascii="Verdana" w:hAnsi="Verdana" w:cs="Arial"/>
          <w:sz w:val="22"/>
          <w:szCs w:val="22"/>
        </w:rPr>
      </w:pPr>
    </w:p>
    <w:p w14:paraId="121429BB" w14:textId="068E516F" w:rsidR="005A35AA" w:rsidRPr="005A35AA" w:rsidRDefault="007A0243" w:rsidP="006E4155">
      <w:pPr>
        <w:jc w:val="both"/>
        <w:rPr>
          <w:rFonts w:ascii="Verdana" w:hAnsi="Verdana" w:cs="Arial"/>
          <w:sz w:val="22"/>
          <w:szCs w:val="22"/>
        </w:rPr>
      </w:pPr>
      <w:r>
        <w:rPr>
          <w:rFonts w:ascii="Verdana" w:hAnsi="Verdana" w:cs="Arial"/>
          <w:sz w:val="22"/>
          <w:szCs w:val="22"/>
        </w:rPr>
        <w:t>Precept &amp; uplift investments were received towards an additional 156.5 posts, of which 142.5 were recruited by March 2021.</w:t>
      </w:r>
    </w:p>
    <w:p w14:paraId="2A9192DF" w14:textId="77777777" w:rsidR="005A35AA" w:rsidRPr="005A35AA" w:rsidRDefault="005A35AA" w:rsidP="006E4155">
      <w:pPr>
        <w:jc w:val="both"/>
        <w:rPr>
          <w:rFonts w:ascii="Verdana" w:hAnsi="Verdana" w:cs="Arial"/>
          <w:sz w:val="22"/>
          <w:szCs w:val="22"/>
        </w:rPr>
      </w:pPr>
    </w:p>
    <w:p w14:paraId="47019160" w14:textId="1AD66AFE" w:rsidR="00090245" w:rsidRPr="00090245" w:rsidRDefault="006E4155" w:rsidP="006E4155">
      <w:pPr>
        <w:jc w:val="both"/>
        <w:rPr>
          <w:rFonts w:ascii="Verdana" w:hAnsi="Verdana" w:cs="Arial"/>
          <w:sz w:val="22"/>
          <w:szCs w:val="22"/>
        </w:rPr>
      </w:pPr>
      <w:r w:rsidRPr="00090245">
        <w:rPr>
          <w:rFonts w:ascii="Verdana" w:hAnsi="Verdana" w:cs="Arial"/>
          <w:sz w:val="22"/>
          <w:szCs w:val="22"/>
        </w:rPr>
        <w:t xml:space="preserve">The Chief Constable establishment for police officers for the year was under the original budget plan </w:t>
      </w:r>
      <w:r w:rsidR="00090245" w:rsidRPr="00090245">
        <w:rPr>
          <w:rFonts w:ascii="Verdana" w:hAnsi="Verdana" w:cs="Arial"/>
          <w:sz w:val="22"/>
          <w:szCs w:val="22"/>
        </w:rPr>
        <w:t>which resulted in unde</w:t>
      </w:r>
      <w:r w:rsidRPr="00090245">
        <w:rPr>
          <w:rFonts w:ascii="Verdana" w:hAnsi="Verdana" w:cs="Arial"/>
          <w:sz w:val="22"/>
          <w:szCs w:val="22"/>
        </w:rPr>
        <w:t>rspend</w:t>
      </w:r>
      <w:r w:rsidR="00090245" w:rsidRPr="00090245">
        <w:rPr>
          <w:rFonts w:ascii="Verdana" w:hAnsi="Verdana" w:cs="Arial"/>
          <w:sz w:val="22"/>
          <w:szCs w:val="22"/>
        </w:rPr>
        <w:t xml:space="preserve"> of £2m which was offset additional costs for police staff, other employee costs and temporary staff and agency costs. Total employee costs were £1.2m over budget</w:t>
      </w:r>
      <w:r w:rsidR="00090245">
        <w:rPr>
          <w:rFonts w:ascii="Verdana" w:hAnsi="Verdana" w:cs="Arial"/>
          <w:sz w:val="22"/>
          <w:szCs w:val="22"/>
        </w:rPr>
        <w:t xml:space="preserve">, £0.6m of </w:t>
      </w:r>
      <w:r w:rsidR="003F61FD">
        <w:rPr>
          <w:rFonts w:ascii="Verdana" w:hAnsi="Verdana" w:cs="Arial"/>
          <w:sz w:val="22"/>
          <w:szCs w:val="22"/>
        </w:rPr>
        <w:t>other staff costs overspend</w:t>
      </w:r>
      <w:r w:rsidR="00090245">
        <w:rPr>
          <w:rFonts w:ascii="Verdana" w:hAnsi="Verdana" w:cs="Arial"/>
          <w:sz w:val="22"/>
          <w:szCs w:val="22"/>
        </w:rPr>
        <w:t xml:space="preserve"> related</w:t>
      </w:r>
      <w:r w:rsidR="003F61FD">
        <w:rPr>
          <w:rFonts w:ascii="Verdana" w:hAnsi="Verdana" w:cs="Arial"/>
          <w:sz w:val="22"/>
          <w:szCs w:val="22"/>
        </w:rPr>
        <w:t xml:space="preserve"> directly</w:t>
      </w:r>
      <w:r w:rsidR="00090245">
        <w:rPr>
          <w:rFonts w:ascii="Verdana" w:hAnsi="Verdana" w:cs="Arial"/>
          <w:sz w:val="22"/>
          <w:szCs w:val="22"/>
        </w:rPr>
        <w:t xml:space="preserve"> to </w:t>
      </w:r>
      <w:r w:rsidR="003F61FD">
        <w:rPr>
          <w:rFonts w:ascii="Verdana" w:hAnsi="Verdana" w:cs="Arial"/>
          <w:sz w:val="22"/>
          <w:szCs w:val="22"/>
        </w:rPr>
        <w:t>covid-19 work</w:t>
      </w:r>
      <w:r w:rsidR="00090245" w:rsidRPr="00090245">
        <w:rPr>
          <w:rFonts w:ascii="Verdana" w:hAnsi="Verdana" w:cs="Arial"/>
          <w:sz w:val="22"/>
          <w:szCs w:val="22"/>
        </w:rPr>
        <w:t xml:space="preserve">. </w:t>
      </w:r>
    </w:p>
    <w:p w14:paraId="143D3A2D" w14:textId="77777777" w:rsidR="00090245" w:rsidRDefault="00090245" w:rsidP="006E4155">
      <w:pPr>
        <w:jc w:val="both"/>
        <w:rPr>
          <w:rFonts w:ascii="Verdana" w:hAnsi="Verdana" w:cs="Arial"/>
          <w:sz w:val="22"/>
          <w:szCs w:val="22"/>
        </w:rPr>
      </w:pPr>
    </w:p>
    <w:p w14:paraId="2ED3430E" w14:textId="7C009F53" w:rsidR="003F61FD" w:rsidRPr="003F61FD" w:rsidRDefault="003F61FD" w:rsidP="006E4155">
      <w:pPr>
        <w:jc w:val="both"/>
        <w:rPr>
          <w:rFonts w:ascii="Verdana" w:hAnsi="Verdana" w:cs="Arial"/>
          <w:sz w:val="22"/>
          <w:szCs w:val="22"/>
        </w:rPr>
      </w:pPr>
      <w:r>
        <w:rPr>
          <w:rFonts w:ascii="Verdana" w:hAnsi="Verdana" w:cs="Arial"/>
          <w:sz w:val="22"/>
          <w:szCs w:val="22"/>
        </w:rPr>
        <w:t xml:space="preserve">Premises related expenditure was below budget by £0.5m due to the Building the Future Project for the new HQ at Leatherhead and Transport costs came in under budget by £0.3m due to reduced insurance premiums and savings in fuel costs. Savings on software licenses/support, telephone and consultancy contribute to underspend of £0.4m in Supplies &amp; Services for the year. These areas of </w:t>
      </w:r>
      <w:r w:rsidRPr="003F61FD">
        <w:rPr>
          <w:rFonts w:ascii="Verdana" w:hAnsi="Verdana" w:cs="Arial"/>
          <w:sz w:val="22"/>
          <w:szCs w:val="22"/>
        </w:rPr>
        <w:t>underspend together with additional income and grants received in year in relation to the Covid Surge Fund, PPE, Surrey Camera Partnership and income from property rentals and secondment of employees resulted in the overall group underspend of £1.6m.</w:t>
      </w:r>
    </w:p>
    <w:p w14:paraId="0BED8806" w14:textId="77777777" w:rsidR="00090245" w:rsidRPr="003F61FD" w:rsidRDefault="00090245" w:rsidP="006E4155">
      <w:pPr>
        <w:jc w:val="both"/>
        <w:rPr>
          <w:rFonts w:ascii="Verdana" w:hAnsi="Verdana" w:cs="Arial"/>
          <w:sz w:val="22"/>
          <w:szCs w:val="22"/>
        </w:rPr>
      </w:pPr>
    </w:p>
    <w:p w14:paraId="2E4C1CB5" w14:textId="6CDBB361" w:rsidR="006E4155" w:rsidRPr="003F61FD" w:rsidRDefault="006E4155" w:rsidP="006E4155">
      <w:pPr>
        <w:jc w:val="both"/>
        <w:rPr>
          <w:rFonts w:ascii="Verdana" w:hAnsi="Verdana" w:cs="Arial"/>
          <w:sz w:val="22"/>
          <w:szCs w:val="22"/>
        </w:rPr>
      </w:pPr>
      <w:r w:rsidRPr="003F61FD">
        <w:rPr>
          <w:rFonts w:ascii="Verdana" w:hAnsi="Verdana" w:cs="Arial"/>
          <w:sz w:val="22"/>
          <w:szCs w:val="22"/>
        </w:rPr>
        <w:t>The 20</w:t>
      </w:r>
      <w:r w:rsidR="003F61FD" w:rsidRPr="003F61FD">
        <w:rPr>
          <w:rFonts w:ascii="Verdana" w:hAnsi="Verdana" w:cs="Arial"/>
          <w:sz w:val="22"/>
          <w:szCs w:val="22"/>
        </w:rPr>
        <w:t>20/21</w:t>
      </w:r>
      <w:r w:rsidRPr="003F61FD">
        <w:rPr>
          <w:rFonts w:ascii="Verdana" w:hAnsi="Verdana" w:cs="Arial"/>
          <w:sz w:val="22"/>
          <w:szCs w:val="22"/>
        </w:rPr>
        <w:t xml:space="preserve"> underspend will be used in accordance with the approved Medium Term Financial Plan and 20</w:t>
      </w:r>
      <w:r w:rsidR="003F61FD" w:rsidRPr="003F61FD">
        <w:rPr>
          <w:rFonts w:ascii="Verdana" w:hAnsi="Verdana" w:cs="Arial"/>
          <w:sz w:val="22"/>
          <w:szCs w:val="22"/>
        </w:rPr>
        <w:t>20</w:t>
      </w:r>
      <w:r w:rsidRPr="003F61FD">
        <w:rPr>
          <w:rFonts w:ascii="Verdana" w:hAnsi="Verdana" w:cs="Arial"/>
          <w:sz w:val="22"/>
          <w:szCs w:val="22"/>
        </w:rPr>
        <w:t>/2</w:t>
      </w:r>
      <w:r w:rsidR="003F61FD" w:rsidRPr="003F61FD">
        <w:rPr>
          <w:rFonts w:ascii="Verdana" w:hAnsi="Verdana" w:cs="Arial"/>
          <w:sz w:val="22"/>
          <w:szCs w:val="22"/>
        </w:rPr>
        <w:t>1</w:t>
      </w:r>
      <w:r w:rsidRPr="003F61FD">
        <w:rPr>
          <w:rFonts w:ascii="Verdana" w:hAnsi="Verdana" w:cs="Arial"/>
          <w:sz w:val="22"/>
          <w:szCs w:val="22"/>
        </w:rPr>
        <w:t xml:space="preserve"> outturn report.</w:t>
      </w:r>
    </w:p>
    <w:p w14:paraId="515E5FD2" w14:textId="77777777" w:rsidR="00F227D9" w:rsidRPr="003F61FD" w:rsidRDefault="00F227D9" w:rsidP="00F227D9">
      <w:pPr>
        <w:pStyle w:val="Normal0"/>
        <w:jc w:val="both"/>
        <w:rPr>
          <w:rFonts w:ascii="Verdana" w:eastAsia="Times New Roman" w:hAnsi="Verdana" w:cs="Arial"/>
          <w:sz w:val="22"/>
          <w:szCs w:val="22"/>
          <w:lang w:val="en-GB" w:eastAsia="en-GB"/>
        </w:rPr>
      </w:pPr>
      <w:r w:rsidRPr="003F61FD">
        <w:rPr>
          <w:rFonts w:ascii="Verdana" w:eastAsia="Times New Roman" w:hAnsi="Verdana" w:cs="Arial"/>
          <w:sz w:val="22"/>
          <w:szCs w:val="22"/>
          <w:lang w:val="en-GB" w:eastAsia="en-GB"/>
        </w:rPr>
        <w:t>The Chief Constable proposed to carry forward a total of £0.</w:t>
      </w:r>
      <w:r w:rsidR="00F52015" w:rsidRPr="003F61FD">
        <w:rPr>
          <w:rFonts w:ascii="Verdana" w:eastAsia="Times New Roman" w:hAnsi="Verdana" w:cs="Arial"/>
          <w:sz w:val="22"/>
          <w:szCs w:val="22"/>
          <w:lang w:val="en-GB" w:eastAsia="en-GB"/>
        </w:rPr>
        <w:t>3</w:t>
      </w:r>
      <w:r w:rsidRPr="003F61FD">
        <w:rPr>
          <w:rFonts w:ascii="Verdana" w:eastAsia="Times New Roman" w:hAnsi="Verdana" w:cs="Arial"/>
          <w:sz w:val="22"/>
          <w:szCs w:val="22"/>
          <w:lang w:val="en-GB" w:eastAsia="en-GB"/>
        </w:rPr>
        <w:t>m to fund additional investments.</w:t>
      </w:r>
    </w:p>
    <w:p w14:paraId="7D541303" w14:textId="77777777" w:rsidR="00F227D9" w:rsidRPr="003F61FD" w:rsidRDefault="00F227D9" w:rsidP="00F227D9">
      <w:pPr>
        <w:pStyle w:val="Normal0"/>
        <w:jc w:val="both"/>
        <w:rPr>
          <w:rFonts w:ascii="Verdana" w:eastAsia="Times New Roman" w:hAnsi="Verdana" w:cs="Arial"/>
          <w:b/>
          <w:sz w:val="22"/>
          <w:szCs w:val="22"/>
          <w:lang w:val="en-GB" w:eastAsia="en-GB"/>
        </w:rPr>
      </w:pPr>
      <w:r w:rsidRPr="003F61FD">
        <w:rPr>
          <w:rFonts w:ascii="Verdana" w:eastAsia="Times New Roman" w:hAnsi="Verdana" w:cs="Arial"/>
          <w:b/>
          <w:sz w:val="22"/>
          <w:szCs w:val="22"/>
          <w:lang w:val="en-GB" w:eastAsia="en-GB"/>
        </w:rPr>
        <w:t>Comprehensive Income and Expenditure Statement (CIES)</w:t>
      </w:r>
    </w:p>
    <w:p w14:paraId="1D6A56EC" w14:textId="77777777" w:rsidR="00F227D9" w:rsidRPr="003F61FD" w:rsidRDefault="00F227D9" w:rsidP="00F227D9">
      <w:pPr>
        <w:pStyle w:val="Normal0"/>
        <w:jc w:val="both"/>
        <w:rPr>
          <w:rFonts w:ascii="Verdana" w:eastAsia="Times New Roman" w:hAnsi="Verdana" w:cs="Arial"/>
          <w:b/>
          <w:sz w:val="22"/>
          <w:szCs w:val="22"/>
          <w:u w:val="thick"/>
          <w:lang w:val="en-GB" w:eastAsia="en-GB"/>
        </w:rPr>
      </w:pPr>
    </w:p>
    <w:p w14:paraId="139566E4" w14:textId="2ABB941F" w:rsidR="00F227D9" w:rsidRPr="003F61FD" w:rsidRDefault="00F227D9" w:rsidP="00F227D9">
      <w:pPr>
        <w:pStyle w:val="Normal0"/>
        <w:jc w:val="both"/>
        <w:rPr>
          <w:rFonts w:ascii="Verdana" w:eastAsia="Times New Roman" w:hAnsi="Verdana" w:cs="Arial"/>
          <w:sz w:val="22"/>
          <w:szCs w:val="22"/>
          <w:lang w:val="en-GB" w:eastAsia="en-GB"/>
        </w:rPr>
      </w:pPr>
      <w:r w:rsidRPr="003F61FD">
        <w:rPr>
          <w:rFonts w:ascii="Verdana" w:eastAsia="Times New Roman" w:hAnsi="Verdana" w:cs="Arial"/>
          <w:sz w:val="22"/>
          <w:szCs w:val="22"/>
          <w:lang w:val="en-GB" w:eastAsia="en-GB"/>
        </w:rPr>
        <w:t>Actual expenditure for the year ended for the year ended 31 March 20</w:t>
      </w:r>
      <w:r w:rsidR="00F87184" w:rsidRPr="003F61FD">
        <w:rPr>
          <w:rFonts w:ascii="Verdana" w:eastAsia="Times New Roman" w:hAnsi="Verdana" w:cs="Arial"/>
          <w:sz w:val="22"/>
          <w:szCs w:val="22"/>
          <w:lang w:val="en-GB" w:eastAsia="en-GB"/>
        </w:rPr>
        <w:t>2</w:t>
      </w:r>
      <w:r w:rsidR="003F61FD" w:rsidRPr="003F61FD">
        <w:rPr>
          <w:rFonts w:ascii="Verdana" w:eastAsia="Times New Roman" w:hAnsi="Verdana" w:cs="Arial"/>
          <w:sz w:val="22"/>
          <w:szCs w:val="22"/>
          <w:lang w:val="en-GB" w:eastAsia="en-GB"/>
        </w:rPr>
        <w:t>1</w:t>
      </w:r>
      <w:r w:rsidRPr="003F61FD">
        <w:rPr>
          <w:rFonts w:ascii="Verdana" w:eastAsia="Times New Roman" w:hAnsi="Verdana" w:cs="Arial"/>
          <w:sz w:val="22"/>
          <w:szCs w:val="22"/>
          <w:lang w:val="en-GB" w:eastAsia="en-GB"/>
        </w:rPr>
        <w:t xml:space="preserve"> compared against the previous year can be seen in the CIES. The Comprehensive Income and Expenditure Statement measures the financial performance for the year in terms of resources consumed over period and the funding provided to finance these resources. The accounting basis used to calculate net expenditure funded from the Home Office grants and local taxation. The CIES includes all net expenditure funded from grant and taxation plus notional (non-cash) amounts that are required by accounting regulations e.g. depreciation and changes in the value of property assets, interest charges on leased assets, and calculations of movements in police officer and police staff pension liabilities. </w:t>
      </w:r>
    </w:p>
    <w:p w14:paraId="2D7DBA7F" w14:textId="0C471B6C" w:rsidR="00743189" w:rsidRDefault="00743189">
      <w:pPr>
        <w:rPr>
          <w:rFonts w:ascii="Verdana" w:eastAsia="Times New Roman" w:hAnsi="Verdana" w:cs="Arial"/>
          <w:sz w:val="22"/>
          <w:szCs w:val="22"/>
          <w:lang w:val="en-GB" w:eastAsia="en-GB"/>
        </w:rPr>
      </w:pPr>
    </w:p>
    <w:p w14:paraId="37BF51B9" w14:textId="5151626F" w:rsidR="00F227D9" w:rsidRDefault="00F227D9" w:rsidP="00F227D9">
      <w:pPr>
        <w:pStyle w:val="Normal0"/>
        <w:jc w:val="both"/>
        <w:rPr>
          <w:rFonts w:ascii="Verdana" w:eastAsia="Times New Roman" w:hAnsi="Verdana" w:cs="Arial"/>
          <w:sz w:val="22"/>
          <w:szCs w:val="22"/>
          <w:lang w:val="en-GB" w:eastAsia="en-GB"/>
        </w:rPr>
      </w:pPr>
      <w:r w:rsidRPr="003F61FD">
        <w:rPr>
          <w:rFonts w:ascii="Verdana" w:eastAsia="Times New Roman" w:hAnsi="Verdana" w:cs="Arial"/>
          <w:sz w:val="22"/>
          <w:szCs w:val="22"/>
          <w:lang w:val="en-GB" w:eastAsia="en-GB"/>
        </w:rPr>
        <w:t>The</w:t>
      </w:r>
      <w:r w:rsidR="001B66A5" w:rsidRPr="003F61FD">
        <w:rPr>
          <w:rFonts w:ascii="Verdana" w:eastAsia="Times New Roman" w:hAnsi="Verdana" w:cs="Arial"/>
          <w:sz w:val="22"/>
          <w:szCs w:val="22"/>
          <w:lang w:val="en-GB" w:eastAsia="en-GB"/>
        </w:rPr>
        <w:t xml:space="preserve"> following</w:t>
      </w:r>
      <w:r w:rsidRPr="003F61FD">
        <w:rPr>
          <w:rFonts w:ascii="Verdana" w:eastAsia="Times New Roman" w:hAnsi="Verdana" w:cs="Arial"/>
          <w:sz w:val="22"/>
          <w:szCs w:val="22"/>
          <w:lang w:val="en-GB" w:eastAsia="en-GB"/>
        </w:rPr>
        <w:t xml:space="preserve"> table reconciles Chief Constable’s net operational expenditure to the position reported in the CIES. The table shows how the management accounts are adjusted for accounting regulations and statutory adjustments to arrive at the deficit on provision of services reported in the Comprehensive Income and Expenditure Statement.</w:t>
      </w:r>
    </w:p>
    <w:p w14:paraId="09F742CF" w14:textId="77777777" w:rsidR="00743189" w:rsidRDefault="00743189" w:rsidP="00F227D9">
      <w:pPr>
        <w:pStyle w:val="Normal0"/>
        <w:jc w:val="both"/>
        <w:rPr>
          <w:rFonts w:ascii="Verdana" w:eastAsia="Times New Roman" w:hAnsi="Verdana" w:cs="Arial"/>
          <w:sz w:val="22"/>
          <w:szCs w:val="22"/>
          <w:lang w:val="en-GB" w:eastAsia="en-GB"/>
        </w:rPr>
      </w:pPr>
    </w:p>
    <w:tbl>
      <w:tblPr>
        <w:tblW w:w="9540" w:type="dxa"/>
        <w:jc w:val="center"/>
        <w:tblLook w:val="04A0" w:firstRow="1" w:lastRow="0" w:firstColumn="1" w:lastColumn="0" w:noHBand="0" w:noVBand="1"/>
      </w:tblPr>
      <w:tblGrid>
        <w:gridCol w:w="1208"/>
        <w:gridCol w:w="7180"/>
        <w:gridCol w:w="1234"/>
      </w:tblGrid>
      <w:tr w:rsidR="00743189" w:rsidRPr="00743189" w14:paraId="114C5CDB" w14:textId="77777777" w:rsidTr="00743189">
        <w:trPr>
          <w:trHeight w:val="765"/>
          <w:jc w:val="center"/>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98893" w14:textId="77777777" w:rsidR="00743189" w:rsidRPr="00743189" w:rsidRDefault="00743189" w:rsidP="00743189">
            <w:pPr>
              <w:jc w:val="cente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2019/20</w:t>
            </w:r>
            <w:r w:rsidRPr="00743189">
              <w:rPr>
                <w:rFonts w:ascii="Verdana" w:eastAsia="Times New Roman" w:hAnsi="Verdana" w:cs="Times New Roman"/>
                <w:b/>
                <w:bCs/>
                <w:color w:val="000000"/>
                <w:sz w:val="20"/>
                <w:szCs w:val="20"/>
                <w:lang w:val="en-GB" w:eastAsia="en-GB"/>
              </w:rPr>
              <w:br/>
              <w:t>CC</w:t>
            </w:r>
            <w:r w:rsidRPr="00743189">
              <w:rPr>
                <w:rFonts w:ascii="Verdana" w:eastAsia="Times New Roman" w:hAnsi="Verdana" w:cs="Times New Roman"/>
                <w:b/>
                <w:bCs/>
                <w:color w:val="000000"/>
                <w:sz w:val="20"/>
                <w:szCs w:val="20"/>
                <w:lang w:val="en-GB" w:eastAsia="en-GB"/>
              </w:rPr>
              <w:br/>
              <w:t>£m</w:t>
            </w:r>
          </w:p>
        </w:tc>
        <w:tc>
          <w:tcPr>
            <w:tcW w:w="7180" w:type="dxa"/>
            <w:tcBorders>
              <w:top w:val="single" w:sz="4" w:space="0" w:color="auto"/>
              <w:left w:val="nil"/>
              <w:bottom w:val="single" w:sz="4" w:space="0" w:color="auto"/>
              <w:right w:val="single" w:sz="4" w:space="0" w:color="auto"/>
            </w:tcBorders>
            <w:shd w:val="clear" w:color="000000" w:fill="FFFFFF"/>
            <w:noWrap/>
            <w:vAlign w:val="center"/>
            <w:hideMark/>
          </w:tcPr>
          <w:p w14:paraId="7A7931C9" w14:textId="77777777" w:rsidR="00743189" w:rsidRPr="00743189" w:rsidRDefault="00743189" w:rsidP="00743189">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Operational Delivery Expenditure</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677E9AD" w14:textId="77777777" w:rsidR="00743189" w:rsidRPr="00743189" w:rsidRDefault="00743189" w:rsidP="00743189">
            <w:pPr>
              <w:jc w:val="cente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2020/21</w:t>
            </w:r>
            <w:r w:rsidRPr="00743189">
              <w:rPr>
                <w:rFonts w:ascii="Verdana" w:eastAsia="Times New Roman" w:hAnsi="Verdana" w:cs="Times New Roman"/>
                <w:b/>
                <w:bCs/>
                <w:color w:val="000000"/>
                <w:sz w:val="20"/>
                <w:szCs w:val="20"/>
                <w:lang w:val="en-GB" w:eastAsia="en-GB"/>
              </w:rPr>
              <w:br/>
              <w:t>CC</w:t>
            </w:r>
            <w:r w:rsidRPr="00743189">
              <w:rPr>
                <w:rFonts w:ascii="Verdana" w:eastAsia="Times New Roman" w:hAnsi="Verdana" w:cs="Times New Roman"/>
                <w:b/>
                <w:bCs/>
                <w:color w:val="000000"/>
                <w:sz w:val="20"/>
                <w:szCs w:val="20"/>
                <w:lang w:val="en-GB" w:eastAsia="en-GB"/>
              </w:rPr>
              <w:br/>
              <w:t>£m</w:t>
            </w:r>
          </w:p>
        </w:tc>
      </w:tr>
      <w:tr w:rsidR="00743189" w:rsidRPr="00743189" w14:paraId="2CA57653" w14:textId="77777777" w:rsidTr="00743189">
        <w:trPr>
          <w:trHeight w:val="51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992EA37" w14:textId="77777777" w:rsidR="00743189" w:rsidRPr="00743189" w:rsidRDefault="00743189" w:rsidP="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231.6</w:t>
            </w:r>
          </w:p>
        </w:tc>
        <w:tc>
          <w:tcPr>
            <w:tcW w:w="7180" w:type="dxa"/>
            <w:tcBorders>
              <w:top w:val="nil"/>
              <w:left w:val="nil"/>
              <w:bottom w:val="single" w:sz="4" w:space="0" w:color="auto"/>
              <w:right w:val="single" w:sz="4" w:space="0" w:color="auto"/>
            </w:tcBorders>
            <w:shd w:val="clear" w:color="000000" w:fill="FFFFFF"/>
            <w:vAlign w:val="center"/>
            <w:hideMark/>
          </w:tcPr>
          <w:p w14:paraId="543023B6" w14:textId="77777777" w:rsidR="00743189" w:rsidRPr="00743189" w:rsidRDefault="00743189" w:rsidP="00743189">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Total Actual net Expenditure per revenue outturn report 2020/21</w:t>
            </w:r>
          </w:p>
        </w:tc>
        <w:tc>
          <w:tcPr>
            <w:tcW w:w="1180" w:type="dxa"/>
            <w:tcBorders>
              <w:top w:val="nil"/>
              <w:left w:val="nil"/>
              <w:bottom w:val="single" w:sz="4" w:space="0" w:color="auto"/>
              <w:right w:val="single" w:sz="4" w:space="0" w:color="auto"/>
            </w:tcBorders>
            <w:shd w:val="clear" w:color="auto" w:fill="auto"/>
            <w:noWrap/>
            <w:vAlign w:val="center"/>
            <w:hideMark/>
          </w:tcPr>
          <w:p w14:paraId="55D6CDE4" w14:textId="77777777" w:rsidR="00743189" w:rsidRPr="00743189" w:rsidRDefault="00743189" w:rsidP="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245.9</w:t>
            </w:r>
          </w:p>
        </w:tc>
      </w:tr>
      <w:tr w:rsidR="00743189" w:rsidRPr="00743189" w14:paraId="324D424B" w14:textId="77777777" w:rsidTr="00743189">
        <w:trPr>
          <w:trHeight w:val="510"/>
          <w:jc w:val="center"/>
        </w:trPr>
        <w:tc>
          <w:tcPr>
            <w:tcW w:w="1180" w:type="dxa"/>
            <w:tcBorders>
              <w:top w:val="nil"/>
              <w:left w:val="single" w:sz="4" w:space="0" w:color="auto"/>
              <w:bottom w:val="nil"/>
              <w:right w:val="single" w:sz="4" w:space="0" w:color="auto"/>
            </w:tcBorders>
            <w:shd w:val="clear" w:color="auto" w:fill="auto"/>
            <w:noWrap/>
            <w:vAlign w:val="center"/>
            <w:hideMark/>
          </w:tcPr>
          <w:p w14:paraId="62B92777"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 </w:t>
            </w:r>
          </w:p>
        </w:tc>
        <w:tc>
          <w:tcPr>
            <w:tcW w:w="7180" w:type="dxa"/>
            <w:tcBorders>
              <w:top w:val="nil"/>
              <w:left w:val="nil"/>
              <w:bottom w:val="nil"/>
              <w:right w:val="single" w:sz="4" w:space="0" w:color="auto"/>
            </w:tcBorders>
            <w:shd w:val="clear" w:color="000000" w:fill="FFFFFF"/>
            <w:vAlign w:val="center"/>
            <w:hideMark/>
          </w:tcPr>
          <w:p w14:paraId="742BEDD9" w14:textId="77777777" w:rsidR="00743189" w:rsidRPr="00743189" w:rsidRDefault="00743189" w:rsidP="00743189">
            <w:pPr>
              <w:rPr>
                <w:rFonts w:ascii="Verdana" w:eastAsia="Times New Roman" w:hAnsi="Verdana" w:cs="Times New Roman"/>
                <w:b/>
                <w:bCs/>
                <w:i/>
                <w:iCs/>
                <w:color w:val="000000"/>
                <w:sz w:val="20"/>
                <w:szCs w:val="20"/>
                <w:lang w:val="en-GB" w:eastAsia="en-GB"/>
              </w:rPr>
            </w:pPr>
            <w:r w:rsidRPr="00743189">
              <w:rPr>
                <w:rFonts w:ascii="Verdana" w:eastAsia="Times New Roman" w:hAnsi="Verdana" w:cs="Times New Roman"/>
                <w:b/>
                <w:bCs/>
                <w:i/>
                <w:iCs/>
                <w:color w:val="000000"/>
                <w:sz w:val="20"/>
                <w:szCs w:val="20"/>
                <w:lang w:val="en-GB" w:eastAsia="en-GB"/>
              </w:rPr>
              <w:t>Reserve and Provision transfers excluded from (Surplus)/Deficit on Provision of Services:</w:t>
            </w:r>
          </w:p>
        </w:tc>
        <w:tc>
          <w:tcPr>
            <w:tcW w:w="1180" w:type="dxa"/>
            <w:tcBorders>
              <w:top w:val="nil"/>
              <w:left w:val="nil"/>
              <w:bottom w:val="nil"/>
              <w:right w:val="single" w:sz="4" w:space="0" w:color="auto"/>
            </w:tcBorders>
            <w:shd w:val="clear" w:color="auto" w:fill="auto"/>
            <w:noWrap/>
            <w:vAlign w:val="center"/>
            <w:hideMark/>
          </w:tcPr>
          <w:p w14:paraId="54509411"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 </w:t>
            </w:r>
          </w:p>
        </w:tc>
      </w:tr>
      <w:tr w:rsidR="00743189" w:rsidRPr="00743189" w14:paraId="434BCB85"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58F50339"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FF0000"/>
                <w:sz w:val="20"/>
                <w:szCs w:val="20"/>
                <w:lang w:val="en-GB" w:eastAsia="en-GB"/>
              </w:rPr>
              <w:t>(2.6)</w:t>
            </w:r>
          </w:p>
        </w:tc>
        <w:tc>
          <w:tcPr>
            <w:tcW w:w="7180" w:type="dxa"/>
            <w:tcBorders>
              <w:top w:val="nil"/>
              <w:left w:val="nil"/>
              <w:bottom w:val="nil"/>
              <w:right w:val="single" w:sz="4" w:space="0" w:color="auto"/>
            </w:tcBorders>
            <w:shd w:val="clear" w:color="000000" w:fill="FFFFFF"/>
            <w:vAlign w:val="center"/>
            <w:hideMark/>
          </w:tcPr>
          <w:p w14:paraId="4A898297"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Usable Reserves</w:t>
            </w:r>
          </w:p>
        </w:tc>
        <w:tc>
          <w:tcPr>
            <w:tcW w:w="1180" w:type="dxa"/>
            <w:tcBorders>
              <w:top w:val="nil"/>
              <w:left w:val="nil"/>
              <w:bottom w:val="nil"/>
              <w:right w:val="single" w:sz="4" w:space="0" w:color="auto"/>
            </w:tcBorders>
            <w:shd w:val="clear" w:color="auto" w:fill="auto"/>
            <w:noWrap/>
            <w:vAlign w:val="center"/>
            <w:hideMark/>
          </w:tcPr>
          <w:p w14:paraId="1863AF61"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0.0</w:t>
            </w:r>
          </w:p>
        </w:tc>
      </w:tr>
      <w:tr w:rsidR="00743189" w:rsidRPr="00743189" w14:paraId="18FC6770"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4DCB7865"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FF0000"/>
                <w:sz w:val="20"/>
                <w:szCs w:val="20"/>
                <w:lang w:val="en-GB" w:eastAsia="en-GB"/>
              </w:rPr>
              <w:t>(6.6)</w:t>
            </w:r>
          </w:p>
        </w:tc>
        <w:tc>
          <w:tcPr>
            <w:tcW w:w="7180" w:type="dxa"/>
            <w:tcBorders>
              <w:top w:val="nil"/>
              <w:left w:val="nil"/>
              <w:bottom w:val="nil"/>
              <w:right w:val="single" w:sz="4" w:space="0" w:color="auto"/>
            </w:tcBorders>
            <w:shd w:val="clear" w:color="000000" w:fill="FFFFFF"/>
            <w:vAlign w:val="center"/>
            <w:hideMark/>
          </w:tcPr>
          <w:p w14:paraId="11D694AF"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Financial year end accounting adjustments</w:t>
            </w:r>
          </w:p>
        </w:tc>
        <w:tc>
          <w:tcPr>
            <w:tcW w:w="1180" w:type="dxa"/>
            <w:tcBorders>
              <w:top w:val="nil"/>
              <w:left w:val="nil"/>
              <w:bottom w:val="nil"/>
              <w:right w:val="single" w:sz="4" w:space="0" w:color="auto"/>
            </w:tcBorders>
            <w:shd w:val="clear" w:color="auto" w:fill="auto"/>
            <w:noWrap/>
            <w:vAlign w:val="center"/>
            <w:hideMark/>
          </w:tcPr>
          <w:p w14:paraId="7012B6D1" w14:textId="711A7996" w:rsidR="00743189" w:rsidRPr="00743189" w:rsidRDefault="00DB179E" w:rsidP="00DB179E">
            <w:pPr>
              <w:jc w:val="right"/>
              <w:rPr>
                <w:rFonts w:ascii="Verdana" w:eastAsia="Times New Roman" w:hAnsi="Verdana" w:cs="Times New Roman"/>
                <w:color w:val="000000"/>
                <w:sz w:val="20"/>
                <w:szCs w:val="20"/>
                <w:lang w:val="en-GB" w:eastAsia="en-GB"/>
              </w:rPr>
            </w:pPr>
            <w:r>
              <w:rPr>
                <w:rFonts w:ascii="Verdana" w:eastAsia="Times New Roman" w:hAnsi="Verdana" w:cs="Times New Roman"/>
                <w:color w:val="000000"/>
                <w:sz w:val="20"/>
                <w:szCs w:val="20"/>
                <w:lang w:val="en-GB" w:eastAsia="en-GB"/>
              </w:rPr>
              <w:t>5</w:t>
            </w:r>
            <w:r w:rsidR="00743189" w:rsidRPr="00743189">
              <w:rPr>
                <w:rFonts w:ascii="Verdana" w:eastAsia="Times New Roman" w:hAnsi="Verdana" w:cs="Times New Roman"/>
                <w:color w:val="000000"/>
                <w:sz w:val="20"/>
                <w:szCs w:val="20"/>
                <w:lang w:val="en-GB" w:eastAsia="en-GB"/>
              </w:rPr>
              <w:t>.</w:t>
            </w:r>
            <w:r>
              <w:rPr>
                <w:rFonts w:ascii="Verdana" w:eastAsia="Times New Roman" w:hAnsi="Verdana" w:cs="Times New Roman"/>
                <w:color w:val="000000"/>
                <w:sz w:val="20"/>
                <w:szCs w:val="20"/>
                <w:lang w:val="en-GB" w:eastAsia="en-GB"/>
              </w:rPr>
              <w:t>4</w:t>
            </w:r>
          </w:p>
        </w:tc>
      </w:tr>
      <w:tr w:rsidR="00743189" w:rsidRPr="00743189" w14:paraId="4693DA0A"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261902BD"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 </w:t>
            </w:r>
          </w:p>
        </w:tc>
        <w:tc>
          <w:tcPr>
            <w:tcW w:w="7180" w:type="dxa"/>
            <w:tcBorders>
              <w:top w:val="nil"/>
              <w:left w:val="nil"/>
              <w:bottom w:val="nil"/>
              <w:right w:val="single" w:sz="4" w:space="0" w:color="auto"/>
            </w:tcBorders>
            <w:shd w:val="clear" w:color="000000" w:fill="FFFFFF"/>
            <w:vAlign w:val="center"/>
            <w:hideMark/>
          </w:tcPr>
          <w:p w14:paraId="288AD857" w14:textId="77777777" w:rsidR="00743189" w:rsidRPr="00743189" w:rsidRDefault="00743189" w:rsidP="00743189">
            <w:pPr>
              <w:rPr>
                <w:rFonts w:ascii="Verdana" w:eastAsia="Times New Roman" w:hAnsi="Verdana" w:cs="Times New Roman"/>
                <w:b/>
                <w:bCs/>
                <w:i/>
                <w:iCs/>
                <w:color w:val="000000"/>
                <w:sz w:val="20"/>
                <w:szCs w:val="20"/>
                <w:lang w:val="en-GB" w:eastAsia="en-GB"/>
              </w:rPr>
            </w:pPr>
            <w:r w:rsidRPr="00743189">
              <w:rPr>
                <w:rFonts w:ascii="Verdana" w:eastAsia="Times New Roman" w:hAnsi="Verdana" w:cs="Times New Roman"/>
                <w:b/>
                <w:bCs/>
                <w:i/>
                <w:iCs/>
                <w:color w:val="000000"/>
                <w:sz w:val="20"/>
                <w:szCs w:val="20"/>
                <w:lang w:val="en-GB" w:eastAsia="en-GB"/>
              </w:rPr>
              <w:t>Amounts in the CIES not in the outturn report:</w:t>
            </w:r>
          </w:p>
        </w:tc>
        <w:tc>
          <w:tcPr>
            <w:tcW w:w="1180" w:type="dxa"/>
            <w:tcBorders>
              <w:top w:val="nil"/>
              <w:left w:val="nil"/>
              <w:bottom w:val="nil"/>
              <w:right w:val="single" w:sz="4" w:space="0" w:color="auto"/>
            </w:tcBorders>
            <w:shd w:val="clear" w:color="auto" w:fill="auto"/>
            <w:noWrap/>
            <w:vAlign w:val="center"/>
            <w:hideMark/>
          </w:tcPr>
          <w:p w14:paraId="719A469D"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 </w:t>
            </w:r>
          </w:p>
        </w:tc>
      </w:tr>
      <w:tr w:rsidR="00743189" w:rsidRPr="00743189" w14:paraId="5ED9AD8D"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312085C7"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11.2</w:t>
            </w:r>
          </w:p>
        </w:tc>
        <w:tc>
          <w:tcPr>
            <w:tcW w:w="7180" w:type="dxa"/>
            <w:tcBorders>
              <w:top w:val="nil"/>
              <w:left w:val="nil"/>
              <w:bottom w:val="nil"/>
              <w:right w:val="single" w:sz="4" w:space="0" w:color="auto"/>
            </w:tcBorders>
            <w:shd w:val="clear" w:color="000000" w:fill="FFFFFF"/>
            <w:vAlign w:val="center"/>
            <w:hideMark/>
          </w:tcPr>
          <w:p w14:paraId="47B8FC75"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Depreciation &amp; Amortisation</w:t>
            </w:r>
          </w:p>
        </w:tc>
        <w:tc>
          <w:tcPr>
            <w:tcW w:w="1180" w:type="dxa"/>
            <w:tcBorders>
              <w:top w:val="nil"/>
              <w:left w:val="nil"/>
              <w:bottom w:val="nil"/>
              <w:right w:val="single" w:sz="4" w:space="0" w:color="auto"/>
            </w:tcBorders>
            <w:shd w:val="clear" w:color="auto" w:fill="auto"/>
            <w:noWrap/>
            <w:vAlign w:val="center"/>
            <w:hideMark/>
          </w:tcPr>
          <w:p w14:paraId="1EB9F431"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10.5</w:t>
            </w:r>
          </w:p>
        </w:tc>
      </w:tr>
      <w:tr w:rsidR="00743189" w:rsidRPr="00743189" w14:paraId="417E9F2D"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5FE3EB70"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27.2</w:t>
            </w:r>
          </w:p>
        </w:tc>
        <w:tc>
          <w:tcPr>
            <w:tcW w:w="7180" w:type="dxa"/>
            <w:tcBorders>
              <w:top w:val="nil"/>
              <w:left w:val="nil"/>
              <w:bottom w:val="nil"/>
              <w:right w:val="single" w:sz="4" w:space="0" w:color="auto"/>
            </w:tcBorders>
            <w:shd w:val="clear" w:color="000000" w:fill="FFFFFF"/>
            <w:vAlign w:val="center"/>
            <w:hideMark/>
          </w:tcPr>
          <w:p w14:paraId="45CC1322"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Pensions</w:t>
            </w:r>
          </w:p>
        </w:tc>
        <w:tc>
          <w:tcPr>
            <w:tcW w:w="1180" w:type="dxa"/>
            <w:tcBorders>
              <w:top w:val="nil"/>
              <w:left w:val="nil"/>
              <w:bottom w:val="nil"/>
              <w:right w:val="single" w:sz="4" w:space="0" w:color="auto"/>
            </w:tcBorders>
            <w:shd w:val="clear" w:color="auto" w:fill="auto"/>
            <w:noWrap/>
            <w:vAlign w:val="center"/>
            <w:hideMark/>
          </w:tcPr>
          <w:p w14:paraId="4106EB53"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21.7</w:t>
            </w:r>
          </w:p>
        </w:tc>
      </w:tr>
      <w:tr w:rsidR="00743189" w:rsidRPr="00743189" w14:paraId="192C42BB" w14:textId="77777777" w:rsidTr="00743189">
        <w:trPr>
          <w:trHeight w:val="25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D5AE3" w14:textId="77777777" w:rsidR="00743189" w:rsidRPr="00743189" w:rsidRDefault="00743189" w:rsidP="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260.8</w:t>
            </w:r>
          </w:p>
        </w:tc>
        <w:tc>
          <w:tcPr>
            <w:tcW w:w="7180" w:type="dxa"/>
            <w:tcBorders>
              <w:top w:val="single" w:sz="4" w:space="0" w:color="auto"/>
              <w:left w:val="nil"/>
              <w:bottom w:val="single" w:sz="4" w:space="0" w:color="auto"/>
              <w:right w:val="single" w:sz="4" w:space="0" w:color="auto"/>
            </w:tcBorders>
            <w:shd w:val="clear" w:color="000000" w:fill="FFFFFF"/>
            <w:vAlign w:val="center"/>
            <w:hideMark/>
          </w:tcPr>
          <w:p w14:paraId="628492A0" w14:textId="77777777" w:rsidR="00743189" w:rsidRPr="00743189" w:rsidRDefault="00743189" w:rsidP="00743189">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Net Cost of Services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2F9EE00" w14:textId="56C70524" w:rsidR="00743189" w:rsidRPr="00743189" w:rsidRDefault="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28</w:t>
            </w:r>
            <w:r w:rsidR="00DB179E">
              <w:rPr>
                <w:rFonts w:ascii="Verdana" w:eastAsia="Times New Roman" w:hAnsi="Verdana" w:cs="Times New Roman"/>
                <w:b/>
                <w:bCs/>
                <w:color w:val="000000"/>
                <w:sz w:val="20"/>
                <w:szCs w:val="20"/>
                <w:lang w:val="en-GB" w:eastAsia="en-GB"/>
              </w:rPr>
              <w:t>3</w:t>
            </w:r>
            <w:r w:rsidRPr="00743189">
              <w:rPr>
                <w:rFonts w:ascii="Verdana" w:eastAsia="Times New Roman" w:hAnsi="Verdana" w:cs="Times New Roman"/>
                <w:b/>
                <w:bCs/>
                <w:color w:val="000000"/>
                <w:sz w:val="20"/>
                <w:szCs w:val="20"/>
                <w:lang w:val="en-GB" w:eastAsia="en-GB"/>
              </w:rPr>
              <w:t>.</w:t>
            </w:r>
            <w:r w:rsidR="00DB179E">
              <w:rPr>
                <w:rFonts w:ascii="Verdana" w:eastAsia="Times New Roman" w:hAnsi="Verdana" w:cs="Times New Roman"/>
                <w:b/>
                <w:bCs/>
                <w:color w:val="000000"/>
                <w:sz w:val="20"/>
                <w:szCs w:val="20"/>
                <w:lang w:val="en-GB" w:eastAsia="en-GB"/>
              </w:rPr>
              <w:t>5</w:t>
            </w:r>
          </w:p>
        </w:tc>
      </w:tr>
      <w:tr w:rsidR="00743189" w:rsidRPr="00743189" w14:paraId="080DC4A8" w14:textId="77777777" w:rsidTr="00743189">
        <w:trPr>
          <w:trHeight w:val="51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208B369"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FF0000"/>
                <w:sz w:val="20"/>
                <w:szCs w:val="20"/>
                <w:lang w:val="en-GB" w:eastAsia="en-GB"/>
              </w:rPr>
              <w:t>(251.3)</w:t>
            </w:r>
          </w:p>
        </w:tc>
        <w:tc>
          <w:tcPr>
            <w:tcW w:w="7180" w:type="dxa"/>
            <w:tcBorders>
              <w:top w:val="nil"/>
              <w:left w:val="nil"/>
              <w:bottom w:val="single" w:sz="4" w:space="0" w:color="auto"/>
              <w:right w:val="single" w:sz="4" w:space="0" w:color="auto"/>
            </w:tcBorders>
            <w:shd w:val="clear" w:color="000000" w:fill="FFFFFF"/>
            <w:vAlign w:val="center"/>
            <w:hideMark/>
          </w:tcPr>
          <w:p w14:paraId="32D794D1"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Intra-group Adjustment from PCC to CC for resources consumed at the request of the Chief Constable</w:t>
            </w:r>
          </w:p>
        </w:tc>
        <w:tc>
          <w:tcPr>
            <w:tcW w:w="1180" w:type="dxa"/>
            <w:tcBorders>
              <w:top w:val="nil"/>
              <w:left w:val="nil"/>
              <w:bottom w:val="single" w:sz="4" w:space="0" w:color="auto"/>
              <w:right w:val="single" w:sz="4" w:space="0" w:color="auto"/>
            </w:tcBorders>
            <w:shd w:val="clear" w:color="auto" w:fill="auto"/>
            <w:noWrap/>
            <w:vAlign w:val="center"/>
            <w:hideMark/>
          </w:tcPr>
          <w:p w14:paraId="1374EF51" w14:textId="72C492DC" w:rsidR="00743189" w:rsidRPr="00743189" w:rsidRDefault="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FF0000"/>
                <w:sz w:val="20"/>
                <w:szCs w:val="20"/>
                <w:lang w:val="en-GB" w:eastAsia="en-GB"/>
              </w:rPr>
              <w:t>(26</w:t>
            </w:r>
            <w:r w:rsidR="00DB179E">
              <w:rPr>
                <w:rFonts w:ascii="Verdana" w:eastAsia="Times New Roman" w:hAnsi="Verdana" w:cs="Times New Roman"/>
                <w:color w:val="FF0000"/>
                <w:sz w:val="20"/>
                <w:szCs w:val="20"/>
                <w:lang w:val="en-GB" w:eastAsia="en-GB"/>
              </w:rPr>
              <w:t>0</w:t>
            </w:r>
            <w:r w:rsidRPr="00743189">
              <w:rPr>
                <w:rFonts w:ascii="Verdana" w:eastAsia="Times New Roman" w:hAnsi="Verdana" w:cs="Times New Roman"/>
                <w:color w:val="FF0000"/>
                <w:sz w:val="20"/>
                <w:szCs w:val="20"/>
                <w:lang w:val="en-GB" w:eastAsia="en-GB"/>
              </w:rPr>
              <w:t>.</w:t>
            </w:r>
            <w:r w:rsidR="00DB179E">
              <w:rPr>
                <w:rFonts w:ascii="Verdana" w:eastAsia="Times New Roman" w:hAnsi="Verdana" w:cs="Times New Roman"/>
                <w:color w:val="FF0000"/>
                <w:sz w:val="20"/>
                <w:szCs w:val="20"/>
                <w:lang w:val="en-GB" w:eastAsia="en-GB"/>
              </w:rPr>
              <w:t>9</w:t>
            </w:r>
            <w:r w:rsidRPr="00743189">
              <w:rPr>
                <w:rFonts w:ascii="Verdana" w:eastAsia="Times New Roman" w:hAnsi="Verdana" w:cs="Times New Roman"/>
                <w:color w:val="FF0000"/>
                <w:sz w:val="20"/>
                <w:szCs w:val="20"/>
                <w:lang w:val="en-GB" w:eastAsia="en-GB"/>
              </w:rPr>
              <w:t>)</w:t>
            </w:r>
          </w:p>
        </w:tc>
      </w:tr>
      <w:tr w:rsidR="00743189" w:rsidRPr="00743189" w14:paraId="49844C05" w14:textId="77777777" w:rsidTr="00743189">
        <w:trPr>
          <w:trHeight w:val="510"/>
          <w:jc w:val="center"/>
        </w:trPr>
        <w:tc>
          <w:tcPr>
            <w:tcW w:w="1180" w:type="dxa"/>
            <w:tcBorders>
              <w:top w:val="nil"/>
              <w:left w:val="single" w:sz="4" w:space="0" w:color="auto"/>
              <w:bottom w:val="nil"/>
              <w:right w:val="single" w:sz="4" w:space="0" w:color="auto"/>
            </w:tcBorders>
            <w:shd w:val="clear" w:color="auto" w:fill="auto"/>
            <w:noWrap/>
            <w:vAlign w:val="center"/>
            <w:hideMark/>
          </w:tcPr>
          <w:p w14:paraId="133E066C"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53.1</w:t>
            </w:r>
          </w:p>
        </w:tc>
        <w:tc>
          <w:tcPr>
            <w:tcW w:w="7180" w:type="dxa"/>
            <w:tcBorders>
              <w:top w:val="nil"/>
              <w:left w:val="nil"/>
              <w:bottom w:val="nil"/>
              <w:right w:val="single" w:sz="4" w:space="0" w:color="auto"/>
            </w:tcBorders>
            <w:shd w:val="clear" w:color="000000" w:fill="FFFFFF"/>
            <w:vAlign w:val="center"/>
            <w:hideMark/>
          </w:tcPr>
          <w:p w14:paraId="4D892936"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Financing and Investment Income &amp; Expenditure including Pension Interest costs and expected return on pension assets</w:t>
            </w:r>
          </w:p>
        </w:tc>
        <w:tc>
          <w:tcPr>
            <w:tcW w:w="1180" w:type="dxa"/>
            <w:tcBorders>
              <w:top w:val="nil"/>
              <w:left w:val="nil"/>
              <w:bottom w:val="nil"/>
              <w:right w:val="single" w:sz="4" w:space="0" w:color="auto"/>
            </w:tcBorders>
            <w:shd w:val="clear" w:color="auto" w:fill="auto"/>
            <w:noWrap/>
            <w:vAlign w:val="center"/>
            <w:hideMark/>
          </w:tcPr>
          <w:p w14:paraId="21FEDD80"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45.9</w:t>
            </w:r>
          </w:p>
        </w:tc>
      </w:tr>
      <w:tr w:rsidR="00743189" w:rsidRPr="00743189" w14:paraId="09DEBC45"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73653175"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0.5</w:t>
            </w:r>
          </w:p>
        </w:tc>
        <w:tc>
          <w:tcPr>
            <w:tcW w:w="7180" w:type="dxa"/>
            <w:tcBorders>
              <w:top w:val="nil"/>
              <w:left w:val="nil"/>
              <w:bottom w:val="nil"/>
              <w:right w:val="single" w:sz="4" w:space="0" w:color="auto"/>
            </w:tcBorders>
            <w:shd w:val="clear" w:color="000000" w:fill="FFFFFF"/>
            <w:vAlign w:val="center"/>
            <w:hideMark/>
          </w:tcPr>
          <w:p w14:paraId="0C2746F3"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Levies &amp; other operating expenditure</w:t>
            </w:r>
          </w:p>
        </w:tc>
        <w:tc>
          <w:tcPr>
            <w:tcW w:w="1180" w:type="dxa"/>
            <w:tcBorders>
              <w:top w:val="nil"/>
              <w:left w:val="nil"/>
              <w:bottom w:val="nil"/>
              <w:right w:val="single" w:sz="4" w:space="0" w:color="auto"/>
            </w:tcBorders>
            <w:shd w:val="clear" w:color="auto" w:fill="auto"/>
            <w:noWrap/>
            <w:vAlign w:val="center"/>
            <w:hideMark/>
          </w:tcPr>
          <w:p w14:paraId="59D98C0D" w14:textId="7A42E99F" w:rsidR="00743189" w:rsidRPr="00743189" w:rsidRDefault="00743189" w:rsidP="00DB179E">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w:t>
            </w:r>
            <w:r w:rsidR="00E7271B">
              <w:rPr>
                <w:rFonts w:ascii="Verdana" w:eastAsia="Times New Roman" w:hAnsi="Verdana" w:cs="Times New Roman"/>
                <w:color w:val="000000"/>
                <w:sz w:val="20"/>
                <w:szCs w:val="20"/>
                <w:lang w:val="en-GB" w:eastAsia="en-GB"/>
              </w:rPr>
              <w:t>0</w:t>
            </w:r>
          </w:p>
        </w:tc>
      </w:tr>
      <w:tr w:rsidR="00743189" w:rsidRPr="00743189" w14:paraId="6E2B1E4E"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40E96BF9"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0.0</w:t>
            </w:r>
          </w:p>
        </w:tc>
        <w:tc>
          <w:tcPr>
            <w:tcW w:w="7180" w:type="dxa"/>
            <w:tcBorders>
              <w:top w:val="nil"/>
              <w:left w:val="nil"/>
              <w:bottom w:val="nil"/>
              <w:right w:val="single" w:sz="4" w:space="0" w:color="auto"/>
            </w:tcBorders>
            <w:shd w:val="clear" w:color="000000" w:fill="FFFFFF"/>
            <w:vAlign w:val="center"/>
            <w:hideMark/>
          </w:tcPr>
          <w:p w14:paraId="55DFFF2E"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Taxation and non-specific grant income</w:t>
            </w:r>
          </w:p>
        </w:tc>
        <w:tc>
          <w:tcPr>
            <w:tcW w:w="1180" w:type="dxa"/>
            <w:tcBorders>
              <w:top w:val="nil"/>
              <w:left w:val="nil"/>
              <w:bottom w:val="nil"/>
              <w:right w:val="single" w:sz="4" w:space="0" w:color="auto"/>
            </w:tcBorders>
            <w:shd w:val="clear" w:color="auto" w:fill="auto"/>
            <w:noWrap/>
            <w:vAlign w:val="center"/>
            <w:hideMark/>
          </w:tcPr>
          <w:p w14:paraId="0D4D6BBE"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0.0</w:t>
            </w:r>
          </w:p>
        </w:tc>
      </w:tr>
      <w:tr w:rsidR="00743189" w:rsidRPr="00743189" w14:paraId="0112C5B6" w14:textId="77777777" w:rsidTr="00743189">
        <w:trPr>
          <w:trHeight w:val="25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67EB7" w14:textId="77777777" w:rsidR="00743189" w:rsidRPr="00743189" w:rsidRDefault="00743189" w:rsidP="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63.1</w:t>
            </w:r>
          </w:p>
        </w:tc>
        <w:tc>
          <w:tcPr>
            <w:tcW w:w="7180" w:type="dxa"/>
            <w:tcBorders>
              <w:top w:val="single" w:sz="4" w:space="0" w:color="auto"/>
              <w:left w:val="nil"/>
              <w:bottom w:val="single" w:sz="4" w:space="0" w:color="auto"/>
              <w:right w:val="single" w:sz="4" w:space="0" w:color="auto"/>
            </w:tcBorders>
            <w:shd w:val="clear" w:color="000000" w:fill="FFFFFF"/>
            <w:vAlign w:val="center"/>
            <w:hideMark/>
          </w:tcPr>
          <w:p w14:paraId="50A7E701" w14:textId="77777777" w:rsidR="00743189" w:rsidRPr="00743189" w:rsidRDefault="00743189" w:rsidP="00743189">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Deficit on the provision of services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455F7DD" w14:textId="77777777" w:rsidR="00743189" w:rsidRPr="00743189" w:rsidRDefault="00743189" w:rsidP="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68.5</w:t>
            </w:r>
          </w:p>
        </w:tc>
      </w:tr>
      <w:tr w:rsidR="00743189" w:rsidRPr="00743189" w14:paraId="6832DB8B"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48378439"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0.0</w:t>
            </w:r>
          </w:p>
        </w:tc>
        <w:tc>
          <w:tcPr>
            <w:tcW w:w="7180" w:type="dxa"/>
            <w:tcBorders>
              <w:top w:val="nil"/>
              <w:left w:val="nil"/>
              <w:bottom w:val="nil"/>
              <w:right w:val="single" w:sz="4" w:space="0" w:color="auto"/>
            </w:tcBorders>
            <w:shd w:val="clear" w:color="000000" w:fill="FFFFFF"/>
            <w:vAlign w:val="center"/>
            <w:hideMark/>
          </w:tcPr>
          <w:p w14:paraId="14D865E3"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(Surplus) on revaluation of Property, Plant and Equipment</w:t>
            </w:r>
          </w:p>
        </w:tc>
        <w:tc>
          <w:tcPr>
            <w:tcW w:w="1180" w:type="dxa"/>
            <w:tcBorders>
              <w:top w:val="nil"/>
              <w:left w:val="nil"/>
              <w:bottom w:val="nil"/>
              <w:right w:val="single" w:sz="4" w:space="0" w:color="auto"/>
            </w:tcBorders>
            <w:shd w:val="clear" w:color="auto" w:fill="auto"/>
            <w:noWrap/>
            <w:vAlign w:val="center"/>
            <w:hideMark/>
          </w:tcPr>
          <w:p w14:paraId="4CC978FA"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0.0</w:t>
            </w:r>
          </w:p>
        </w:tc>
      </w:tr>
      <w:tr w:rsidR="00743189" w:rsidRPr="00743189" w14:paraId="672D1D19" w14:textId="77777777" w:rsidTr="00743189">
        <w:trPr>
          <w:trHeight w:val="255"/>
          <w:jc w:val="center"/>
        </w:trPr>
        <w:tc>
          <w:tcPr>
            <w:tcW w:w="1180" w:type="dxa"/>
            <w:tcBorders>
              <w:top w:val="nil"/>
              <w:left w:val="single" w:sz="4" w:space="0" w:color="auto"/>
              <w:bottom w:val="nil"/>
              <w:right w:val="single" w:sz="4" w:space="0" w:color="auto"/>
            </w:tcBorders>
            <w:shd w:val="clear" w:color="auto" w:fill="auto"/>
            <w:noWrap/>
            <w:vAlign w:val="center"/>
            <w:hideMark/>
          </w:tcPr>
          <w:p w14:paraId="021D63B4"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FF0000"/>
                <w:sz w:val="20"/>
                <w:szCs w:val="20"/>
                <w:lang w:val="en-GB" w:eastAsia="en-GB"/>
              </w:rPr>
              <w:t>(193.3)</w:t>
            </w:r>
          </w:p>
        </w:tc>
        <w:tc>
          <w:tcPr>
            <w:tcW w:w="7180" w:type="dxa"/>
            <w:tcBorders>
              <w:top w:val="nil"/>
              <w:left w:val="nil"/>
              <w:bottom w:val="nil"/>
              <w:right w:val="single" w:sz="4" w:space="0" w:color="auto"/>
            </w:tcBorders>
            <w:shd w:val="clear" w:color="000000" w:fill="FFFFFF"/>
            <w:vAlign w:val="center"/>
            <w:hideMark/>
          </w:tcPr>
          <w:p w14:paraId="3C869BB3" w14:textId="77777777" w:rsidR="00743189" w:rsidRPr="00743189" w:rsidRDefault="00743189" w:rsidP="00743189">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Re-measurement of the net defined benefit liability/asset</w:t>
            </w:r>
          </w:p>
        </w:tc>
        <w:tc>
          <w:tcPr>
            <w:tcW w:w="1180" w:type="dxa"/>
            <w:tcBorders>
              <w:top w:val="nil"/>
              <w:left w:val="nil"/>
              <w:bottom w:val="nil"/>
              <w:right w:val="single" w:sz="4" w:space="0" w:color="auto"/>
            </w:tcBorders>
            <w:shd w:val="clear" w:color="auto" w:fill="auto"/>
            <w:noWrap/>
            <w:vAlign w:val="center"/>
            <w:hideMark/>
          </w:tcPr>
          <w:p w14:paraId="130FFB6C" w14:textId="77777777" w:rsidR="00743189" w:rsidRPr="00743189" w:rsidRDefault="00743189" w:rsidP="00743189">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79.9</w:t>
            </w:r>
          </w:p>
        </w:tc>
      </w:tr>
      <w:tr w:rsidR="00743189" w:rsidRPr="00743189" w14:paraId="0F7FDE60" w14:textId="77777777" w:rsidTr="00743189">
        <w:trPr>
          <w:trHeight w:val="25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3122" w14:textId="77777777" w:rsidR="00743189" w:rsidRPr="00743189" w:rsidRDefault="00743189" w:rsidP="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FF0000"/>
                <w:sz w:val="20"/>
                <w:szCs w:val="20"/>
                <w:lang w:val="en-GB" w:eastAsia="en-GB"/>
              </w:rPr>
              <w:t>(130.2)</w:t>
            </w:r>
          </w:p>
        </w:tc>
        <w:tc>
          <w:tcPr>
            <w:tcW w:w="7180" w:type="dxa"/>
            <w:tcBorders>
              <w:top w:val="single" w:sz="4" w:space="0" w:color="auto"/>
              <w:left w:val="nil"/>
              <w:bottom w:val="single" w:sz="4" w:space="0" w:color="auto"/>
              <w:right w:val="single" w:sz="4" w:space="0" w:color="auto"/>
            </w:tcBorders>
            <w:shd w:val="clear" w:color="000000" w:fill="FFFFFF"/>
            <w:vAlign w:val="center"/>
            <w:hideMark/>
          </w:tcPr>
          <w:p w14:paraId="5CE3B227" w14:textId="77777777" w:rsidR="00743189" w:rsidRPr="00743189" w:rsidRDefault="00743189" w:rsidP="00743189">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Total Comprehensive Income and Expenditure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63662FA" w14:textId="77777777" w:rsidR="00743189" w:rsidRPr="00743189" w:rsidRDefault="00743189" w:rsidP="00743189">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148.4</w:t>
            </w:r>
          </w:p>
        </w:tc>
      </w:tr>
    </w:tbl>
    <w:p w14:paraId="13C6C2D8" w14:textId="77777777" w:rsidR="00C36CEE" w:rsidRDefault="00C36CEE" w:rsidP="00F227D9">
      <w:pPr>
        <w:pStyle w:val="Normal0"/>
        <w:jc w:val="both"/>
        <w:rPr>
          <w:rFonts w:ascii="Verdana" w:eastAsia="Times New Roman" w:hAnsi="Verdana" w:cs="Arial"/>
          <w:sz w:val="22"/>
          <w:szCs w:val="22"/>
          <w:highlight w:val="yellow"/>
          <w:lang w:val="en-GB" w:eastAsia="en-GB"/>
        </w:rPr>
      </w:pPr>
    </w:p>
    <w:p w14:paraId="4B2D8CFE" w14:textId="77777777" w:rsidR="00C36CEE" w:rsidRDefault="00C36CEE" w:rsidP="00F227D9">
      <w:pPr>
        <w:pStyle w:val="Normal0"/>
        <w:jc w:val="both"/>
        <w:rPr>
          <w:rFonts w:ascii="Verdana" w:eastAsia="Times New Roman" w:hAnsi="Verdana" w:cs="Arial"/>
          <w:sz w:val="22"/>
          <w:szCs w:val="22"/>
          <w:highlight w:val="yellow"/>
          <w:lang w:val="en-GB" w:eastAsia="en-GB"/>
        </w:rPr>
      </w:pPr>
    </w:p>
    <w:tbl>
      <w:tblPr>
        <w:tblW w:w="9877" w:type="dxa"/>
        <w:jc w:val="center"/>
        <w:tblLook w:val="04A0" w:firstRow="1" w:lastRow="0" w:firstColumn="1" w:lastColumn="0" w:noHBand="0" w:noVBand="1"/>
      </w:tblPr>
      <w:tblGrid>
        <w:gridCol w:w="1877"/>
        <w:gridCol w:w="6123"/>
        <w:gridCol w:w="1877"/>
      </w:tblGrid>
      <w:tr w:rsidR="003C15B1" w:rsidRPr="003C15B1" w14:paraId="135B50A7" w14:textId="77777777" w:rsidTr="003C15B1">
        <w:trPr>
          <w:trHeight w:val="1068"/>
          <w:jc w:val="center"/>
        </w:trPr>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3B855" w14:textId="684DE3E2" w:rsidR="003C15B1" w:rsidRPr="00743189" w:rsidRDefault="003C15B1" w:rsidP="00743189">
            <w:pPr>
              <w:jc w:val="cente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201</w:t>
            </w:r>
            <w:r w:rsidR="00743189" w:rsidRPr="00743189">
              <w:rPr>
                <w:rFonts w:ascii="Verdana" w:eastAsia="Times New Roman" w:hAnsi="Verdana" w:cs="Times New Roman"/>
                <w:b/>
                <w:bCs/>
                <w:color w:val="000000"/>
                <w:sz w:val="20"/>
                <w:szCs w:val="20"/>
                <w:lang w:val="en-GB" w:eastAsia="en-GB"/>
              </w:rPr>
              <w:t>9</w:t>
            </w:r>
            <w:r w:rsidRPr="00743189">
              <w:rPr>
                <w:rFonts w:ascii="Verdana" w:eastAsia="Times New Roman" w:hAnsi="Verdana" w:cs="Times New Roman"/>
                <w:b/>
                <w:bCs/>
                <w:color w:val="000000"/>
                <w:sz w:val="20"/>
                <w:szCs w:val="20"/>
                <w:lang w:val="en-GB" w:eastAsia="en-GB"/>
              </w:rPr>
              <w:t>/</w:t>
            </w:r>
            <w:r w:rsidR="00743189" w:rsidRPr="00743189">
              <w:rPr>
                <w:rFonts w:ascii="Verdana" w:eastAsia="Times New Roman" w:hAnsi="Verdana" w:cs="Times New Roman"/>
                <w:b/>
                <w:bCs/>
                <w:color w:val="000000"/>
                <w:sz w:val="20"/>
                <w:szCs w:val="20"/>
                <w:lang w:val="en-GB" w:eastAsia="en-GB"/>
              </w:rPr>
              <w:t>20</w:t>
            </w:r>
            <w:r w:rsidRPr="00743189">
              <w:rPr>
                <w:rFonts w:ascii="Verdana" w:eastAsia="Times New Roman" w:hAnsi="Verdana" w:cs="Times New Roman"/>
                <w:b/>
                <w:bCs/>
                <w:color w:val="000000"/>
                <w:sz w:val="20"/>
                <w:szCs w:val="20"/>
                <w:lang w:val="en-GB" w:eastAsia="en-GB"/>
              </w:rPr>
              <w:br/>
              <w:t>Net Expenditure</w:t>
            </w:r>
            <w:r w:rsidRPr="00743189">
              <w:rPr>
                <w:rFonts w:ascii="Verdana" w:eastAsia="Times New Roman" w:hAnsi="Verdana" w:cs="Times New Roman"/>
                <w:b/>
                <w:bCs/>
                <w:color w:val="000000"/>
                <w:sz w:val="20"/>
                <w:szCs w:val="20"/>
                <w:lang w:val="en-GB" w:eastAsia="en-GB"/>
              </w:rPr>
              <w:br/>
              <w:t xml:space="preserve">£m </w:t>
            </w:r>
          </w:p>
        </w:tc>
        <w:tc>
          <w:tcPr>
            <w:tcW w:w="6123" w:type="dxa"/>
            <w:tcBorders>
              <w:top w:val="single" w:sz="4" w:space="0" w:color="auto"/>
              <w:left w:val="nil"/>
              <w:bottom w:val="single" w:sz="4" w:space="0" w:color="auto"/>
              <w:right w:val="nil"/>
            </w:tcBorders>
            <w:shd w:val="clear" w:color="auto" w:fill="auto"/>
            <w:noWrap/>
            <w:vAlign w:val="center"/>
            <w:hideMark/>
          </w:tcPr>
          <w:p w14:paraId="0B738FEA" w14:textId="77777777" w:rsidR="003C15B1" w:rsidRPr="00743189" w:rsidRDefault="003C15B1" w:rsidP="003C15B1">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 xml:space="preserve"> Summary of Chief Constables CIES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4C15F" w14:textId="239B1C94" w:rsidR="003C15B1" w:rsidRPr="009E213D" w:rsidRDefault="003C15B1" w:rsidP="00743189">
            <w:pPr>
              <w:jc w:val="center"/>
              <w:rPr>
                <w:rFonts w:ascii="Verdana" w:eastAsia="Times New Roman" w:hAnsi="Verdana" w:cs="Times New Roman"/>
                <w:b/>
                <w:bCs/>
                <w:color w:val="000000"/>
                <w:sz w:val="20"/>
                <w:szCs w:val="20"/>
                <w:lang w:val="en-GB" w:eastAsia="en-GB"/>
              </w:rPr>
            </w:pPr>
            <w:r w:rsidRPr="009E213D">
              <w:rPr>
                <w:rFonts w:ascii="Verdana" w:eastAsia="Times New Roman" w:hAnsi="Verdana" w:cs="Times New Roman"/>
                <w:b/>
                <w:bCs/>
                <w:color w:val="000000"/>
                <w:sz w:val="20"/>
                <w:szCs w:val="20"/>
                <w:lang w:val="en-GB" w:eastAsia="en-GB"/>
              </w:rPr>
              <w:t xml:space="preserve"> 20</w:t>
            </w:r>
            <w:r w:rsidR="00743189" w:rsidRPr="009E213D">
              <w:rPr>
                <w:rFonts w:ascii="Verdana" w:eastAsia="Times New Roman" w:hAnsi="Verdana" w:cs="Times New Roman"/>
                <w:b/>
                <w:bCs/>
                <w:color w:val="000000"/>
                <w:sz w:val="20"/>
                <w:szCs w:val="20"/>
                <w:lang w:val="en-GB" w:eastAsia="en-GB"/>
              </w:rPr>
              <w:t>20</w:t>
            </w:r>
            <w:r w:rsidRPr="009E213D">
              <w:rPr>
                <w:rFonts w:ascii="Verdana" w:eastAsia="Times New Roman" w:hAnsi="Verdana" w:cs="Times New Roman"/>
                <w:b/>
                <w:bCs/>
                <w:color w:val="000000"/>
                <w:sz w:val="20"/>
                <w:szCs w:val="20"/>
                <w:lang w:val="en-GB" w:eastAsia="en-GB"/>
              </w:rPr>
              <w:t>/2</w:t>
            </w:r>
            <w:r w:rsidR="00743189" w:rsidRPr="009E213D">
              <w:rPr>
                <w:rFonts w:ascii="Verdana" w:eastAsia="Times New Roman" w:hAnsi="Verdana" w:cs="Times New Roman"/>
                <w:b/>
                <w:bCs/>
                <w:color w:val="000000"/>
                <w:sz w:val="20"/>
                <w:szCs w:val="20"/>
                <w:lang w:val="en-GB" w:eastAsia="en-GB"/>
              </w:rPr>
              <w:t>1</w:t>
            </w:r>
            <w:r w:rsidRPr="009E213D">
              <w:rPr>
                <w:rFonts w:ascii="Verdana" w:eastAsia="Times New Roman" w:hAnsi="Verdana" w:cs="Times New Roman"/>
                <w:b/>
                <w:bCs/>
                <w:color w:val="000000"/>
                <w:sz w:val="20"/>
                <w:szCs w:val="20"/>
                <w:lang w:val="en-GB" w:eastAsia="en-GB"/>
              </w:rPr>
              <w:br/>
              <w:t>Net Expenditure</w:t>
            </w:r>
            <w:r w:rsidRPr="009E213D">
              <w:rPr>
                <w:rFonts w:ascii="Verdana" w:eastAsia="Times New Roman" w:hAnsi="Verdana" w:cs="Times New Roman"/>
                <w:b/>
                <w:bCs/>
                <w:color w:val="000000"/>
                <w:sz w:val="20"/>
                <w:szCs w:val="20"/>
                <w:lang w:val="en-GB" w:eastAsia="en-GB"/>
              </w:rPr>
              <w:br/>
              <w:t xml:space="preserve">£m </w:t>
            </w:r>
          </w:p>
        </w:tc>
      </w:tr>
      <w:tr w:rsidR="003C15B1" w:rsidRPr="003C15B1" w14:paraId="4DF402DB"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3131C2F4" w14:textId="1ED01E66" w:rsidR="003C15B1" w:rsidRPr="00743189" w:rsidRDefault="00743189" w:rsidP="003C15B1">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260.8</w:t>
            </w:r>
          </w:p>
        </w:tc>
        <w:tc>
          <w:tcPr>
            <w:tcW w:w="6123" w:type="dxa"/>
            <w:tcBorders>
              <w:top w:val="nil"/>
              <w:left w:val="nil"/>
              <w:bottom w:val="nil"/>
              <w:right w:val="nil"/>
            </w:tcBorders>
            <w:shd w:val="clear" w:color="auto" w:fill="auto"/>
            <w:noWrap/>
            <w:vAlign w:val="center"/>
            <w:hideMark/>
          </w:tcPr>
          <w:p w14:paraId="5D10CB87" w14:textId="77777777" w:rsidR="003C15B1" w:rsidRPr="00743189" w:rsidRDefault="003C15B1" w:rsidP="003C15B1">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Cost of Services</w:t>
            </w:r>
          </w:p>
        </w:tc>
        <w:tc>
          <w:tcPr>
            <w:tcW w:w="1877" w:type="dxa"/>
            <w:tcBorders>
              <w:top w:val="nil"/>
              <w:left w:val="single" w:sz="4" w:space="0" w:color="auto"/>
              <w:bottom w:val="nil"/>
              <w:right w:val="single" w:sz="4" w:space="0" w:color="auto"/>
            </w:tcBorders>
            <w:shd w:val="clear" w:color="auto" w:fill="auto"/>
            <w:noWrap/>
            <w:vAlign w:val="center"/>
          </w:tcPr>
          <w:p w14:paraId="685CDF6B" w14:textId="26F195D4" w:rsidR="003C15B1" w:rsidRPr="009E213D" w:rsidRDefault="00743189">
            <w:pPr>
              <w:jc w:val="right"/>
              <w:rPr>
                <w:rFonts w:ascii="Verdana" w:eastAsia="Times New Roman" w:hAnsi="Verdana" w:cs="Times New Roman"/>
                <w:b/>
                <w:bCs/>
                <w:color w:val="000000"/>
                <w:sz w:val="20"/>
                <w:szCs w:val="20"/>
                <w:lang w:val="en-GB" w:eastAsia="en-GB"/>
              </w:rPr>
            </w:pPr>
            <w:r w:rsidRPr="009E213D">
              <w:rPr>
                <w:rFonts w:ascii="Verdana" w:eastAsia="Times New Roman" w:hAnsi="Verdana" w:cs="Times New Roman"/>
                <w:b/>
                <w:bCs/>
                <w:color w:val="000000"/>
                <w:sz w:val="20"/>
                <w:szCs w:val="20"/>
                <w:lang w:val="en-GB" w:eastAsia="en-GB"/>
              </w:rPr>
              <w:t>28</w:t>
            </w:r>
            <w:r w:rsidR="00DB179E">
              <w:rPr>
                <w:rFonts w:ascii="Verdana" w:eastAsia="Times New Roman" w:hAnsi="Verdana" w:cs="Times New Roman"/>
                <w:b/>
                <w:bCs/>
                <w:color w:val="000000"/>
                <w:sz w:val="20"/>
                <w:szCs w:val="20"/>
                <w:lang w:val="en-GB" w:eastAsia="en-GB"/>
              </w:rPr>
              <w:t>3</w:t>
            </w:r>
            <w:r w:rsidRPr="009E213D">
              <w:rPr>
                <w:rFonts w:ascii="Verdana" w:eastAsia="Times New Roman" w:hAnsi="Verdana" w:cs="Times New Roman"/>
                <w:b/>
                <w:bCs/>
                <w:color w:val="000000"/>
                <w:sz w:val="20"/>
                <w:szCs w:val="20"/>
                <w:lang w:val="en-GB" w:eastAsia="en-GB"/>
              </w:rPr>
              <w:t>.</w:t>
            </w:r>
            <w:r w:rsidR="00DB179E">
              <w:rPr>
                <w:rFonts w:ascii="Verdana" w:eastAsia="Times New Roman" w:hAnsi="Verdana" w:cs="Times New Roman"/>
                <w:b/>
                <w:bCs/>
                <w:color w:val="000000"/>
                <w:sz w:val="20"/>
                <w:szCs w:val="20"/>
                <w:lang w:val="en-GB" w:eastAsia="en-GB"/>
              </w:rPr>
              <w:t>5</w:t>
            </w:r>
          </w:p>
        </w:tc>
      </w:tr>
      <w:tr w:rsidR="003C15B1" w:rsidRPr="003C15B1" w14:paraId="29B4BAFC"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7FF0F119" w14:textId="77777777" w:rsidR="003C15B1" w:rsidRPr="00743189" w:rsidRDefault="003C15B1" w:rsidP="003C15B1">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 </w:t>
            </w:r>
          </w:p>
        </w:tc>
        <w:tc>
          <w:tcPr>
            <w:tcW w:w="6123" w:type="dxa"/>
            <w:tcBorders>
              <w:top w:val="nil"/>
              <w:left w:val="nil"/>
              <w:bottom w:val="nil"/>
              <w:right w:val="nil"/>
            </w:tcBorders>
            <w:shd w:val="clear" w:color="auto" w:fill="auto"/>
            <w:noWrap/>
            <w:vAlign w:val="center"/>
            <w:hideMark/>
          </w:tcPr>
          <w:p w14:paraId="595E531A" w14:textId="77777777" w:rsidR="003C15B1" w:rsidRPr="00743189" w:rsidRDefault="003C15B1" w:rsidP="003C15B1">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Other Operating Expenditure</w:t>
            </w:r>
          </w:p>
        </w:tc>
        <w:tc>
          <w:tcPr>
            <w:tcW w:w="1877" w:type="dxa"/>
            <w:tcBorders>
              <w:top w:val="nil"/>
              <w:left w:val="single" w:sz="4" w:space="0" w:color="auto"/>
              <w:bottom w:val="nil"/>
              <w:right w:val="single" w:sz="4" w:space="0" w:color="auto"/>
            </w:tcBorders>
            <w:shd w:val="clear" w:color="auto" w:fill="auto"/>
            <w:noWrap/>
            <w:vAlign w:val="center"/>
          </w:tcPr>
          <w:p w14:paraId="12A6F293" w14:textId="5A3BD218" w:rsidR="003C15B1" w:rsidRPr="009E213D" w:rsidRDefault="003C15B1" w:rsidP="003C15B1">
            <w:pPr>
              <w:rPr>
                <w:rFonts w:ascii="Verdana" w:eastAsia="Times New Roman" w:hAnsi="Verdana" w:cs="Times New Roman"/>
                <w:color w:val="000000"/>
                <w:sz w:val="20"/>
                <w:szCs w:val="20"/>
                <w:lang w:val="en-GB" w:eastAsia="en-GB"/>
              </w:rPr>
            </w:pPr>
          </w:p>
        </w:tc>
      </w:tr>
      <w:tr w:rsidR="003C15B1" w:rsidRPr="003C15B1" w14:paraId="231D9F52"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15761743" w14:textId="77777777" w:rsidR="003C15B1" w:rsidRPr="00743189" w:rsidRDefault="003C15B1" w:rsidP="003C15B1">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0.5</w:t>
            </w:r>
          </w:p>
        </w:tc>
        <w:tc>
          <w:tcPr>
            <w:tcW w:w="6123" w:type="dxa"/>
            <w:tcBorders>
              <w:top w:val="nil"/>
              <w:left w:val="nil"/>
              <w:bottom w:val="nil"/>
              <w:right w:val="nil"/>
            </w:tcBorders>
            <w:shd w:val="clear" w:color="auto" w:fill="auto"/>
            <w:noWrap/>
            <w:vAlign w:val="center"/>
            <w:hideMark/>
          </w:tcPr>
          <w:p w14:paraId="6E672447" w14:textId="77777777" w:rsidR="003C15B1" w:rsidRPr="00743189" w:rsidRDefault="003C15B1" w:rsidP="003C15B1">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Levies</w:t>
            </w:r>
          </w:p>
        </w:tc>
        <w:tc>
          <w:tcPr>
            <w:tcW w:w="1877" w:type="dxa"/>
            <w:tcBorders>
              <w:top w:val="nil"/>
              <w:left w:val="single" w:sz="4" w:space="0" w:color="auto"/>
              <w:bottom w:val="nil"/>
              <w:right w:val="single" w:sz="4" w:space="0" w:color="auto"/>
            </w:tcBorders>
            <w:shd w:val="clear" w:color="auto" w:fill="auto"/>
            <w:noWrap/>
            <w:vAlign w:val="center"/>
          </w:tcPr>
          <w:p w14:paraId="05E7A7D1" w14:textId="1D0DB3DE" w:rsidR="003C15B1" w:rsidRPr="009E213D" w:rsidRDefault="005C32F2" w:rsidP="00DB179E">
            <w:pPr>
              <w:jc w:val="right"/>
              <w:rPr>
                <w:rFonts w:ascii="Verdana" w:eastAsia="Times New Roman" w:hAnsi="Verdana" w:cs="Times New Roman"/>
                <w:color w:val="000000"/>
                <w:sz w:val="20"/>
                <w:szCs w:val="20"/>
                <w:lang w:val="en-GB" w:eastAsia="en-GB"/>
              </w:rPr>
            </w:pPr>
            <w:r w:rsidRPr="009E213D">
              <w:rPr>
                <w:rFonts w:ascii="Verdana" w:eastAsia="Times New Roman" w:hAnsi="Verdana" w:cs="Times New Roman"/>
                <w:color w:val="000000"/>
                <w:sz w:val="20"/>
                <w:szCs w:val="20"/>
                <w:lang w:val="en-GB" w:eastAsia="en-GB"/>
              </w:rPr>
              <w:t>0.</w:t>
            </w:r>
            <w:r w:rsidR="00D50C5D">
              <w:rPr>
                <w:rFonts w:ascii="Verdana" w:eastAsia="Times New Roman" w:hAnsi="Verdana" w:cs="Times New Roman"/>
                <w:color w:val="000000"/>
                <w:sz w:val="20"/>
                <w:szCs w:val="20"/>
                <w:lang w:val="en-GB" w:eastAsia="en-GB"/>
              </w:rPr>
              <w:t>0</w:t>
            </w:r>
          </w:p>
        </w:tc>
      </w:tr>
      <w:tr w:rsidR="003C15B1" w:rsidRPr="003C15B1" w14:paraId="3EAAF3A8"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4275CE94" w14:textId="55EDC551" w:rsidR="003C15B1" w:rsidRPr="00743189" w:rsidRDefault="00743189" w:rsidP="003C15B1">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(251.3</w:t>
            </w:r>
            <w:r w:rsidR="003C15B1" w:rsidRPr="00743189">
              <w:rPr>
                <w:rFonts w:ascii="Verdana" w:eastAsia="Times New Roman" w:hAnsi="Verdana" w:cs="Times New Roman"/>
                <w:color w:val="000000"/>
                <w:sz w:val="20"/>
                <w:szCs w:val="20"/>
                <w:lang w:val="en-GB" w:eastAsia="en-GB"/>
              </w:rPr>
              <w:t>)</w:t>
            </w:r>
          </w:p>
        </w:tc>
        <w:tc>
          <w:tcPr>
            <w:tcW w:w="6123" w:type="dxa"/>
            <w:tcBorders>
              <w:top w:val="nil"/>
              <w:left w:val="nil"/>
              <w:bottom w:val="nil"/>
              <w:right w:val="nil"/>
            </w:tcBorders>
            <w:shd w:val="clear" w:color="auto" w:fill="auto"/>
            <w:noWrap/>
            <w:vAlign w:val="center"/>
            <w:hideMark/>
          </w:tcPr>
          <w:p w14:paraId="3C82C9AD" w14:textId="77777777" w:rsidR="003C15B1" w:rsidRPr="00743189" w:rsidRDefault="003C15B1" w:rsidP="003C15B1">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Intra-Group Funding</w:t>
            </w:r>
          </w:p>
        </w:tc>
        <w:tc>
          <w:tcPr>
            <w:tcW w:w="1877" w:type="dxa"/>
            <w:tcBorders>
              <w:top w:val="nil"/>
              <w:left w:val="single" w:sz="4" w:space="0" w:color="auto"/>
              <w:bottom w:val="nil"/>
              <w:right w:val="single" w:sz="4" w:space="0" w:color="auto"/>
            </w:tcBorders>
            <w:shd w:val="clear" w:color="auto" w:fill="auto"/>
            <w:noWrap/>
            <w:vAlign w:val="center"/>
          </w:tcPr>
          <w:p w14:paraId="007FB763" w14:textId="31BA1AEC" w:rsidR="003C15B1" w:rsidRPr="009E213D" w:rsidRDefault="005C32F2">
            <w:pPr>
              <w:jc w:val="right"/>
              <w:rPr>
                <w:rFonts w:ascii="Verdana" w:eastAsia="Times New Roman" w:hAnsi="Verdana" w:cs="Times New Roman"/>
                <w:color w:val="000000"/>
                <w:sz w:val="20"/>
                <w:szCs w:val="20"/>
                <w:lang w:val="en-GB" w:eastAsia="en-GB"/>
              </w:rPr>
            </w:pPr>
            <w:r w:rsidRPr="009E213D">
              <w:rPr>
                <w:rFonts w:ascii="Verdana" w:eastAsia="Times New Roman" w:hAnsi="Verdana" w:cs="Times New Roman"/>
                <w:color w:val="000000"/>
                <w:sz w:val="20"/>
                <w:szCs w:val="20"/>
                <w:lang w:val="en-GB" w:eastAsia="en-GB"/>
              </w:rPr>
              <w:t>(26</w:t>
            </w:r>
            <w:r w:rsidR="00DB179E">
              <w:rPr>
                <w:rFonts w:ascii="Verdana" w:eastAsia="Times New Roman" w:hAnsi="Verdana" w:cs="Times New Roman"/>
                <w:color w:val="000000"/>
                <w:sz w:val="20"/>
                <w:szCs w:val="20"/>
                <w:lang w:val="en-GB" w:eastAsia="en-GB"/>
              </w:rPr>
              <w:t>0.9</w:t>
            </w:r>
            <w:r w:rsidRPr="009E213D">
              <w:rPr>
                <w:rFonts w:ascii="Verdana" w:eastAsia="Times New Roman" w:hAnsi="Verdana" w:cs="Times New Roman"/>
                <w:color w:val="000000"/>
                <w:sz w:val="20"/>
                <w:szCs w:val="20"/>
                <w:lang w:val="en-GB" w:eastAsia="en-GB"/>
              </w:rPr>
              <w:t>)</w:t>
            </w:r>
          </w:p>
        </w:tc>
      </w:tr>
      <w:tr w:rsidR="003C15B1" w:rsidRPr="003C15B1" w14:paraId="1BBEAC69"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4DE17199" w14:textId="77777777" w:rsidR="003C15B1" w:rsidRPr="00743189" w:rsidRDefault="003C15B1" w:rsidP="003C15B1">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 </w:t>
            </w:r>
          </w:p>
        </w:tc>
        <w:tc>
          <w:tcPr>
            <w:tcW w:w="6123" w:type="dxa"/>
            <w:tcBorders>
              <w:top w:val="nil"/>
              <w:left w:val="nil"/>
              <w:bottom w:val="nil"/>
              <w:right w:val="nil"/>
            </w:tcBorders>
            <w:shd w:val="clear" w:color="auto" w:fill="auto"/>
            <w:noWrap/>
            <w:vAlign w:val="center"/>
            <w:hideMark/>
          </w:tcPr>
          <w:p w14:paraId="5CCFDC23" w14:textId="77777777" w:rsidR="003C15B1" w:rsidRPr="00743189" w:rsidRDefault="003C15B1" w:rsidP="003C15B1">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Financing and Investment Income &amp; Expenditure</w:t>
            </w:r>
          </w:p>
        </w:tc>
        <w:tc>
          <w:tcPr>
            <w:tcW w:w="1877" w:type="dxa"/>
            <w:tcBorders>
              <w:top w:val="nil"/>
              <w:left w:val="single" w:sz="4" w:space="0" w:color="auto"/>
              <w:bottom w:val="nil"/>
              <w:right w:val="single" w:sz="4" w:space="0" w:color="auto"/>
            </w:tcBorders>
            <w:shd w:val="clear" w:color="auto" w:fill="auto"/>
            <w:noWrap/>
            <w:vAlign w:val="center"/>
          </w:tcPr>
          <w:p w14:paraId="2D3D1796" w14:textId="77DF551C" w:rsidR="003C15B1" w:rsidRPr="009E213D" w:rsidRDefault="003C15B1" w:rsidP="003C15B1">
            <w:pPr>
              <w:rPr>
                <w:rFonts w:ascii="Verdana" w:eastAsia="Times New Roman" w:hAnsi="Verdana" w:cs="Times New Roman"/>
                <w:color w:val="000000"/>
                <w:sz w:val="20"/>
                <w:szCs w:val="20"/>
                <w:lang w:val="en-GB" w:eastAsia="en-GB"/>
              </w:rPr>
            </w:pPr>
          </w:p>
        </w:tc>
      </w:tr>
      <w:tr w:rsidR="003C15B1" w:rsidRPr="003C15B1" w14:paraId="0A319672"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7CE90697" w14:textId="28F8B46D" w:rsidR="003C15B1" w:rsidRPr="00743189" w:rsidRDefault="00743189" w:rsidP="003C15B1">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53.1</w:t>
            </w:r>
          </w:p>
        </w:tc>
        <w:tc>
          <w:tcPr>
            <w:tcW w:w="6123" w:type="dxa"/>
            <w:tcBorders>
              <w:top w:val="nil"/>
              <w:left w:val="nil"/>
              <w:bottom w:val="nil"/>
              <w:right w:val="nil"/>
            </w:tcBorders>
            <w:shd w:val="clear" w:color="auto" w:fill="auto"/>
            <w:noWrap/>
            <w:vAlign w:val="center"/>
            <w:hideMark/>
          </w:tcPr>
          <w:p w14:paraId="12AED5E1" w14:textId="77777777" w:rsidR="003C15B1" w:rsidRPr="00743189" w:rsidRDefault="003C15B1" w:rsidP="003C15B1">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Pension Interest Cost</w:t>
            </w:r>
          </w:p>
        </w:tc>
        <w:tc>
          <w:tcPr>
            <w:tcW w:w="1877" w:type="dxa"/>
            <w:tcBorders>
              <w:top w:val="nil"/>
              <w:left w:val="single" w:sz="4" w:space="0" w:color="auto"/>
              <w:bottom w:val="nil"/>
              <w:right w:val="single" w:sz="4" w:space="0" w:color="auto"/>
            </w:tcBorders>
            <w:shd w:val="clear" w:color="auto" w:fill="auto"/>
            <w:noWrap/>
            <w:vAlign w:val="center"/>
          </w:tcPr>
          <w:p w14:paraId="584FD880" w14:textId="7185162A" w:rsidR="003C15B1" w:rsidRPr="009E213D" w:rsidRDefault="005C32F2" w:rsidP="003C15B1">
            <w:pPr>
              <w:jc w:val="right"/>
              <w:rPr>
                <w:rFonts w:ascii="Verdana" w:eastAsia="Times New Roman" w:hAnsi="Verdana" w:cs="Times New Roman"/>
                <w:color w:val="000000"/>
                <w:sz w:val="20"/>
                <w:szCs w:val="20"/>
                <w:lang w:val="en-GB" w:eastAsia="en-GB"/>
              </w:rPr>
            </w:pPr>
            <w:r w:rsidRPr="009E213D">
              <w:rPr>
                <w:rFonts w:ascii="Verdana" w:eastAsia="Times New Roman" w:hAnsi="Verdana" w:cs="Times New Roman"/>
                <w:color w:val="000000"/>
                <w:sz w:val="20"/>
                <w:szCs w:val="20"/>
                <w:lang w:val="en-GB" w:eastAsia="en-GB"/>
              </w:rPr>
              <w:t>45.9</w:t>
            </w:r>
          </w:p>
        </w:tc>
      </w:tr>
      <w:tr w:rsidR="003C15B1" w:rsidRPr="003C15B1" w14:paraId="55C1B17F"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6768C2F2" w14:textId="77777777" w:rsidR="003C15B1" w:rsidRPr="00743189" w:rsidRDefault="003C15B1" w:rsidP="003C15B1">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 </w:t>
            </w:r>
          </w:p>
        </w:tc>
        <w:tc>
          <w:tcPr>
            <w:tcW w:w="6123" w:type="dxa"/>
            <w:tcBorders>
              <w:top w:val="nil"/>
              <w:left w:val="nil"/>
              <w:bottom w:val="nil"/>
              <w:right w:val="nil"/>
            </w:tcBorders>
            <w:shd w:val="clear" w:color="auto" w:fill="auto"/>
            <w:noWrap/>
            <w:vAlign w:val="center"/>
            <w:hideMark/>
          </w:tcPr>
          <w:p w14:paraId="390BAE4F" w14:textId="77777777" w:rsidR="003C15B1" w:rsidRPr="00743189" w:rsidRDefault="003C15B1" w:rsidP="003C15B1">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Other Comprehensive Income and Expenditure</w:t>
            </w:r>
          </w:p>
        </w:tc>
        <w:tc>
          <w:tcPr>
            <w:tcW w:w="1877" w:type="dxa"/>
            <w:tcBorders>
              <w:top w:val="nil"/>
              <w:left w:val="single" w:sz="4" w:space="0" w:color="auto"/>
              <w:bottom w:val="nil"/>
              <w:right w:val="single" w:sz="4" w:space="0" w:color="auto"/>
            </w:tcBorders>
            <w:shd w:val="clear" w:color="auto" w:fill="auto"/>
            <w:noWrap/>
            <w:vAlign w:val="center"/>
          </w:tcPr>
          <w:p w14:paraId="102AD1DC" w14:textId="1938D6EE" w:rsidR="003C15B1" w:rsidRPr="009E213D" w:rsidRDefault="003C15B1" w:rsidP="003C15B1">
            <w:pPr>
              <w:rPr>
                <w:rFonts w:ascii="Verdana" w:eastAsia="Times New Roman" w:hAnsi="Verdana" w:cs="Times New Roman"/>
                <w:color w:val="000000"/>
                <w:sz w:val="20"/>
                <w:szCs w:val="20"/>
                <w:lang w:val="en-GB" w:eastAsia="en-GB"/>
              </w:rPr>
            </w:pPr>
          </w:p>
        </w:tc>
      </w:tr>
      <w:tr w:rsidR="003C15B1" w:rsidRPr="003C15B1" w14:paraId="03ECAF97" w14:textId="77777777" w:rsidTr="00743189">
        <w:trPr>
          <w:trHeight w:val="213"/>
          <w:jc w:val="center"/>
        </w:trPr>
        <w:tc>
          <w:tcPr>
            <w:tcW w:w="1877" w:type="dxa"/>
            <w:tcBorders>
              <w:top w:val="nil"/>
              <w:left w:val="single" w:sz="4" w:space="0" w:color="auto"/>
              <w:bottom w:val="nil"/>
              <w:right w:val="single" w:sz="4" w:space="0" w:color="auto"/>
            </w:tcBorders>
            <w:shd w:val="clear" w:color="auto" w:fill="auto"/>
            <w:noWrap/>
            <w:vAlign w:val="center"/>
            <w:hideMark/>
          </w:tcPr>
          <w:p w14:paraId="02C34768" w14:textId="58D33B4C" w:rsidR="003C15B1" w:rsidRPr="00743189" w:rsidRDefault="00743189" w:rsidP="003C15B1">
            <w:pPr>
              <w:jc w:val="right"/>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(193.3)</w:t>
            </w:r>
          </w:p>
        </w:tc>
        <w:tc>
          <w:tcPr>
            <w:tcW w:w="6123" w:type="dxa"/>
            <w:tcBorders>
              <w:top w:val="nil"/>
              <w:left w:val="nil"/>
              <w:bottom w:val="nil"/>
              <w:right w:val="nil"/>
            </w:tcBorders>
            <w:shd w:val="clear" w:color="auto" w:fill="auto"/>
            <w:noWrap/>
            <w:vAlign w:val="center"/>
            <w:hideMark/>
          </w:tcPr>
          <w:p w14:paraId="18971456" w14:textId="77777777" w:rsidR="003C15B1" w:rsidRPr="00743189" w:rsidRDefault="003C15B1" w:rsidP="003C15B1">
            <w:pPr>
              <w:rPr>
                <w:rFonts w:ascii="Verdana" w:eastAsia="Times New Roman" w:hAnsi="Verdana" w:cs="Times New Roman"/>
                <w:color w:val="000000"/>
                <w:sz w:val="20"/>
                <w:szCs w:val="20"/>
                <w:lang w:val="en-GB" w:eastAsia="en-GB"/>
              </w:rPr>
            </w:pPr>
            <w:r w:rsidRPr="00743189">
              <w:rPr>
                <w:rFonts w:ascii="Verdana" w:eastAsia="Times New Roman" w:hAnsi="Verdana" w:cs="Times New Roman"/>
                <w:color w:val="000000"/>
                <w:sz w:val="20"/>
                <w:szCs w:val="20"/>
                <w:lang w:val="en-GB" w:eastAsia="en-GB"/>
              </w:rPr>
              <w:t>Re-measurement of the net defined benefit liability/asset</w:t>
            </w:r>
          </w:p>
        </w:tc>
        <w:tc>
          <w:tcPr>
            <w:tcW w:w="1877" w:type="dxa"/>
            <w:tcBorders>
              <w:top w:val="nil"/>
              <w:left w:val="single" w:sz="4" w:space="0" w:color="auto"/>
              <w:bottom w:val="nil"/>
              <w:right w:val="single" w:sz="4" w:space="0" w:color="auto"/>
            </w:tcBorders>
            <w:shd w:val="clear" w:color="auto" w:fill="auto"/>
            <w:noWrap/>
            <w:vAlign w:val="center"/>
          </w:tcPr>
          <w:p w14:paraId="76F3D985" w14:textId="19B03BFA" w:rsidR="003C15B1" w:rsidRPr="009E213D" w:rsidRDefault="005C32F2" w:rsidP="003C15B1">
            <w:pPr>
              <w:jc w:val="right"/>
              <w:rPr>
                <w:rFonts w:ascii="Verdana" w:eastAsia="Times New Roman" w:hAnsi="Verdana" w:cs="Times New Roman"/>
                <w:color w:val="000000"/>
                <w:sz w:val="20"/>
                <w:szCs w:val="20"/>
                <w:lang w:val="en-GB" w:eastAsia="en-GB"/>
              </w:rPr>
            </w:pPr>
            <w:r w:rsidRPr="009E213D">
              <w:rPr>
                <w:rFonts w:ascii="Verdana" w:eastAsia="Times New Roman" w:hAnsi="Verdana" w:cs="Times New Roman"/>
                <w:color w:val="000000"/>
                <w:sz w:val="20"/>
                <w:szCs w:val="20"/>
                <w:lang w:val="en-GB" w:eastAsia="en-GB"/>
              </w:rPr>
              <w:t>79.9</w:t>
            </w:r>
          </w:p>
        </w:tc>
      </w:tr>
      <w:tr w:rsidR="003C15B1" w:rsidRPr="003C15B1" w14:paraId="39AFD9C5" w14:textId="77777777" w:rsidTr="00743189">
        <w:trPr>
          <w:trHeight w:val="213"/>
          <w:jc w:val="center"/>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F563" w14:textId="11D8F7DD" w:rsidR="003C15B1" w:rsidRPr="00743189" w:rsidRDefault="00743189" w:rsidP="003C15B1">
            <w:pPr>
              <w:jc w:val="right"/>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(130.2)</w:t>
            </w:r>
          </w:p>
        </w:tc>
        <w:tc>
          <w:tcPr>
            <w:tcW w:w="6123" w:type="dxa"/>
            <w:tcBorders>
              <w:top w:val="single" w:sz="4" w:space="0" w:color="auto"/>
              <w:left w:val="nil"/>
              <w:bottom w:val="single" w:sz="4" w:space="0" w:color="auto"/>
              <w:right w:val="nil"/>
            </w:tcBorders>
            <w:shd w:val="clear" w:color="auto" w:fill="auto"/>
            <w:noWrap/>
            <w:vAlign w:val="center"/>
            <w:hideMark/>
          </w:tcPr>
          <w:p w14:paraId="61BDCA0E" w14:textId="77777777" w:rsidR="003C15B1" w:rsidRPr="00743189" w:rsidRDefault="003C15B1" w:rsidP="003C15B1">
            <w:pPr>
              <w:rPr>
                <w:rFonts w:ascii="Verdana" w:eastAsia="Times New Roman" w:hAnsi="Verdana" w:cs="Times New Roman"/>
                <w:b/>
                <w:bCs/>
                <w:color w:val="000000"/>
                <w:sz w:val="20"/>
                <w:szCs w:val="20"/>
                <w:lang w:val="en-GB" w:eastAsia="en-GB"/>
              </w:rPr>
            </w:pPr>
            <w:r w:rsidRPr="00743189">
              <w:rPr>
                <w:rFonts w:ascii="Verdana" w:eastAsia="Times New Roman" w:hAnsi="Verdana" w:cs="Times New Roman"/>
                <w:b/>
                <w:bCs/>
                <w:color w:val="000000"/>
                <w:sz w:val="20"/>
                <w:szCs w:val="20"/>
                <w:lang w:val="en-GB" w:eastAsia="en-GB"/>
              </w:rPr>
              <w:t>Total Comprehensive Income and Expenditure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54ED" w14:textId="18F99CE5" w:rsidR="003C15B1" w:rsidRPr="009E213D" w:rsidRDefault="005C32F2" w:rsidP="003C15B1">
            <w:pPr>
              <w:jc w:val="right"/>
              <w:rPr>
                <w:rFonts w:ascii="Verdana" w:eastAsia="Times New Roman" w:hAnsi="Verdana" w:cs="Times New Roman"/>
                <w:b/>
                <w:bCs/>
                <w:color w:val="000000"/>
                <w:sz w:val="20"/>
                <w:szCs w:val="20"/>
                <w:lang w:val="en-GB" w:eastAsia="en-GB"/>
              </w:rPr>
            </w:pPr>
            <w:r w:rsidRPr="009E213D">
              <w:rPr>
                <w:rFonts w:ascii="Verdana" w:eastAsia="Times New Roman" w:hAnsi="Verdana" w:cs="Times New Roman"/>
                <w:b/>
                <w:bCs/>
                <w:color w:val="000000"/>
                <w:sz w:val="20"/>
                <w:szCs w:val="20"/>
                <w:lang w:val="en-GB" w:eastAsia="en-GB"/>
              </w:rPr>
              <w:t>148.4</w:t>
            </w:r>
          </w:p>
        </w:tc>
      </w:tr>
    </w:tbl>
    <w:p w14:paraId="2A4233F5" w14:textId="77777777" w:rsidR="003C15B1" w:rsidRPr="007D3A46" w:rsidRDefault="003C15B1" w:rsidP="00F227D9">
      <w:pPr>
        <w:pStyle w:val="Normal0"/>
        <w:jc w:val="both"/>
        <w:rPr>
          <w:rFonts w:ascii="Verdana" w:eastAsia="Times New Roman" w:hAnsi="Verdana" w:cs="Arial"/>
          <w:sz w:val="22"/>
          <w:szCs w:val="22"/>
          <w:lang w:val="en-GB" w:eastAsia="en-GB"/>
        </w:rPr>
      </w:pPr>
    </w:p>
    <w:p w14:paraId="48D00C3B" w14:textId="77777777" w:rsidR="00F227D9" w:rsidRPr="007D3A46" w:rsidRDefault="00F227D9" w:rsidP="00F227D9">
      <w:pPr>
        <w:pStyle w:val="Normal0"/>
        <w:jc w:val="both"/>
        <w:rPr>
          <w:rFonts w:ascii="Verdana" w:eastAsia="Times New Roman" w:hAnsi="Verdana" w:cs="Arial"/>
          <w:sz w:val="22"/>
          <w:szCs w:val="22"/>
          <w:lang w:val="en-GB" w:eastAsia="en-GB"/>
        </w:rPr>
      </w:pPr>
      <w:r w:rsidRPr="007D3A46">
        <w:rPr>
          <w:rFonts w:ascii="Verdana" w:eastAsia="Times New Roman" w:hAnsi="Verdana" w:cs="Arial"/>
          <w:sz w:val="22"/>
          <w:szCs w:val="22"/>
          <w:lang w:val="en-GB" w:eastAsia="en-GB"/>
        </w:rPr>
        <w:t>The total net expenditure shown in the Comprehensive Income and Expenditure Statement includes operating income and expenditure along with adjustments for non-cash accounting transactions for depreciation, capital grants and pension costs in accordance with IAS 19 requirements.  A summary of the Comprehensive Income and Expenditure Statement is shown below.  The intra-group funding is a transfer between the PCC and Chief Constable accounts to offset the financial resources consumed at the request of the Chief Constable on behalf of the Group.</w:t>
      </w:r>
    </w:p>
    <w:p w14:paraId="6057A06A" w14:textId="77777777" w:rsidR="003F4F65" w:rsidRPr="007D3A46" w:rsidRDefault="003F4F65" w:rsidP="00F227D9">
      <w:pPr>
        <w:pStyle w:val="Normal0"/>
        <w:jc w:val="both"/>
        <w:rPr>
          <w:rFonts w:ascii="Verdana" w:eastAsia="Times New Roman" w:hAnsi="Verdana" w:cs="Arial"/>
          <w:sz w:val="22"/>
          <w:szCs w:val="22"/>
          <w:lang w:val="en-GB" w:eastAsia="en-GB"/>
        </w:rPr>
      </w:pPr>
    </w:p>
    <w:p w14:paraId="1CB1E38B" w14:textId="77777777" w:rsidR="00F227D9" w:rsidRPr="00F8777F" w:rsidRDefault="00F227D9" w:rsidP="00F227D9">
      <w:pPr>
        <w:pStyle w:val="Normal0"/>
        <w:jc w:val="both"/>
        <w:rPr>
          <w:rFonts w:ascii="Verdana" w:eastAsia="Times New Roman" w:hAnsi="Verdana" w:cs="Arial"/>
          <w:b/>
          <w:sz w:val="22"/>
          <w:szCs w:val="22"/>
          <w:lang w:val="en-GB" w:eastAsia="en-GB"/>
        </w:rPr>
      </w:pPr>
      <w:r w:rsidRPr="00F8777F">
        <w:rPr>
          <w:rFonts w:ascii="Verdana" w:eastAsia="Times New Roman" w:hAnsi="Verdana" w:cs="Arial"/>
          <w:b/>
          <w:sz w:val="22"/>
          <w:szCs w:val="22"/>
          <w:lang w:val="en-GB" w:eastAsia="en-GB"/>
        </w:rPr>
        <w:t xml:space="preserve">Capital Expenditure Budget </w:t>
      </w:r>
    </w:p>
    <w:p w14:paraId="6F730796" w14:textId="77777777" w:rsidR="00F227D9" w:rsidRPr="00F8777F" w:rsidRDefault="00F227D9" w:rsidP="00F227D9">
      <w:pPr>
        <w:pStyle w:val="Normal0"/>
        <w:jc w:val="both"/>
        <w:rPr>
          <w:rFonts w:ascii="Verdana" w:eastAsia="Times New Roman" w:hAnsi="Verdana" w:cs="Arial"/>
          <w:b/>
          <w:sz w:val="22"/>
          <w:szCs w:val="22"/>
          <w:lang w:val="en-GB" w:eastAsia="en-GB"/>
        </w:rPr>
      </w:pPr>
    </w:p>
    <w:p w14:paraId="74CB775D" w14:textId="2E44687B" w:rsidR="00AE1C10" w:rsidRPr="00F8777F" w:rsidRDefault="00AE1C10" w:rsidP="00F52015">
      <w:pPr>
        <w:jc w:val="both"/>
        <w:rPr>
          <w:rFonts w:ascii="Verdana" w:hAnsi="Verdana" w:cs="Arial"/>
          <w:sz w:val="22"/>
          <w:szCs w:val="22"/>
        </w:rPr>
      </w:pPr>
      <w:r w:rsidRPr="00AE1C10">
        <w:rPr>
          <w:rFonts w:ascii="Verdana" w:hAnsi="Verdana" w:cs="Arial"/>
          <w:sz w:val="22"/>
          <w:szCs w:val="22"/>
        </w:rPr>
        <w:t>The capital and investment programme is designed to support business enablement and change projects to promote new ways of working and efficient use of resources. Investment plans for the year included investment towards the new Police Headquarters, fleet replacement in-car technology development, ICT hardware, particularly laptops, development of mobile emergency services network and acquisition of the software developed as part of the Enterprise Resource Planning (ERP) system.</w:t>
      </w:r>
    </w:p>
    <w:p w14:paraId="5FC524E1" w14:textId="77777777" w:rsidR="00F52015" w:rsidRPr="00F8777F" w:rsidRDefault="00F52015" w:rsidP="00F52015">
      <w:pPr>
        <w:jc w:val="both"/>
        <w:rPr>
          <w:rFonts w:ascii="Verdana" w:hAnsi="Verdana" w:cs="Arial"/>
          <w:sz w:val="22"/>
          <w:szCs w:val="22"/>
        </w:rPr>
      </w:pPr>
    </w:p>
    <w:p w14:paraId="2924A5A7" w14:textId="77777777" w:rsidR="00F52015" w:rsidRPr="00F8777F" w:rsidRDefault="00F52015" w:rsidP="00F52015">
      <w:pPr>
        <w:jc w:val="both"/>
        <w:rPr>
          <w:rFonts w:ascii="Verdana" w:hAnsi="Verdana" w:cs="Arial"/>
          <w:sz w:val="22"/>
          <w:szCs w:val="22"/>
        </w:rPr>
      </w:pPr>
      <w:r w:rsidRPr="00F8777F">
        <w:rPr>
          <w:rFonts w:ascii="Verdana" w:hAnsi="Verdana" w:cs="Arial"/>
          <w:sz w:val="22"/>
          <w:szCs w:val="22"/>
        </w:rPr>
        <w:t>The Chief Constable receives a budget from the PCC for day-to-day management and running of the estate on behalf of the Surrey Police Group. The Police and Crime Commissioner retain ownership of all assets and therefore all assets are included on the Balance Sheet of the PCC and Group accounts but not the accounts of the Chief Constable.</w:t>
      </w:r>
    </w:p>
    <w:p w14:paraId="7DF3D04E" w14:textId="77777777" w:rsidR="00F52015" w:rsidRPr="00F8777F" w:rsidRDefault="00F52015" w:rsidP="00F52015">
      <w:pPr>
        <w:jc w:val="both"/>
        <w:rPr>
          <w:rFonts w:ascii="Verdana" w:hAnsi="Verdana" w:cs="Arial"/>
          <w:sz w:val="22"/>
          <w:szCs w:val="22"/>
        </w:rPr>
      </w:pPr>
    </w:p>
    <w:p w14:paraId="3F9514E0" w14:textId="1168FD45" w:rsidR="00AE1C10" w:rsidRPr="00AE1C10" w:rsidRDefault="00AE1C10" w:rsidP="00AE1C10">
      <w:pPr>
        <w:spacing w:line="256" w:lineRule="auto"/>
        <w:jc w:val="both"/>
        <w:rPr>
          <w:rFonts w:ascii="Verdana" w:hAnsi="Verdana"/>
          <w:sz w:val="22"/>
          <w:szCs w:val="22"/>
        </w:rPr>
      </w:pPr>
      <w:r w:rsidRPr="00AE1C10">
        <w:rPr>
          <w:rFonts w:ascii="Verdana" w:hAnsi="Verdana"/>
          <w:sz w:val="22"/>
          <w:szCs w:val="22"/>
        </w:rPr>
        <w:t xml:space="preserve">The PCC approved a Capital Program of £10.5m in February 2020 however with slippage requests from 2019/20 programme this increased the budget to £18.0m. The force runs a flexible programme managing schemes over a rolling 2 year period enabling work to be brought forward or deferred. </w:t>
      </w:r>
    </w:p>
    <w:p w14:paraId="46262858" w14:textId="77777777" w:rsidR="00AE1C10" w:rsidRPr="00AE1C10" w:rsidRDefault="00AE1C10" w:rsidP="00AE1C10">
      <w:pPr>
        <w:spacing w:line="256" w:lineRule="auto"/>
        <w:jc w:val="both"/>
        <w:rPr>
          <w:rFonts w:ascii="Verdana" w:hAnsi="Verdana"/>
          <w:sz w:val="22"/>
          <w:szCs w:val="22"/>
        </w:rPr>
      </w:pPr>
      <w:r w:rsidRPr="00AE1C10">
        <w:rPr>
          <w:rFonts w:ascii="Verdana" w:hAnsi="Verdana"/>
          <w:sz w:val="22"/>
          <w:szCs w:val="22"/>
        </w:rPr>
        <w:t xml:space="preserve">The performance against the budget is as shown in the following table: </w:t>
      </w:r>
    </w:p>
    <w:p w14:paraId="5D6DFDCD" w14:textId="77777777" w:rsidR="00AE1C10" w:rsidRDefault="00AE1C10" w:rsidP="007C1A0A">
      <w:pPr>
        <w:rPr>
          <w:rFonts w:ascii="Verdana" w:hAnsi="Verdana"/>
          <w:sz w:val="22"/>
          <w:szCs w:val="22"/>
          <w:highlight w:val="yellow"/>
        </w:rPr>
      </w:pPr>
    </w:p>
    <w:tbl>
      <w:tblPr>
        <w:tblW w:w="12686" w:type="dxa"/>
        <w:jc w:val="center"/>
        <w:tblLook w:val="04A0" w:firstRow="1" w:lastRow="0" w:firstColumn="1" w:lastColumn="0" w:noHBand="0" w:noVBand="1"/>
      </w:tblPr>
      <w:tblGrid>
        <w:gridCol w:w="3549"/>
        <w:gridCol w:w="1360"/>
        <w:gridCol w:w="1360"/>
        <w:gridCol w:w="1366"/>
        <w:gridCol w:w="1471"/>
        <w:gridCol w:w="1140"/>
        <w:gridCol w:w="1140"/>
        <w:gridCol w:w="1301"/>
      </w:tblGrid>
      <w:tr w:rsidR="00AE1C10" w:rsidRPr="00E73C9B" w14:paraId="01A79C8D" w14:textId="77777777" w:rsidTr="00E73C9B">
        <w:trPr>
          <w:trHeight w:val="233"/>
          <w:jc w:val="center"/>
        </w:trPr>
        <w:tc>
          <w:tcPr>
            <w:tcW w:w="12686" w:type="dxa"/>
            <w:gridSpan w:val="8"/>
            <w:tcBorders>
              <w:top w:val="single" w:sz="4" w:space="0" w:color="auto"/>
              <w:left w:val="single" w:sz="4" w:space="0" w:color="auto"/>
              <w:bottom w:val="single" w:sz="4" w:space="0" w:color="auto"/>
              <w:right w:val="single" w:sz="4" w:space="0" w:color="000000"/>
            </w:tcBorders>
            <w:vAlign w:val="center"/>
            <w:hideMark/>
          </w:tcPr>
          <w:p w14:paraId="13B0D352"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CAPITAL BUDGET OUTTURN 2020/21</w:t>
            </w:r>
          </w:p>
        </w:tc>
      </w:tr>
      <w:tr w:rsidR="00AE1C10" w:rsidRPr="00E73C9B" w14:paraId="388F00B9" w14:textId="77777777" w:rsidTr="00E73C9B">
        <w:trPr>
          <w:trHeight w:val="666"/>
          <w:jc w:val="center"/>
        </w:trPr>
        <w:tc>
          <w:tcPr>
            <w:tcW w:w="3549" w:type="dxa"/>
            <w:tcBorders>
              <w:top w:val="nil"/>
              <w:left w:val="single" w:sz="4" w:space="0" w:color="auto"/>
              <w:bottom w:val="nil"/>
              <w:right w:val="nil"/>
            </w:tcBorders>
            <w:vAlign w:val="center"/>
            <w:hideMark/>
          </w:tcPr>
          <w:p w14:paraId="162D83B3"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60" w:type="dxa"/>
            <w:tcBorders>
              <w:top w:val="nil"/>
              <w:left w:val="single" w:sz="4" w:space="0" w:color="auto"/>
              <w:bottom w:val="nil"/>
              <w:right w:val="single" w:sz="4" w:space="0" w:color="auto"/>
            </w:tcBorders>
            <w:shd w:val="clear" w:color="auto" w:fill="F2F2F2"/>
            <w:vAlign w:val="center"/>
            <w:hideMark/>
          </w:tcPr>
          <w:p w14:paraId="6B221F86"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Original Budget</w:t>
            </w:r>
          </w:p>
        </w:tc>
        <w:tc>
          <w:tcPr>
            <w:tcW w:w="1360" w:type="dxa"/>
            <w:tcBorders>
              <w:top w:val="nil"/>
              <w:left w:val="nil"/>
              <w:bottom w:val="nil"/>
              <w:right w:val="single" w:sz="4" w:space="0" w:color="auto"/>
            </w:tcBorders>
            <w:vAlign w:val="center"/>
            <w:hideMark/>
          </w:tcPr>
          <w:p w14:paraId="1720578C"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Other Changes</w:t>
            </w:r>
          </w:p>
        </w:tc>
        <w:tc>
          <w:tcPr>
            <w:tcW w:w="1361" w:type="dxa"/>
            <w:tcBorders>
              <w:top w:val="nil"/>
              <w:left w:val="nil"/>
              <w:bottom w:val="nil"/>
              <w:right w:val="single" w:sz="4" w:space="0" w:color="auto"/>
            </w:tcBorders>
            <w:vAlign w:val="center"/>
            <w:hideMark/>
          </w:tcPr>
          <w:p w14:paraId="4ECB5B78"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Budget Virements</w:t>
            </w:r>
          </w:p>
        </w:tc>
        <w:tc>
          <w:tcPr>
            <w:tcW w:w="1471" w:type="dxa"/>
            <w:tcBorders>
              <w:top w:val="nil"/>
              <w:left w:val="nil"/>
              <w:bottom w:val="nil"/>
              <w:right w:val="single" w:sz="4" w:space="0" w:color="auto"/>
            </w:tcBorders>
            <w:vAlign w:val="center"/>
            <w:hideMark/>
          </w:tcPr>
          <w:p w14:paraId="6A80DA9D"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Revenue to Capital Transfers</w:t>
            </w:r>
          </w:p>
        </w:tc>
        <w:tc>
          <w:tcPr>
            <w:tcW w:w="1140" w:type="dxa"/>
            <w:tcBorders>
              <w:top w:val="nil"/>
              <w:left w:val="nil"/>
              <w:bottom w:val="nil"/>
              <w:right w:val="single" w:sz="4" w:space="0" w:color="auto"/>
            </w:tcBorders>
            <w:shd w:val="clear" w:color="auto" w:fill="F2F2F2"/>
            <w:vAlign w:val="center"/>
            <w:hideMark/>
          </w:tcPr>
          <w:p w14:paraId="6C4FB8EF"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Revised Budget</w:t>
            </w:r>
          </w:p>
        </w:tc>
        <w:tc>
          <w:tcPr>
            <w:tcW w:w="1140" w:type="dxa"/>
            <w:tcBorders>
              <w:top w:val="nil"/>
              <w:left w:val="nil"/>
              <w:bottom w:val="nil"/>
              <w:right w:val="single" w:sz="4" w:space="0" w:color="auto"/>
            </w:tcBorders>
            <w:vAlign w:val="center"/>
            <w:hideMark/>
          </w:tcPr>
          <w:p w14:paraId="4976AB59"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Actuals</w:t>
            </w:r>
          </w:p>
        </w:tc>
        <w:tc>
          <w:tcPr>
            <w:tcW w:w="1301" w:type="dxa"/>
            <w:tcBorders>
              <w:top w:val="nil"/>
              <w:left w:val="nil"/>
              <w:bottom w:val="nil"/>
              <w:right w:val="single" w:sz="4" w:space="0" w:color="auto"/>
            </w:tcBorders>
            <w:vAlign w:val="center"/>
            <w:hideMark/>
          </w:tcPr>
          <w:p w14:paraId="68985F5A"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Variance over / (under) spend</w:t>
            </w:r>
          </w:p>
        </w:tc>
      </w:tr>
      <w:tr w:rsidR="00AE1C10" w:rsidRPr="00E73C9B" w14:paraId="2EBCBB7D" w14:textId="77777777" w:rsidTr="00E73C9B">
        <w:trPr>
          <w:trHeight w:val="222"/>
          <w:jc w:val="center"/>
        </w:trPr>
        <w:tc>
          <w:tcPr>
            <w:tcW w:w="3549" w:type="dxa"/>
            <w:tcBorders>
              <w:top w:val="nil"/>
              <w:left w:val="single" w:sz="4" w:space="0" w:color="auto"/>
              <w:bottom w:val="single" w:sz="4" w:space="0" w:color="auto"/>
              <w:right w:val="nil"/>
            </w:tcBorders>
            <w:noWrap/>
            <w:vAlign w:val="center"/>
            <w:hideMark/>
          </w:tcPr>
          <w:p w14:paraId="611B8ACD"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60" w:type="dxa"/>
            <w:tcBorders>
              <w:top w:val="nil"/>
              <w:left w:val="single" w:sz="4" w:space="0" w:color="auto"/>
              <w:bottom w:val="single" w:sz="4" w:space="0" w:color="auto"/>
              <w:right w:val="single" w:sz="4" w:space="0" w:color="auto"/>
            </w:tcBorders>
            <w:shd w:val="clear" w:color="auto" w:fill="F2F2F2"/>
            <w:noWrap/>
            <w:vAlign w:val="center"/>
            <w:hideMark/>
          </w:tcPr>
          <w:p w14:paraId="78A8D341"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£m</w:t>
            </w:r>
          </w:p>
        </w:tc>
        <w:tc>
          <w:tcPr>
            <w:tcW w:w="1360" w:type="dxa"/>
            <w:tcBorders>
              <w:top w:val="nil"/>
              <w:left w:val="nil"/>
              <w:bottom w:val="single" w:sz="4" w:space="0" w:color="auto"/>
              <w:right w:val="single" w:sz="4" w:space="0" w:color="auto"/>
            </w:tcBorders>
            <w:noWrap/>
            <w:vAlign w:val="center"/>
            <w:hideMark/>
          </w:tcPr>
          <w:p w14:paraId="7FBD5D52"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£m</w:t>
            </w:r>
          </w:p>
        </w:tc>
        <w:tc>
          <w:tcPr>
            <w:tcW w:w="1361" w:type="dxa"/>
            <w:tcBorders>
              <w:top w:val="nil"/>
              <w:left w:val="nil"/>
              <w:bottom w:val="single" w:sz="4" w:space="0" w:color="auto"/>
              <w:right w:val="single" w:sz="4" w:space="0" w:color="auto"/>
            </w:tcBorders>
            <w:noWrap/>
            <w:vAlign w:val="center"/>
            <w:hideMark/>
          </w:tcPr>
          <w:p w14:paraId="1EB2049C"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£m</w:t>
            </w:r>
          </w:p>
        </w:tc>
        <w:tc>
          <w:tcPr>
            <w:tcW w:w="1471" w:type="dxa"/>
            <w:tcBorders>
              <w:top w:val="nil"/>
              <w:left w:val="nil"/>
              <w:bottom w:val="single" w:sz="4" w:space="0" w:color="auto"/>
              <w:right w:val="single" w:sz="4" w:space="0" w:color="auto"/>
            </w:tcBorders>
            <w:noWrap/>
            <w:vAlign w:val="center"/>
            <w:hideMark/>
          </w:tcPr>
          <w:p w14:paraId="2E6784DA"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£m</w:t>
            </w:r>
          </w:p>
        </w:tc>
        <w:tc>
          <w:tcPr>
            <w:tcW w:w="1140" w:type="dxa"/>
            <w:tcBorders>
              <w:top w:val="nil"/>
              <w:left w:val="nil"/>
              <w:bottom w:val="single" w:sz="4" w:space="0" w:color="auto"/>
              <w:right w:val="single" w:sz="4" w:space="0" w:color="auto"/>
            </w:tcBorders>
            <w:shd w:val="clear" w:color="auto" w:fill="F2F2F2"/>
            <w:noWrap/>
            <w:vAlign w:val="center"/>
            <w:hideMark/>
          </w:tcPr>
          <w:p w14:paraId="5460712A"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£m</w:t>
            </w:r>
          </w:p>
        </w:tc>
        <w:tc>
          <w:tcPr>
            <w:tcW w:w="1140" w:type="dxa"/>
            <w:tcBorders>
              <w:top w:val="nil"/>
              <w:left w:val="nil"/>
              <w:bottom w:val="single" w:sz="4" w:space="0" w:color="auto"/>
              <w:right w:val="single" w:sz="4" w:space="0" w:color="auto"/>
            </w:tcBorders>
            <w:noWrap/>
            <w:vAlign w:val="center"/>
            <w:hideMark/>
          </w:tcPr>
          <w:p w14:paraId="12E24D86"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£m</w:t>
            </w:r>
          </w:p>
        </w:tc>
        <w:tc>
          <w:tcPr>
            <w:tcW w:w="1301" w:type="dxa"/>
            <w:tcBorders>
              <w:top w:val="nil"/>
              <w:left w:val="nil"/>
              <w:bottom w:val="single" w:sz="4" w:space="0" w:color="auto"/>
              <w:right w:val="single" w:sz="4" w:space="0" w:color="auto"/>
            </w:tcBorders>
            <w:noWrap/>
            <w:vAlign w:val="center"/>
            <w:hideMark/>
          </w:tcPr>
          <w:p w14:paraId="0EC4CB6D" w14:textId="77777777" w:rsidR="00AE1C10" w:rsidRPr="00E73C9B" w:rsidRDefault="00AE1C10" w:rsidP="00AE1C10">
            <w:pPr>
              <w:jc w:val="cente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£m</w:t>
            </w:r>
          </w:p>
        </w:tc>
      </w:tr>
      <w:tr w:rsidR="00AE1C10" w:rsidRPr="00E73C9B" w14:paraId="70EA1E15" w14:textId="77777777" w:rsidTr="00E73C9B">
        <w:trPr>
          <w:trHeight w:val="222"/>
          <w:jc w:val="center"/>
        </w:trPr>
        <w:tc>
          <w:tcPr>
            <w:tcW w:w="3549" w:type="dxa"/>
            <w:tcBorders>
              <w:top w:val="nil"/>
              <w:left w:val="single" w:sz="4" w:space="0" w:color="auto"/>
              <w:bottom w:val="nil"/>
              <w:right w:val="nil"/>
            </w:tcBorders>
            <w:noWrap/>
            <w:vAlign w:val="center"/>
            <w:hideMark/>
          </w:tcPr>
          <w:p w14:paraId="1971684E"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ICT</w:t>
            </w:r>
          </w:p>
        </w:tc>
        <w:tc>
          <w:tcPr>
            <w:tcW w:w="1360" w:type="dxa"/>
            <w:tcBorders>
              <w:top w:val="nil"/>
              <w:left w:val="single" w:sz="4" w:space="0" w:color="auto"/>
              <w:bottom w:val="nil"/>
              <w:right w:val="single" w:sz="4" w:space="0" w:color="auto"/>
            </w:tcBorders>
            <w:shd w:val="clear" w:color="auto" w:fill="F2F2F2"/>
            <w:noWrap/>
            <w:vAlign w:val="center"/>
            <w:hideMark/>
          </w:tcPr>
          <w:p w14:paraId="2EBB2D29"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6.114</w:t>
            </w:r>
          </w:p>
        </w:tc>
        <w:tc>
          <w:tcPr>
            <w:tcW w:w="1360" w:type="dxa"/>
            <w:tcBorders>
              <w:top w:val="nil"/>
              <w:left w:val="nil"/>
              <w:bottom w:val="nil"/>
              <w:right w:val="single" w:sz="4" w:space="0" w:color="auto"/>
            </w:tcBorders>
            <w:noWrap/>
            <w:vAlign w:val="center"/>
            <w:hideMark/>
          </w:tcPr>
          <w:p w14:paraId="5DC059E8"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0.680</w:t>
            </w:r>
          </w:p>
        </w:tc>
        <w:tc>
          <w:tcPr>
            <w:tcW w:w="1361" w:type="dxa"/>
            <w:tcBorders>
              <w:top w:val="nil"/>
              <w:left w:val="nil"/>
              <w:bottom w:val="nil"/>
              <w:right w:val="single" w:sz="4" w:space="0" w:color="auto"/>
            </w:tcBorders>
            <w:noWrap/>
            <w:vAlign w:val="center"/>
            <w:hideMark/>
          </w:tcPr>
          <w:p w14:paraId="3745F538"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(0.997)</w:t>
            </w:r>
          </w:p>
        </w:tc>
        <w:tc>
          <w:tcPr>
            <w:tcW w:w="1471" w:type="dxa"/>
            <w:tcBorders>
              <w:top w:val="nil"/>
              <w:left w:val="nil"/>
              <w:bottom w:val="nil"/>
              <w:right w:val="single" w:sz="4" w:space="0" w:color="auto"/>
            </w:tcBorders>
            <w:noWrap/>
            <w:vAlign w:val="center"/>
            <w:hideMark/>
          </w:tcPr>
          <w:p w14:paraId="11DD3A51"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0.620</w:t>
            </w:r>
          </w:p>
        </w:tc>
        <w:tc>
          <w:tcPr>
            <w:tcW w:w="1140" w:type="dxa"/>
            <w:tcBorders>
              <w:top w:val="nil"/>
              <w:left w:val="nil"/>
              <w:bottom w:val="nil"/>
              <w:right w:val="single" w:sz="4" w:space="0" w:color="auto"/>
            </w:tcBorders>
            <w:shd w:val="clear" w:color="auto" w:fill="F2F2F2"/>
            <w:noWrap/>
            <w:vAlign w:val="center"/>
            <w:hideMark/>
          </w:tcPr>
          <w:p w14:paraId="6F12E826"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6.417</w:t>
            </w:r>
          </w:p>
        </w:tc>
        <w:tc>
          <w:tcPr>
            <w:tcW w:w="1140" w:type="dxa"/>
            <w:tcBorders>
              <w:top w:val="nil"/>
              <w:left w:val="nil"/>
              <w:bottom w:val="nil"/>
              <w:right w:val="single" w:sz="4" w:space="0" w:color="auto"/>
            </w:tcBorders>
            <w:noWrap/>
            <w:vAlign w:val="center"/>
            <w:hideMark/>
          </w:tcPr>
          <w:p w14:paraId="4360F8E2"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3.096</w:t>
            </w:r>
          </w:p>
        </w:tc>
        <w:tc>
          <w:tcPr>
            <w:tcW w:w="1301" w:type="dxa"/>
            <w:tcBorders>
              <w:top w:val="nil"/>
              <w:left w:val="nil"/>
              <w:bottom w:val="nil"/>
              <w:right w:val="single" w:sz="4" w:space="0" w:color="auto"/>
            </w:tcBorders>
            <w:noWrap/>
            <w:vAlign w:val="center"/>
            <w:hideMark/>
          </w:tcPr>
          <w:p w14:paraId="7A38D256"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(3.321)</w:t>
            </w:r>
          </w:p>
        </w:tc>
      </w:tr>
      <w:tr w:rsidR="00AE1C10" w:rsidRPr="00E73C9B" w14:paraId="0BA4B038" w14:textId="77777777" w:rsidTr="00E73C9B">
        <w:trPr>
          <w:trHeight w:val="222"/>
          <w:jc w:val="center"/>
        </w:trPr>
        <w:tc>
          <w:tcPr>
            <w:tcW w:w="3549" w:type="dxa"/>
            <w:tcBorders>
              <w:top w:val="nil"/>
              <w:left w:val="single" w:sz="4" w:space="0" w:color="auto"/>
              <w:bottom w:val="nil"/>
              <w:right w:val="nil"/>
            </w:tcBorders>
            <w:noWrap/>
            <w:vAlign w:val="center"/>
            <w:hideMark/>
          </w:tcPr>
          <w:p w14:paraId="6090FABF"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ERP</w:t>
            </w:r>
          </w:p>
        </w:tc>
        <w:tc>
          <w:tcPr>
            <w:tcW w:w="1360" w:type="dxa"/>
            <w:tcBorders>
              <w:top w:val="nil"/>
              <w:left w:val="single" w:sz="4" w:space="0" w:color="auto"/>
              <w:bottom w:val="nil"/>
              <w:right w:val="single" w:sz="4" w:space="0" w:color="auto"/>
            </w:tcBorders>
            <w:shd w:val="clear" w:color="auto" w:fill="F2F2F2"/>
            <w:noWrap/>
            <w:vAlign w:val="center"/>
            <w:hideMark/>
          </w:tcPr>
          <w:p w14:paraId="34F0599D"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60" w:type="dxa"/>
            <w:tcBorders>
              <w:top w:val="nil"/>
              <w:left w:val="nil"/>
              <w:bottom w:val="nil"/>
              <w:right w:val="single" w:sz="4" w:space="0" w:color="auto"/>
            </w:tcBorders>
            <w:noWrap/>
            <w:vAlign w:val="center"/>
            <w:hideMark/>
          </w:tcPr>
          <w:p w14:paraId="03AAA8EA"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61" w:type="dxa"/>
            <w:tcBorders>
              <w:top w:val="nil"/>
              <w:left w:val="nil"/>
              <w:bottom w:val="nil"/>
              <w:right w:val="single" w:sz="4" w:space="0" w:color="auto"/>
            </w:tcBorders>
            <w:noWrap/>
            <w:vAlign w:val="center"/>
            <w:hideMark/>
          </w:tcPr>
          <w:p w14:paraId="451EDA6C"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471" w:type="dxa"/>
            <w:tcBorders>
              <w:top w:val="nil"/>
              <w:left w:val="nil"/>
              <w:bottom w:val="nil"/>
              <w:right w:val="single" w:sz="4" w:space="0" w:color="auto"/>
            </w:tcBorders>
            <w:noWrap/>
            <w:vAlign w:val="center"/>
            <w:hideMark/>
          </w:tcPr>
          <w:p w14:paraId="4BAE2AAA"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1.917</w:t>
            </w:r>
          </w:p>
        </w:tc>
        <w:tc>
          <w:tcPr>
            <w:tcW w:w="1140" w:type="dxa"/>
            <w:tcBorders>
              <w:top w:val="nil"/>
              <w:left w:val="nil"/>
              <w:bottom w:val="nil"/>
              <w:right w:val="single" w:sz="4" w:space="0" w:color="auto"/>
            </w:tcBorders>
            <w:shd w:val="clear" w:color="auto" w:fill="F2F2F2"/>
            <w:noWrap/>
            <w:vAlign w:val="center"/>
            <w:hideMark/>
          </w:tcPr>
          <w:p w14:paraId="73A795E5"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1.917</w:t>
            </w:r>
          </w:p>
        </w:tc>
        <w:tc>
          <w:tcPr>
            <w:tcW w:w="1140" w:type="dxa"/>
            <w:tcBorders>
              <w:top w:val="nil"/>
              <w:left w:val="nil"/>
              <w:bottom w:val="nil"/>
              <w:right w:val="single" w:sz="4" w:space="0" w:color="auto"/>
            </w:tcBorders>
            <w:noWrap/>
            <w:vAlign w:val="center"/>
            <w:hideMark/>
          </w:tcPr>
          <w:p w14:paraId="7F2E5FBC"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1.917</w:t>
            </w:r>
          </w:p>
        </w:tc>
        <w:tc>
          <w:tcPr>
            <w:tcW w:w="1301" w:type="dxa"/>
            <w:tcBorders>
              <w:top w:val="nil"/>
              <w:left w:val="nil"/>
              <w:bottom w:val="nil"/>
              <w:right w:val="single" w:sz="4" w:space="0" w:color="auto"/>
            </w:tcBorders>
            <w:noWrap/>
            <w:vAlign w:val="center"/>
            <w:hideMark/>
          </w:tcPr>
          <w:p w14:paraId="311B9EB7"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0.000</w:t>
            </w:r>
          </w:p>
        </w:tc>
      </w:tr>
      <w:tr w:rsidR="00AE1C10" w:rsidRPr="00E73C9B" w14:paraId="5382B16F" w14:textId="77777777" w:rsidTr="00E73C9B">
        <w:trPr>
          <w:trHeight w:val="222"/>
          <w:jc w:val="center"/>
        </w:trPr>
        <w:tc>
          <w:tcPr>
            <w:tcW w:w="3549" w:type="dxa"/>
            <w:tcBorders>
              <w:top w:val="nil"/>
              <w:left w:val="single" w:sz="4" w:space="0" w:color="auto"/>
              <w:bottom w:val="nil"/>
              <w:right w:val="nil"/>
            </w:tcBorders>
            <w:noWrap/>
            <w:vAlign w:val="center"/>
            <w:hideMark/>
          </w:tcPr>
          <w:p w14:paraId="480910BC"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Commercial and Financial</w:t>
            </w:r>
          </w:p>
        </w:tc>
        <w:tc>
          <w:tcPr>
            <w:tcW w:w="1360" w:type="dxa"/>
            <w:tcBorders>
              <w:top w:val="nil"/>
              <w:left w:val="single" w:sz="4" w:space="0" w:color="auto"/>
              <w:bottom w:val="nil"/>
              <w:right w:val="single" w:sz="4" w:space="0" w:color="auto"/>
            </w:tcBorders>
            <w:shd w:val="clear" w:color="auto" w:fill="F2F2F2"/>
            <w:noWrap/>
            <w:vAlign w:val="center"/>
            <w:hideMark/>
          </w:tcPr>
          <w:p w14:paraId="1ED3E593"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5.032</w:t>
            </w:r>
          </w:p>
        </w:tc>
        <w:tc>
          <w:tcPr>
            <w:tcW w:w="1360" w:type="dxa"/>
            <w:tcBorders>
              <w:top w:val="nil"/>
              <w:left w:val="nil"/>
              <w:bottom w:val="nil"/>
              <w:right w:val="single" w:sz="4" w:space="0" w:color="auto"/>
            </w:tcBorders>
            <w:noWrap/>
            <w:vAlign w:val="center"/>
            <w:hideMark/>
          </w:tcPr>
          <w:p w14:paraId="421AF3BF"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0.235</w:t>
            </w:r>
          </w:p>
        </w:tc>
        <w:tc>
          <w:tcPr>
            <w:tcW w:w="1361" w:type="dxa"/>
            <w:tcBorders>
              <w:top w:val="nil"/>
              <w:left w:val="nil"/>
              <w:bottom w:val="nil"/>
              <w:right w:val="single" w:sz="4" w:space="0" w:color="auto"/>
            </w:tcBorders>
            <w:noWrap/>
            <w:vAlign w:val="center"/>
            <w:hideMark/>
          </w:tcPr>
          <w:p w14:paraId="1F05BAD5"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0.260</w:t>
            </w:r>
          </w:p>
        </w:tc>
        <w:tc>
          <w:tcPr>
            <w:tcW w:w="1471" w:type="dxa"/>
            <w:tcBorders>
              <w:top w:val="nil"/>
              <w:left w:val="nil"/>
              <w:bottom w:val="nil"/>
              <w:right w:val="single" w:sz="4" w:space="0" w:color="auto"/>
            </w:tcBorders>
            <w:noWrap/>
            <w:vAlign w:val="center"/>
            <w:hideMark/>
          </w:tcPr>
          <w:p w14:paraId="39DD4C0E"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140" w:type="dxa"/>
            <w:tcBorders>
              <w:top w:val="nil"/>
              <w:left w:val="nil"/>
              <w:bottom w:val="nil"/>
              <w:right w:val="single" w:sz="4" w:space="0" w:color="auto"/>
            </w:tcBorders>
            <w:shd w:val="clear" w:color="auto" w:fill="F2F2F2"/>
            <w:noWrap/>
            <w:vAlign w:val="center"/>
            <w:hideMark/>
          </w:tcPr>
          <w:p w14:paraId="79BB8448"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5.527</w:t>
            </w:r>
          </w:p>
        </w:tc>
        <w:tc>
          <w:tcPr>
            <w:tcW w:w="1140" w:type="dxa"/>
            <w:tcBorders>
              <w:top w:val="nil"/>
              <w:left w:val="nil"/>
              <w:bottom w:val="nil"/>
              <w:right w:val="single" w:sz="4" w:space="0" w:color="auto"/>
            </w:tcBorders>
            <w:noWrap/>
            <w:vAlign w:val="center"/>
            <w:hideMark/>
          </w:tcPr>
          <w:p w14:paraId="29CEBE23"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4.478</w:t>
            </w:r>
          </w:p>
        </w:tc>
        <w:tc>
          <w:tcPr>
            <w:tcW w:w="1301" w:type="dxa"/>
            <w:tcBorders>
              <w:top w:val="nil"/>
              <w:left w:val="nil"/>
              <w:bottom w:val="nil"/>
              <w:right w:val="single" w:sz="4" w:space="0" w:color="auto"/>
            </w:tcBorders>
            <w:noWrap/>
            <w:vAlign w:val="center"/>
            <w:hideMark/>
          </w:tcPr>
          <w:p w14:paraId="7B61017A"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(1.049)</w:t>
            </w:r>
          </w:p>
        </w:tc>
      </w:tr>
      <w:tr w:rsidR="00AE1C10" w:rsidRPr="00E73C9B" w14:paraId="5D16C532" w14:textId="77777777" w:rsidTr="00E73C9B">
        <w:trPr>
          <w:trHeight w:val="222"/>
          <w:jc w:val="center"/>
        </w:trPr>
        <w:tc>
          <w:tcPr>
            <w:tcW w:w="3549" w:type="dxa"/>
            <w:tcBorders>
              <w:top w:val="nil"/>
              <w:left w:val="single" w:sz="4" w:space="0" w:color="auto"/>
              <w:bottom w:val="nil"/>
              <w:right w:val="nil"/>
            </w:tcBorders>
            <w:noWrap/>
            <w:vAlign w:val="center"/>
            <w:hideMark/>
          </w:tcPr>
          <w:p w14:paraId="57DDE2F0"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Specialist Crime</w:t>
            </w:r>
          </w:p>
        </w:tc>
        <w:tc>
          <w:tcPr>
            <w:tcW w:w="1360" w:type="dxa"/>
            <w:tcBorders>
              <w:top w:val="nil"/>
              <w:left w:val="single" w:sz="4" w:space="0" w:color="auto"/>
              <w:bottom w:val="nil"/>
              <w:right w:val="single" w:sz="4" w:space="0" w:color="auto"/>
            </w:tcBorders>
            <w:shd w:val="clear" w:color="auto" w:fill="F2F2F2"/>
            <w:noWrap/>
            <w:vAlign w:val="center"/>
            <w:hideMark/>
          </w:tcPr>
          <w:p w14:paraId="7657F570"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0.326</w:t>
            </w:r>
          </w:p>
        </w:tc>
        <w:tc>
          <w:tcPr>
            <w:tcW w:w="1360" w:type="dxa"/>
            <w:tcBorders>
              <w:top w:val="nil"/>
              <w:left w:val="nil"/>
              <w:bottom w:val="nil"/>
              <w:right w:val="single" w:sz="4" w:space="0" w:color="auto"/>
            </w:tcBorders>
            <w:noWrap/>
            <w:vAlign w:val="center"/>
            <w:hideMark/>
          </w:tcPr>
          <w:p w14:paraId="276FCB3E"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61" w:type="dxa"/>
            <w:tcBorders>
              <w:top w:val="nil"/>
              <w:left w:val="nil"/>
              <w:bottom w:val="nil"/>
              <w:right w:val="single" w:sz="4" w:space="0" w:color="auto"/>
            </w:tcBorders>
            <w:noWrap/>
            <w:vAlign w:val="center"/>
            <w:hideMark/>
          </w:tcPr>
          <w:p w14:paraId="06D4BF40"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471" w:type="dxa"/>
            <w:tcBorders>
              <w:top w:val="nil"/>
              <w:left w:val="nil"/>
              <w:bottom w:val="nil"/>
              <w:right w:val="single" w:sz="4" w:space="0" w:color="auto"/>
            </w:tcBorders>
            <w:noWrap/>
            <w:vAlign w:val="center"/>
            <w:hideMark/>
          </w:tcPr>
          <w:p w14:paraId="2AB9B6CB"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140" w:type="dxa"/>
            <w:tcBorders>
              <w:top w:val="nil"/>
              <w:left w:val="nil"/>
              <w:bottom w:val="nil"/>
              <w:right w:val="single" w:sz="4" w:space="0" w:color="auto"/>
            </w:tcBorders>
            <w:shd w:val="clear" w:color="auto" w:fill="F2F2F2"/>
            <w:noWrap/>
            <w:vAlign w:val="center"/>
            <w:hideMark/>
          </w:tcPr>
          <w:p w14:paraId="31A65A98"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0.326</w:t>
            </w:r>
          </w:p>
        </w:tc>
        <w:tc>
          <w:tcPr>
            <w:tcW w:w="1140" w:type="dxa"/>
            <w:tcBorders>
              <w:top w:val="nil"/>
              <w:left w:val="nil"/>
              <w:bottom w:val="nil"/>
              <w:right w:val="single" w:sz="4" w:space="0" w:color="auto"/>
            </w:tcBorders>
            <w:noWrap/>
            <w:vAlign w:val="center"/>
            <w:hideMark/>
          </w:tcPr>
          <w:p w14:paraId="55EE52AF"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0.232</w:t>
            </w:r>
          </w:p>
        </w:tc>
        <w:tc>
          <w:tcPr>
            <w:tcW w:w="1301" w:type="dxa"/>
            <w:tcBorders>
              <w:top w:val="nil"/>
              <w:left w:val="nil"/>
              <w:bottom w:val="nil"/>
              <w:right w:val="single" w:sz="4" w:space="0" w:color="auto"/>
            </w:tcBorders>
            <w:noWrap/>
            <w:vAlign w:val="center"/>
            <w:hideMark/>
          </w:tcPr>
          <w:p w14:paraId="32E6D8C5"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(0.094)</w:t>
            </w:r>
          </w:p>
        </w:tc>
      </w:tr>
      <w:tr w:rsidR="00AE1C10" w:rsidRPr="00E73C9B" w14:paraId="20002AEF" w14:textId="77777777" w:rsidTr="00E73C9B">
        <w:trPr>
          <w:trHeight w:val="222"/>
          <w:jc w:val="center"/>
        </w:trPr>
        <w:tc>
          <w:tcPr>
            <w:tcW w:w="3549" w:type="dxa"/>
            <w:tcBorders>
              <w:top w:val="nil"/>
              <w:left w:val="single" w:sz="4" w:space="0" w:color="auto"/>
              <w:bottom w:val="nil"/>
              <w:right w:val="nil"/>
            </w:tcBorders>
            <w:noWrap/>
            <w:vAlign w:val="center"/>
            <w:hideMark/>
          </w:tcPr>
          <w:p w14:paraId="4D9801E1"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Operations</w:t>
            </w:r>
          </w:p>
        </w:tc>
        <w:tc>
          <w:tcPr>
            <w:tcW w:w="1360" w:type="dxa"/>
            <w:tcBorders>
              <w:top w:val="nil"/>
              <w:left w:val="single" w:sz="4" w:space="0" w:color="auto"/>
              <w:bottom w:val="nil"/>
              <w:right w:val="single" w:sz="4" w:space="0" w:color="auto"/>
            </w:tcBorders>
            <w:shd w:val="clear" w:color="auto" w:fill="F2F2F2"/>
            <w:noWrap/>
            <w:vAlign w:val="center"/>
            <w:hideMark/>
          </w:tcPr>
          <w:p w14:paraId="5B8CF219"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0.624</w:t>
            </w:r>
          </w:p>
        </w:tc>
        <w:tc>
          <w:tcPr>
            <w:tcW w:w="1360" w:type="dxa"/>
            <w:tcBorders>
              <w:top w:val="nil"/>
              <w:left w:val="nil"/>
              <w:bottom w:val="nil"/>
              <w:right w:val="single" w:sz="4" w:space="0" w:color="auto"/>
            </w:tcBorders>
            <w:noWrap/>
            <w:vAlign w:val="center"/>
            <w:hideMark/>
          </w:tcPr>
          <w:p w14:paraId="49308F5C"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61" w:type="dxa"/>
            <w:tcBorders>
              <w:top w:val="nil"/>
              <w:left w:val="nil"/>
              <w:bottom w:val="nil"/>
              <w:right w:val="single" w:sz="4" w:space="0" w:color="auto"/>
            </w:tcBorders>
            <w:noWrap/>
            <w:vAlign w:val="center"/>
            <w:hideMark/>
          </w:tcPr>
          <w:p w14:paraId="66F893F0"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0.200</w:t>
            </w:r>
          </w:p>
        </w:tc>
        <w:tc>
          <w:tcPr>
            <w:tcW w:w="1471" w:type="dxa"/>
            <w:tcBorders>
              <w:top w:val="nil"/>
              <w:left w:val="nil"/>
              <w:bottom w:val="nil"/>
              <w:right w:val="single" w:sz="4" w:space="0" w:color="auto"/>
            </w:tcBorders>
            <w:noWrap/>
            <w:vAlign w:val="center"/>
            <w:hideMark/>
          </w:tcPr>
          <w:p w14:paraId="69503E05"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140" w:type="dxa"/>
            <w:tcBorders>
              <w:top w:val="nil"/>
              <w:left w:val="nil"/>
              <w:bottom w:val="nil"/>
              <w:right w:val="single" w:sz="4" w:space="0" w:color="auto"/>
            </w:tcBorders>
            <w:shd w:val="clear" w:color="auto" w:fill="F2F2F2"/>
            <w:noWrap/>
            <w:vAlign w:val="center"/>
            <w:hideMark/>
          </w:tcPr>
          <w:p w14:paraId="46682BDE"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0.824</w:t>
            </w:r>
          </w:p>
        </w:tc>
        <w:tc>
          <w:tcPr>
            <w:tcW w:w="1140" w:type="dxa"/>
            <w:tcBorders>
              <w:top w:val="nil"/>
              <w:left w:val="nil"/>
              <w:bottom w:val="nil"/>
              <w:right w:val="single" w:sz="4" w:space="0" w:color="auto"/>
            </w:tcBorders>
            <w:noWrap/>
            <w:vAlign w:val="center"/>
            <w:hideMark/>
          </w:tcPr>
          <w:p w14:paraId="2567CCA0"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1.089</w:t>
            </w:r>
          </w:p>
        </w:tc>
        <w:tc>
          <w:tcPr>
            <w:tcW w:w="1301" w:type="dxa"/>
            <w:tcBorders>
              <w:top w:val="nil"/>
              <w:left w:val="nil"/>
              <w:bottom w:val="nil"/>
              <w:right w:val="single" w:sz="4" w:space="0" w:color="auto"/>
            </w:tcBorders>
            <w:noWrap/>
            <w:vAlign w:val="center"/>
            <w:hideMark/>
          </w:tcPr>
          <w:p w14:paraId="1A21DBF6"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0.265</w:t>
            </w:r>
          </w:p>
        </w:tc>
      </w:tr>
      <w:tr w:rsidR="00AE1C10" w:rsidRPr="00E73C9B" w14:paraId="62B6C165" w14:textId="77777777" w:rsidTr="00E73C9B">
        <w:trPr>
          <w:trHeight w:val="222"/>
          <w:jc w:val="center"/>
        </w:trPr>
        <w:tc>
          <w:tcPr>
            <w:tcW w:w="3549" w:type="dxa"/>
            <w:tcBorders>
              <w:top w:val="nil"/>
              <w:left w:val="single" w:sz="4" w:space="0" w:color="auto"/>
              <w:bottom w:val="nil"/>
              <w:right w:val="nil"/>
            </w:tcBorders>
            <w:noWrap/>
            <w:vAlign w:val="center"/>
            <w:hideMark/>
          </w:tcPr>
          <w:p w14:paraId="417BE000"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Corporate Services (inc Estates)</w:t>
            </w:r>
          </w:p>
        </w:tc>
        <w:tc>
          <w:tcPr>
            <w:tcW w:w="1360" w:type="dxa"/>
            <w:tcBorders>
              <w:top w:val="nil"/>
              <w:left w:val="single" w:sz="4" w:space="0" w:color="auto"/>
              <w:bottom w:val="nil"/>
              <w:right w:val="single" w:sz="4" w:space="0" w:color="auto"/>
            </w:tcBorders>
            <w:shd w:val="clear" w:color="auto" w:fill="F2F2F2"/>
            <w:noWrap/>
            <w:vAlign w:val="center"/>
            <w:hideMark/>
          </w:tcPr>
          <w:p w14:paraId="484D3D49"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4.047</w:t>
            </w:r>
          </w:p>
        </w:tc>
        <w:tc>
          <w:tcPr>
            <w:tcW w:w="1360" w:type="dxa"/>
            <w:tcBorders>
              <w:top w:val="nil"/>
              <w:left w:val="nil"/>
              <w:bottom w:val="nil"/>
              <w:right w:val="single" w:sz="4" w:space="0" w:color="auto"/>
            </w:tcBorders>
            <w:noWrap/>
            <w:vAlign w:val="center"/>
            <w:hideMark/>
          </w:tcPr>
          <w:p w14:paraId="5634F8D4"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(0.082)</w:t>
            </w:r>
          </w:p>
        </w:tc>
        <w:tc>
          <w:tcPr>
            <w:tcW w:w="1361" w:type="dxa"/>
            <w:tcBorders>
              <w:top w:val="nil"/>
              <w:left w:val="nil"/>
              <w:bottom w:val="nil"/>
              <w:right w:val="single" w:sz="4" w:space="0" w:color="auto"/>
            </w:tcBorders>
            <w:noWrap/>
            <w:vAlign w:val="center"/>
            <w:hideMark/>
          </w:tcPr>
          <w:p w14:paraId="493AB8A7"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(0.200)</w:t>
            </w:r>
          </w:p>
        </w:tc>
        <w:tc>
          <w:tcPr>
            <w:tcW w:w="1471" w:type="dxa"/>
            <w:tcBorders>
              <w:top w:val="nil"/>
              <w:left w:val="nil"/>
              <w:bottom w:val="nil"/>
              <w:right w:val="single" w:sz="4" w:space="0" w:color="auto"/>
            </w:tcBorders>
            <w:noWrap/>
            <w:vAlign w:val="center"/>
            <w:hideMark/>
          </w:tcPr>
          <w:p w14:paraId="6CCABE20"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140" w:type="dxa"/>
            <w:tcBorders>
              <w:top w:val="nil"/>
              <w:left w:val="nil"/>
              <w:bottom w:val="nil"/>
              <w:right w:val="single" w:sz="4" w:space="0" w:color="auto"/>
            </w:tcBorders>
            <w:shd w:val="clear" w:color="auto" w:fill="F2F2F2"/>
            <w:noWrap/>
            <w:vAlign w:val="center"/>
            <w:hideMark/>
          </w:tcPr>
          <w:p w14:paraId="38ECBB33"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3.765</w:t>
            </w:r>
          </w:p>
        </w:tc>
        <w:tc>
          <w:tcPr>
            <w:tcW w:w="1140" w:type="dxa"/>
            <w:tcBorders>
              <w:top w:val="nil"/>
              <w:left w:val="nil"/>
              <w:bottom w:val="nil"/>
              <w:right w:val="single" w:sz="4" w:space="0" w:color="auto"/>
            </w:tcBorders>
            <w:noWrap/>
            <w:vAlign w:val="center"/>
            <w:hideMark/>
          </w:tcPr>
          <w:p w14:paraId="6CD66AD1"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1.627</w:t>
            </w:r>
          </w:p>
        </w:tc>
        <w:tc>
          <w:tcPr>
            <w:tcW w:w="1301" w:type="dxa"/>
            <w:tcBorders>
              <w:top w:val="nil"/>
              <w:left w:val="nil"/>
              <w:bottom w:val="nil"/>
              <w:right w:val="single" w:sz="4" w:space="0" w:color="auto"/>
            </w:tcBorders>
            <w:noWrap/>
            <w:vAlign w:val="center"/>
            <w:hideMark/>
          </w:tcPr>
          <w:p w14:paraId="78CCC537"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(2.138)</w:t>
            </w:r>
          </w:p>
        </w:tc>
      </w:tr>
      <w:tr w:rsidR="00AE1C10" w:rsidRPr="00E73C9B" w14:paraId="000C54F4" w14:textId="77777777" w:rsidTr="00E73C9B">
        <w:trPr>
          <w:trHeight w:val="222"/>
          <w:jc w:val="center"/>
        </w:trPr>
        <w:tc>
          <w:tcPr>
            <w:tcW w:w="3549" w:type="dxa"/>
            <w:tcBorders>
              <w:top w:val="nil"/>
              <w:left w:val="single" w:sz="4" w:space="0" w:color="auto"/>
              <w:bottom w:val="nil"/>
              <w:right w:val="nil"/>
            </w:tcBorders>
            <w:noWrap/>
            <w:vAlign w:val="center"/>
            <w:hideMark/>
          </w:tcPr>
          <w:p w14:paraId="1826279F"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Contact</w:t>
            </w:r>
          </w:p>
        </w:tc>
        <w:tc>
          <w:tcPr>
            <w:tcW w:w="1360" w:type="dxa"/>
            <w:tcBorders>
              <w:top w:val="nil"/>
              <w:left w:val="single" w:sz="4" w:space="0" w:color="auto"/>
              <w:bottom w:val="nil"/>
              <w:right w:val="single" w:sz="4" w:space="0" w:color="auto"/>
            </w:tcBorders>
            <w:shd w:val="clear" w:color="auto" w:fill="F2F2F2"/>
            <w:noWrap/>
            <w:vAlign w:val="center"/>
            <w:hideMark/>
          </w:tcPr>
          <w:p w14:paraId="0ACAAFC5"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0.845</w:t>
            </w:r>
          </w:p>
        </w:tc>
        <w:tc>
          <w:tcPr>
            <w:tcW w:w="1360" w:type="dxa"/>
            <w:tcBorders>
              <w:top w:val="nil"/>
              <w:left w:val="nil"/>
              <w:bottom w:val="nil"/>
              <w:right w:val="single" w:sz="4" w:space="0" w:color="auto"/>
            </w:tcBorders>
            <w:noWrap/>
            <w:vAlign w:val="center"/>
            <w:hideMark/>
          </w:tcPr>
          <w:p w14:paraId="1CC5C41A"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0.015</w:t>
            </w:r>
          </w:p>
        </w:tc>
        <w:tc>
          <w:tcPr>
            <w:tcW w:w="1361" w:type="dxa"/>
            <w:tcBorders>
              <w:top w:val="nil"/>
              <w:left w:val="nil"/>
              <w:bottom w:val="nil"/>
              <w:right w:val="single" w:sz="4" w:space="0" w:color="auto"/>
            </w:tcBorders>
            <w:noWrap/>
            <w:vAlign w:val="center"/>
            <w:hideMark/>
          </w:tcPr>
          <w:p w14:paraId="6A00E160"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0.436</w:t>
            </w:r>
          </w:p>
        </w:tc>
        <w:tc>
          <w:tcPr>
            <w:tcW w:w="1471" w:type="dxa"/>
            <w:tcBorders>
              <w:top w:val="nil"/>
              <w:left w:val="nil"/>
              <w:bottom w:val="nil"/>
              <w:right w:val="single" w:sz="4" w:space="0" w:color="auto"/>
            </w:tcBorders>
            <w:noWrap/>
            <w:vAlign w:val="center"/>
            <w:hideMark/>
          </w:tcPr>
          <w:p w14:paraId="3ED3081A"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140" w:type="dxa"/>
            <w:tcBorders>
              <w:top w:val="nil"/>
              <w:left w:val="nil"/>
              <w:bottom w:val="nil"/>
              <w:right w:val="single" w:sz="4" w:space="0" w:color="auto"/>
            </w:tcBorders>
            <w:shd w:val="clear" w:color="auto" w:fill="F2F2F2"/>
            <w:noWrap/>
            <w:vAlign w:val="center"/>
            <w:hideMark/>
          </w:tcPr>
          <w:p w14:paraId="40EA9A52"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1.296</w:t>
            </w:r>
          </w:p>
        </w:tc>
        <w:tc>
          <w:tcPr>
            <w:tcW w:w="1140" w:type="dxa"/>
            <w:tcBorders>
              <w:top w:val="nil"/>
              <w:left w:val="nil"/>
              <w:bottom w:val="nil"/>
              <w:right w:val="single" w:sz="4" w:space="0" w:color="auto"/>
            </w:tcBorders>
            <w:noWrap/>
            <w:vAlign w:val="center"/>
            <w:hideMark/>
          </w:tcPr>
          <w:p w14:paraId="032F2392"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0.886</w:t>
            </w:r>
          </w:p>
        </w:tc>
        <w:tc>
          <w:tcPr>
            <w:tcW w:w="1301" w:type="dxa"/>
            <w:tcBorders>
              <w:top w:val="nil"/>
              <w:left w:val="nil"/>
              <w:bottom w:val="nil"/>
              <w:right w:val="single" w:sz="4" w:space="0" w:color="auto"/>
            </w:tcBorders>
            <w:noWrap/>
            <w:vAlign w:val="center"/>
            <w:hideMark/>
          </w:tcPr>
          <w:p w14:paraId="42743B1B"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(0.410)</w:t>
            </w:r>
          </w:p>
        </w:tc>
      </w:tr>
      <w:tr w:rsidR="00AE1C10" w:rsidRPr="00E73C9B" w14:paraId="59C91BFC" w14:textId="77777777" w:rsidTr="00E73C9B">
        <w:trPr>
          <w:trHeight w:val="222"/>
          <w:jc w:val="center"/>
        </w:trPr>
        <w:tc>
          <w:tcPr>
            <w:tcW w:w="3549" w:type="dxa"/>
            <w:tcBorders>
              <w:top w:val="nil"/>
              <w:left w:val="single" w:sz="4" w:space="0" w:color="auto"/>
              <w:bottom w:val="nil"/>
              <w:right w:val="nil"/>
            </w:tcBorders>
            <w:noWrap/>
            <w:vAlign w:val="center"/>
            <w:hideMark/>
          </w:tcPr>
          <w:p w14:paraId="7423CC76"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Other</w:t>
            </w:r>
          </w:p>
        </w:tc>
        <w:tc>
          <w:tcPr>
            <w:tcW w:w="1360" w:type="dxa"/>
            <w:tcBorders>
              <w:top w:val="nil"/>
              <w:left w:val="single" w:sz="4" w:space="0" w:color="auto"/>
              <w:bottom w:val="nil"/>
              <w:right w:val="single" w:sz="4" w:space="0" w:color="auto"/>
            </w:tcBorders>
            <w:shd w:val="clear" w:color="auto" w:fill="F2F2F2"/>
            <w:noWrap/>
            <w:vAlign w:val="center"/>
            <w:hideMark/>
          </w:tcPr>
          <w:p w14:paraId="1C67B113"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1.056</w:t>
            </w:r>
          </w:p>
        </w:tc>
        <w:tc>
          <w:tcPr>
            <w:tcW w:w="1360" w:type="dxa"/>
            <w:tcBorders>
              <w:top w:val="nil"/>
              <w:left w:val="nil"/>
              <w:bottom w:val="nil"/>
              <w:right w:val="single" w:sz="4" w:space="0" w:color="auto"/>
            </w:tcBorders>
            <w:noWrap/>
            <w:vAlign w:val="center"/>
            <w:hideMark/>
          </w:tcPr>
          <w:p w14:paraId="5100DDE0"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61" w:type="dxa"/>
            <w:tcBorders>
              <w:top w:val="nil"/>
              <w:left w:val="nil"/>
              <w:bottom w:val="nil"/>
              <w:right w:val="single" w:sz="4" w:space="0" w:color="auto"/>
            </w:tcBorders>
            <w:noWrap/>
            <w:vAlign w:val="center"/>
            <w:hideMark/>
          </w:tcPr>
          <w:p w14:paraId="294CA827" w14:textId="77777777" w:rsidR="00AE1C10" w:rsidRPr="00E73C9B" w:rsidRDefault="00AE1C10" w:rsidP="00AE1C10">
            <w:pPr>
              <w:jc w:val="right"/>
              <w:rPr>
                <w:rFonts w:ascii="Verdana" w:eastAsia="Times New Roman" w:hAnsi="Verdana" w:cs="Calibri"/>
                <w:color w:val="000000"/>
                <w:sz w:val="20"/>
                <w:szCs w:val="20"/>
                <w:lang w:val="en-GB" w:eastAsia="en-GB"/>
              </w:rPr>
            </w:pPr>
            <w:r w:rsidRPr="00E73C9B">
              <w:rPr>
                <w:rFonts w:ascii="Verdana" w:eastAsia="Times New Roman" w:hAnsi="Verdana" w:cs="Calibri"/>
                <w:color w:val="FF0000"/>
                <w:sz w:val="20"/>
                <w:szCs w:val="20"/>
                <w:lang w:val="en-GB" w:eastAsia="en-GB"/>
              </w:rPr>
              <w:t>(1.056)</w:t>
            </w:r>
          </w:p>
        </w:tc>
        <w:tc>
          <w:tcPr>
            <w:tcW w:w="1471" w:type="dxa"/>
            <w:tcBorders>
              <w:top w:val="nil"/>
              <w:left w:val="nil"/>
              <w:bottom w:val="nil"/>
              <w:right w:val="single" w:sz="4" w:space="0" w:color="auto"/>
            </w:tcBorders>
            <w:noWrap/>
            <w:vAlign w:val="center"/>
            <w:hideMark/>
          </w:tcPr>
          <w:p w14:paraId="7CDBA878"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140" w:type="dxa"/>
            <w:tcBorders>
              <w:top w:val="nil"/>
              <w:left w:val="nil"/>
              <w:bottom w:val="nil"/>
              <w:right w:val="single" w:sz="4" w:space="0" w:color="auto"/>
            </w:tcBorders>
            <w:shd w:val="clear" w:color="auto" w:fill="F2F2F2"/>
            <w:noWrap/>
            <w:vAlign w:val="center"/>
            <w:hideMark/>
          </w:tcPr>
          <w:p w14:paraId="11DB0EAA"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140" w:type="dxa"/>
            <w:tcBorders>
              <w:top w:val="nil"/>
              <w:left w:val="nil"/>
              <w:bottom w:val="nil"/>
              <w:right w:val="single" w:sz="4" w:space="0" w:color="auto"/>
            </w:tcBorders>
            <w:noWrap/>
            <w:vAlign w:val="center"/>
            <w:hideMark/>
          </w:tcPr>
          <w:p w14:paraId="1BCE4808"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c>
          <w:tcPr>
            <w:tcW w:w="1301" w:type="dxa"/>
            <w:tcBorders>
              <w:top w:val="nil"/>
              <w:left w:val="nil"/>
              <w:bottom w:val="nil"/>
              <w:right w:val="single" w:sz="4" w:space="0" w:color="auto"/>
            </w:tcBorders>
            <w:noWrap/>
            <w:vAlign w:val="center"/>
            <w:hideMark/>
          </w:tcPr>
          <w:p w14:paraId="53AE1E31" w14:textId="77777777" w:rsidR="00AE1C10" w:rsidRPr="00E73C9B" w:rsidRDefault="00AE1C10" w:rsidP="00AE1C10">
            <w:pPr>
              <w:rPr>
                <w:rFonts w:ascii="Verdana" w:eastAsia="Times New Roman" w:hAnsi="Verdana" w:cs="Calibri"/>
                <w:color w:val="000000"/>
                <w:sz w:val="20"/>
                <w:szCs w:val="20"/>
                <w:lang w:val="en-GB" w:eastAsia="en-GB"/>
              </w:rPr>
            </w:pPr>
            <w:r w:rsidRPr="00E73C9B">
              <w:rPr>
                <w:rFonts w:ascii="Verdana" w:eastAsia="Times New Roman" w:hAnsi="Verdana" w:cs="Calibri"/>
                <w:color w:val="000000"/>
                <w:sz w:val="20"/>
                <w:szCs w:val="20"/>
                <w:lang w:val="en-GB" w:eastAsia="en-GB"/>
              </w:rPr>
              <w:t> </w:t>
            </w:r>
          </w:p>
        </w:tc>
      </w:tr>
      <w:tr w:rsidR="00AE1C10" w:rsidRPr="00E73C9B" w14:paraId="4E309354" w14:textId="77777777" w:rsidTr="00E73C9B">
        <w:trPr>
          <w:trHeight w:val="222"/>
          <w:jc w:val="center"/>
        </w:trPr>
        <w:tc>
          <w:tcPr>
            <w:tcW w:w="3549" w:type="dxa"/>
            <w:tcBorders>
              <w:top w:val="single" w:sz="4" w:space="0" w:color="auto"/>
              <w:left w:val="single" w:sz="4" w:space="0" w:color="auto"/>
              <w:bottom w:val="single" w:sz="4" w:space="0" w:color="auto"/>
              <w:right w:val="nil"/>
            </w:tcBorders>
            <w:noWrap/>
            <w:vAlign w:val="center"/>
            <w:hideMark/>
          </w:tcPr>
          <w:p w14:paraId="134378C1" w14:textId="77777777" w:rsidR="00AE1C10" w:rsidRPr="00E73C9B" w:rsidRDefault="00AE1C10" w:rsidP="00AE1C10">
            <w:pPr>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Total</w:t>
            </w:r>
          </w:p>
        </w:tc>
        <w:tc>
          <w:tcPr>
            <w:tcW w:w="13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E7C2E4D" w14:textId="77777777" w:rsidR="00AE1C10" w:rsidRPr="00E73C9B" w:rsidRDefault="00AE1C10" w:rsidP="00AE1C10">
            <w:pPr>
              <w:jc w:val="right"/>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18.044</w:t>
            </w:r>
          </w:p>
        </w:tc>
        <w:tc>
          <w:tcPr>
            <w:tcW w:w="1360" w:type="dxa"/>
            <w:tcBorders>
              <w:top w:val="single" w:sz="4" w:space="0" w:color="auto"/>
              <w:left w:val="nil"/>
              <w:bottom w:val="single" w:sz="4" w:space="0" w:color="auto"/>
              <w:right w:val="single" w:sz="4" w:space="0" w:color="auto"/>
            </w:tcBorders>
            <w:noWrap/>
            <w:vAlign w:val="center"/>
            <w:hideMark/>
          </w:tcPr>
          <w:p w14:paraId="1D08FD91" w14:textId="77777777" w:rsidR="00AE1C10" w:rsidRPr="00E73C9B" w:rsidRDefault="00AE1C10" w:rsidP="00AE1C10">
            <w:pPr>
              <w:jc w:val="right"/>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0.848</w:t>
            </w:r>
          </w:p>
        </w:tc>
        <w:tc>
          <w:tcPr>
            <w:tcW w:w="1361" w:type="dxa"/>
            <w:tcBorders>
              <w:top w:val="single" w:sz="4" w:space="0" w:color="auto"/>
              <w:left w:val="nil"/>
              <w:bottom w:val="single" w:sz="4" w:space="0" w:color="auto"/>
              <w:right w:val="single" w:sz="4" w:space="0" w:color="auto"/>
            </w:tcBorders>
            <w:noWrap/>
            <w:vAlign w:val="center"/>
            <w:hideMark/>
          </w:tcPr>
          <w:p w14:paraId="7CF462FD" w14:textId="77777777" w:rsidR="00AE1C10" w:rsidRPr="00E73C9B" w:rsidRDefault="00AE1C10" w:rsidP="00AE1C10">
            <w:pPr>
              <w:jc w:val="right"/>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FF0000"/>
                <w:sz w:val="20"/>
                <w:szCs w:val="20"/>
                <w:lang w:val="en-GB" w:eastAsia="en-GB"/>
              </w:rPr>
              <w:t>(1.357)</w:t>
            </w:r>
          </w:p>
        </w:tc>
        <w:tc>
          <w:tcPr>
            <w:tcW w:w="1471" w:type="dxa"/>
            <w:tcBorders>
              <w:top w:val="single" w:sz="4" w:space="0" w:color="auto"/>
              <w:left w:val="nil"/>
              <w:bottom w:val="single" w:sz="4" w:space="0" w:color="auto"/>
              <w:right w:val="single" w:sz="4" w:space="0" w:color="auto"/>
            </w:tcBorders>
            <w:noWrap/>
            <w:vAlign w:val="center"/>
            <w:hideMark/>
          </w:tcPr>
          <w:p w14:paraId="46867068" w14:textId="77777777" w:rsidR="00AE1C10" w:rsidRPr="00E73C9B" w:rsidRDefault="00AE1C10" w:rsidP="00AE1C10">
            <w:pPr>
              <w:jc w:val="right"/>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2.537</w:t>
            </w:r>
          </w:p>
        </w:tc>
        <w:tc>
          <w:tcPr>
            <w:tcW w:w="1140" w:type="dxa"/>
            <w:tcBorders>
              <w:top w:val="single" w:sz="4" w:space="0" w:color="auto"/>
              <w:left w:val="nil"/>
              <w:bottom w:val="single" w:sz="4" w:space="0" w:color="auto"/>
              <w:right w:val="single" w:sz="4" w:space="0" w:color="auto"/>
            </w:tcBorders>
            <w:shd w:val="clear" w:color="auto" w:fill="F2F2F2"/>
            <w:noWrap/>
            <w:vAlign w:val="center"/>
            <w:hideMark/>
          </w:tcPr>
          <w:p w14:paraId="2E932039" w14:textId="77777777" w:rsidR="00AE1C10" w:rsidRPr="00E73C9B" w:rsidRDefault="00AE1C10" w:rsidP="00AE1C10">
            <w:pPr>
              <w:jc w:val="right"/>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20.072</w:t>
            </w:r>
          </w:p>
        </w:tc>
        <w:tc>
          <w:tcPr>
            <w:tcW w:w="1140" w:type="dxa"/>
            <w:tcBorders>
              <w:top w:val="single" w:sz="4" w:space="0" w:color="auto"/>
              <w:left w:val="nil"/>
              <w:bottom w:val="single" w:sz="4" w:space="0" w:color="auto"/>
              <w:right w:val="single" w:sz="4" w:space="0" w:color="auto"/>
            </w:tcBorders>
            <w:noWrap/>
            <w:vAlign w:val="center"/>
            <w:hideMark/>
          </w:tcPr>
          <w:p w14:paraId="5D47E766" w14:textId="77777777" w:rsidR="00AE1C10" w:rsidRPr="00E73C9B" w:rsidRDefault="00AE1C10" w:rsidP="00AE1C10">
            <w:pPr>
              <w:jc w:val="right"/>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000000"/>
                <w:sz w:val="20"/>
                <w:szCs w:val="20"/>
                <w:lang w:val="en-GB" w:eastAsia="en-GB"/>
              </w:rPr>
              <w:t>13.325</w:t>
            </w:r>
          </w:p>
        </w:tc>
        <w:tc>
          <w:tcPr>
            <w:tcW w:w="1301" w:type="dxa"/>
            <w:tcBorders>
              <w:top w:val="single" w:sz="4" w:space="0" w:color="auto"/>
              <w:left w:val="nil"/>
              <w:bottom w:val="single" w:sz="4" w:space="0" w:color="auto"/>
              <w:right w:val="single" w:sz="4" w:space="0" w:color="auto"/>
            </w:tcBorders>
            <w:noWrap/>
            <w:vAlign w:val="center"/>
            <w:hideMark/>
          </w:tcPr>
          <w:p w14:paraId="2A8512D7" w14:textId="77777777" w:rsidR="00AE1C10" w:rsidRPr="00E73C9B" w:rsidRDefault="00AE1C10" w:rsidP="00AE1C10">
            <w:pPr>
              <w:jc w:val="right"/>
              <w:rPr>
                <w:rFonts w:ascii="Verdana" w:eastAsia="Times New Roman" w:hAnsi="Verdana" w:cs="Calibri"/>
                <w:b/>
                <w:bCs/>
                <w:color w:val="000000"/>
                <w:sz w:val="20"/>
                <w:szCs w:val="20"/>
                <w:lang w:val="en-GB" w:eastAsia="en-GB"/>
              </w:rPr>
            </w:pPr>
            <w:r w:rsidRPr="00E73C9B">
              <w:rPr>
                <w:rFonts w:ascii="Verdana" w:eastAsia="Times New Roman" w:hAnsi="Verdana" w:cs="Calibri"/>
                <w:b/>
                <w:bCs/>
                <w:color w:val="FF0000"/>
                <w:sz w:val="20"/>
                <w:szCs w:val="20"/>
                <w:lang w:val="en-GB" w:eastAsia="en-GB"/>
              </w:rPr>
              <w:t>(6.747)</w:t>
            </w:r>
          </w:p>
        </w:tc>
      </w:tr>
    </w:tbl>
    <w:p w14:paraId="6B31ACF1" w14:textId="77777777" w:rsidR="00FC158C" w:rsidRDefault="00FC158C" w:rsidP="007C1A0A">
      <w:pPr>
        <w:rPr>
          <w:rFonts w:ascii="Verdana" w:hAnsi="Verdana"/>
          <w:sz w:val="22"/>
          <w:szCs w:val="22"/>
          <w:highlight w:val="yellow"/>
        </w:rPr>
      </w:pPr>
    </w:p>
    <w:p w14:paraId="4FA3FCA8" w14:textId="6598E62E" w:rsidR="00F227D9" w:rsidRPr="00D47A6C" w:rsidRDefault="00F227D9" w:rsidP="00F227D9">
      <w:pPr>
        <w:pStyle w:val="Normal0"/>
        <w:jc w:val="both"/>
        <w:rPr>
          <w:rFonts w:ascii="Verdana" w:eastAsia="Times New Roman" w:hAnsi="Verdana" w:cs="Arial"/>
          <w:b/>
          <w:sz w:val="22"/>
          <w:szCs w:val="22"/>
          <w:lang w:val="en-GB" w:eastAsia="en-GB"/>
        </w:rPr>
      </w:pPr>
      <w:r w:rsidRPr="00D47A6C">
        <w:rPr>
          <w:rFonts w:ascii="Verdana" w:eastAsia="Times New Roman" w:hAnsi="Verdana" w:cs="Arial"/>
          <w:b/>
          <w:sz w:val="22"/>
          <w:szCs w:val="22"/>
          <w:lang w:val="en-GB" w:eastAsia="en-GB"/>
        </w:rPr>
        <w:t>Balance Sheet</w:t>
      </w:r>
    </w:p>
    <w:p w14:paraId="61209FC2" w14:textId="77777777" w:rsidR="00F227D9" w:rsidRPr="00D47A6C" w:rsidRDefault="00F227D9" w:rsidP="00F227D9">
      <w:pPr>
        <w:pStyle w:val="Normal0"/>
        <w:rPr>
          <w:rFonts w:ascii="Verdana" w:eastAsia="Times New Roman" w:hAnsi="Verdana" w:cs="Arial"/>
          <w:sz w:val="22"/>
          <w:szCs w:val="22"/>
          <w:lang w:val="en-GB" w:eastAsia="en-GB"/>
        </w:rPr>
      </w:pPr>
    </w:p>
    <w:p w14:paraId="3B9DB071" w14:textId="77777777" w:rsidR="00F227D9" w:rsidRPr="00D47A6C" w:rsidRDefault="00F227D9" w:rsidP="00F227D9">
      <w:pPr>
        <w:pStyle w:val="Normal0"/>
        <w:rPr>
          <w:rFonts w:ascii="Verdana" w:eastAsia="Times New Roman" w:hAnsi="Verdana" w:cs="Arial"/>
          <w:sz w:val="22"/>
          <w:szCs w:val="22"/>
          <w:lang w:val="en-GB" w:eastAsia="en-GB"/>
        </w:rPr>
      </w:pPr>
      <w:r w:rsidRPr="00D47A6C">
        <w:rPr>
          <w:rFonts w:ascii="Verdana" w:eastAsia="Times New Roman" w:hAnsi="Verdana" w:cs="Arial"/>
          <w:sz w:val="22"/>
          <w:szCs w:val="22"/>
          <w:lang w:val="en-GB" w:eastAsia="en-GB"/>
        </w:rPr>
        <w:t>The balance sheet shows the value of the recognised assets and liabilities. The net liabilities are matched by the reserves held.</w:t>
      </w:r>
    </w:p>
    <w:p w14:paraId="2B86A629" w14:textId="77777777" w:rsidR="00F52015" w:rsidRPr="00D47A6C" w:rsidRDefault="00F52015" w:rsidP="00F227D9">
      <w:pPr>
        <w:pStyle w:val="Normal0"/>
        <w:rPr>
          <w:rFonts w:ascii="Verdana" w:eastAsia="Times New Roman" w:hAnsi="Verdana" w:cs="Arial"/>
          <w:sz w:val="22"/>
          <w:szCs w:val="22"/>
          <w:lang w:val="en-GB" w:eastAsia="en-GB"/>
        </w:rPr>
      </w:pPr>
    </w:p>
    <w:tbl>
      <w:tblPr>
        <w:tblW w:w="7917" w:type="dxa"/>
        <w:tblInd w:w="1450" w:type="dxa"/>
        <w:tblLook w:val="04A0" w:firstRow="1" w:lastRow="0" w:firstColumn="1" w:lastColumn="0" w:noHBand="0" w:noVBand="1"/>
      </w:tblPr>
      <w:tblGrid>
        <w:gridCol w:w="3397"/>
        <w:gridCol w:w="1593"/>
        <w:gridCol w:w="1701"/>
        <w:gridCol w:w="1226"/>
      </w:tblGrid>
      <w:tr w:rsidR="00F52015" w:rsidRPr="00DC1077" w14:paraId="2E74A33A" w14:textId="77777777" w:rsidTr="005151AB">
        <w:trPr>
          <w:trHeight w:val="360"/>
        </w:trPr>
        <w:tc>
          <w:tcPr>
            <w:tcW w:w="791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A134D4" w14:textId="77777777" w:rsidR="00F52015" w:rsidRPr="0031733F" w:rsidRDefault="00F52015" w:rsidP="00F52015">
            <w:pPr>
              <w:jc w:val="center"/>
              <w:rPr>
                <w:rFonts w:ascii="Calibri" w:hAnsi="Calibri"/>
                <w:b/>
                <w:color w:val="000000"/>
                <w:sz w:val="22"/>
                <w:szCs w:val="22"/>
              </w:rPr>
            </w:pPr>
            <w:r w:rsidRPr="0031733F">
              <w:rPr>
                <w:rFonts w:ascii="Calibri" w:hAnsi="Calibri"/>
                <w:b/>
                <w:color w:val="000000"/>
                <w:sz w:val="22"/>
                <w:szCs w:val="22"/>
              </w:rPr>
              <w:t>Chief Constable's Balance Sheet</w:t>
            </w:r>
          </w:p>
        </w:tc>
      </w:tr>
      <w:tr w:rsidR="005151AB" w:rsidRPr="00DC1077" w14:paraId="1253E24E" w14:textId="77777777" w:rsidTr="005151AB">
        <w:trPr>
          <w:trHeight w:val="554"/>
        </w:trPr>
        <w:tc>
          <w:tcPr>
            <w:tcW w:w="3397" w:type="dxa"/>
            <w:tcBorders>
              <w:top w:val="nil"/>
              <w:left w:val="single" w:sz="4" w:space="0" w:color="auto"/>
              <w:bottom w:val="single" w:sz="4" w:space="0" w:color="auto"/>
              <w:right w:val="nil"/>
            </w:tcBorders>
            <w:shd w:val="clear" w:color="000000" w:fill="FFFFFF"/>
            <w:noWrap/>
            <w:vAlign w:val="bottom"/>
            <w:hideMark/>
          </w:tcPr>
          <w:p w14:paraId="4BA6A55C" w14:textId="77777777" w:rsidR="005151AB" w:rsidRPr="0031733F" w:rsidRDefault="005151AB" w:rsidP="005151AB">
            <w:pPr>
              <w:rPr>
                <w:rFonts w:ascii="Calibri" w:hAnsi="Calibri"/>
                <w:color w:val="000000"/>
                <w:sz w:val="22"/>
                <w:szCs w:val="22"/>
              </w:rPr>
            </w:pPr>
            <w:r w:rsidRPr="0031733F">
              <w:rPr>
                <w:rFonts w:ascii="Calibri" w:hAnsi="Calibri"/>
                <w:color w:val="000000"/>
                <w:sz w:val="22"/>
                <w:szCs w:val="22"/>
              </w:rPr>
              <w:t> </w:t>
            </w:r>
          </w:p>
        </w:tc>
        <w:tc>
          <w:tcPr>
            <w:tcW w:w="1593" w:type="dxa"/>
            <w:tcBorders>
              <w:top w:val="nil"/>
              <w:left w:val="single" w:sz="4" w:space="0" w:color="auto"/>
              <w:bottom w:val="single" w:sz="4" w:space="0" w:color="auto"/>
              <w:right w:val="nil"/>
            </w:tcBorders>
            <w:shd w:val="clear" w:color="000000" w:fill="FFFFFF"/>
            <w:vAlign w:val="bottom"/>
            <w:hideMark/>
          </w:tcPr>
          <w:p w14:paraId="5322AA97" w14:textId="35F69D1D" w:rsidR="005151AB" w:rsidRPr="0031733F" w:rsidRDefault="005151AB" w:rsidP="005151AB">
            <w:pPr>
              <w:jc w:val="center"/>
              <w:rPr>
                <w:rFonts w:ascii="Calibri" w:hAnsi="Calibri"/>
                <w:b/>
                <w:color w:val="000000"/>
                <w:sz w:val="22"/>
                <w:szCs w:val="22"/>
              </w:rPr>
            </w:pPr>
            <w:r w:rsidRPr="0031733F">
              <w:rPr>
                <w:rFonts w:ascii="Calibri" w:hAnsi="Calibri"/>
                <w:b/>
                <w:color w:val="000000"/>
                <w:sz w:val="22"/>
                <w:szCs w:val="22"/>
              </w:rPr>
              <w:t>31 March 2021</w:t>
            </w:r>
          </w:p>
          <w:p w14:paraId="73F73978" w14:textId="77777777" w:rsidR="005151AB" w:rsidRPr="0031733F" w:rsidRDefault="005151AB" w:rsidP="005151AB">
            <w:pPr>
              <w:jc w:val="center"/>
              <w:rPr>
                <w:rFonts w:ascii="Calibri" w:hAnsi="Calibri"/>
                <w:color w:val="000000"/>
                <w:sz w:val="22"/>
                <w:szCs w:val="22"/>
              </w:rPr>
            </w:pPr>
            <w:r w:rsidRPr="0031733F">
              <w:rPr>
                <w:rFonts w:ascii="Calibri" w:hAnsi="Calibri"/>
                <w:b/>
                <w:color w:val="000000"/>
                <w:sz w:val="22"/>
                <w:szCs w:val="22"/>
              </w:rPr>
              <w:t xml:space="preserve">      £m</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14:paraId="0304A195" w14:textId="77777777" w:rsidR="005151AB" w:rsidRPr="0031733F" w:rsidRDefault="005151AB" w:rsidP="005151AB">
            <w:pPr>
              <w:jc w:val="center"/>
              <w:rPr>
                <w:rFonts w:ascii="Calibri" w:hAnsi="Calibri"/>
                <w:b/>
                <w:color w:val="000000"/>
                <w:sz w:val="22"/>
                <w:szCs w:val="22"/>
              </w:rPr>
            </w:pPr>
            <w:r w:rsidRPr="0031733F">
              <w:rPr>
                <w:rFonts w:ascii="Calibri" w:hAnsi="Calibri"/>
                <w:b/>
                <w:color w:val="000000"/>
                <w:sz w:val="22"/>
                <w:szCs w:val="22"/>
              </w:rPr>
              <w:t>31 March 2020</w:t>
            </w:r>
          </w:p>
          <w:p w14:paraId="6E64AFE5" w14:textId="63B78BCC" w:rsidR="005151AB" w:rsidRPr="0031733F" w:rsidRDefault="005151AB" w:rsidP="005151AB">
            <w:pPr>
              <w:jc w:val="center"/>
              <w:rPr>
                <w:rFonts w:ascii="Calibri" w:hAnsi="Calibri"/>
                <w:b/>
                <w:color w:val="000000"/>
                <w:sz w:val="22"/>
                <w:szCs w:val="22"/>
              </w:rPr>
            </w:pPr>
            <w:r w:rsidRPr="0031733F">
              <w:rPr>
                <w:rFonts w:ascii="Calibri" w:hAnsi="Calibri"/>
                <w:b/>
                <w:color w:val="000000"/>
                <w:sz w:val="22"/>
                <w:szCs w:val="22"/>
              </w:rPr>
              <w:t xml:space="preserve">      £m</w:t>
            </w:r>
          </w:p>
        </w:tc>
        <w:tc>
          <w:tcPr>
            <w:tcW w:w="1226" w:type="dxa"/>
            <w:tcBorders>
              <w:top w:val="nil"/>
              <w:left w:val="nil"/>
              <w:bottom w:val="single" w:sz="4" w:space="0" w:color="auto"/>
              <w:right w:val="single" w:sz="4" w:space="0" w:color="auto"/>
            </w:tcBorders>
            <w:shd w:val="clear" w:color="000000" w:fill="FFFFFF"/>
            <w:vAlign w:val="bottom"/>
            <w:hideMark/>
          </w:tcPr>
          <w:p w14:paraId="27BCD569" w14:textId="77777777" w:rsidR="005151AB" w:rsidRPr="0031733F" w:rsidRDefault="005151AB" w:rsidP="005151AB">
            <w:pPr>
              <w:jc w:val="center"/>
              <w:rPr>
                <w:rFonts w:ascii="Calibri" w:hAnsi="Calibri"/>
                <w:b/>
                <w:color w:val="000000"/>
                <w:sz w:val="22"/>
                <w:szCs w:val="22"/>
              </w:rPr>
            </w:pPr>
            <w:r w:rsidRPr="0031733F">
              <w:rPr>
                <w:rFonts w:ascii="Calibri" w:hAnsi="Calibri"/>
                <w:b/>
                <w:color w:val="000000"/>
                <w:sz w:val="22"/>
                <w:szCs w:val="22"/>
              </w:rPr>
              <w:t>Movement £m</w:t>
            </w:r>
          </w:p>
        </w:tc>
      </w:tr>
      <w:tr w:rsidR="005151AB" w:rsidRPr="00DC1077" w14:paraId="4B808A20" w14:textId="77777777" w:rsidTr="005151AB">
        <w:trPr>
          <w:trHeight w:val="277"/>
        </w:trPr>
        <w:tc>
          <w:tcPr>
            <w:tcW w:w="3397" w:type="dxa"/>
            <w:tcBorders>
              <w:top w:val="nil"/>
              <w:left w:val="single" w:sz="4" w:space="0" w:color="auto"/>
              <w:bottom w:val="nil"/>
              <w:right w:val="nil"/>
            </w:tcBorders>
            <w:shd w:val="clear" w:color="000000" w:fill="FFFFFF"/>
            <w:noWrap/>
            <w:vAlign w:val="center"/>
            <w:hideMark/>
          </w:tcPr>
          <w:p w14:paraId="371D96EA" w14:textId="77777777" w:rsidR="005151AB" w:rsidRPr="0031733F" w:rsidRDefault="005151AB" w:rsidP="005151AB">
            <w:pPr>
              <w:ind w:firstLineChars="100" w:firstLine="220"/>
              <w:rPr>
                <w:rFonts w:ascii="Calibri" w:hAnsi="Calibri"/>
                <w:color w:val="000000"/>
                <w:sz w:val="22"/>
                <w:szCs w:val="22"/>
              </w:rPr>
            </w:pPr>
            <w:r w:rsidRPr="0031733F">
              <w:rPr>
                <w:rFonts w:ascii="Calibri" w:hAnsi="Calibri"/>
                <w:color w:val="000000"/>
                <w:sz w:val="22"/>
                <w:szCs w:val="22"/>
              </w:rPr>
              <w:t xml:space="preserve">Current Assets </w:t>
            </w:r>
          </w:p>
        </w:tc>
        <w:tc>
          <w:tcPr>
            <w:tcW w:w="1593" w:type="dxa"/>
            <w:tcBorders>
              <w:top w:val="nil"/>
              <w:left w:val="single" w:sz="4" w:space="0" w:color="auto"/>
              <w:bottom w:val="nil"/>
              <w:right w:val="nil"/>
            </w:tcBorders>
            <w:shd w:val="clear" w:color="000000" w:fill="FFFFFF"/>
            <w:noWrap/>
            <w:vAlign w:val="center"/>
            <w:hideMark/>
          </w:tcPr>
          <w:p w14:paraId="05335AEA" w14:textId="77777777"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0.1</w:t>
            </w:r>
          </w:p>
        </w:tc>
        <w:tc>
          <w:tcPr>
            <w:tcW w:w="1701" w:type="dxa"/>
            <w:tcBorders>
              <w:top w:val="nil"/>
              <w:left w:val="single" w:sz="4" w:space="0" w:color="auto"/>
              <w:bottom w:val="nil"/>
              <w:right w:val="single" w:sz="4" w:space="0" w:color="auto"/>
            </w:tcBorders>
            <w:shd w:val="clear" w:color="000000" w:fill="FFFFFF"/>
            <w:noWrap/>
            <w:vAlign w:val="center"/>
            <w:hideMark/>
          </w:tcPr>
          <w:p w14:paraId="1E337690" w14:textId="6EDEE614"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0.1</w:t>
            </w:r>
          </w:p>
        </w:tc>
        <w:tc>
          <w:tcPr>
            <w:tcW w:w="1226" w:type="dxa"/>
            <w:tcBorders>
              <w:top w:val="nil"/>
              <w:left w:val="nil"/>
              <w:bottom w:val="nil"/>
              <w:right w:val="single" w:sz="4" w:space="0" w:color="auto"/>
            </w:tcBorders>
            <w:shd w:val="clear" w:color="000000" w:fill="FFFFFF"/>
            <w:noWrap/>
            <w:vAlign w:val="center"/>
            <w:hideMark/>
          </w:tcPr>
          <w:p w14:paraId="37582497" w14:textId="77777777"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0.0</w:t>
            </w:r>
          </w:p>
        </w:tc>
      </w:tr>
      <w:tr w:rsidR="005151AB" w:rsidRPr="00DC1077" w14:paraId="1AC8D681" w14:textId="77777777" w:rsidTr="005151AB">
        <w:trPr>
          <w:trHeight w:val="277"/>
        </w:trPr>
        <w:tc>
          <w:tcPr>
            <w:tcW w:w="3397" w:type="dxa"/>
            <w:tcBorders>
              <w:top w:val="nil"/>
              <w:left w:val="single" w:sz="4" w:space="0" w:color="auto"/>
              <w:bottom w:val="nil"/>
              <w:right w:val="nil"/>
            </w:tcBorders>
            <w:shd w:val="clear" w:color="000000" w:fill="FFFFFF"/>
            <w:noWrap/>
            <w:vAlign w:val="center"/>
            <w:hideMark/>
          </w:tcPr>
          <w:p w14:paraId="1D3FBC3A" w14:textId="77777777" w:rsidR="005151AB" w:rsidRPr="0031733F" w:rsidRDefault="005151AB" w:rsidP="005151AB">
            <w:pPr>
              <w:ind w:firstLineChars="100" w:firstLine="220"/>
              <w:rPr>
                <w:rFonts w:ascii="Calibri" w:hAnsi="Calibri"/>
                <w:color w:val="000000"/>
                <w:sz w:val="22"/>
                <w:szCs w:val="22"/>
              </w:rPr>
            </w:pPr>
            <w:r w:rsidRPr="0031733F">
              <w:rPr>
                <w:rFonts w:ascii="Calibri" w:hAnsi="Calibri"/>
                <w:color w:val="000000"/>
                <w:sz w:val="22"/>
                <w:szCs w:val="22"/>
              </w:rPr>
              <w:t>Current Liabilities</w:t>
            </w:r>
          </w:p>
        </w:tc>
        <w:tc>
          <w:tcPr>
            <w:tcW w:w="1593" w:type="dxa"/>
            <w:tcBorders>
              <w:top w:val="nil"/>
              <w:left w:val="single" w:sz="4" w:space="0" w:color="auto"/>
              <w:bottom w:val="nil"/>
              <w:right w:val="nil"/>
            </w:tcBorders>
            <w:shd w:val="clear" w:color="000000" w:fill="FFFFFF"/>
            <w:noWrap/>
            <w:vAlign w:val="center"/>
            <w:hideMark/>
          </w:tcPr>
          <w:p w14:paraId="3124C54D" w14:textId="16B9F1F8" w:rsidR="005151AB" w:rsidRPr="0031733F" w:rsidRDefault="0031733F" w:rsidP="005151AB">
            <w:pPr>
              <w:ind w:firstLineChars="100" w:firstLine="220"/>
              <w:jc w:val="right"/>
              <w:rPr>
                <w:rFonts w:ascii="Calibri" w:hAnsi="Calibri"/>
                <w:color w:val="000000"/>
                <w:sz w:val="22"/>
                <w:szCs w:val="22"/>
              </w:rPr>
            </w:pPr>
            <w:r w:rsidRPr="0031733F">
              <w:rPr>
                <w:rFonts w:ascii="Calibri" w:hAnsi="Calibri"/>
                <w:color w:val="000000"/>
                <w:sz w:val="22"/>
                <w:szCs w:val="22"/>
              </w:rPr>
              <w:t>(2.1</w:t>
            </w:r>
            <w:r w:rsidR="005151AB" w:rsidRPr="0031733F">
              <w:rPr>
                <w:rFonts w:ascii="Calibri" w:hAnsi="Calibri"/>
                <w:color w:val="000000"/>
                <w:sz w:val="22"/>
                <w:szCs w:val="22"/>
              </w:rPr>
              <w:t>)</w:t>
            </w:r>
          </w:p>
        </w:tc>
        <w:tc>
          <w:tcPr>
            <w:tcW w:w="1701" w:type="dxa"/>
            <w:tcBorders>
              <w:top w:val="nil"/>
              <w:left w:val="single" w:sz="4" w:space="0" w:color="auto"/>
              <w:bottom w:val="nil"/>
              <w:right w:val="single" w:sz="4" w:space="0" w:color="auto"/>
            </w:tcBorders>
            <w:shd w:val="clear" w:color="000000" w:fill="FFFFFF"/>
            <w:noWrap/>
            <w:vAlign w:val="center"/>
            <w:hideMark/>
          </w:tcPr>
          <w:p w14:paraId="6AB1F8B5" w14:textId="21655888" w:rsidR="005151AB" w:rsidRPr="0031733F" w:rsidRDefault="005151AB" w:rsidP="0031733F">
            <w:pPr>
              <w:ind w:firstLineChars="100" w:firstLine="220"/>
              <w:jc w:val="right"/>
              <w:rPr>
                <w:rFonts w:ascii="Calibri" w:hAnsi="Calibri"/>
                <w:color w:val="000000"/>
                <w:sz w:val="22"/>
                <w:szCs w:val="22"/>
              </w:rPr>
            </w:pPr>
            <w:r w:rsidRPr="0031733F">
              <w:rPr>
                <w:rFonts w:ascii="Calibri" w:hAnsi="Calibri"/>
                <w:color w:val="000000"/>
                <w:sz w:val="22"/>
                <w:szCs w:val="22"/>
              </w:rPr>
              <w:t>(</w:t>
            </w:r>
            <w:r w:rsidR="0031733F" w:rsidRPr="0031733F">
              <w:rPr>
                <w:rFonts w:ascii="Calibri" w:hAnsi="Calibri"/>
                <w:color w:val="000000"/>
                <w:sz w:val="22"/>
                <w:szCs w:val="22"/>
              </w:rPr>
              <w:t>1.2</w:t>
            </w:r>
            <w:r w:rsidRPr="0031733F">
              <w:rPr>
                <w:rFonts w:ascii="Calibri" w:hAnsi="Calibri"/>
                <w:color w:val="000000"/>
                <w:sz w:val="22"/>
                <w:szCs w:val="22"/>
              </w:rPr>
              <w:t>)</w:t>
            </w:r>
          </w:p>
        </w:tc>
        <w:tc>
          <w:tcPr>
            <w:tcW w:w="1226" w:type="dxa"/>
            <w:tcBorders>
              <w:top w:val="nil"/>
              <w:left w:val="nil"/>
              <w:bottom w:val="nil"/>
              <w:right w:val="single" w:sz="4" w:space="0" w:color="auto"/>
            </w:tcBorders>
            <w:shd w:val="clear" w:color="000000" w:fill="FFFFFF"/>
            <w:noWrap/>
            <w:vAlign w:val="center"/>
            <w:hideMark/>
          </w:tcPr>
          <w:p w14:paraId="489F1A82" w14:textId="45DC14CB" w:rsidR="005151AB" w:rsidRPr="0031733F" w:rsidRDefault="005151AB" w:rsidP="0031733F">
            <w:pPr>
              <w:ind w:firstLineChars="100" w:firstLine="220"/>
              <w:jc w:val="right"/>
              <w:rPr>
                <w:rFonts w:ascii="Calibri" w:hAnsi="Calibri"/>
                <w:color w:val="000000"/>
                <w:sz w:val="22"/>
                <w:szCs w:val="22"/>
              </w:rPr>
            </w:pPr>
            <w:r w:rsidRPr="0031733F">
              <w:rPr>
                <w:rFonts w:ascii="Calibri" w:hAnsi="Calibri"/>
                <w:color w:val="000000"/>
                <w:sz w:val="22"/>
                <w:szCs w:val="22"/>
              </w:rPr>
              <w:t>(0.</w:t>
            </w:r>
            <w:r w:rsidR="0031733F" w:rsidRPr="0031733F">
              <w:rPr>
                <w:rFonts w:ascii="Calibri" w:hAnsi="Calibri"/>
                <w:color w:val="000000"/>
                <w:sz w:val="22"/>
                <w:szCs w:val="22"/>
              </w:rPr>
              <w:t>9</w:t>
            </w:r>
            <w:r w:rsidRPr="0031733F">
              <w:rPr>
                <w:rFonts w:ascii="Calibri" w:hAnsi="Calibri"/>
                <w:color w:val="000000"/>
                <w:sz w:val="22"/>
                <w:szCs w:val="22"/>
              </w:rPr>
              <w:t>)</w:t>
            </w:r>
          </w:p>
        </w:tc>
      </w:tr>
      <w:tr w:rsidR="005151AB" w:rsidRPr="00DC1077" w14:paraId="7C449277" w14:textId="77777777" w:rsidTr="005151AB">
        <w:trPr>
          <w:trHeight w:val="277"/>
        </w:trPr>
        <w:tc>
          <w:tcPr>
            <w:tcW w:w="3397" w:type="dxa"/>
            <w:tcBorders>
              <w:top w:val="nil"/>
              <w:left w:val="single" w:sz="4" w:space="0" w:color="auto"/>
              <w:bottom w:val="single" w:sz="4" w:space="0" w:color="auto"/>
              <w:right w:val="nil"/>
            </w:tcBorders>
            <w:shd w:val="clear" w:color="000000" w:fill="FFFFFF"/>
            <w:noWrap/>
            <w:vAlign w:val="center"/>
            <w:hideMark/>
          </w:tcPr>
          <w:p w14:paraId="25D9CE35" w14:textId="77777777" w:rsidR="005151AB" w:rsidRPr="0031733F" w:rsidRDefault="005151AB" w:rsidP="005151AB">
            <w:pPr>
              <w:ind w:firstLineChars="100" w:firstLine="220"/>
              <w:rPr>
                <w:rFonts w:ascii="Calibri" w:hAnsi="Calibri"/>
                <w:color w:val="000000"/>
                <w:sz w:val="22"/>
                <w:szCs w:val="22"/>
              </w:rPr>
            </w:pPr>
            <w:r w:rsidRPr="0031733F">
              <w:rPr>
                <w:rFonts w:ascii="Calibri" w:hAnsi="Calibri"/>
                <w:color w:val="000000"/>
                <w:sz w:val="22"/>
                <w:szCs w:val="22"/>
              </w:rPr>
              <w:t>Long term Liabilities</w:t>
            </w:r>
          </w:p>
        </w:tc>
        <w:tc>
          <w:tcPr>
            <w:tcW w:w="1593" w:type="dxa"/>
            <w:tcBorders>
              <w:top w:val="nil"/>
              <w:left w:val="single" w:sz="4" w:space="0" w:color="auto"/>
              <w:bottom w:val="single" w:sz="4" w:space="0" w:color="auto"/>
              <w:right w:val="nil"/>
            </w:tcBorders>
            <w:shd w:val="clear" w:color="000000" w:fill="FFFFFF"/>
            <w:noWrap/>
            <w:vAlign w:val="center"/>
            <w:hideMark/>
          </w:tcPr>
          <w:p w14:paraId="2FC89BB3" w14:textId="7F69D93F"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(2,</w:t>
            </w:r>
            <w:r w:rsidR="0031733F" w:rsidRPr="0031733F">
              <w:rPr>
                <w:rFonts w:ascii="Calibri" w:hAnsi="Calibri"/>
                <w:color w:val="000000"/>
                <w:sz w:val="22"/>
                <w:szCs w:val="22"/>
              </w:rPr>
              <w:t>174.0</w:t>
            </w:r>
            <w:r w:rsidRPr="0031733F">
              <w:rPr>
                <w:rFonts w:ascii="Calibri" w:hAnsi="Calibri"/>
                <w:color w:val="000000"/>
                <w:sz w:val="22"/>
                <w:szCs w:val="22"/>
              </w:rPr>
              <w:t>)</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E09F0B4" w14:textId="75F78A41"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(2,026.5)</w:t>
            </w:r>
          </w:p>
        </w:tc>
        <w:tc>
          <w:tcPr>
            <w:tcW w:w="1226" w:type="dxa"/>
            <w:tcBorders>
              <w:top w:val="nil"/>
              <w:left w:val="nil"/>
              <w:bottom w:val="single" w:sz="4" w:space="0" w:color="auto"/>
              <w:right w:val="single" w:sz="4" w:space="0" w:color="auto"/>
            </w:tcBorders>
            <w:shd w:val="clear" w:color="000000" w:fill="FFFFFF"/>
            <w:noWrap/>
            <w:vAlign w:val="center"/>
            <w:hideMark/>
          </w:tcPr>
          <w:p w14:paraId="1E63F898" w14:textId="0F810BDF" w:rsidR="005151AB" w:rsidRPr="0031733F" w:rsidRDefault="0031733F" w:rsidP="005151AB">
            <w:pPr>
              <w:ind w:firstLineChars="100" w:firstLine="220"/>
              <w:jc w:val="right"/>
              <w:rPr>
                <w:rFonts w:ascii="Calibri" w:hAnsi="Calibri"/>
                <w:color w:val="000000"/>
                <w:sz w:val="22"/>
                <w:szCs w:val="22"/>
              </w:rPr>
            </w:pPr>
            <w:r w:rsidRPr="0031733F">
              <w:rPr>
                <w:rFonts w:ascii="Calibri" w:hAnsi="Calibri"/>
                <w:color w:val="000000"/>
                <w:sz w:val="22"/>
                <w:szCs w:val="22"/>
              </w:rPr>
              <w:t>(147.5)</w:t>
            </w:r>
          </w:p>
        </w:tc>
      </w:tr>
      <w:tr w:rsidR="005151AB" w:rsidRPr="00DC1077" w14:paraId="43EE6D2B" w14:textId="77777777" w:rsidTr="005151AB">
        <w:trPr>
          <w:trHeight w:val="291"/>
        </w:trPr>
        <w:tc>
          <w:tcPr>
            <w:tcW w:w="3397" w:type="dxa"/>
            <w:tcBorders>
              <w:top w:val="single" w:sz="4" w:space="0" w:color="auto"/>
              <w:left w:val="single" w:sz="4" w:space="0" w:color="auto"/>
              <w:bottom w:val="single" w:sz="4" w:space="0" w:color="auto"/>
              <w:right w:val="nil"/>
            </w:tcBorders>
            <w:shd w:val="clear" w:color="000000" w:fill="FFFFFF"/>
            <w:noWrap/>
            <w:vAlign w:val="bottom"/>
            <w:hideMark/>
          </w:tcPr>
          <w:p w14:paraId="6DB3E8B9" w14:textId="77777777" w:rsidR="005151AB" w:rsidRPr="0031733F" w:rsidRDefault="005151AB" w:rsidP="005151AB">
            <w:pPr>
              <w:ind w:firstLineChars="100" w:firstLine="221"/>
              <w:rPr>
                <w:rFonts w:ascii="Calibri" w:hAnsi="Calibri"/>
                <w:b/>
                <w:color w:val="000000"/>
                <w:sz w:val="22"/>
                <w:szCs w:val="22"/>
              </w:rPr>
            </w:pPr>
            <w:r w:rsidRPr="0031733F">
              <w:rPr>
                <w:rFonts w:ascii="Calibri" w:hAnsi="Calibri"/>
                <w:b/>
                <w:color w:val="000000"/>
                <w:sz w:val="22"/>
                <w:szCs w:val="22"/>
              </w:rPr>
              <w:t>Net Liabilities</w:t>
            </w:r>
          </w:p>
        </w:tc>
        <w:tc>
          <w:tcPr>
            <w:tcW w:w="1593" w:type="dxa"/>
            <w:tcBorders>
              <w:top w:val="single" w:sz="4" w:space="0" w:color="auto"/>
              <w:left w:val="single" w:sz="4" w:space="0" w:color="auto"/>
              <w:bottom w:val="single" w:sz="4" w:space="0" w:color="auto"/>
              <w:right w:val="nil"/>
            </w:tcBorders>
            <w:shd w:val="clear" w:color="000000" w:fill="FFFFFF"/>
            <w:noWrap/>
            <w:vAlign w:val="bottom"/>
            <w:hideMark/>
          </w:tcPr>
          <w:p w14:paraId="29F3E709" w14:textId="6101BFD4" w:rsidR="005151AB" w:rsidRPr="0031733F" w:rsidRDefault="0031733F" w:rsidP="005151AB">
            <w:pPr>
              <w:ind w:firstLineChars="100" w:firstLine="221"/>
              <w:jc w:val="right"/>
              <w:rPr>
                <w:rFonts w:ascii="Calibri" w:hAnsi="Calibri"/>
                <w:b/>
                <w:color w:val="000000"/>
                <w:sz w:val="22"/>
                <w:szCs w:val="22"/>
              </w:rPr>
            </w:pPr>
            <w:r w:rsidRPr="0031733F">
              <w:rPr>
                <w:rFonts w:ascii="Calibri" w:hAnsi="Calibri"/>
                <w:b/>
                <w:color w:val="000000"/>
                <w:sz w:val="22"/>
                <w:szCs w:val="22"/>
              </w:rPr>
              <w:t>(2,176.0</w:t>
            </w:r>
            <w:r w:rsidR="005151AB" w:rsidRPr="0031733F">
              <w:rPr>
                <w:rFonts w:ascii="Calibri" w:hAnsi="Calibri"/>
                <w:b/>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3186B" w14:textId="2552D1EC" w:rsidR="005151AB" w:rsidRPr="0031733F" w:rsidRDefault="005151AB" w:rsidP="005151AB">
            <w:pPr>
              <w:ind w:firstLineChars="100" w:firstLine="221"/>
              <w:jc w:val="right"/>
              <w:rPr>
                <w:rFonts w:ascii="Calibri" w:hAnsi="Calibri"/>
                <w:b/>
                <w:color w:val="000000"/>
                <w:sz w:val="22"/>
                <w:szCs w:val="22"/>
              </w:rPr>
            </w:pPr>
            <w:r w:rsidRPr="0031733F">
              <w:rPr>
                <w:rFonts w:ascii="Calibri" w:hAnsi="Calibri"/>
                <w:b/>
                <w:color w:val="000000"/>
                <w:sz w:val="22"/>
                <w:szCs w:val="22"/>
              </w:rPr>
              <w:t>(2,027.6)</w:t>
            </w:r>
          </w:p>
        </w:tc>
        <w:tc>
          <w:tcPr>
            <w:tcW w:w="1226" w:type="dxa"/>
            <w:tcBorders>
              <w:top w:val="single" w:sz="4" w:space="0" w:color="auto"/>
              <w:left w:val="nil"/>
              <w:bottom w:val="single" w:sz="4" w:space="0" w:color="auto"/>
              <w:right w:val="single" w:sz="4" w:space="0" w:color="auto"/>
            </w:tcBorders>
            <w:shd w:val="clear" w:color="000000" w:fill="FFFFFF"/>
            <w:noWrap/>
            <w:vAlign w:val="bottom"/>
            <w:hideMark/>
          </w:tcPr>
          <w:p w14:paraId="64FC73AC" w14:textId="12BBDC67" w:rsidR="005151AB" w:rsidRPr="0031733F" w:rsidRDefault="0031733F" w:rsidP="005151AB">
            <w:pPr>
              <w:ind w:firstLineChars="100" w:firstLine="221"/>
              <w:jc w:val="right"/>
              <w:rPr>
                <w:rFonts w:ascii="Calibri" w:hAnsi="Calibri"/>
                <w:b/>
                <w:color w:val="000000"/>
                <w:sz w:val="22"/>
                <w:szCs w:val="22"/>
              </w:rPr>
            </w:pPr>
            <w:r w:rsidRPr="0031733F">
              <w:rPr>
                <w:rFonts w:ascii="Calibri" w:hAnsi="Calibri"/>
                <w:b/>
                <w:color w:val="000000"/>
                <w:sz w:val="22"/>
                <w:szCs w:val="22"/>
              </w:rPr>
              <w:t>(148.4)</w:t>
            </w:r>
          </w:p>
        </w:tc>
      </w:tr>
      <w:tr w:rsidR="005151AB" w:rsidRPr="00DC1077" w14:paraId="318AB35D" w14:textId="77777777" w:rsidTr="005151AB">
        <w:trPr>
          <w:trHeight w:val="55"/>
        </w:trPr>
        <w:tc>
          <w:tcPr>
            <w:tcW w:w="3397" w:type="dxa"/>
            <w:tcBorders>
              <w:top w:val="single" w:sz="4" w:space="0" w:color="auto"/>
              <w:left w:val="single" w:sz="4" w:space="0" w:color="auto"/>
              <w:bottom w:val="nil"/>
              <w:right w:val="nil"/>
            </w:tcBorders>
            <w:shd w:val="clear" w:color="000000" w:fill="FFFFFF"/>
            <w:noWrap/>
            <w:vAlign w:val="center"/>
            <w:hideMark/>
          </w:tcPr>
          <w:p w14:paraId="2CDEE2BD" w14:textId="77777777" w:rsidR="005151AB" w:rsidRPr="0031733F" w:rsidRDefault="005151AB" w:rsidP="005151AB">
            <w:pPr>
              <w:ind w:firstLineChars="100" w:firstLine="220"/>
              <w:rPr>
                <w:rFonts w:ascii="Calibri" w:hAnsi="Calibri"/>
                <w:color w:val="000000"/>
                <w:sz w:val="22"/>
                <w:szCs w:val="22"/>
              </w:rPr>
            </w:pPr>
            <w:r w:rsidRPr="0031733F">
              <w:rPr>
                <w:rFonts w:ascii="Calibri" w:hAnsi="Calibri"/>
                <w:color w:val="000000"/>
                <w:sz w:val="22"/>
                <w:szCs w:val="22"/>
              </w:rPr>
              <w:t> </w:t>
            </w:r>
          </w:p>
        </w:tc>
        <w:tc>
          <w:tcPr>
            <w:tcW w:w="1593" w:type="dxa"/>
            <w:tcBorders>
              <w:top w:val="single" w:sz="4" w:space="0" w:color="auto"/>
              <w:left w:val="single" w:sz="4" w:space="0" w:color="auto"/>
              <w:bottom w:val="nil"/>
              <w:right w:val="nil"/>
            </w:tcBorders>
            <w:shd w:val="clear" w:color="000000" w:fill="FFFFFF"/>
            <w:noWrap/>
            <w:vAlign w:val="center"/>
            <w:hideMark/>
          </w:tcPr>
          <w:p w14:paraId="7DAD3783" w14:textId="77777777"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 </w:t>
            </w:r>
          </w:p>
        </w:tc>
        <w:tc>
          <w:tcPr>
            <w:tcW w:w="1701" w:type="dxa"/>
            <w:tcBorders>
              <w:top w:val="single" w:sz="4" w:space="0" w:color="auto"/>
              <w:left w:val="single" w:sz="4" w:space="0" w:color="auto"/>
              <w:bottom w:val="nil"/>
              <w:right w:val="single" w:sz="4" w:space="0" w:color="auto"/>
            </w:tcBorders>
            <w:shd w:val="clear" w:color="000000" w:fill="FFFFFF"/>
            <w:noWrap/>
            <w:vAlign w:val="center"/>
            <w:hideMark/>
          </w:tcPr>
          <w:p w14:paraId="79378809" w14:textId="0440D74B"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 </w:t>
            </w:r>
          </w:p>
        </w:tc>
        <w:tc>
          <w:tcPr>
            <w:tcW w:w="1226" w:type="dxa"/>
            <w:tcBorders>
              <w:top w:val="single" w:sz="4" w:space="0" w:color="auto"/>
              <w:left w:val="nil"/>
              <w:bottom w:val="nil"/>
              <w:right w:val="single" w:sz="4" w:space="0" w:color="auto"/>
            </w:tcBorders>
            <w:shd w:val="clear" w:color="000000" w:fill="FFFFFF"/>
            <w:noWrap/>
            <w:vAlign w:val="center"/>
            <w:hideMark/>
          </w:tcPr>
          <w:p w14:paraId="626AAD64" w14:textId="77777777"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 </w:t>
            </w:r>
          </w:p>
        </w:tc>
      </w:tr>
      <w:tr w:rsidR="005151AB" w:rsidRPr="00DC1077" w14:paraId="63FC5692" w14:textId="77777777" w:rsidTr="005151AB">
        <w:trPr>
          <w:trHeight w:val="277"/>
        </w:trPr>
        <w:tc>
          <w:tcPr>
            <w:tcW w:w="3397" w:type="dxa"/>
            <w:tcBorders>
              <w:top w:val="nil"/>
              <w:left w:val="single" w:sz="4" w:space="0" w:color="auto"/>
              <w:bottom w:val="nil"/>
              <w:right w:val="nil"/>
            </w:tcBorders>
            <w:shd w:val="clear" w:color="000000" w:fill="FFFFFF"/>
            <w:noWrap/>
            <w:vAlign w:val="bottom"/>
            <w:hideMark/>
          </w:tcPr>
          <w:p w14:paraId="310FCF0D" w14:textId="77777777" w:rsidR="005151AB" w:rsidRPr="0031733F" w:rsidRDefault="005151AB" w:rsidP="005151AB">
            <w:pPr>
              <w:ind w:firstLineChars="100" w:firstLine="220"/>
              <w:rPr>
                <w:rFonts w:ascii="Calibri" w:hAnsi="Calibri"/>
                <w:color w:val="000000"/>
                <w:sz w:val="22"/>
                <w:szCs w:val="22"/>
              </w:rPr>
            </w:pPr>
            <w:r w:rsidRPr="0031733F">
              <w:rPr>
                <w:rFonts w:ascii="Calibri" w:hAnsi="Calibri"/>
                <w:color w:val="000000"/>
                <w:sz w:val="22"/>
                <w:szCs w:val="22"/>
              </w:rPr>
              <w:t>Financed by</w:t>
            </w:r>
          </w:p>
        </w:tc>
        <w:tc>
          <w:tcPr>
            <w:tcW w:w="1593" w:type="dxa"/>
            <w:tcBorders>
              <w:top w:val="nil"/>
              <w:left w:val="single" w:sz="4" w:space="0" w:color="auto"/>
              <w:bottom w:val="nil"/>
              <w:right w:val="nil"/>
            </w:tcBorders>
            <w:shd w:val="clear" w:color="000000" w:fill="FFFFFF"/>
            <w:noWrap/>
            <w:vAlign w:val="bottom"/>
            <w:hideMark/>
          </w:tcPr>
          <w:p w14:paraId="4686FE83" w14:textId="77777777"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 </w:t>
            </w:r>
          </w:p>
        </w:tc>
        <w:tc>
          <w:tcPr>
            <w:tcW w:w="1701" w:type="dxa"/>
            <w:tcBorders>
              <w:top w:val="nil"/>
              <w:left w:val="single" w:sz="4" w:space="0" w:color="auto"/>
              <w:bottom w:val="nil"/>
              <w:right w:val="single" w:sz="4" w:space="0" w:color="auto"/>
            </w:tcBorders>
            <w:shd w:val="clear" w:color="000000" w:fill="FFFFFF"/>
            <w:noWrap/>
            <w:vAlign w:val="bottom"/>
            <w:hideMark/>
          </w:tcPr>
          <w:p w14:paraId="43DECACC" w14:textId="21DBEA53"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 </w:t>
            </w:r>
          </w:p>
        </w:tc>
        <w:tc>
          <w:tcPr>
            <w:tcW w:w="1226" w:type="dxa"/>
            <w:tcBorders>
              <w:top w:val="nil"/>
              <w:left w:val="nil"/>
              <w:bottom w:val="nil"/>
              <w:right w:val="single" w:sz="4" w:space="0" w:color="auto"/>
            </w:tcBorders>
            <w:shd w:val="clear" w:color="000000" w:fill="FFFFFF"/>
            <w:noWrap/>
            <w:vAlign w:val="bottom"/>
            <w:hideMark/>
          </w:tcPr>
          <w:p w14:paraId="5516BA77" w14:textId="77777777"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 </w:t>
            </w:r>
          </w:p>
        </w:tc>
      </w:tr>
      <w:tr w:rsidR="005151AB" w:rsidRPr="00DC1077" w14:paraId="248E6CD2" w14:textId="77777777" w:rsidTr="005151AB">
        <w:trPr>
          <w:trHeight w:val="277"/>
        </w:trPr>
        <w:tc>
          <w:tcPr>
            <w:tcW w:w="3397" w:type="dxa"/>
            <w:tcBorders>
              <w:top w:val="nil"/>
              <w:left w:val="single" w:sz="4" w:space="0" w:color="auto"/>
              <w:bottom w:val="nil"/>
              <w:right w:val="nil"/>
            </w:tcBorders>
            <w:shd w:val="clear" w:color="000000" w:fill="FFFFFF"/>
            <w:noWrap/>
            <w:vAlign w:val="center"/>
            <w:hideMark/>
          </w:tcPr>
          <w:p w14:paraId="62921C18" w14:textId="77777777" w:rsidR="005151AB" w:rsidRPr="0031733F" w:rsidRDefault="005151AB" w:rsidP="005151AB">
            <w:pPr>
              <w:ind w:firstLineChars="100" w:firstLine="220"/>
              <w:rPr>
                <w:rFonts w:ascii="Calibri" w:hAnsi="Calibri"/>
                <w:color w:val="000000"/>
                <w:sz w:val="22"/>
                <w:szCs w:val="22"/>
              </w:rPr>
            </w:pPr>
            <w:r w:rsidRPr="0031733F">
              <w:rPr>
                <w:rFonts w:ascii="Calibri" w:hAnsi="Calibri"/>
                <w:color w:val="000000"/>
                <w:sz w:val="22"/>
                <w:szCs w:val="22"/>
              </w:rPr>
              <w:t>Pensions Reserves</w:t>
            </w:r>
          </w:p>
        </w:tc>
        <w:tc>
          <w:tcPr>
            <w:tcW w:w="1593" w:type="dxa"/>
            <w:tcBorders>
              <w:top w:val="nil"/>
              <w:left w:val="single" w:sz="4" w:space="0" w:color="auto"/>
              <w:bottom w:val="nil"/>
              <w:right w:val="nil"/>
            </w:tcBorders>
            <w:shd w:val="clear" w:color="000000" w:fill="FFFFFF"/>
            <w:noWrap/>
            <w:vAlign w:val="center"/>
            <w:hideMark/>
          </w:tcPr>
          <w:p w14:paraId="1A4CA4A1" w14:textId="716CB6F5" w:rsidR="005151AB" w:rsidRPr="0031733F" w:rsidRDefault="0031733F" w:rsidP="005151AB">
            <w:pPr>
              <w:ind w:firstLineChars="100" w:firstLine="220"/>
              <w:jc w:val="right"/>
              <w:rPr>
                <w:rFonts w:ascii="Calibri" w:hAnsi="Calibri"/>
                <w:color w:val="000000"/>
                <w:sz w:val="22"/>
                <w:szCs w:val="22"/>
              </w:rPr>
            </w:pPr>
            <w:r w:rsidRPr="0031733F">
              <w:rPr>
                <w:rFonts w:ascii="Calibri" w:hAnsi="Calibri"/>
                <w:color w:val="000000"/>
                <w:sz w:val="22"/>
                <w:szCs w:val="22"/>
              </w:rPr>
              <w:t>2,174.0</w:t>
            </w:r>
          </w:p>
        </w:tc>
        <w:tc>
          <w:tcPr>
            <w:tcW w:w="1701" w:type="dxa"/>
            <w:tcBorders>
              <w:top w:val="nil"/>
              <w:left w:val="single" w:sz="4" w:space="0" w:color="auto"/>
              <w:bottom w:val="nil"/>
              <w:right w:val="single" w:sz="4" w:space="0" w:color="auto"/>
            </w:tcBorders>
            <w:shd w:val="clear" w:color="000000" w:fill="FFFFFF"/>
            <w:noWrap/>
            <w:vAlign w:val="center"/>
            <w:hideMark/>
          </w:tcPr>
          <w:p w14:paraId="09547B26" w14:textId="334D8F5D"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2,026.5</w:t>
            </w:r>
          </w:p>
        </w:tc>
        <w:tc>
          <w:tcPr>
            <w:tcW w:w="1226" w:type="dxa"/>
            <w:tcBorders>
              <w:top w:val="nil"/>
              <w:left w:val="nil"/>
              <w:bottom w:val="nil"/>
              <w:right w:val="single" w:sz="4" w:space="0" w:color="auto"/>
            </w:tcBorders>
            <w:shd w:val="clear" w:color="000000" w:fill="FFFFFF"/>
            <w:noWrap/>
            <w:vAlign w:val="center"/>
            <w:hideMark/>
          </w:tcPr>
          <w:p w14:paraId="09051F4C" w14:textId="7D818386" w:rsidR="005151AB" w:rsidRPr="0031733F" w:rsidRDefault="0031733F" w:rsidP="005151AB">
            <w:pPr>
              <w:ind w:firstLineChars="100" w:firstLine="220"/>
              <w:jc w:val="right"/>
              <w:rPr>
                <w:rFonts w:ascii="Calibri" w:hAnsi="Calibri"/>
                <w:color w:val="000000"/>
                <w:sz w:val="22"/>
                <w:szCs w:val="22"/>
              </w:rPr>
            </w:pPr>
            <w:r w:rsidRPr="0031733F">
              <w:rPr>
                <w:rFonts w:ascii="Calibri" w:hAnsi="Calibri"/>
                <w:color w:val="000000"/>
                <w:sz w:val="22"/>
                <w:szCs w:val="22"/>
              </w:rPr>
              <w:t>14</w:t>
            </w:r>
            <w:r>
              <w:rPr>
                <w:rFonts w:ascii="Calibri" w:hAnsi="Calibri"/>
                <w:color w:val="000000"/>
                <w:sz w:val="22"/>
                <w:szCs w:val="22"/>
              </w:rPr>
              <w:t>7.5</w:t>
            </w:r>
          </w:p>
        </w:tc>
      </w:tr>
      <w:tr w:rsidR="005151AB" w:rsidRPr="00DC1077" w14:paraId="442499B9" w14:textId="77777777" w:rsidTr="005151AB">
        <w:trPr>
          <w:trHeight w:val="277"/>
        </w:trPr>
        <w:tc>
          <w:tcPr>
            <w:tcW w:w="3397" w:type="dxa"/>
            <w:tcBorders>
              <w:top w:val="nil"/>
              <w:left w:val="single" w:sz="4" w:space="0" w:color="auto"/>
              <w:bottom w:val="single" w:sz="4" w:space="0" w:color="auto"/>
              <w:right w:val="nil"/>
            </w:tcBorders>
            <w:shd w:val="clear" w:color="000000" w:fill="FFFFFF"/>
            <w:noWrap/>
            <w:vAlign w:val="center"/>
            <w:hideMark/>
          </w:tcPr>
          <w:p w14:paraId="06F16F56" w14:textId="77777777" w:rsidR="005151AB" w:rsidRPr="0031733F" w:rsidRDefault="005151AB" w:rsidP="005151AB">
            <w:pPr>
              <w:ind w:firstLineChars="100" w:firstLine="220"/>
              <w:rPr>
                <w:rFonts w:ascii="Calibri" w:hAnsi="Calibri"/>
                <w:color w:val="000000"/>
                <w:sz w:val="22"/>
                <w:szCs w:val="22"/>
              </w:rPr>
            </w:pPr>
            <w:r w:rsidRPr="0031733F">
              <w:rPr>
                <w:rFonts w:ascii="Calibri" w:hAnsi="Calibri"/>
                <w:color w:val="000000"/>
                <w:sz w:val="22"/>
                <w:szCs w:val="22"/>
              </w:rPr>
              <w:t>Accumulated Absences Account</w:t>
            </w:r>
          </w:p>
        </w:tc>
        <w:tc>
          <w:tcPr>
            <w:tcW w:w="1593" w:type="dxa"/>
            <w:tcBorders>
              <w:top w:val="nil"/>
              <w:left w:val="single" w:sz="4" w:space="0" w:color="auto"/>
              <w:bottom w:val="single" w:sz="4" w:space="0" w:color="auto"/>
              <w:right w:val="nil"/>
            </w:tcBorders>
            <w:shd w:val="clear" w:color="000000" w:fill="FFFFFF"/>
            <w:noWrap/>
            <w:vAlign w:val="center"/>
            <w:hideMark/>
          </w:tcPr>
          <w:p w14:paraId="7748EECF" w14:textId="4B2F5214" w:rsidR="005151AB" w:rsidRPr="0031733F" w:rsidRDefault="0031733F" w:rsidP="005151AB">
            <w:pPr>
              <w:ind w:firstLineChars="100" w:firstLine="220"/>
              <w:jc w:val="right"/>
              <w:rPr>
                <w:rFonts w:ascii="Calibri" w:hAnsi="Calibri"/>
                <w:color w:val="000000"/>
                <w:sz w:val="22"/>
                <w:szCs w:val="22"/>
              </w:rPr>
            </w:pPr>
            <w:r w:rsidRPr="0031733F">
              <w:rPr>
                <w:rFonts w:ascii="Calibri" w:hAnsi="Calibri"/>
                <w:color w:val="000000"/>
                <w:sz w:val="22"/>
                <w:szCs w:val="22"/>
              </w:rPr>
              <w:t>2.0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3FE80B9" w14:textId="4181A52C" w:rsidR="005151AB" w:rsidRPr="0031733F" w:rsidRDefault="005151AB" w:rsidP="005151AB">
            <w:pPr>
              <w:ind w:firstLineChars="100" w:firstLine="220"/>
              <w:jc w:val="right"/>
              <w:rPr>
                <w:rFonts w:ascii="Calibri" w:hAnsi="Calibri"/>
                <w:color w:val="000000"/>
                <w:sz w:val="22"/>
                <w:szCs w:val="22"/>
              </w:rPr>
            </w:pPr>
            <w:r w:rsidRPr="0031733F">
              <w:rPr>
                <w:rFonts w:ascii="Calibri" w:hAnsi="Calibri"/>
                <w:color w:val="000000"/>
                <w:sz w:val="22"/>
                <w:szCs w:val="22"/>
              </w:rPr>
              <w:t>1.1</w:t>
            </w:r>
          </w:p>
        </w:tc>
        <w:tc>
          <w:tcPr>
            <w:tcW w:w="1226" w:type="dxa"/>
            <w:tcBorders>
              <w:top w:val="nil"/>
              <w:left w:val="nil"/>
              <w:bottom w:val="single" w:sz="4" w:space="0" w:color="auto"/>
              <w:right w:val="single" w:sz="4" w:space="0" w:color="auto"/>
            </w:tcBorders>
            <w:shd w:val="clear" w:color="000000" w:fill="FFFFFF"/>
            <w:noWrap/>
            <w:vAlign w:val="center"/>
            <w:hideMark/>
          </w:tcPr>
          <w:p w14:paraId="159D070F" w14:textId="6C9F9999" w:rsidR="005151AB" w:rsidRPr="0031733F" w:rsidRDefault="005151AB" w:rsidP="0031733F">
            <w:pPr>
              <w:ind w:firstLineChars="100" w:firstLine="220"/>
              <w:jc w:val="right"/>
              <w:rPr>
                <w:rFonts w:ascii="Calibri" w:hAnsi="Calibri"/>
                <w:color w:val="000000"/>
                <w:sz w:val="22"/>
                <w:szCs w:val="22"/>
              </w:rPr>
            </w:pPr>
            <w:r w:rsidRPr="0031733F">
              <w:rPr>
                <w:rFonts w:ascii="Calibri" w:hAnsi="Calibri"/>
                <w:color w:val="000000"/>
                <w:sz w:val="22"/>
                <w:szCs w:val="22"/>
              </w:rPr>
              <w:t>0.</w:t>
            </w:r>
            <w:r w:rsidR="0031733F" w:rsidRPr="0031733F">
              <w:rPr>
                <w:rFonts w:ascii="Calibri" w:hAnsi="Calibri"/>
                <w:color w:val="000000"/>
                <w:sz w:val="22"/>
                <w:szCs w:val="22"/>
              </w:rPr>
              <w:t>9</w:t>
            </w:r>
          </w:p>
        </w:tc>
      </w:tr>
      <w:tr w:rsidR="005151AB" w:rsidRPr="00DC1077" w14:paraId="6FE78BB4" w14:textId="77777777" w:rsidTr="005151AB">
        <w:trPr>
          <w:trHeight w:val="291"/>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A2ECA" w14:textId="77777777" w:rsidR="005151AB" w:rsidRPr="0031733F" w:rsidRDefault="005151AB" w:rsidP="005151AB">
            <w:pPr>
              <w:ind w:firstLineChars="100" w:firstLine="221"/>
              <w:rPr>
                <w:rFonts w:ascii="Calibri" w:hAnsi="Calibri"/>
                <w:b/>
                <w:color w:val="000000"/>
                <w:sz w:val="22"/>
                <w:szCs w:val="22"/>
              </w:rPr>
            </w:pPr>
            <w:r w:rsidRPr="0031733F">
              <w:rPr>
                <w:rFonts w:ascii="Calibri" w:hAnsi="Calibri"/>
                <w:b/>
                <w:color w:val="000000"/>
                <w:sz w:val="22"/>
                <w:szCs w:val="22"/>
              </w:rPr>
              <w:t>Total Reserves</w:t>
            </w:r>
          </w:p>
        </w:tc>
        <w:tc>
          <w:tcPr>
            <w:tcW w:w="1593" w:type="dxa"/>
            <w:tcBorders>
              <w:top w:val="single" w:sz="4" w:space="0" w:color="auto"/>
              <w:left w:val="nil"/>
              <w:bottom w:val="single" w:sz="4" w:space="0" w:color="auto"/>
              <w:right w:val="nil"/>
            </w:tcBorders>
            <w:shd w:val="clear" w:color="000000" w:fill="FFFFFF"/>
            <w:noWrap/>
            <w:vAlign w:val="bottom"/>
            <w:hideMark/>
          </w:tcPr>
          <w:p w14:paraId="2C51DA65" w14:textId="26ACB883" w:rsidR="005151AB" w:rsidRPr="0031733F" w:rsidRDefault="0031733F" w:rsidP="005151AB">
            <w:pPr>
              <w:ind w:firstLineChars="100" w:firstLine="221"/>
              <w:jc w:val="right"/>
              <w:rPr>
                <w:rFonts w:ascii="Calibri" w:hAnsi="Calibri"/>
                <w:b/>
                <w:color w:val="000000"/>
                <w:sz w:val="22"/>
                <w:szCs w:val="22"/>
              </w:rPr>
            </w:pPr>
            <w:r w:rsidRPr="0031733F">
              <w:rPr>
                <w:rFonts w:ascii="Calibri" w:hAnsi="Calibri"/>
                <w:b/>
                <w:color w:val="000000"/>
                <w:sz w:val="22"/>
                <w:szCs w:val="22"/>
              </w:rPr>
              <w:t>2,176.0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341474" w14:textId="25AA6047" w:rsidR="005151AB" w:rsidRPr="0031733F" w:rsidRDefault="005151AB" w:rsidP="005151AB">
            <w:pPr>
              <w:ind w:firstLineChars="100" w:firstLine="221"/>
              <w:jc w:val="right"/>
              <w:rPr>
                <w:rFonts w:ascii="Calibri" w:hAnsi="Calibri"/>
                <w:b/>
                <w:color w:val="000000"/>
                <w:sz w:val="22"/>
                <w:szCs w:val="22"/>
              </w:rPr>
            </w:pPr>
            <w:r w:rsidRPr="0031733F">
              <w:rPr>
                <w:rFonts w:ascii="Calibri" w:hAnsi="Calibri"/>
                <w:b/>
                <w:color w:val="000000"/>
                <w:sz w:val="22"/>
                <w:szCs w:val="22"/>
              </w:rPr>
              <w:t>2,027.6</w:t>
            </w:r>
          </w:p>
        </w:tc>
        <w:tc>
          <w:tcPr>
            <w:tcW w:w="1226" w:type="dxa"/>
            <w:tcBorders>
              <w:top w:val="single" w:sz="4" w:space="0" w:color="auto"/>
              <w:left w:val="nil"/>
              <w:bottom w:val="single" w:sz="4" w:space="0" w:color="auto"/>
              <w:right w:val="single" w:sz="4" w:space="0" w:color="auto"/>
            </w:tcBorders>
            <w:shd w:val="clear" w:color="000000" w:fill="FFFFFF"/>
            <w:noWrap/>
            <w:vAlign w:val="bottom"/>
            <w:hideMark/>
          </w:tcPr>
          <w:p w14:paraId="78019615" w14:textId="41D46E67" w:rsidR="005151AB" w:rsidRPr="0031733F" w:rsidRDefault="0031733F" w:rsidP="005151AB">
            <w:pPr>
              <w:ind w:firstLineChars="100" w:firstLine="221"/>
              <w:jc w:val="right"/>
              <w:rPr>
                <w:rFonts w:ascii="Calibri" w:hAnsi="Calibri"/>
                <w:b/>
                <w:color w:val="000000"/>
                <w:sz w:val="22"/>
                <w:szCs w:val="22"/>
              </w:rPr>
            </w:pPr>
            <w:r w:rsidRPr="0031733F">
              <w:rPr>
                <w:rFonts w:ascii="Calibri" w:hAnsi="Calibri"/>
                <w:b/>
                <w:color w:val="000000"/>
                <w:sz w:val="22"/>
                <w:szCs w:val="22"/>
              </w:rPr>
              <w:t>148.4</w:t>
            </w:r>
          </w:p>
        </w:tc>
      </w:tr>
    </w:tbl>
    <w:p w14:paraId="20E75DC5" w14:textId="77777777" w:rsidR="00A16BF1" w:rsidRPr="0031733F" w:rsidRDefault="00A16BF1" w:rsidP="00DF5955">
      <w:pPr>
        <w:jc w:val="both"/>
        <w:rPr>
          <w:rFonts w:ascii="Verdana" w:hAnsi="Verdana" w:cs="Arial"/>
          <w:sz w:val="22"/>
          <w:szCs w:val="22"/>
        </w:rPr>
      </w:pPr>
    </w:p>
    <w:p w14:paraId="67051F43" w14:textId="57E777CC" w:rsidR="00DF5955" w:rsidRPr="0031733F" w:rsidRDefault="00DF5955" w:rsidP="00DF5955">
      <w:pPr>
        <w:jc w:val="both"/>
        <w:rPr>
          <w:rFonts w:ascii="Verdana" w:hAnsi="Verdana" w:cs="Arial"/>
          <w:sz w:val="22"/>
          <w:szCs w:val="22"/>
        </w:rPr>
      </w:pPr>
      <w:r w:rsidRPr="0031733F">
        <w:rPr>
          <w:rFonts w:ascii="Verdana" w:hAnsi="Verdana" w:cs="Arial"/>
          <w:sz w:val="22"/>
          <w:szCs w:val="22"/>
        </w:rPr>
        <w:t>The movement between years was £1</w:t>
      </w:r>
      <w:r w:rsidR="0031733F" w:rsidRPr="0031733F">
        <w:rPr>
          <w:rFonts w:ascii="Verdana" w:hAnsi="Verdana" w:cs="Arial"/>
          <w:sz w:val="22"/>
          <w:szCs w:val="22"/>
        </w:rPr>
        <w:t>48.4</w:t>
      </w:r>
      <w:r w:rsidRPr="0031733F">
        <w:rPr>
          <w:rFonts w:ascii="Verdana" w:hAnsi="Verdana" w:cs="Arial"/>
          <w:sz w:val="22"/>
          <w:szCs w:val="22"/>
        </w:rPr>
        <w:t>m.</w:t>
      </w:r>
      <w:r w:rsidR="0031733F" w:rsidRPr="0031733F">
        <w:rPr>
          <w:rFonts w:ascii="Verdana" w:hAnsi="Verdana" w:cs="Arial"/>
          <w:sz w:val="22"/>
          <w:szCs w:val="22"/>
        </w:rPr>
        <w:t xml:space="preserve"> This is predominantly due to an in</w:t>
      </w:r>
      <w:r w:rsidRPr="0031733F">
        <w:rPr>
          <w:rFonts w:ascii="Verdana" w:hAnsi="Verdana" w:cs="Arial"/>
          <w:sz w:val="22"/>
          <w:szCs w:val="22"/>
        </w:rPr>
        <w:t>crease in the long term pension liability of £1</w:t>
      </w:r>
      <w:r w:rsidR="0031733F" w:rsidRPr="0031733F">
        <w:rPr>
          <w:rFonts w:ascii="Verdana" w:hAnsi="Verdana" w:cs="Arial"/>
          <w:sz w:val="22"/>
          <w:szCs w:val="22"/>
        </w:rPr>
        <w:t>47.5</w:t>
      </w:r>
      <w:r w:rsidRPr="0031733F">
        <w:rPr>
          <w:rFonts w:ascii="Verdana" w:hAnsi="Verdana" w:cs="Arial"/>
          <w:sz w:val="22"/>
          <w:szCs w:val="22"/>
        </w:rPr>
        <w:t>m as a result of the annual actuarial review and changes in assumptions used to estimate future pension cost (due to decreasing bond yields and higher projected pension costs). The only other minor movement relates to the Accumulated Absences accrual provision.</w:t>
      </w:r>
    </w:p>
    <w:p w14:paraId="4A8D3F3B" w14:textId="77777777" w:rsidR="00F227D9" w:rsidRPr="0031733F" w:rsidRDefault="00F227D9" w:rsidP="00F227D9">
      <w:pPr>
        <w:pStyle w:val="Normal0"/>
        <w:rPr>
          <w:rFonts w:ascii="Verdana" w:eastAsia="Times New Roman" w:hAnsi="Verdana" w:cs="Arial"/>
          <w:sz w:val="22"/>
          <w:szCs w:val="22"/>
          <w:lang w:val="en-GB" w:eastAsia="en-GB"/>
        </w:rPr>
      </w:pPr>
    </w:p>
    <w:p w14:paraId="27BF97DF" w14:textId="77777777" w:rsidR="00F227D9" w:rsidRPr="0031733F" w:rsidRDefault="00F227D9" w:rsidP="00F227D9">
      <w:pPr>
        <w:pStyle w:val="Normal0"/>
        <w:rPr>
          <w:rFonts w:ascii="Verdana" w:eastAsia="Times New Roman" w:hAnsi="Verdana" w:cs="Arial"/>
          <w:sz w:val="22"/>
          <w:szCs w:val="22"/>
          <w:lang w:val="en-GB" w:eastAsia="en-GB"/>
        </w:rPr>
      </w:pPr>
    </w:p>
    <w:p w14:paraId="7C320CE4" w14:textId="77777777" w:rsidR="00F227D9" w:rsidRPr="0031733F" w:rsidRDefault="00F227D9" w:rsidP="005E3E6F">
      <w:pPr>
        <w:pStyle w:val="Style1"/>
        <w:numPr>
          <w:ilvl w:val="0"/>
          <w:numId w:val="9"/>
        </w:numPr>
        <w:ind w:left="0" w:firstLine="360"/>
        <w:rPr>
          <w:rFonts w:ascii="Verdana" w:hAnsi="Verdana"/>
          <w:sz w:val="22"/>
          <w:szCs w:val="22"/>
          <w:lang w:val="en-GB" w:eastAsia="en-GB"/>
        </w:rPr>
      </w:pPr>
      <w:r w:rsidRPr="0031733F">
        <w:rPr>
          <w:rFonts w:ascii="Verdana" w:hAnsi="Verdana"/>
          <w:sz w:val="22"/>
          <w:szCs w:val="22"/>
          <w:lang w:val="en-GB" w:eastAsia="en-GB"/>
        </w:rPr>
        <w:t>Employee Pension Schemes</w:t>
      </w:r>
    </w:p>
    <w:p w14:paraId="27258097" w14:textId="77777777" w:rsidR="00F227D9" w:rsidRPr="0031733F" w:rsidRDefault="00F227D9" w:rsidP="00F227D9">
      <w:pPr>
        <w:pStyle w:val="Normal0"/>
        <w:jc w:val="both"/>
        <w:rPr>
          <w:rFonts w:ascii="Verdana" w:eastAsia="Times New Roman" w:hAnsi="Verdana" w:cs="Arial"/>
          <w:sz w:val="22"/>
          <w:szCs w:val="22"/>
          <w:lang w:val="en-GB" w:eastAsia="en-GB"/>
        </w:rPr>
      </w:pPr>
    </w:p>
    <w:p w14:paraId="64C2DAC6" w14:textId="77777777" w:rsidR="00A16BF1" w:rsidRPr="0031733F" w:rsidRDefault="00DF5955" w:rsidP="00DF5955">
      <w:pPr>
        <w:jc w:val="both"/>
        <w:rPr>
          <w:rFonts w:ascii="Verdana" w:hAnsi="Verdana" w:cs="Arial"/>
          <w:sz w:val="22"/>
          <w:szCs w:val="22"/>
        </w:rPr>
      </w:pPr>
      <w:r w:rsidRPr="0031733F">
        <w:rPr>
          <w:rFonts w:ascii="Verdana" w:hAnsi="Verdana" w:cs="Arial"/>
          <w:sz w:val="22"/>
          <w:szCs w:val="22"/>
        </w:rPr>
        <w:t>The Chief Constable operates separate pension schemes for Police Officers and Police Staff. Police Staff can join the</w:t>
      </w:r>
      <w:r w:rsidR="00A16BF1" w:rsidRPr="0031733F">
        <w:rPr>
          <w:rFonts w:ascii="Verdana" w:hAnsi="Verdana" w:cs="Arial"/>
          <w:sz w:val="22"/>
          <w:szCs w:val="22"/>
        </w:rPr>
        <w:t xml:space="preserve"> Local Government Pension Scheme (LGPS) and police officers can join the </w:t>
      </w:r>
      <w:r w:rsidRPr="0031733F">
        <w:rPr>
          <w:rFonts w:ascii="Verdana" w:hAnsi="Verdana" w:cs="Arial"/>
          <w:sz w:val="22"/>
          <w:szCs w:val="22"/>
        </w:rPr>
        <w:t xml:space="preserve">Police Pension Scheme. They are both defined benefit schemes but differ in their operation. A fuller explanation is provided in the Notes to the Financial Statements. </w:t>
      </w:r>
    </w:p>
    <w:p w14:paraId="224FC76E" w14:textId="77777777" w:rsidR="00A16BF1" w:rsidRPr="0031733F" w:rsidRDefault="00A16BF1" w:rsidP="00DF5955">
      <w:pPr>
        <w:jc w:val="both"/>
        <w:rPr>
          <w:rFonts w:ascii="Verdana" w:hAnsi="Verdana" w:cs="Arial"/>
          <w:sz w:val="22"/>
          <w:szCs w:val="22"/>
        </w:rPr>
      </w:pPr>
    </w:p>
    <w:p w14:paraId="69A29735" w14:textId="77777777" w:rsidR="00A16BF1" w:rsidRPr="000B6F36" w:rsidRDefault="00DF5955" w:rsidP="00DF5955">
      <w:pPr>
        <w:jc w:val="both"/>
        <w:rPr>
          <w:rFonts w:ascii="Verdana" w:hAnsi="Verdana" w:cs="Arial"/>
          <w:sz w:val="22"/>
          <w:szCs w:val="22"/>
        </w:rPr>
      </w:pPr>
      <w:r w:rsidRPr="0031733F">
        <w:rPr>
          <w:rFonts w:ascii="Verdana" w:hAnsi="Verdana" w:cs="Arial"/>
          <w:sz w:val="22"/>
          <w:szCs w:val="22"/>
        </w:rPr>
        <w:t xml:space="preserve">Although benefits from these schemes will not be payable until an officer or staff member retires, the Chief Constable and PCC Group is required to disclose this </w:t>
      </w:r>
      <w:r w:rsidR="00A16BF1" w:rsidRPr="0031733F">
        <w:rPr>
          <w:rFonts w:ascii="Verdana" w:hAnsi="Verdana" w:cs="Arial"/>
          <w:sz w:val="22"/>
          <w:szCs w:val="22"/>
        </w:rPr>
        <w:t xml:space="preserve">future </w:t>
      </w:r>
      <w:r w:rsidRPr="0031733F">
        <w:rPr>
          <w:rFonts w:ascii="Verdana" w:hAnsi="Verdana" w:cs="Arial"/>
          <w:sz w:val="22"/>
          <w:szCs w:val="22"/>
        </w:rPr>
        <w:t xml:space="preserve">commitment based on the full cost calculated based on the time employees become eligible to retire. This future net liability and </w:t>
      </w:r>
      <w:r w:rsidRPr="000B6F36">
        <w:rPr>
          <w:rFonts w:ascii="Verdana" w:hAnsi="Verdana" w:cs="Arial"/>
          <w:sz w:val="22"/>
          <w:szCs w:val="22"/>
        </w:rPr>
        <w:t xml:space="preserve">annual current cost are calculated by an independent actuary in accordance with International Standards (IAS19). </w:t>
      </w:r>
    </w:p>
    <w:p w14:paraId="1D8FBAB3" w14:textId="77777777" w:rsidR="00A16BF1" w:rsidRPr="000B6F36" w:rsidRDefault="00A16BF1" w:rsidP="00DF5955">
      <w:pPr>
        <w:jc w:val="both"/>
        <w:rPr>
          <w:rFonts w:ascii="Verdana" w:hAnsi="Verdana" w:cs="Arial"/>
          <w:sz w:val="22"/>
          <w:szCs w:val="22"/>
        </w:rPr>
      </w:pPr>
    </w:p>
    <w:p w14:paraId="2DFA34D4" w14:textId="2228FA39" w:rsidR="00DF5955" w:rsidRPr="000B6F36" w:rsidRDefault="00DF5955" w:rsidP="00DF5955">
      <w:pPr>
        <w:jc w:val="both"/>
        <w:rPr>
          <w:rFonts w:ascii="Verdana" w:hAnsi="Verdana" w:cs="Arial"/>
          <w:sz w:val="22"/>
          <w:szCs w:val="22"/>
        </w:rPr>
      </w:pPr>
      <w:r w:rsidRPr="000B6F36">
        <w:rPr>
          <w:rFonts w:ascii="Verdana" w:hAnsi="Verdana" w:cs="Arial"/>
          <w:sz w:val="22"/>
          <w:szCs w:val="22"/>
        </w:rPr>
        <w:t>Accounting for this commitment has a substantial impact on the net worth of the Balance Sheet, resulting in a negative reserves on the Balance Sheet totalling £2,</w:t>
      </w:r>
      <w:r w:rsidR="000B6F36" w:rsidRPr="000B6F36">
        <w:rPr>
          <w:rFonts w:ascii="Verdana" w:hAnsi="Verdana" w:cs="Arial"/>
          <w:sz w:val="22"/>
          <w:szCs w:val="22"/>
        </w:rPr>
        <w:t>176.0</w:t>
      </w:r>
      <w:r w:rsidRPr="000B6F36">
        <w:rPr>
          <w:rFonts w:ascii="Verdana" w:hAnsi="Verdana" w:cs="Arial"/>
          <w:sz w:val="22"/>
          <w:szCs w:val="22"/>
        </w:rPr>
        <w:t>m (201</w:t>
      </w:r>
      <w:r w:rsidR="000B6F36" w:rsidRPr="000B6F36">
        <w:rPr>
          <w:rFonts w:ascii="Verdana" w:hAnsi="Verdana" w:cs="Arial"/>
          <w:sz w:val="22"/>
          <w:szCs w:val="22"/>
        </w:rPr>
        <w:t>9</w:t>
      </w:r>
      <w:r w:rsidRPr="000B6F36">
        <w:rPr>
          <w:rFonts w:ascii="Verdana" w:hAnsi="Verdana" w:cs="Arial"/>
          <w:sz w:val="22"/>
          <w:szCs w:val="22"/>
        </w:rPr>
        <w:t>/</w:t>
      </w:r>
      <w:r w:rsidR="000B6F36" w:rsidRPr="000B6F36">
        <w:rPr>
          <w:rFonts w:ascii="Verdana" w:hAnsi="Verdana" w:cs="Arial"/>
          <w:sz w:val="22"/>
          <w:szCs w:val="22"/>
        </w:rPr>
        <w:t>20</w:t>
      </w:r>
      <w:r w:rsidRPr="000B6F36">
        <w:rPr>
          <w:rFonts w:ascii="Verdana" w:hAnsi="Verdana" w:cs="Arial"/>
          <w:sz w:val="22"/>
          <w:szCs w:val="22"/>
        </w:rPr>
        <w:t xml:space="preserve"> £2,</w:t>
      </w:r>
      <w:r w:rsidR="000B6F36" w:rsidRPr="000B6F36">
        <w:rPr>
          <w:rFonts w:ascii="Verdana" w:hAnsi="Verdana" w:cs="Arial"/>
          <w:sz w:val="22"/>
          <w:szCs w:val="22"/>
        </w:rPr>
        <w:t>027.6</w:t>
      </w:r>
      <w:r w:rsidRPr="000B6F36">
        <w:rPr>
          <w:rFonts w:ascii="Verdana" w:hAnsi="Verdana" w:cs="Arial"/>
          <w:sz w:val="22"/>
          <w:szCs w:val="22"/>
        </w:rPr>
        <w:t xml:space="preserve">m). The police </w:t>
      </w:r>
      <w:r w:rsidR="00D54BAF" w:rsidRPr="000B6F36">
        <w:rPr>
          <w:rFonts w:ascii="Verdana" w:hAnsi="Verdana" w:cs="Arial"/>
          <w:sz w:val="22"/>
          <w:szCs w:val="22"/>
        </w:rPr>
        <w:t xml:space="preserve">officer </w:t>
      </w:r>
      <w:r w:rsidRPr="000B6F36">
        <w:rPr>
          <w:rFonts w:ascii="Verdana" w:hAnsi="Verdana" w:cs="Arial"/>
          <w:sz w:val="22"/>
          <w:szCs w:val="22"/>
        </w:rPr>
        <w:t>pension scheme has the majority share of the deficit at £</w:t>
      </w:r>
      <w:r w:rsidR="000B6F36" w:rsidRPr="000B6F36">
        <w:rPr>
          <w:rFonts w:ascii="Verdana" w:hAnsi="Verdana" w:cs="Arial"/>
          <w:sz w:val="22"/>
          <w:szCs w:val="22"/>
        </w:rPr>
        <w:t>1,956.9</w:t>
      </w:r>
      <w:r w:rsidRPr="000B6F36">
        <w:rPr>
          <w:rFonts w:ascii="Verdana" w:hAnsi="Verdana" w:cs="Arial"/>
          <w:sz w:val="22"/>
          <w:szCs w:val="22"/>
        </w:rPr>
        <w:t>m (201</w:t>
      </w:r>
      <w:r w:rsidR="000B6F36" w:rsidRPr="000B6F36">
        <w:rPr>
          <w:rFonts w:ascii="Verdana" w:hAnsi="Verdana" w:cs="Arial"/>
          <w:sz w:val="22"/>
          <w:szCs w:val="22"/>
        </w:rPr>
        <w:t>9</w:t>
      </w:r>
      <w:r w:rsidRPr="000B6F36">
        <w:rPr>
          <w:rFonts w:ascii="Verdana" w:hAnsi="Verdana" w:cs="Arial"/>
          <w:sz w:val="22"/>
          <w:szCs w:val="22"/>
        </w:rPr>
        <w:t>/</w:t>
      </w:r>
      <w:r w:rsidR="000B6F36" w:rsidRPr="000B6F36">
        <w:rPr>
          <w:rFonts w:ascii="Verdana" w:hAnsi="Verdana" w:cs="Arial"/>
          <w:sz w:val="22"/>
          <w:szCs w:val="22"/>
        </w:rPr>
        <w:t>20</w:t>
      </w:r>
      <w:r w:rsidRPr="000B6F36">
        <w:rPr>
          <w:rFonts w:ascii="Verdana" w:hAnsi="Verdana" w:cs="Arial"/>
          <w:sz w:val="22"/>
          <w:szCs w:val="22"/>
        </w:rPr>
        <w:t xml:space="preserve"> £</w:t>
      </w:r>
      <w:r w:rsidR="00D54BAF" w:rsidRPr="000B6F36">
        <w:rPr>
          <w:rFonts w:ascii="Verdana" w:hAnsi="Verdana" w:cs="Arial"/>
          <w:sz w:val="22"/>
          <w:szCs w:val="22"/>
        </w:rPr>
        <w:t>1,</w:t>
      </w:r>
      <w:r w:rsidR="000B6F36" w:rsidRPr="000B6F36">
        <w:rPr>
          <w:rFonts w:ascii="Verdana" w:hAnsi="Verdana" w:cs="Arial"/>
          <w:sz w:val="22"/>
          <w:szCs w:val="22"/>
        </w:rPr>
        <w:t>896</w:t>
      </w:r>
      <w:r w:rsidR="00D54BAF" w:rsidRPr="000B6F36">
        <w:rPr>
          <w:rFonts w:ascii="Verdana" w:hAnsi="Verdana" w:cs="Arial"/>
          <w:sz w:val="22"/>
          <w:szCs w:val="22"/>
        </w:rPr>
        <w:t>.1</w:t>
      </w:r>
      <w:r w:rsidR="000438B0" w:rsidRPr="000B6F36">
        <w:rPr>
          <w:rFonts w:ascii="Verdana" w:hAnsi="Verdana" w:cs="Arial"/>
          <w:sz w:val="22"/>
          <w:szCs w:val="22"/>
        </w:rPr>
        <w:t>m</w:t>
      </w:r>
      <w:r w:rsidRPr="000B6F36">
        <w:rPr>
          <w:rFonts w:ascii="Verdana" w:hAnsi="Verdana" w:cs="Arial"/>
          <w:sz w:val="22"/>
          <w:szCs w:val="22"/>
        </w:rPr>
        <w:t>). Statutory arrangements are in place to fund this deficit which means the Chief Constable maintains a healthy financial position and can continue to operate on a going concern basis.</w:t>
      </w:r>
    </w:p>
    <w:p w14:paraId="72C96DA6" w14:textId="77777777" w:rsidR="00DF5955" w:rsidRPr="000B6F36" w:rsidRDefault="00DF5955" w:rsidP="00DF5955">
      <w:pPr>
        <w:jc w:val="both"/>
        <w:rPr>
          <w:rFonts w:ascii="Verdana" w:hAnsi="Verdana" w:cs="Arial"/>
          <w:sz w:val="22"/>
          <w:szCs w:val="22"/>
        </w:rPr>
      </w:pPr>
    </w:p>
    <w:p w14:paraId="348061D5" w14:textId="77777777" w:rsidR="00A16BF1" w:rsidRPr="000B6F36" w:rsidRDefault="00A16BF1" w:rsidP="00A16BF1">
      <w:pPr>
        <w:jc w:val="both"/>
        <w:rPr>
          <w:rFonts w:ascii="Verdana" w:hAnsi="Verdana"/>
          <w:sz w:val="22"/>
          <w:szCs w:val="22"/>
        </w:rPr>
      </w:pPr>
      <w:r w:rsidRPr="000B6F36">
        <w:rPr>
          <w:rFonts w:ascii="Verdana" w:hAnsi="Verdana"/>
          <w:sz w:val="22"/>
          <w:szCs w:val="22"/>
        </w:rPr>
        <w:t xml:space="preserve">The value of the Police Staff pension scheme is assessed triennially and the employer’s contribution is adjusted in line with the actuary’s recommendations. The latest triennial </w:t>
      </w:r>
      <w:r w:rsidRPr="000B6F36">
        <w:rPr>
          <w:rFonts w:ascii="Verdana" w:hAnsi="Verdana"/>
          <w:color w:val="000000"/>
          <w:sz w:val="22"/>
          <w:szCs w:val="22"/>
        </w:rPr>
        <w:t>valuation</w:t>
      </w:r>
      <w:r w:rsidRPr="000B6F36">
        <w:rPr>
          <w:rFonts w:ascii="Verdana" w:hAnsi="Verdana"/>
          <w:sz w:val="22"/>
          <w:szCs w:val="22"/>
        </w:rPr>
        <w:t xml:space="preserve"> completed in April 2019 resulted in employer’s contributions being increased from 14.5% with an additional payment of £2.587m in 2019/20 to 16.5% from April 2020 until March 2023 with additional payments of £1.842m, £1.902m and 1.964m for the years ended March 2021, 2022 and 2023 respectively. The additional payments to the pension fund are to repay the deficit, known as the additional monetary amount. </w:t>
      </w:r>
    </w:p>
    <w:p w14:paraId="3C35EAD7" w14:textId="77777777" w:rsidR="00A16BF1" w:rsidRPr="000B6F36" w:rsidRDefault="00A16BF1" w:rsidP="00A16BF1">
      <w:pPr>
        <w:jc w:val="both"/>
        <w:rPr>
          <w:rFonts w:ascii="Verdana" w:hAnsi="Verdana"/>
          <w:sz w:val="22"/>
          <w:szCs w:val="22"/>
        </w:rPr>
      </w:pPr>
    </w:p>
    <w:p w14:paraId="7B7F185D" w14:textId="4AB1A2AD" w:rsidR="00A16BF1" w:rsidRPr="000B6F36" w:rsidRDefault="00A16BF1" w:rsidP="00A16BF1">
      <w:pPr>
        <w:jc w:val="both"/>
        <w:rPr>
          <w:rFonts w:ascii="Verdana" w:hAnsi="Verdana"/>
          <w:sz w:val="22"/>
          <w:szCs w:val="22"/>
        </w:rPr>
      </w:pPr>
      <w:r w:rsidRPr="000B6F36">
        <w:rPr>
          <w:rFonts w:ascii="Verdana" w:hAnsi="Verdana"/>
          <w:sz w:val="22"/>
          <w:szCs w:val="22"/>
        </w:rPr>
        <w:t>For the police officers pension fund the employer’s contribution rate for the 20</w:t>
      </w:r>
      <w:r w:rsidR="000B6F36" w:rsidRPr="000B6F36">
        <w:rPr>
          <w:rFonts w:ascii="Verdana" w:hAnsi="Verdana"/>
          <w:sz w:val="22"/>
          <w:szCs w:val="22"/>
        </w:rPr>
        <w:t>20</w:t>
      </w:r>
      <w:r w:rsidRPr="000B6F36">
        <w:rPr>
          <w:rFonts w:ascii="Verdana" w:hAnsi="Verdana"/>
          <w:sz w:val="22"/>
          <w:szCs w:val="22"/>
        </w:rPr>
        <w:t>/2</w:t>
      </w:r>
      <w:r w:rsidR="000B6F36" w:rsidRPr="000B6F36">
        <w:rPr>
          <w:rFonts w:ascii="Verdana" w:hAnsi="Verdana"/>
          <w:sz w:val="22"/>
          <w:szCs w:val="22"/>
        </w:rPr>
        <w:t>1</w:t>
      </w:r>
      <w:r w:rsidRPr="000B6F36">
        <w:rPr>
          <w:rFonts w:ascii="Verdana" w:hAnsi="Verdana"/>
          <w:sz w:val="22"/>
          <w:szCs w:val="22"/>
        </w:rPr>
        <w:t xml:space="preserve"> year was set at 31.0%. In 20</w:t>
      </w:r>
      <w:r w:rsidR="000B6F36" w:rsidRPr="000B6F36">
        <w:rPr>
          <w:rFonts w:ascii="Verdana" w:hAnsi="Verdana"/>
          <w:sz w:val="22"/>
          <w:szCs w:val="22"/>
        </w:rPr>
        <w:t>20</w:t>
      </w:r>
      <w:r w:rsidRPr="000B6F36">
        <w:rPr>
          <w:rFonts w:ascii="Verdana" w:hAnsi="Verdana"/>
          <w:sz w:val="22"/>
          <w:szCs w:val="22"/>
        </w:rPr>
        <w:t>/2</w:t>
      </w:r>
      <w:r w:rsidR="000B6F36" w:rsidRPr="000B6F36">
        <w:rPr>
          <w:rFonts w:ascii="Verdana" w:hAnsi="Verdana"/>
          <w:sz w:val="22"/>
          <w:szCs w:val="22"/>
        </w:rPr>
        <w:t>1</w:t>
      </w:r>
      <w:r w:rsidRPr="000B6F36">
        <w:rPr>
          <w:rFonts w:ascii="Verdana" w:hAnsi="Verdana"/>
          <w:sz w:val="22"/>
          <w:szCs w:val="22"/>
        </w:rPr>
        <w:t xml:space="preserve"> costs in excess of the employer’s contribution were met by the Home Office by way of the Pension Top-Up Grant</w:t>
      </w:r>
      <w:r w:rsidR="000B6F36" w:rsidRPr="000B6F36">
        <w:rPr>
          <w:rFonts w:ascii="Verdana" w:hAnsi="Verdana"/>
          <w:sz w:val="22"/>
          <w:szCs w:val="22"/>
        </w:rPr>
        <w:t xml:space="preserve"> and an additional grant of £2.0</w:t>
      </w:r>
      <w:r w:rsidRPr="000B6F36">
        <w:rPr>
          <w:rFonts w:ascii="Verdana" w:hAnsi="Verdana"/>
          <w:sz w:val="22"/>
          <w:szCs w:val="22"/>
        </w:rPr>
        <w:t xml:space="preserve">m.   </w:t>
      </w:r>
    </w:p>
    <w:p w14:paraId="55D694F4" w14:textId="77777777" w:rsidR="00DF5955" w:rsidRPr="000B6F36" w:rsidRDefault="00DF5955" w:rsidP="00F227D9">
      <w:pPr>
        <w:pStyle w:val="Normal0"/>
        <w:jc w:val="both"/>
        <w:rPr>
          <w:rFonts w:ascii="Verdana" w:eastAsia="Times New Roman" w:hAnsi="Verdana" w:cs="Arial"/>
          <w:sz w:val="22"/>
          <w:szCs w:val="22"/>
          <w:lang w:val="en-GB" w:eastAsia="en-GB"/>
        </w:rPr>
      </w:pPr>
    </w:p>
    <w:p w14:paraId="241D4782" w14:textId="77777777" w:rsidR="00F227D9" w:rsidRPr="000B6F36" w:rsidRDefault="00F227D9" w:rsidP="00F227D9">
      <w:pPr>
        <w:pStyle w:val="Normal0"/>
        <w:jc w:val="both"/>
        <w:rPr>
          <w:rFonts w:ascii="Verdana" w:eastAsia="Times New Roman" w:hAnsi="Verdana" w:cs="Arial"/>
          <w:sz w:val="22"/>
          <w:szCs w:val="22"/>
          <w:lang w:val="en-GB" w:eastAsia="en-GB"/>
        </w:rPr>
      </w:pPr>
    </w:p>
    <w:p w14:paraId="124D0B2A" w14:textId="77777777" w:rsidR="00F227D9" w:rsidRPr="000B6F36" w:rsidRDefault="00F227D9" w:rsidP="005E3E6F">
      <w:pPr>
        <w:pStyle w:val="Style1"/>
        <w:numPr>
          <w:ilvl w:val="0"/>
          <w:numId w:val="9"/>
        </w:numPr>
        <w:rPr>
          <w:rFonts w:ascii="Verdana" w:hAnsi="Verdana"/>
          <w:sz w:val="22"/>
          <w:szCs w:val="22"/>
          <w:lang w:val="en-GB" w:eastAsia="en-GB"/>
        </w:rPr>
      </w:pPr>
      <w:r w:rsidRPr="000B6F36">
        <w:rPr>
          <w:rFonts w:ascii="Verdana" w:hAnsi="Verdana"/>
          <w:sz w:val="22"/>
          <w:szCs w:val="22"/>
          <w:lang w:val="en-GB" w:eastAsia="en-GB"/>
        </w:rPr>
        <w:t>Further Information</w:t>
      </w:r>
    </w:p>
    <w:p w14:paraId="30B201EE" w14:textId="77777777" w:rsidR="00F227D9" w:rsidRPr="000B6F36" w:rsidRDefault="00F227D9" w:rsidP="00F227D9">
      <w:pPr>
        <w:pStyle w:val="Style1"/>
        <w:numPr>
          <w:ilvl w:val="0"/>
          <w:numId w:val="0"/>
        </w:numPr>
        <w:ind w:left="1080" w:hanging="360"/>
        <w:rPr>
          <w:rFonts w:ascii="Verdana" w:hAnsi="Verdana"/>
          <w:sz w:val="22"/>
          <w:szCs w:val="22"/>
          <w:lang w:val="en-GB" w:eastAsia="en-GB"/>
        </w:rPr>
      </w:pPr>
    </w:p>
    <w:p w14:paraId="3800DFBA" w14:textId="551812B9" w:rsidR="00927BDD" w:rsidRPr="0080433C" w:rsidRDefault="00927BDD" w:rsidP="00927BDD">
      <w:pPr>
        <w:jc w:val="both"/>
        <w:rPr>
          <w:rFonts w:ascii="Verdana" w:hAnsi="Verdana" w:cs="Arial"/>
          <w:sz w:val="22"/>
          <w:szCs w:val="22"/>
        </w:rPr>
      </w:pPr>
      <w:r w:rsidRPr="004736D4">
        <w:rPr>
          <w:rFonts w:ascii="Verdana" w:hAnsi="Verdana" w:cs="Arial"/>
          <w:sz w:val="22"/>
          <w:szCs w:val="22"/>
        </w:rPr>
        <w:t xml:space="preserve">Surrey Police continues to undertake significant change activity through the </w:t>
      </w:r>
      <w:r w:rsidRPr="0080433C">
        <w:rPr>
          <w:rFonts w:ascii="Verdana" w:hAnsi="Verdana" w:cs="Arial"/>
          <w:sz w:val="22"/>
          <w:szCs w:val="22"/>
        </w:rPr>
        <w:t>Policing Together programme with Sussex Police, and also with other forces in the South-East region, in order to meet financial challenges, increase resilience and improve service delivery. The full savings programme and budget reductions for 20</w:t>
      </w:r>
      <w:r w:rsidR="004736D4" w:rsidRPr="0080433C">
        <w:rPr>
          <w:rFonts w:ascii="Verdana" w:hAnsi="Verdana" w:cs="Arial"/>
          <w:sz w:val="22"/>
          <w:szCs w:val="22"/>
        </w:rPr>
        <w:t>20</w:t>
      </w:r>
      <w:r w:rsidRPr="0080433C">
        <w:rPr>
          <w:rFonts w:ascii="Verdana" w:hAnsi="Verdana" w:cs="Arial"/>
          <w:sz w:val="22"/>
          <w:szCs w:val="22"/>
        </w:rPr>
        <w:t>/2</w:t>
      </w:r>
      <w:r w:rsidR="004736D4" w:rsidRPr="0080433C">
        <w:rPr>
          <w:rFonts w:ascii="Verdana" w:hAnsi="Verdana" w:cs="Arial"/>
          <w:sz w:val="22"/>
          <w:szCs w:val="22"/>
        </w:rPr>
        <w:t>1</w:t>
      </w:r>
      <w:r w:rsidRPr="0080433C">
        <w:rPr>
          <w:rFonts w:ascii="Verdana" w:hAnsi="Verdana" w:cs="Arial"/>
          <w:sz w:val="22"/>
          <w:szCs w:val="22"/>
        </w:rPr>
        <w:t xml:space="preserve"> </w:t>
      </w:r>
      <w:r w:rsidR="0080433C" w:rsidRPr="0080433C">
        <w:rPr>
          <w:rFonts w:ascii="Verdana" w:hAnsi="Verdana" w:cs="Arial"/>
          <w:sz w:val="22"/>
          <w:szCs w:val="22"/>
        </w:rPr>
        <w:t>of £1.4</w:t>
      </w:r>
      <w:r w:rsidRPr="0080433C">
        <w:rPr>
          <w:rFonts w:ascii="Verdana" w:hAnsi="Verdana" w:cs="Arial"/>
          <w:sz w:val="22"/>
          <w:szCs w:val="22"/>
        </w:rPr>
        <w:t>m</w:t>
      </w:r>
      <w:r w:rsidR="0080433C" w:rsidRPr="0080433C">
        <w:rPr>
          <w:rFonts w:ascii="Verdana" w:hAnsi="Verdana" w:cs="Arial"/>
          <w:sz w:val="22"/>
          <w:szCs w:val="22"/>
        </w:rPr>
        <w:t xml:space="preserve"> was taken at the beginning of the financial year </w:t>
      </w:r>
      <w:r w:rsidRPr="0080433C">
        <w:rPr>
          <w:rFonts w:ascii="Verdana" w:hAnsi="Verdana" w:cs="Arial"/>
          <w:sz w:val="22"/>
          <w:szCs w:val="22"/>
        </w:rPr>
        <w:t xml:space="preserve">and is shown by portfolio </w:t>
      </w:r>
      <w:r w:rsidR="0080433C" w:rsidRPr="0080433C">
        <w:rPr>
          <w:rFonts w:ascii="Verdana" w:hAnsi="Verdana" w:cs="Arial"/>
          <w:sz w:val="22"/>
          <w:szCs w:val="22"/>
        </w:rPr>
        <w:t>as follows</w:t>
      </w:r>
      <w:r w:rsidR="00E73C9B">
        <w:rPr>
          <w:rFonts w:ascii="Verdana" w:hAnsi="Verdana" w:cs="Arial"/>
          <w:sz w:val="22"/>
          <w:szCs w:val="22"/>
        </w:rPr>
        <w:t>:</w:t>
      </w:r>
    </w:p>
    <w:p w14:paraId="5B16051F" w14:textId="2341912F" w:rsidR="0080433C" w:rsidRPr="0080433C" w:rsidRDefault="0080433C" w:rsidP="0080433C">
      <w:pPr>
        <w:pStyle w:val="Normal0"/>
        <w:numPr>
          <w:ilvl w:val="0"/>
          <w:numId w:val="30"/>
        </w:numPr>
        <w:jc w:val="both"/>
        <w:rPr>
          <w:rFonts w:ascii="Verdana" w:eastAsia="Times New Roman" w:hAnsi="Verdana" w:cs="Arial"/>
          <w:sz w:val="22"/>
          <w:szCs w:val="22"/>
          <w:lang w:val="en-GB" w:eastAsia="en-GB"/>
        </w:rPr>
      </w:pPr>
      <w:r w:rsidRPr="0080433C">
        <w:rPr>
          <w:rFonts w:ascii="Verdana" w:eastAsia="Times New Roman" w:hAnsi="Verdana" w:cs="Arial"/>
          <w:sz w:val="22"/>
          <w:szCs w:val="22"/>
          <w:lang w:val="en-GB" w:eastAsia="en-GB"/>
        </w:rPr>
        <w:t>Specialist Crime £0.2m</w:t>
      </w:r>
    </w:p>
    <w:p w14:paraId="2135AD2E" w14:textId="27097AE0" w:rsidR="0080433C" w:rsidRPr="0080433C" w:rsidRDefault="0080433C" w:rsidP="0080433C">
      <w:pPr>
        <w:pStyle w:val="Normal0"/>
        <w:numPr>
          <w:ilvl w:val="0"/>
          <w:numId w:val="30"/>
        </w:numPr>
        <w:jc w:val="both"/>
        <w:rPr>
          <w:rFonts w:ascii="Verdana" w:eastAsia="Times New Roman" w:hAnsi="Verdana" w:cs="Arial"/>
          <w:sz w:val="22"/>
          <w:szCs w:val="22"/>
          <w:lang w:val="en-GB" w:eastAsia="en-GB"/>
        </w:rPr>
      </w:pPr>
      <w:r w:rsidRPr="0080433C">
        <w:rPr>
          <w:rFonts w:ascii="Verdana" w:eastAsia="Times New Roman" w:hAnsi="Verdana" w:cs="Arial"/>
          <w:sz w:val="22"/>
          <w:szCs w:val="22"/>
          <w:lang w:val="en-GB" w:eastAsia="en-GB"/>
        </w:rPr>
        <w:t>ICT £0.5m</w:t>
      </w:r>
    </w:p>
    <w:p w14:paraId="02879BA2" w14:textId="6E2B344B" w:rsidR="00F227D9" w:rsidRPr="0080433C" w:rsidRDefault="0080433C" w:rsidP="0080433C">
      <w:pPr>
        <w:pStyle w:val="Normal0"/>
        <w:numPr>
          <w:ilvl w:val="0"/>
          <w:numId w:val="30"/>
        </w:numPr>
        <w:jc w:val="both"/>
        <w:rPr>
          <w:rFonts w:ascii="Verdana" w:eastAsia="Times New Roman" w:hAnsi="Verdana" w:cs="Arial"/>
          <w:sz w:val="22"/>
          <w:szCs w:val="22"/>
          <w:lang w:val="en-GB" w:eastAsia="en-GB"/>
        </w:rPr>
      </w:pPr>
      <w:r w:rsidRPr="0080433C">
        <w:rPr>
          <w:rFonts w:ascii="Verdana" w:eastAsia="Times New Roman" w:hAnsi="Verdana" w:cs="Arial"/>
          <w:sz w:val="22"/>
          <w:szCs w:val="22"/>
          <w:lang w:val="en-GB" w:eastAsia="en-GB"/>
        </w:rPr>
        <w:t>Other £0.7m</w:t>
      </w:r>
    </w:p>
    <w:p w14:paraId="0A821085" w14:textId="77777777" w:rsidR="0080433C" w:rsidRPr="0080433C" w:rsidRDefault="0080433C" w:rsidP="0080433C">
      <w:pPr>
        <w:pStyle w:val="Normal0"/>
        <w:jc w:val="both"/>
        <w:rPr>
          <w:rFonts w:ascii="Verdana" w:eastAsia="Times New Roman" w:hAnsi="Verdana" w:cs="Arial"/>
          <w:sz w:val="22"/>
          <w:szCs w:val="22"/>
          <w:lang w:val="en-GB" w:eastAsia="en-GB"/>
        </w:rPr>
      </w:pPr>
    </w:p>
    <w:p w14:paraId="276A35D9" w14:textId="5824E50C" w:rsidR="00F227D9" w:rsidRPr="0080433C" w:rsidRDefault="0080433C" w:rsidP="0080433C">
      <w:pPr>
        <w:pStyle w:val="Normal0"/>
        <w:jc w:val="both"/>
        <w:rPr>
          <w:rFonts w:ascii="Verdana" w:eastAsia="Times New Roman" w:hAnsi="Verdana" w:cs="Arial"/>
          <w:sz w:val="22"/>
          <w:szCs w:val="22"/>
          <w:lang w:val="en-GB" w:eastAsia="en-GB"/>
        </w:rPr>
      </w:pPr>
      <w:r w:rsidRPr="0080433C">
        <w:rPr>
          <w:rFonts w:ascii="Verdana" w:hAnsi="Verdana" w:cs="Arial"/>
          <w:sz w:val="22"/>
          <w:szCs w:val="22"/>
        </w:rPr>
        <w:t xml:space="preserve">Budget holders unable to make any of the savings were required to detail reasons in an exception report for consideration and approval. Whilst the savings were incorporated into the budget setting process and effectively removed at the start of the year, ICT did not identify their savings of £0.5m which will be carried forward and will require the identification of permanent savings in 2021/22. The Strategic Change Board reviews the savings profile over the medium term on an ongoing basis.  </w:t>
      </w:r>
    </w:p>
    <w:p w14:paraId="30A08ED1" w14:textId="77777777" w:rsidR="00F227D9" w:rsidRPr="0080433C" w:rsidRDefault="00F227D9" w:rsidP="00F227D9">
      <w:pPr>
        <w:pStyle w:val="Normal0"/>
        <w:jc w:val="both"/>
        <w:rPr>
          <w:rFonts w:ascii="Verdana" w:eastAsia="Times New Roman" w:hAnsi="Verdana" w:cs="Arial"/>
          <w:sz w:val="22"/>
          <w:szCs w:val="22"/>
          <w:lang w:val="en-GB" w:eastAsia="en-GB"/>
        </w:rPr>
      </w:pPr>
    </w:p>
    <w:p w14:paraId="1A93AF43" w14:textId="41CFB378" w:rsidR="00406EFB" w:rsidRPr="0080433C" w:rsidRDefault="00406EFB" w:rsidP="00406EFB">
      <w:pPr>
        <w:jc w:val="both"/>
        <w:rPr>
          <w:rFonts w:ascii="Verdana" w:hAnsi="Verdana"/>
          <w:sz w:val="22"/>
          <w:szCs w:val="22"/>
        </w:rPr>
      </w:pPr>
      <w:r w:rsidRPr="0080433C">
        <w:rPr>
          <w:rFonts w:ascii="Verdana" w:hAnsi="Verdana"/>
          <w:sz w:val="22"/>
          <w:szCs w:val="22"/>
        </w:rPr>
        <w:t xml:space="preserve">Within the organisation we continue to develop innovative working practices to maximise our efficiency. This includes investing in better technology, managing digital evidence and sharing information more effectively. </w:t>
      </w:r>
    </w:p>
    <w:p w14:paraId="2EB74DD2" w14:textId="77777777" w:rsidR="00406EFB" w:rsidRPr="0080433C" w:rsidRDefault="00406EFB" w:rsidP="00406EFB">
      <w:pPr>
        <w:jc w:val="both"/>
        <w:rPr>
          <w:rFonts w:ascii="Verdana" w:hAnsi="Verdana"/>
          <w:sz w:val="22"/>
          <w:szCs w:val="22"/>
        </w:rPr>
      </w:pPr>
    </w:p>
    <w:p w14:paraId="493138C5" w14:textId="77777777" w:rsidR="00406EFB" w:rsidRPr="0080433C" w:rsidRDefault="00406EFB" w:rsidP="00406EFB">
      <w:pPr>
        <w:jc w:val="both"/>
        <w:rPr>
          <w:rFonts w:ascii="Verdana" w:hAnsi="Verdana"/>
          <w:sz w:val="22"/>
          <w:szCs w:val="22"/>
          <w:lang w:val="en-GB"/>
        </w:rPr>
      </w:pPr>
      <w:r w:rsidRPr="0080433C">
        <w:rPr>
          <w:rFonts w:ascii="Verdana" w:hAnsi="Verdana"/>
          <w:sz w:val="22"/>
          <w:szCs w:val="22"/>
          <w:lang w:val="en-GB"/>
        </w:rPr>
        <w:t>We are monitoring the effectiveness of our digital investments and have, for example, seen huge benefits to officers using Mobile Data Terminals (MDTs) while out in the community.  We are equipping all employees with the right skills and tools to work in a modern way, whilst they face increasingly complex policing challenges, and provide increased visibility and reassurance to the community.  </w:t>
      </w:r>
    </w:p>
    <w:p w14:paraId="005BC259" w14:textId="77777777" w:rsidR="00406EFB" w:rsidRPr="0080433C" w:rsidRDefault="00406EFB" w:rsidP="00406EFB">
      <w:pPr>
        <w:jc w:val="both"/>
        <w:rPr>
          <w:rFonts w:ascii="Verdana" w:hAnsi="Verdana"/>
          <w:sz w:val="22"/>
          <w:szCs w:val="22"/>
          <w:lang w:val="en-GB"/>
        </w:rPr>
      </w:pPr>
    </w:p>
    <w:p w14:paraId="5B3B8F92" w14:textId="77777777" w:rsidR="00406EFB" w:rsidRPr="0080433C" w:rsidRDefault="00406EFB" w:rsidP="00406EFB">
      <w:pPr>
        <w:jc w:val="both"/>
        <w:rPr>
          <w:rFonts w:ascii="Verdana" w:hAnsi="Verdana"/>
          <w:sz w:val="22"/>
          <w:szCs w:val="22"/>
          <w:lang w:val="en-GB"/>
        </w:rPr>
      </w:pPr>
      <w:r w:rsidRPr="0080433C">
        <w:rPr>
          <w:rFonts w:ascii="Verdana" w:hAnsi="Verdana"/>
          <w:sz w:val="22"/>
          <w:szCs w:val="22"/>
          <w:lang w:val="en-GB"/>
        </w:rPr>
        <w:t>With further investment we can further strengthen our position – prevent more crimes, catch more criminals, protect more victims, solve more crimes and keep Surrey even safer.</w:t>
      </w:r>
    </w:p>
    <w:p w14:paraId="16FFB992" w14:textId="77777777" w:rsidR="00406EFB" w:rsidRPr="0080433C" w:rsidRDefault="00406EFB" w:rsidP="00406EFB">
      <w:pPr>
        <w:jc w:val="both"/>
        <w:rPr>
          <w:rFonts w:ascii="Verdana" w:hAnsi="Verdana"/>
          <w:sz w:val="22"/>
          <w:szCs w:val="22"/>
          <w:lang w:val="en-GB"/>
        </w:rPr>
      </w:pPr>
    </w:p>
    <w:p w14:paraId="1CC6B3B6" w14:textId="1A73F120" w:rsidR="00406EFB" w:rsidRPr="000C2D29" w:rsidRDefault="00406EFB" w:rsidP="00406EFB">
      <w:pPr>
        <w:pStyle w:val="Normal0"/>
        <w:jc w:val="both"/>
        <w:rPr>
          <w:rFonts w:ascii="Verdana" w:eastAsia="Calibri" w:hAnsi="Verdana" w:cs="Times New Roman"/>
          <w:sz w:val="22"/>
          <w:szCs w:val="22"/>
          <w:lang w:val="en-GB"/>
        </w:rPr>
      </w:pPr>
      <w:r w:rsidRPr="0080433C">
        <w:rPr>
          <w:rFonts w:ascii="Verdana" w:eastAsia="Calibri" w:hAnsi="Verdana" w:cs="Times New Roman"/>
          <w:sz w:val="22"/>
          <w:szCs w:val="22"/>
          <w:lang w:val="en-GB"/>
        </w:rPr>
        <w:t xml:space="preserve">The majority of services within the Support </w:t>
      </w:r>
      <w:r w:rsidRPr="000C2D29">
        <w:rPr>
          <w:rFonts w:ascii="Verdana" w:eastAsia="Calibri" w:hAnsi="Verdana" w:cs="Times New Roman"/>
          <w:sz w:val="22"/>
          <w:szCs w:val="22"/>
          <w:lang w:val="en-GB"/>
        </w:rPr>
        <w:t>Services functions are collaborated including; Procurement, Insurance, Transport, People Services, Information &amp; Communication Technology, and Finance. Further work is ongoing to develop a Shared Business Service Centre.</w:t>
      </w:r>
    </w:p>
    <w:p w14:paraId="0DE90ED5" w14:textId="77777777" w:rsidR="00406EFB" w:rsidRPr="000C2D29" w:rsidRDefault="00406EFB" w:rsidP="00406EFB">
      <w:pPr>
        <w:pStyle w:val="Normal0"/>
        <w:jc w:val="both"/>
        <w:rPr>
          <w:rStyle w:val="Strong"/>
          <w:rFonts w:ascii="Verdana" w:eastAsia="Times New Roman" w:hAnsi="Verdana" w:cs="Times New Roman"/>
          <w:b w:val="0"/>
          <w:sz w:val="22"/>
          <w:szCs w:val="22"/>
          <w:lang w:val="en-GB" w:eastAsia="en-GB"/>
        </w:rPr>
      </w:pPr>
    </w:p>
    <w:p w14:paraId="341C8518" w14:textId="77777777" w:rsidR="00406EFB" w:rsidRPr="000C2D29" w:rsidRDefault="00406EFB" w:rsidP="00F227D9">
      <w:pPr>
        <w:pStyle w:val="Normal0"/>
        <w:jc w:val="both"/>
        <w:rPr>
          <w:rStyle w:val="Strong"/>
          <w:rFonts w:ascii="Verdana" w:eastAsia="Times New Roman" w:hAnsi="Verdana" w:cs="Times New Roman"/>
          <w:b w:val="0"/>
          <w:sz w:val="22"/>
          <w:szCs w:val="22"/>
          <w:lang w:val="en-GB" w:eastAsia="en-GB"/>
        </w:rPr>
      </w:pPr>
      <w:r w:rsidRPr="000C2D29">
        <w:rPr>
          <w:rStyle w:val="Strong"/>
          <w:rFonts w:ascii="Verdana" w:eastAsia="Times New Roman" w:hAnsi="Verdana" w:cs="Times New Roman"/>
          <w:b w:val="0"/>
          <w:sz w:val="22"/>
          <w:szCs w:val="22"/>
          <w:lang w:val="en-GB" w:eastAsia="en-GB"/>
        </w:rPr>
        <w:t>Surrey Police are committed to continuous improvement in their arrangements for programme, project and financial management as demonstrated through a number of key initiatives and programmes, including;</w:t>
      </w:r>
    </w:p>
    <w:p w14:paraId="452ACAE7" w14:textId="77777777" w:rsidR="00406EFB" w:rsidRPr="000C2D29" w:rsidRDefault="00406EFB" w:rsidP="00F227D9">
      <w:pPr>
        <w:pStyle w:val="Normal0"/>
        <w:jc w:val="both"/>
        <w:rPr>
          <w:rStyle w:val="Strong"/>
          <w:rFonts w:ascii="Verdana" w:eastAsia="Times New Roman" w:hAnsi="Verdana" w:cs="Times New Roman"/>
          <w:b w:val="0"/>
          <w:sz w:val="22"/>
          <w:szCs w:val="22"/>
          <w:lang w:val="en-GB" w:eastAsia="en-GB"/>
        </w:rPr>
      </w:pPr>
    </w:p>
    <w:p w14:paraId="15B6C9F3" w14:textId="77777777" w:rsidR="00406EFB" w:rsidRPr="000C2D29" w:rsidRDefault="00406EFB" w:rsidP="00406EFB">
      <w:pPr>
        <w:jc w:val="both"/>
        <w:rPr>
          <w:rFonts w:ascii="Verdana" w:hAnsi="Verdana"/>
          <w:sz w:val="22"/>
          <w:szCs w:val="22"/>
          <w:lang w:val="en-GB"/>
        </w:rPr>
      </w:pPr>
      <w:r w:rsidRPr="000C2D29">
        <w:rPr>
          <w:rFonts w:ascii="Verdana" w:hAnsi="Verdana"/>
          <w:b/>
          <w:sz w:val="22"/>
          <w:szCs w:val="22"/>
          <w:lang w:val="en-GB"/>
        </w:rPr>
        <w:t>Financial Excellence:</w:t>
      </w:r>
      <w:r w:rsidRPr="000C2D29">
        <w:rPr>
          <w:rFonts w:ascii="Verdana" w:hAnsi="Verdana"/>
          <w:sz w:val="22"/>
          <w:szCs w:val="22"/>
          <w:lang w:val="en-GB"/>
        </w:rPr>
        <w:t xml:space="preserve"> Surrey Police is one of only 3 forces nationally to have piloted the national Chartered Institute of Public Finance and Accountancy’s “Achieving Finance Excellence in Policing” programme. So far, this has included implementation of accounts closure software to enable code compliant production of statutory financial statements more promptly, development of Finance Business Partners, and an independent review of financial management arrangements.</w:t>
      </w:r>
    </w:p>
    <w:p w14:paraId="206E3470" w14:textId="77777777" w:rsidR="00F227D9" w:rsidRPr="000C2D29" w:rsidRDefault="00F227D9" w:rsidP="00F227D9">
      <w:pPr>
        <w:pStyle w:val="Normal0"/>
        <w:jc w:val="both"/>
        <w:rPr>
          <w:rStyle w:val="Strong"/>
          <w:rFonts w:ascii="Verdana" w:eastAsia="Times New Roman" w:hAnsi="Verdana" w:cs="Times New Roman"/>
          <w:b w:val="0"/>
          <w:sz w:val="22"/>
          <w:szCs w:val="22"/>
          <w:lang w:val="en-GB" w:eastAsia="en-GB"/>
        </w:rPr>
      </w:pPr>
    </w:p>
    <w:p w14:paraId="3EDE7944" w14:textId="1B2EB8D3" w:rsidR="00406EFB" w:rsidRPr="000C2D29" w:rsidRDefault="00406EFB" w:rsidP="00406EFB">
      <w:pPr>
        <w:jc w:val="both"/>
        <w:rPr>
          <w:rFonts w:ascii="Verdana" w:hAnsi="Verdana"/>
          <w:iCs/>
          <w:sz w:val="22"/>
          <w:szCs w:val="22"/>
        </w:rPr>
      </w:pPr>
      <w:r w:rsidRPr="000C2D29">
        <w:rPr>
          <w:rFonts w:ascii="Verdana" w:hAnsi="Verdana"/>
          <w:sz w:val="22"/>
          <w:szCs w:val="22"/>
          <w:lang w:val="en-GB"/>
        </w:rPr>
        <w:t xml:space="preserve">Regional collaboration continues with five police forces (Thames Valley, Hampshire, Sussex, Surrey and Kent) working together on counter terrorism and tackling serious and organised crime. This is governed by a joint regional oversight board which the five PCCs chair in rotation. During the year development </w:t>
      </w:r>
      <w:r w:rsidR="000C2D29" w:rsidRPr="000C2D29">
        <w:rPr>
          <w:rFonts w:ascii="Verdana" w:hAnsi="Verdana"/>
          <w:sz w:val="22"/>
          <w:szCs w:val="22"/>
          <w:lang w:val="en-GB"/>
        </w:rPr>
        <w:t>continued</w:t>
      </w:r>
      <w:r w:rsidRPr="000C2D29">
        <w:rPr>
          <w:rFonts w:ascii="Verdana" w:hAnsi="Verdana"/>
          <w:sz w:val="22"/>
          <w:szCs w:val="22"/>
          <w:lang w:val="en-GB"/>
        </w:rPr>
        <w:t xml:space="preserve"> on a Western Hub for the South East Regional Organised Crime Unit.</w:t>
      </w:r>
    </w:p>
    <w:p w14:paraId="77DEF19A" w14:textId="77777777" w:rsidR="00406EFB" w:rsidRPr="000C2D29" w:rsidRDefault="00406EFB" w:rsidP="00406EFB">
      <w:pPr>
        <w:jc w:val="both"/>
        <w:rPr>
          <w:rFonts w:ascii="Verdana" w:hAnsi="Verdana"/>
          <w:sz w:val="22"/>
          <w:szCs w:val="22"/>
        </w:rPr>
      </w:pPr>
    </w:p>
    <w:p w14:paraId="3EE7A139" w14:textId="5B9E64A0" w:rsidR="00406EFB" w:rsidRPr="000C2D29" w:rsidRDefault="00406EFB" w:rsidP="00406EFB">
      <w:pPr>
        <w:jc w:val="both"/>
        <w:rPr>
          <w:rFonts w:ascii="Verdana" w:hAnsi="Verdana"/>
          <w:sz w:val="22"/>
          <w:szCs w:val="22"/>
        </w:rPr>
      </w:pPr>
      <w:r w:rsidRPr="000C2D29">
        <w:rPr>
          <w:rFonts w:ascii="Verdana" w:hAnsi="Verdana"/>
          <w:sz w:val="22"/>
          <w:szCs w:val="22"/>
        </w:rPr>
        <w:t xml:space="preserve">The site for a new Force headquarters was purchased </w:t>
      </w:r>
      <w:r w:rsidR="000C2D29" w:rsidRPr="000C2D29">
        <w:rPr>
          <w:rFonts w:ascii="Verdana" w:hAnsi="Verdana"/>
          <w:sz w:val="22"/>
          <w:szCs w:val="22"/>
        </w:rPr>
        <w:t>at</w:t>
      </w:r>
      <w:r w:rsidRPr="000C2D29">
        <w:rPr>
          <w:rFonts w:ascii="Verdana" w:hAnsi="Verdana"/>
          <w:sz w:val="22"/>
          <w:szCs w:val="22"/>
        </w:rPr>
        <w:t xml:space="preserve"> Leatherhead. The project is expected to take at least four to five years to complete, including plans to dispose of current outdated and costly buildings and creating a modern and cost-effective estate that will allow the Force to meet the challenges of modern policing.  </w:t>
      </w:r>
    </w:p>
    <w:p w14:paraId="5720E059" w14:textId="77777777" w:rsidR="00406EFB" w:rsidRPr="000C2D29" w:rsidRDefault="00406EFB" w:rsidP="00406EFB">
      <w:pPr>
        <w:jc w:val="both"/>
        <w:rPr>
          <w:rFonts w:ascii="Verdana" w:hAnsi="Verdana"/>
          <w:sz w:val="22"/>
          <w:szCs w:val="22"/>
        </w:rPr>
      </w:pPr>
    </w:p>
    <w:p w14:paraId="234B8B9A" w14:textId="77777777" w:rsidR="00406EFB" w:rsidRPr="000C2D29" w:rsidRDefault="00406EFB" w:rsidP="00406EFB">
      <w:pPr>
        <w:pStyle w:val="Normal0"/>
        <w:jc w:val="both"/>
        <w:rPr>
          <w:rStyle w:val="Strong"/>
          <w:rFonts w:ascii="Verdana" w:eastAsia="Times New Roman" w:hAnsi="Verdana" w:cs="Times New Roman"/>
          <w:b w:val="0"/>
          <w:sz w:val="22"/>
          <w:szCs w:val="22"/>
          <w:lang w:val="en-GB" w:eastAsia="en-GB"/>
        </w:rPr>
      </w:pPr>
      <w:r w:rsidRPr="000C2D29">
        <w:rPr>
          <w:rFonts w:ascii="Verdana" w:hAnsi="Verdana"/>
          <w:sz w:val="22"/>
          <w:szCs w:val="22"/>
        </w:rPr>
        <w:t>All police forces are inspected by Her Majesty’s Inspectorate of Constabulary and Fire &amp; Rescue Services (HMICFRS) and Surrey Police was rated overall as good for effectiveness, efficiency and legitimacy. HMICFS noted the extent to which the force is effective at reducing crime and keeping people safe is good. The force was found to be outstanding at preventing crime and anti-social behaviour, engaging well with its communities and partner organisations to understand and solve neighbourhood problems and working effectively with partners to identify and protect vulnerable people. HMICFRS noted the extent to which the force treats the public and its workforce is also good and that room for improvement was noted in the extent to which the force operates efficiently and sustainably.</w:t>
      </w:r>
    </w:p>
    <w:p w14:paraId="2437618C" w14:textId="77777777" w:rsidR="00406EFB" w:rsidRPr="000C2D29" w:rsidRDefault="00406EFB" w:rsidP="00F227D9">
      <w:pPr>
        <w:pStyle w:val="Normal0"/>
        <w:jc w:val="both"/>
        <w:rPr>
          <w:rStyle w:val="Strong"/>
          <w:rFonts w:ascii="Verdana" w:eastAsia="Times New Roman" w:hAnsi="Verdana" w:cs="Times New Roman"/>
          <w:b w:val="0"/>
          <w:sz w:val="22"/>
          <w:szCs w:val="22"/>
          <w:lang w:val="en-GB" w:eastAsia="en-GB"/>
        </w:rPr>
      </w:pPr>
    </w:p>
    <w:p w14:paraId="7BA60016" w14:textId="77777777" w:rsidR="004A4C67" w:rsidRPr="000C2D29" w:rsidRDefault="004E5A2A" w:rsidP="004E5A2A">
      <w:pPr>
        <w:jc w:val="both"/>
        <w:rPr>
          <w:rFonts w:ascii="Verdana" w:hAnsi="Verdana"/>
          <w:sz w:val="22"/>
          <w:szCs w:val="22"/>
          <w:lang w:val="en-GB"/>
        </w:rPr>
      </w:pPr>
      <w:r w:rsidRPr="000C2D29">
        <w:rPr>
          <w:rFonts w:ascii="Verdana" w:hAnsi="Verdana"/>
          <w:b/>
          <w:sz w:val="22"/>
          <w:szCs w:val="22"/>
          <w:lang w:val="en-GB"/>
        </w:rPr>
        <w:t>New Enterprise Resource Planning Solution (Equip):</w:t>
      </w:r>
      <w:r w:rsidRPr="000C2D29">
        <w:rPr>
          <w:rFonts w:ascii="Verdana" w:hAnsi="Verdana"/>
          <w:sz w:val="22"/>
          <w:szCs w:val="22"/>
          <w:lang w:val="en-GB"/>
        </w:rPr>
        <w:t xml:space="preserve"> </w:t>
      </w:r>
    </w:p>
    <w:p w14:paraId="2A5E5018" w14:textId="77777777" w:rsidR="004E5A2A" w:rsidRPr="000C2D29" w:rsidRDefault="004E5A2A" w:rsidP="004E5A2A">
      <w:pPr>
        <w:jc w:val="both"/>
        <w:rPr>
          <w:rFonts w:ascii="Verdana" w:hAnsi="Verdana"/>
          <w:sz w:val="22"/>
          <w:szCs w:val="22"/>
          <w:lang w:val="en-GB"/>
        </w:rPr>
      </w:pPr>
    </w:p>
    <w:p w14:paraId="21EB0485" w14:textId="77777777" w:rsidR="00A01A5C" w:rsidRPr="00A01A5C" w:rsidRDefault="00A01A5C" w:rsidP="00A01A5C">
      <w:pPr>
        <w:jc w:val="both"/>
        <w:rPr>
          <w:rFonts w:ascii="Verdana" w:hAnsi="Verdana"/>
          <w:sz w:val="22"/>
          <w:szCs w:val="22"/>
          <w:shd w:val="clear" w:color="auto" w:fill="FFFFFF"/>
        </w:rPr>
      </w:pPr>
      <w:r w:rsidRPr="00A01A5C">
        <w:rPr>
          <w:rFonts w:ascii="Verdana" w:hAnsi="Verdana"/>
          <w:color w:val="000000"/>
          <w:sz w:val="22"/>
          <w:szCs w:val="22"/>
          <w:shd w:val="clear" w:color="auto" w:fill="FFFFFF"/>
        </w:rPr>
        <w:t>In 2016 the three forces (Surrey, Sussex and Thames Valley) took a decision to work collaboratively to jointly develop a new Enterprise Resource Planning (ERP) system to improve the way they do business and help improve efficiency. This programme was known as Equip. The ERP system aimed to replace back-office systems currently used across all three forces with new systems that are able to interact seamlessly with each other, reducing the need for duplication of information and thereby resulting in a more efficient way of working. This aimed to free up staff time to focus on preventing and detecting crime, protecting vulnerable people and keeping our communities safe. Following a competitive tender process, the forces have been working in partnership with KPMG on the programme since 2016.</w:t>
      </w:r>
    </w:p>
    <w:p w14:paraId="50191BF0" w14:textId="77777777" w:rsidR="00A01A5C" w:rsidRPr="00A01A5C" w:rsidRDefault="00A01A5C" w:rsidP="00A01A5C">
      <w:pPr>
        <w:jc w:val="both"/>
        <w:rPr>
          <w:rFonts w:ascii="Verdana" w:hAnsi="Verdana"/>
          <w:sz w:val="22"/>
          <w:szCs w:val="22"/>
          <w:shd w:val="clear" w:color="auto" w:fill="FFFFFF"/>
        </w:rPr>
      </w:pPr>
    </w:p>
    <w:p w14:paraId="6E5193D0" w14:textId="77777777" w:rsidR="00A01A5C" w:rsidRPr="00A01A5C" w:rsidRDefault="00A01A5C" w:rsidP="00A01A5C">
      <w:pPr>
        <w:jc w:val="both"/>
        <w:rPr>
          <w:rFonts w:ascii="Verdana" w:hAnsi="Verdana"/>
          <w:sz w:val="22"/>
          <w:szCs w:val="22"/>
        </w:rPr>
      </w:pPr>
      <w:r w:rsidRPr="00A01A5C">
        <w:rPr>
          <w:rFonts w:ascii="Verdana" w:hAnsi="Verdana"/>
          <w:sz w:val="22"/>
          <w:szCs w:val="22"/>
        </w:rPr>
        <w:t>In December 2020 the Chief Constables agreed that the ERP product developed by KPMG should be transferred to the three forces to mitigate against future financial risk. Following recommendation by the three force Chief Constables, approval was granted by the three PCCs. The forces have worked closely with KPMG to achieve the transfer of the ERP Software, Documentation and Licenced assets.</w:t>
      </w:r>
    </w:p>
    <w:p w14:paraId="4AA0734B" w14:textId="77777777" w:rsidR="00A01A5C" w:rsidRPr="00A01A5C" w:rsidRDefault="00A01A5C" w:rsidP="00A01A5C">
      <w:pPr>
        <w:jc w:val="both"/>
        <w:rPr>
          <w:rFonts w:ascii="Verdana" w:hAnsi="Verdana"/>
          <w:sz w:val="22"/>
          <w:szCs w:val="22"/>
        </w:rPr>
      </w:pPr>
    </w:p>
    <w:p w14:paraId="0873F145" w14:textId="77777777" w:rsidR="00A01A5C" w:rsidRPr="00A01A5C" w:rsidRDefault="00A01A5C" w:rsidP="00A01A5C">
      <w:pPr>
        <w:jc w:val="both"/>
        <w:rPr>
          <w:rFonts w:ascii="Verdana" w:hAnsi="Verdana"/>
          <w:sz w:val="22"/>
          <w:szCs w:val="22"/>
        </w:rPr>
      </w:pPr>
      <w:r w:rsidRPr="00A01A5C">
        <w:rPr>
          <w:rFonts w:ascii="Verdana" w:hAnsi="Verdana"/>
          <w:sz w:val="22"/>
          <w:szCs w:val="22"/>
        </w:rPr>
        <w:t xml:space="preserve">Following closure of the tri-force Equip programme, a new Surrey &amp; Sussex ERP Programme has been set up to look at future ERP work. In Sussex and Surrey Police the respective Chief Constable’s and PCC’s are considering a range of options for use, development of the Equip assets and/or additional ERP solutions for enhanced functionality. Surrey Police bears 22% of the total partnership project costs.  </w:t>
      </w:r>
    </w:p>
    <w:p w14:paraId="62FBA28E" w14:textId="77777777" w:rsidR="00A01A5C" w:rsidRPr="00A01A5C" w:rsidRDefault="00A01A5C" w:rsidP="00A01A5C">
      <w:pPr>
        <w:jc w:val="both"/>
        <w:rPr>
          <w:rFonts w:ascii="Verdana" w:hAnsi="Verdana"/>
          <w:sz w:val="22"/>
          <w:szCs w:val="22"/>
        </w:rPr>
      </w:pPr>
    </w:p>
    <w:p w14:paraId="6A980E28" w14:textId="77777777" w:rsidR="00A01A5C" w:rsidRPr="00A01A5C" w:rsidRDefault="00A01A5C" w:rsidP="00A01A5C">
      <w:pPr>
        <w:jc w:val="both"/>
        <w:rPr>
          <w:rFonts w:ascii="Verdana" w:hAnsi="Verdana"/>
          <w:sz w:val="22"/>
          <w:szCs w:val="22"/>
        </w:rPr>
      </w:pPr>
      <w:r w:rsidRPr="00A01A5C">
        <w:rPr>
          <w:rFonts w:ascii="Verdana" w:hAnsi="Verdana"/>
          <w:sz w:val="22"/>
          <w:szCs w:val="22"/>
        </w:rPr>
        <w:t>Prior to 2020/21 Sussex Police and Surrey Police had spent £7.276m and £5.723m respectively on the Equip programme and this had been fully released to revenue on the basis that the end asset platform providing the software as a service to Sussex and Surrey would not be owned by Sussex Police or Surrey Police.</w:t>
      </w:r>
    </w:p>
    <w:p w14:paraId="6663F5F0" w14:textId="77777777" w:rsidR="00A01A5C" w:rsidRPr="00A01A5C" w:rsidRDefault="00A01A5C" w:rsidP="00A01A5C">
      <w:pPr>
        <w:jc w:val="both"/>
        <w:rPr>
          <w:rFonts w:ascii="Verdana" w:hAnsi="Verdana"/>
          <w:sz w:val="22"/>
          <w:szCs w:val="22"/>
        </w:rPr>
      </w:pPr>
    </w:p>
    <w:p w14:paraId="21C3BFF0" w14:textId="043B65DC" w:rsidR="00A01A5C" w:rsidRPr="00A01A5C" w:rsidRDefault="00A01A5C" w:rsidP="00A01A5C">
      <w:pPr>
        <w:jc w:val="both"/>
        <w:rPr>
          <w:rFonts w:ascii="Verdana" w:hAnsi="Verdana"/>
          <w:sz w:val="22"/>
          <w:szCs w:val="22"/>
        </w:rPr>
      </w:pPr>
      <w:r w:rsidRPr="00A01A5C">
        <w:rPr>
          <w:rFonts w:ascii="Verdana" w:hAnsi="Verdana"/>
          <w:sz w:val="22"/>
          <w:szCs w:val="22"/>
        </w:rPr>
        <w:t>During 2020/21 Sussex Police spent a further £5.385m and Surrey Police spent a further £3.791m on the Equip programme. Sussex Police spent £2.752m of that amount on the capital asset purchase from KPMG whilst Surrey Police spent £1.918m of the total on the capital asset purchase from KPMG. All remaining amounts were revenue charges for the Equip team and related running costs during the year.</w:t>
      </w:r>
      <w:r w:rsidR="00E73C9B">
        <w:rPr>
          <w:rFonts w:ascii="Verdana" w:hAnsi="Verdana"/>
          <w:sz w:val="22"/>
          <w:szCs w:val="22"/>
        </w:rPr>
        <w:t xml:space="preserve"> </w:t>
      </w:r>
      <w:r w:rsidRPr="00A01A5C">
        <w:rPr>
          <w:rFonts w:ascii="Verdana" w:hAnsi="Verdana"/>
          <w:sz w:val="22"/>
          <w:szCs w:val="22"/>
        </w:rPr>
        <w:t xml:space="preserve">No further sums will be spent on the Equip programme in 2021/22 or later years. </w:t>
      </w:r>
    </w:p>
    <w:p w14:paraId="66D1FC23" w14:textId="77777777" w:rsidR="00F227D9" w:rsidRPr="00A01A5C" w:rsidRDefault="00F227D9" w:rsidP="00F227D9">
      <w:pPr>
        <w:pStyle w:val="Normal0"/>
        <w:jc w:val="both"/>
        <w:rPr>
          <w:rFonts w:ascii="Verdana" w:eastAsia="Times New Roman" w:hAnsi="Verdana" w:cs="Arial"/>
          <w:color w:val="282828"/>
          <w:sz w:val="22"/>
          <w:szCs w:val="22"/>
          <w:lang w:val="en-GB" w:eastAsia="en-GB"/>
        </w:rPr>
      </w:pPr>
    </w:p>
    <w:p w14:paraId="20C2C29A" w14:textId="77777777" w:rsidR="001C3F6C" w:rsidRPr="00A01A5C" w:rsidRDefault="001C3F6C">
      <w:pPr>
        <w:rPr>
          <w:rFonts w:ascii="Verdana" w:eastAsia="Times New Roman" w:hAnsi="Verdana" w:cs="Arial"/>
          <w:b/>
          <w:sz w:val="22"/>
          <w:szCs w:val="22"/>
          <w:lang w:val="en-GB" w:eastAsia="en-GB"/>
        </w:rPr>
      </w:pPr>
    </w:p>
    <w:p w14:paraId="6AB05965" w14:textId="77777777" w:rsidR="00F227D9" w:rsidRPr="00A01A5C" w:rsidRDefault="00F227D9" w:rsidP="005E3E6F">
      <w:pPr>
        <w:pStyle w:val="Style1"/>
        <w:numPr>
          <w:ilvl w:val="0"/>
          <w:numId w:val="9"/>
        </w:numPr>
        <w:rPr>
          <w:rFonts w:ascii="Verdana" w:hAnsi="Verdana"/>
          <w:sz w:val="22"/>
          <w:szCs w:val="22"/>
          <w:lang w:val="en-GB" w:eastAsia="en-GB"/>
        </w:rPr>
      </w:pPr>
      <w:r w:rsidRPr="00A01A5C">
        <w:rPr>
          <w:rFonts w:ascii="Verdana" w:hAnsi="Verdana"/>
          <w:sz w:val="22"/>
          <w:szCs w:val="22"/>
          <w:lang w:val="en-GB" w:eastAsia="en-GB"/>
        </w:rPr>
        <w:t>Financial Outlook</w:t>
      </w:r>
    </w:p>
    <w:p w14:paraId="0A627487" w14:textId="77777777" w:rsidR="00F227D9" w:rsidRPr="00A01A5C" w:rsidRDefault="00F227D9" w:rsidP="00F227D9">
      <w:pPr>
        <w:pStyle w:val="Style1"/>
        <w:numPr>
          <w:ilvl w:val="0"/>
          <w:numId w:val="0"/>
        </w:numPr>
        <w:ind w:left="720"/>
        <w:rPr>
          <w:rFonts w:ascii="Verdana" w:hAnsi="Verdana"/>
          <w:sz w:val="22"/>
          <w:szCs w:val="22"/>
          <w:lang w:val="en-GB" w:eastAsia="en-GB"/>
        </w:rPr>
      </w:pPr>
    </w:p>
    <w:p w14:paraId="7E1D03AE" w14:textId="77777777" w:rsidR="00F227D9" w:rsidRPr="00A01A5C" w:rsidRDefault="00F227D9" w:rsidP="00F227D9">
      <w:pPr>
        <w:pStyle w:val="Normal0"/>
        <w:jc w:val="both"/>
        <w:rPr>
          <w:rFonts w:ascii="Verdana" w:eastAsia="Times New Roman" w:hAnsi="Verdana" w:cs="Arial"/>
          <w:sz w:val="22"/>
          <w:szCs w:val="22"/>
          <w:lang w:val="en-GB" w:eastAsia="en-GB"/>
        </w:rPr>
      </w:pPr>
      <w:r w:rsidRPr="00A01A5C">
        <w:rPr>
          <w:rFonts w:ascii="Verdana" w:eastAsia="Times New Roman" w:hAnsi="Verdana" w:cs="Arial"/>
          <w:sz w:val="22"/>
          <w:szCs w:val="22"/>
          <w:lang w:val="en-GB" w:eastAsia="en-GB"/>
        </w:rPr>
        <w:t>The financial statements are prepared on the assumption that the legal entity of the Chief Constable of Surrey Police is a going concern, meaning that it will continue to operate for the foreseeable future and will be able to realise assets and discharge liabilities in the normal course of operations.</w:t>
      </w:r>
    </w:p>
    <w:p w14:paraId="3A232398" w14:textId="77777777" w:rsidR="00F227D9" w:rsidRPr="00A01A5C" w:rsidRDefault="00F227D9" w:rsidP="00F227D9">
      <w:pPr>
        <w:pStyle w:val="Normal0"/>
        <w:jc w:val="both"/>
        <w:rPr>
          <w:rFonts w:ascii="Verdana" w:eastAsia="Times New Roman" w:hAnsi="Verdana" w:cs="Arial"/>
          <w:sz w:val="22"/>
          <w:szCs w:val="22"/>
          <w:lang w:val="en-GB" w:eastAsia="en-GB"/>
        </w:rPr>
      </w:pPr>
    </w:p>
    <w:p w14:paraId="711961F2" w14:textId="77777777" w:rsidR="00F227D9" w:rsidRPr="00A01A5C" w:rsidRDefault="00F227D9" w:rsidP="00F227D9">
      <w:pPr>
        <w:pStyle w:val="Normal0"/>
        <w:jc w:val="both"/>
        <w:rPr>
          <w:rFonts w:ascii="Verdana" w:eastAsia="Times New Roman" w:hAnsi="Verdana" w:cs="Arial"/>
          <w:sz w:val="22"/>
          <w:szCs w:val="22"/>
          <w:lang w:val="en-GB" w:eastAsia="en-GB"/>
        </w:rPr>
      </w:pPr>
      <w:r w:rsidRPr="00A01A5C">
        <w:rPr>
          <w:rFonts w:ascii="Verdana" w:eastAsia="Times New Roman" w:hAnsi="Verdana" w:cs="Arial"/>
          <w:sz w:val="22"/>
          <w:szCs w:val="22"/>
          <w:lang w:val="en-GB" w:eastAsia="en-GB"/>
        </w:rPr>
        <w:t>The key accounting concept of a going concern assumes that an organisation, its functions and services will continue in operational existence for the foreseeable future. Where this is not the case, particular care will be needed in the valuation of assets. An ability to apply the going concern concept can have a fundamental impact on the financial statements.</w:t>
      </w:r>
    </w:p>
    <w:p w14:paraId="75CF780C" w14:textId="77777777" w:rsidR="00F227D9" w:rsidRPr="00A01A5C" w:rsidRDefault="00F227D9" w:rsidP="00F227D9">
      <w:pPr>
        <w:pStyle w:val="Normal0"/>
        <w:jc w:val="both"/>
        <w:rPr>
          <w:rFonts w:ascii="Verdana" w:eastAsia="Times New Roman" w:hAnsi="Verdana" w:cs="Arial"/>
          <w:sz w:val="22"/>
          <w:szCs w:val="22"/>
          <w:lang w:val="en-GB" w:eastAsia="en-GB"/>
        </w:rPr>
      </w:pPr>
    </w:p>
    <w:p w14:paraId="333D5D5F" w14:textId="77777777" w:rsidR="00F227D9" w:rsidRPr="00A01A5C" w:rsidRDefault="00F227D9" w:rsidP="00F227D9">
      <w:pPr>
        <w:pStyle w:val="Normal0"/>
        <w:jc w:val="both"/>
        <w:rPr>
          <w:rFonts w:ascii="Verdana" w:eastAsia="Times New Roman" w:hAnsi="Verdana" w:cs="Arial"/>
          <w:sz w:val="22"/>
          <w:szCs w:val="22"/>
          <w:lang w:val="en-GB" w:eastAsia="en-GB"/>
        </w:rPr>
      </w:pPr>
      <w:r w:rsidRPr="00A01A5C">
        <w:rPr>
          <w:rFonts w:ascii="Verdana" w:eastAsia="Times New Roman" w:hAnsi="Verdana" w:cs="Arial"/>
          <w:sz w:val="22"/>
          <w:szCs w:val="22"/>
          <w:lang w:val="en-GB" w:eastAsia="en-GB"/>
        </w:rPr>
        <w:t>The Local Government Accounting Code makes it clear that government changes should not be seen as having a detrimental impact on the Chief Constable continuing as a going concern. In addition to this a policing body cannot be created or dissolved without statutory prescription, and accordingly must prepare their financial statements on a going concern basis of accounting.</w:t>
      </w:r>
    </w:p>
    <w:p w14:paraId="5433C679" w14:textId="77777777" w:rsidR="00F227D9" w:rsidRPr="00A01A5C" w:rsidRDefault="00F227D9" w:rsidP="00F227D9">
      <w:pPr>
        <w:pStyle w:val="Normal0"/>
        <w:autoSpaceDE w:val="0"/>
        <w:autoSpaceDN w:val="0"/>
        <w:adjustRightInd w:val="0"/>
        <w:jc w:val="both"/>
        <w:rPr>
          <w:rFonts w:ascii="Verdana" w:eastAsia="Times New Roman" w:hAnsi="Verdana" w:cs="Arial"/>
          <w:sz w:val="22"/>
          <w:szCs w:val="22"/>
          <w:lang w:val="en-GB" w:eastAsia="en-GB"/>
        </w:rPr>
      </w:pPr>
    </w:p>
    <w:p w14:paraId="6151FC4D" w14:textId="77777777" w:rsidR="00F227D9" w:rsidRPr="00A01A5C" w:rsidRDefault="00F227D9" w:rsidP="00F227D9">
      <w:pPr>
        <w:pStyle w:val="Normal0"/>
        <w:autoSpaceDE w:val="0"/>
        <w:autoSpaceDN w:val="0"/>
        <w:adjustRightInd w:val="0"/>
        <w:jc w:val="both"/>
        <w:rPr>
          <w:rFonts w:ascii="Verdana" w:eastAsia="Times New Roman" w:hAnsi="Verdana" w:cs="Arial"/>
          <w:sz w:val="22"/>
          <w:szCs w:val="22"/>
          <w:lang w:val="en-GB" w:eastAsia="en-GB"/>
        </w:rPr>
      </w:pPr>
      <w:r w:rsidRPr="00A01A5C">
        <w:rPr>
          <w:rFonts w:ascii="Verdana" w:eastAsia="Times New Roman" w:hAnsi="Verdana" w:cs="Arial"/>
          <w:sz w:val="22"/>
          <w:szCs w:val="22"/>
          <w:lang w:val="en-GB" w:eastAsia="en-GB"/>
        </w:rPr>
        <w:t xml:space="preserve">Unusable reserves on the balance sheet include the large negative pension reserve which is mainly due to the police pension schemes being unfunded i.e. with no fund assets to offset future liabilities when existing police officers have all retired. The statutory arrangements for funding the liability mean that the Chief Constable’s financial position remains sound. </w:t>
      </w:r>
    </w:p>
    <w:p w14:paraId="214908D7" w14:textId="77777777" w:rsidR="00F227D9" w:rsidRPr="00A01A5C" w:rsidRDefault="00F227D9" w:rsidP="00F227D9">
      <w:pPr>
        <w:pStyle w:val="Normal0"/>
        <w:autoSpaceDE w:val="0"/>
        <w:autoSpaceDN w:val="0"/>
        <w:adjustRightInd w:val="0"/>
        <w:jc w:val="both"/>
        <w:rPr>
          <w:rFonts w:ascii="Verdana" w:eastAsia="Times New Roman" w:hAnsi="Verdana" w:cs="Arial"/>
          <w:sz w:val="22"/>
          <w:szCs w:val="22"/>
          <w:lang w:val="en-GB" w:eastAsia="en-GB"/>
        </w:rPr>
      </w:pPr>
    </w:p>
    <w:p w14:paraId="09E4E50B" w14:textId="77777777" w:rsidR="00F227D9" w:rsidRPr="00A01A5C" w:rsidRDefault="00F227D9" w:rsidP="00F227D9">
      <w:pPr>
        <w:pStyle w:val="Normal0"/>
        <w:autoSpaceDE w:val="0"/>
        <w:autoSpaceDN w:val="0"/>
        <w:adjustRightInd w:val="0"/>
        <w:jc w:val="both"/>
        <w:rPr>
          <w:rFonts w:ascii="Verdana" w:eastAsia="Times New Roman" w:hAnsi="Verdana" w:cs="Arial"/>
          <w:sz w:val="22"/>
          <w:szCs w:val="22"/>
          <w:lang w:val="en-GB" w:eastAsia="en-GB"/>
        </w:rPr>
      </w:pPr>
      <w:r w:rsidRPr="00A01A5C">
        <w:rPr>
          <w:rFonts w:ascii="Verdana" w:eastAsia="Times New Roman" w:hAnsi="Verdana" w:cs="Times New Roman"/>
          <w:sz w:val="22"/>
          <w:szCs w:val="22"/>
          <w:lang w:val="en-GB" w:eastAsia="en-GB"/>
        </w:rPr>
        <w:t>Usable reserves are a key part of budget setting and financial planning, such reserves are held by the PCC, with the general reserves strategy being to maintain a balance that does not fall below 3% of the budget. A number of earmarked revenue reserves are also held for specific purposes or activities. The use of general reserves assists in financial planning to mitigate any short term predicted funding gaps.</w:t>
      </w:r>
    </w:p>
    <w:p w14:paraId="2D338EAB" w14:textId="77777777" w:rsidR="00F227D9" w:rsidRPr="00A01A5C" w:rsidRDefault="00F227D9" w:rsidP="00F227D9">
      <w:pPr>
        <w:pStyle w:val="Normal0"/>
        <w:jc w:val="both"/>
        <w:rPr>
          <w:rFonts w:ascii="Verdana" w:eastAsia="Times New Roman" w:hAnsi="Verdana" w:cs="Arial"/>
          <w:sz w:val="22"/>
          <w:szCs w:val="22"/>
          <w:lang w:val="en-GB" w:eastAsia="en-GB"/>
        </w:rPr>
      </w:pPr>
    </w:p>
    <w:p w14:paraId="2DF50E63" w14:textId="77777777" w:rsidR="00F227D9" w:rsidRPr="00A01A5C" w:rsidRDefault="00F227D9" w:rsidP="00F227D9">
      <w:pPr>
        <w:pStyle w:val="Normal0"/>
        <w:jc w:val="both"/>
        <w:rPr>
          <w:rFonts w:ascii="Verdana" w:eastAsia="Times New Roman" w:hAnsi="Verdana" w:cs="Arial"/>
          <w:sz w:val="22"/>
          <w:szCs w:val="22"/>
          <w:lang w:val="en-GB" w:eastAsia="en-GB"/>
        </w:rPr>
      </w:pPr>
      <w:r w:rsidRPr="00A01A5C">
        <w:rPr>
          <w:rFonts w:ascii="Verdana" w:eastAsia="Times New Roman" w:hAnsi="Verdana" w:cs="Arial"/>
          <w:sz w:val="22"/>
          <w:szCs w:val="22"/>
          <w:lang w:val="en-GB" w:eastAsia="en-GB"/>
        </w:rPr>
        <w:t xml:space="preserve">The financial resilience and sustainability of the Force is monitored by the production and review of the Medium Term Financial Plan (MTFP). The MTFP supports the Force Business Plan incorporating all known financial and business assumptions along with developing a number of planning scenarios for consideration by the Chief Officer Group. </w:t>
      </w:r>
    </w:p>
    <w:p w14:paraId="2D35C4C2" w14:textId="77777777" w:rsidR="00F227D9" w:rsidRPr="00A01A5C" w:rsidRDefault="00F227D9" w:rsidP="00F227D9">
      <w:pPr>
        <w:pStyle w:val="Normal0"/>
        <w:jc w:val="both"/>
        <w:rPr>
          <w:rFonts w:ascii="Verdana" w:eastAsia="Times New Roman" w:hAnsi="Verdana" w:cs="Arial"/>
          <w:sz w:val="22"/>
          <w:szCs w:val="22"/>
          <w:lang w:val="en-GB" w:eastAsia="en-GB"/>
        </w:rPr>
      </w:pPr>
    </w:p>
    <w:p w14:paraId="02CA0353" w14:textId="31BF7251" w:rsidR="00CC67D1" w:rsidRPr="003B2596" w:rsidRDefault="00CC67D1" w:rsidP="00F227D9">
      <w:pPr>
        <w:pStyle w:val="Normal0"/>
        <w:jc w:val="both"/>
        <w:rPr>
          <w:rFonts w:ascii="Verdana" w:eastAsia="Times New Roman" w:hAnsi="Verdana" w:cs="Arial"/>
          <w:sz w:val="22"/>
          <w:szCs w:val="22"/>
          <w:lang w:val="en-GB" w:eastAsia="en-GB"/>
        </w:rPr>
      </w:pPr>
      <w:r w:rsidRPr="00A01A5C">
        <w:rPr>
          <w:rFonts w:ascii="Verdana" w:hAnsi="Verdana"/>
          <w:sz w:val="22"/>
          <w:szCs w:val="22"/>
        </w:rPr>
        <w:t>The annual revenue budget for 2020/21 was set by the PCC at £2</w:t>
      </w:r>
      <w:r w:rsidR="00A01A5C" w:rsidRPr="00A01A5C">
        <w:rPr>
          <w:rFonts w:ascii="Verdana" w:hAnsi="Verdana"/>
          <w:sz w:val="22"/>
          <w:szCs w:val="22"/>
        </w:rPr>
        <w:t>61.7</w:t>
      </w:r>
      <w:r w:rsidRPr="00A01A5C">
        <w:rPr>
          <w:rFonts w:ascii="Verdana" w:hAnsi="Verdana"/>
          <w:sz w:val="22"/>
          <w:szCs w:val="22"/>
        </w:rPr>
        <w:t>m (20</w:t>
      </w:r>
      <w:r w:rsidR="00A01A5C" w:rsidRPr="00A01A5C">
        <w:rPr>
          <w:rFonts w:ascii="Verdana" w:hAnsi="Verdana"/>
          <w:sz w:val="22"/>
          <w:szCs w:val="22"/>
        </w:rPr>
        <w:t>20</w:t>
      </w:r>
      <w:r w:rsidRPr="00A01A5C">
        <w:rPr>
          <w:rFonts w:ascii="Verdana" w:hAnsi="Verdana"/>
          <w:sz w:val="22"/>
          <w:szCs w:val="22"/>
        </w:rPr>
        <w:t>/2</w:t>
      </w:r>
      <w:r w:rsidR="00A01A5C" w:rsidRPr="00A01A5C">
        <w:rPr>
          <w:rFonts w:ascii="Verdana" w:hAnsi="Verdana"/>
          <w:sz w:val="22"/>
          <w:szCs w:val="22"/>
        </w:rPr>
        <w:t>1</w:t>
      </w:r>
      <w:r w:rsidRPr="00A01A5C">
        <w:rPr>
          <w:rFonts w:ascii="Verdana" w:hAnsi="Verdana"/>
          <w:sz w:val="22"/>
          <w:szCs w:val="22"/>
        </w:rPr>
        <w:t xml:space="preserve"> £2</w:t>
      </w:r>
      <w:r w:rsidR="00A01A5C" w:rsidRPr="00A01A5C">
        <w:rPr>
          <w:rFonts w:ascii="Verdana" w:hAnsi="Verdana"/>
          <w:sz w:val="22"/>
          <w:szCs w:val="22"/>
        </w:rPr>
        <w:t>50.0</w:t>
      </w:r>
      <w:r w:rsidRPr="00A01A5C">
        <w:rPr>
          <w:rFonts w:ascii="Verdana" w:hAnsi="Verdana"/>
          <w:sz w:val="22"/>
          <w:szCs w:val="22"/>
        </w:rPr>
        <w:t>m) of which the Chief Constable’s budget amounted to £2</w:t>
      </w:r>
      <w:r w:rsidR="00A01A5C" w:rsidRPr="00A01A5C">
        <w:rPr>
          <w:rFonts w:ascii="Verdana" w:hAnsi="Verdana"/>
          <w:sz w:val="22"/>
          <w:szCs w:val="22"/>
        </w:rPr>
        <w:t>59.0</w:t>
      </w:r>
      <w:r w:rsidRPr="00A01A5C">
        <w:rPr>
          <w:rFonts w:ascii="Verdana" w:hAnsi="Verdana"/>
          <w:sz w:val="22"/>
          <w:szCs w:val="22"/>
        </w:rPr>
        <w:t>m (201</w:t>
      </w:r>
      <w:r w:rsidR="00A01A5C" w:rsidRPr="00A01A5C">
        <w:rPr>
          <w:rFonts w:ascii="Verdana" w:hAnsi="Verdana"/>
          <w:sz w:val="22"/>
          <w:szCs w:val="22"/>
        </w:rPr>
        <w:t>9</w:t>
      </w:r>
      <w:r w:rsidRPr="00A01A5C">
        <w:rPr>
          <w:rFonts w:ascii="Verdana" w:hAnsi="Verdana"/>
          <w:sz w:val="22"/>
          <w:szCs w:val="22"/>
        </w:rPr>
        <w:t>/</w:t>
      </w:r>
      <w:r w:rsidR="00A01A5C" w:rsidRPr="00A01A5C">
        <w:rPr>
          <w:rFonts w:ascii="Verdana" w:hAnsi="Verdana"/>
          <w:sz w:val="22"/>
          <w:szCs w:val="22"/>
        </w:rPr>
        <w:t>20</w:t>
      </w:r>
      <w:r w:rsidRPr="00A01A5C">
        <w:rPr>
          <w:rFonts w:ascii="Verdana" w:hAnsi="Verdana"/>
          <w:sz w:val="22"/>
          <w:szCs w:val="22"/>
        </w:rPr>
        <w:t xml:space="preserve"> £</w:t>
      </w:r>
      <w:r w:rsidR="00A01A5C" w:rsidRPr="00A01A5C">
        <w:rPr>
          <w:rFonts w:ascii="Verdana" w:hAnsi="Verdana"/>
          <w:sz w:val="22"/>
          <w:szCs w:val="22"/>
        </w:rPr>
        <w:t>247.</w:t>
      </w:r>
      <w:r w:rsidR="00A01A5C" w:rsidRPr="003B2596">
        <w:rPr>
          <w:rFonts w:ascii="Verdana" w:hAnsi="Verdana"/>
          <w:sz w:val="22"/>
          <w:szCs w:val="22"/>
        </w:rPr>
        <w:t>9</w:t>
      </w:r>
      <w:r w:rsidRPr="003B2596">
        <w:rPr>
          <w:rFonts w:ascii="Verdana" w:hAnsi="Verdana"/>
          <w:sz w:val="22"/>
          <w:szCs w:val="22"/>
        </w:rPr>
        <w:t>m).</w:t>
      </w:r>
      <w:r w:rsidR="002829E7" w:rsidRPr="003B2596">
        <w:rPr>
          <w:rFonts w:ascii="Verdana" w:hAnsi="Verdana"/>
          <w:sz w:val="22"/>
          <w:szCs w:val="22"/>
        </w:rPr>
        <w:t xml:space="preserve"> In 202</w:t>
      </w:r>
      <w:r w:rsidR="00A01A5C" w:rsidRPr="003B2596">
        <w:rPr>
          <w:rFonts w:ascii="Verdana" w:hAnsi="Verdana"/>
          <w:sz w:val="22"/>
          <w:szCs w:val="22"/>
        </w:rPr>
        <w:t>1</w:t>
      </w:r>
      <w:r w:rsidR="002829E7" w:rsidRPr="003B2596">
        <w:rPr>
          <w:rFonts w:ascii="Verdana" w:hAnsi="Verdana"/>
          <w:sz w:val="22"/>
          <w:szCs w:val="22"/>
        </w:rPr>
        <w:t>/2</w:t>
      </w:r>
      <w:r w:rsidR="00A01A5C" w:rsidRPr="003B2596">
        <w:rPr>
          <w:rFonts w:ascii="Verdana" w:hAnsi="Verdana"/>
          <w:sz w:val="22"/>
          <w:szCs w:val="22"/>
        </w:rPr>
        <w:t>2</w:t>
      </w:r>
      <w:r w:rsidR="002829E7" w:rsidRPr="003B2596">
        <w:rPr>
          <w:rFonts w:ascii="Verdana" w:hAnsi="Verdana"/>
          <w:sz w:val="22"/>
          <w:szCs w:val="22"/>
        </w:rPr>
        <w:t>, the force will receive extra funding for an extra 7</w:t>
      </w:r>
      <w:r w:rsidR="00A01A5C" w:rsidRPr="003B2596">
        <w:rPr>
          <w:rFonts w:ascii="Verdana" w:hAnsi="Verdana"/>
          <w:sz w:val="22"/>
          <w:szCs w:val="22"/>
        </w:rPr>
        <w:t>2</w:t>
      </w:r>
      <w:r w:rsidR="002829E7" w:rsidRPr="003B2596">
        <w:rPr>
          <w:rFonts w:ascii="Verdana" w:hAnsi="Verdana"/>
          <w:sz w:val="22"/>
          <w:szCs w:val="22"/>
        </w:rPr>
        <w:t xml:space="preserve"> police officers</w:t>
      </w:r>
      <w:r w:rsidR="00A01A5C" w:rsidRPr="003B2596">
        <w:rPr>
          <w:rFonts w:ascii="Verdana" w:hAnsi="Verdana"/>
          <w:sz w:val="22"/>
          <w:szCs w:val="22"/>
        </w:rPr>
        <w:t xml:space="preserve"> (2020/21: 78 police officers)</w:t>
      </w:r>
      <w:r w:rsidR="002829E7" w:rsidRPr="003B2596">
        <w:rPr>
          <w:rFonts w:ascii="Verdana" w:hAnsi="Verdana"/>
          <w:sz w:val="22"/>
          <w:szCs w:val="22"/>
        </w:rPr>
        <w:t xml:space="preserve"> as part of the government’s programme to increase numbers nationally by 20,000 over the </w:t>
      </w:r>
      <w:r w:rsidR="00A01A5C" w:rsidRPr="003B2596">
        <w:rPr>
          <w:rFonts w:ascii="Verdana" w:hAnsi="Verdana"/>
          <w:sz w:val="22"/>
          <w:szCs w:val="22"/>
        </w:rPr>
        <w:t>three year period</w:t>
      </w:r>
      <w:r w:rsidR="002829E7" w:rsidRPr="003B2596">
        <w:rPr>
          <w:rFonts w:ascii="Verdana" w:hAnsi="Verdana"/>
          <w:sz w:val="22"/>
          <w:szCs w:val="22"/>
        </w:rPr>
        <w:t xml:space="preserve">. </w:t>
      </w:r>
    </w:p>
    <w:p w14:paraId="1AEE2726" w14:textId="77777777" w:rsidR="00CC67D1" w:rsidRPr="003B2596" w:rsidRDefault="00CC67D1" w:rsidP="00F227D9">
      <w:pPr>
        <w:pStyle w:val="Normal0"/>
        <w:jc w:val="both"/>
        <w:rPr>
          <w:rFonts w:ascii="Verdana" w:eastAsia="Times New Roman" w:hAnsi="Verdana" w:cs="Arial"/>
          <w:sz w:val="22"/>
          <w:szCs w:val="22"/>
          <w:lang w:val="en-GB" w:eastAsia="en-GB"/>
        </w:rPr>
      </w:pPr>
    </w:p>
    <w:p w14:paraId="3D60A5CA" w14:textId="65A5BD2B" w:rsidR="00CC67D1" w:rsidRPr="003B2596" w:rsidRDefault="00CC67D1" w:rsidP="00F227D9">
      <w:pPr>
        <w:pStyle w:val="Normal0"/>
        <w:jc w:val="both"/>
        <w:rPr>
          <w:rFonts w:ascii="Verdana" w:eastAsia="Times New Roman" w:hAnsi="Verdana" w:cs="Arial"/>
          <w:sz w:val="22"/>
          <w:szCs w:val="22"/>
          <w:lang w:val="en-GB" w:eastAsia="en-GB"/>
        </w:rPr>
      </w:pPr>
      <w:r w:rsidRPr="003B2596">
        <w:rPr>
          <w:rFonts w:ascii="Verdana" w:eastAsia="Times New Roman" w:hAnsi="Verdana" w:cs="Arial"/>
          <w:sz w:val="22"/>
          <w:szCs w:val="22"/>
          <w:lang w:val="en-GB" w:eastAsia="en-GB"/>
        </w:rPr>
        <w:t>Details of the PCC’s plans for revenue and capital expenditure in 202</w:t>
      </w:r>
      <w:r w:rsidR="003B2596" w:rsidRPr="003B2596">
        <w:rPr>
          <w:rFonts w:ascii="Verdana" w:eastAsia="Times New Roman" w:hAnsi="Verdana" w:cs="Arial"/>
          <w:sz w:val="22"/>
          <w:szCs w:val="22"/>
          <w:lang w:val="en-GB" w:eastAsia="en-GB"/>
        </w:rPr>
        <w:t>1</w:t>
      </w:r>
      <w:r w:rsidRPr="003B2596">
        <w:rPr>
          <w:rFonts w:ascii="Verdana" w:eastAsia="Times New Roman" w:hAnsi="Verdana" w:cs="Arial"/>
          <w:sz w:val="22"/>
          <w:szCs w:val="22"/>
          <w:lang w:val="en-GB" w:eastAsia="en-GB"/>
        </w:rPr>
        <w:t>/2</w:t>
      </w:r>
      <w:r w:rsidR="003B2596" w:rsidRPr="003B2596">
        <w:rPr>
          <w:rFonts w:ascii="Verdana" w:eastAsia="Times New Roman" w:hAnsi="Verdana" w:cs="Arial"/>
          <w:sz w:val="22"/>
          <w:szCs w:val="22"/>
          <w:lang w:val="en-GB" w:eastAsia="en-GB"/>
        </w:rPr>
        <w:t>2</w:t>
      </w:r>
      <w:r w:rsidRPr="003B2596">
        <w:rPr>
          <w:rFonts w:ascii="Verdana" w:eastAsia="Times New Roman" w:hAnsi="Verdana" w:cs="Arial"/>
          <w:sz w:val="22"/>
          <w:szCs w:val="22"/>
          <w:lang w:val="en-GB" w:eastAsia="en-GB"/>
        </w:rPr>
        <w:t xml:space="preserve"> budget can be found in the Surrey Police and Crime Commissioner’s Precept Setting proposal. Whilst the annual budget is agreed by the PCC it is scrutinised by the Police and Crime Panel before a final decision is made. Copies of the documents can be obtained from the Office of the Police and Crime Commissioner for Surrey by telephoning: 01483 630200, or from the website at www.surrey-pcc.gov.uk.</w:t>
      </w:r>
    </w:p>
    <w:p w14:paraId="3FC4FDB7" w14:textId="77777777" w:rsidR="00451C18" w:rsidRPr="003B2596" w:rsidRDefault="00451C18">
      <w:pPr>
        <w:rPr>
          <w:rFonts w:ascii="Verdana" w:hAnsi="Verdana"/>
          <w:sz w:val="22"/>
          <w:szCs w:val="22"/>
        </w:rPr>
      </w:pPr>
    </w:p>
    <w:p w14:paraId="03462C54" w14:textId="77777777" w:rsidR="00661521" w:rsidRPr="003B2596" w:rsidRDefault="00661521" w:rsidP="00661521">
      <w:pPr>
        <w:jc w:val="both"/>
        <w:rPr>
          <w:rFonts w:ascii="Verdana" w:hAnsi="Verdana"/>
          <w:sz w:val="22"/>
          <w:szCs w:val="22"/>
        </w:rPr>
      </w:pPr>
      <w:r w:rsidRPr="003B2596">
        <w:rPr>
          <w:rFonts w:ascii="Verdana" w:hAnsi="Verdana"/>
          <w:sz w:val="22"/>
          <w:szCs w:val="22"/>
        </w:rPr>
        <w:t xml:space="preserve">If you have any questions, comments or suggestions about these financial statements please contact us using the following email address: </w:t>
      </w:r>
      <w:hyperlink r:id="rId13" w:history="1">
        <w:r w:rsidRPr="003B2596">
          <w:rPr>
            <w:rStyle w:val="Hyperlink"/>
            <w:rFonts w:ascii="Verdana" w:hAnsi="Verdana"/>
            <w:sz w:val="22"/>
            <w:szCs w:val="22"/>
          </w:rPr>
          <w:t>CorporateFinance@Surrey.pnn.police.uk</w:t>
        </w:r>
      </w:hyperlink>
      <w:r w:rsidRPr="003B2596">
        <w:rPr>
          <w:rFonts w:ascii="Verdana" w:hAnsi="Verdana"/>
          <w:sz w:val="22"/>
          <w:szCs w:val="22"/>
        </w:rPr>
        <w:t>.</w:t>
      </w:r>
    </w:p>
    <w:p w14:paraId="361F33A3" w14:textId="77777777" w:rsidR="00F227D9" w:rsidRPr="003B2596" w:rsidRDefault="00F227D9" w:rsidP="00F227D9">
      <w:pPr>
        <w:pStyle w:val="Normal0"/>
        <w:jc w:val="both"/>
        <w:rPr>
          <w:rFonts w:ascii="Verdana" w:eastAsia="Times New Roman" w:hAnsi="Verdana" w:cs="Arial"/>
          <w:sz w:val="22"/>
          <w:szCs w:val="22"/>
          <w:lang w:val="en-GB" w:eastAsia="en-GB"/>
        </w:rPr>
      </w:pPr>
    </w:p>
    <w:p w14:paraId="660CB2A1" w14:textId="77777777" w:rsidR="00F227D9" w:rsidRPr="003B2596" w:rsidRDefault="00F227D9" w:rsidP="00F227D9">
      <w:pPr>
        <w:pStyle w:val="Normal0"/>
        <w:jc w:val="both"/>
        <w:rPr>
          <w:rFonts w:ascii="Verdana" w:eastAsia="Times New Roman" w:hAnsi="Verdana" w:cs="Arial"/>
          <w:b/>
          <w:sz w:val="22"/>
          <w:szCs w:val="22"/>
          <w:lang w:val="en-GB" w:eastAsia="en-GB"/>
        </w:rPr>
      </w:pPr>
    </w:p>
    <w:p w14:paraId="102DC719" w14:textId="77777777" w:rsidR="00F227D9" w:rsidRPr="003B2596" w:rsidRDefault="00F227D9" w:rsidP="00F227D9">
      <w:pPr>
        <w:pStyle w:val="Normal0"/>
        <w:jc w:val="both"/>
        <w:rPr>
          <w:rFonts w:ascii="Verdana" w:eastAsia="Times New Roman" w:hAnsi="Verdana" w:cs="Arial"/>
          <w:b/>
          <w:sz w:val="22"/>
          <w:szCs w:val="22"/>
          <w:lang w:val="en-GB" w:eastAsia="en-GB"/>
        </w:rPr>
      </w:pPr>
    </w:p>
    <w:p w14:paraId="473BC02E" w14:textId="77777777" w:rsidR="00F227D9" w:rsidRPr="003B2596" w:rsidRDefault="00F227D9" w:rsidP="00F227D9">
      <w:pPr>
        <w:pStyle w:val="Normal0"/>
        <w:jc w:val="both"/>
        <w:rPr>
          <w:rFonts w:ascii="Verdana" w:eastAsia="Times New Roman" w:hAnsi="Verdana" w:cs="Arial"/>
          <w:b/>
          <w:sz w:val="22"/>
          <w:szCs w:val="22"/>
          <w:lang w:val="en-GB" w:eastAsia="en-GB"/>
        </w:rPr>
      </w:pPr>
    </w:p>
    <w:p w14:paraId="5A488418" w14:textId="77777777" w:rsidR="00501B5D" w:rsidRPr="003B2596" w:rsidRDefault="00501B5D" w:rsidP="00F227D9">
      <w:pPr>
        <w:pStyle w:val="Normal0"/>
        <w:jc w:val="both"/>
        <w:rPr>
          <w:rFonts w:ascii="Verdana" w:eastAsia="Times New Roman" w:hAnsi="Verdana" w:cs="Arial"/>
          <w:b/>
          <w:sz w:val="22"/>
          <w:szCs w:val="22"/>
          <w:lang w:val="en-GB" w:eastAsia="en-GB"/>
        </w:rPr>
      </w:pPr>
    </w:p>
    <w:p w14:paraId="2B006F53" w14:textId="77777777" w:rsidR="00F227D9" w:rsidRPr="003B2596" w:rsidRDefault="0023575A" w:rsidP="00F227D9">
      <w:pPr>
        <w:pStyle w:val="Normal0"/>
        <w:jc w:val="both"/>
        <w:rPr>
          <w:rFonts w:ascii="Verdana" w:eastAsia="Times New Roman" w:hAnsi="Verdana" w:cs="Arial"/>
          <w:b/>
          <w:sz w:val="22"/>
          <w:szCs w:val="22"/>
          <w:lang w:val="en-GB" w:eastAsia="en-GB"/>
        </w:rPr>
      </w:pPr>
      <w:r w:rsidRPr="003B2596">
        <w:rPr>
          <w:noProof/>
          <w:lang w:val="en-GB" w:eastAsia="en-GB"/>
        </w:rPr>
        <w:drawing>
          <wp:inline distT="0" distB="0" distL="0" distR="0" wp14:anchorId="1779B3FF" wp14:editId="32FB04F8">
            <wp:extent cx="1196502" cy="7019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9779" cy="703848"/>
                    </a:xfrm>
                    <a:prstGeom prst="rect">
                      <a:avLst/>
                    </a:prstGeom>
                    <a:noFill/>
                  </pic:spPr>
                </pic:pic>
              </a:graphicData>
            </a:graphic>
          </wp:inline>
        </w:drawing>
      </w:r>
    </w:p>
    <w:p w14:paraId="4ABB9E7D" w14:textId="77777777" w:rsidR="00F227D9" w:rsidRPr="003B2596" w:rsidRDefault="00F227D9" w:rsidP="00F227D9">
      <w:pPr>
        <w:pStyle w:val="Normal0"/>
        <w:jc w:val="both"/>
        <w:rPr>
          <w:rFonts w:ascii="Verdana" w:eastAsia="Times New Roman" w:hAnsi="Verdana" w:cs="Arial"/>
          <w:b/>
          <w:sz w:val="22"/>
          <w:szCs w:val="22"/>
          <w:lang w:val="en-GB" w:eastAsia="en-GB"/>
        </w:rPr>
      </w:pPr>
    </w:p>
    <w:p w14:paraId="1ABC0B5D" w14:textId="77777777" w:rsidR="00F227D9" w:rsidRPr="003B2596" w:rsidRDefault="00F227D9" w:rsidP="00F227D9">
      <w:pPr>
        <w:pStyle w:val="Normal0"/>
        <w:jc w:val="both"/>
        <w:rPr>
          <w:rFonts w:ascii="Verdana" w:eastAsia="Times New Roman" w:hAnsi="Verdana" w:cs="Arial"/>
          <w:b/>
          <w:sz w:val="22"/>
          <w:szCs w:val="22"/>
          <w:lang w:val="en-GB" w:eastAsia="en-GB"/>
        </w:rPr>
      </w:pPr>
    </w:p>
    <w:p w14:paraId="3B0C9C1E" w14:textId="77777777" w:rsidR="00F227D9" w:rsidRPr="003B2596" w:rsidRDefault="003F16E2" w:rsidP="00F227D9">
      <w:pPr>
        <w:pStyle w:val="Normal0"/>
        <w:jc w:val="both"/>
        <w:rPr>
          <w:rFonts w:ascii="Verdana" w:eastAsia="Times New Roman" w:hAnsi="Verdana" w:cs="Arial"/>
          <w:sz w:val="22"/>
          <w:szCs w:val="22"/>
          <w:lang w:val="en-GB" w:eastAsia="en-GB"/>
        </w:rPr>
      </w:pPr>
      <w:r w:rsidRPr="003B2596">
        <w:rPr>
          <w:rFonts w:ascii="Verdana" w:eastAsia="Times New Roman" w:hAnsi="Verdana" w:cs="Arial"/>
          <w:b/>
          <w:sz w:val="22"/>
          <w:szCs w:val="22"/>
          <w:lang w:val="en-GB" w:eastAsia="en-GB"/>
        </w:rPr>
        <w:t>Peter Gillett</w:t>
      </w:r>
      <w:r w:rsidR="00F227D9" w:rsidRPr="003B2596">
        <w:rPr>
          <w:rFonts w:ascii="Verdana" w:eastAsia="Times New Roman" w:hAnsi="Verdana" w:cs="Arial"/>
          <w:b/>
          <w:sz w:val="22"/>
          <w:szCs w:val="22"/>
          <w:lang w:val="en-GB" w:eastAsia="en-GB"/>
        </w:rPr>
        <w:t xml:space="preserve"> </w:t>
      </w:r>
      <w:r w:rsidR="00F227D9" w:rsidRPr="003B2596">
        <w:rPr>
          <w:rFonts w:ascii="Verdana" w:eastAsia="Times New Roman" w:hAnsi="Verdana" w:cs="Arial"/>
          <w:sz w:val="22"/>
          <w:szCs w:val="22"/>
          <w:lang w:val="en-GB" w:eastAsia="en-GB"/>
        </w:rPr>
        <w:t>CPFA</w:t>
      </w:r>
    </w:p>
    <w:p w14:paraId="6DCE009D" w14:textId="77777777" w:rsidR="003F16E2" w:rsidRPr="003B2596" w:rsidRDefault="003F16E2" w:rsidP="00F227D9">
      <w:pPr>
        <w:pStyle w:val="Normal0"/>
        <w:jc w:val="both"/>
        <w:rPr>
          <w:rFonts w:ascii="Verdana" w:eastAsia="Times New Roman" w:hAnsi="Verdana" w:cs="Arial"/>
          <w:sz w:val="22"/>
          <w:szCs w:val="22"/>
          <w:lang w:val="en-GB" w:eastAsia="en-GB"/>
        </w:rPr>
      </w:pPr>
    </w:p>
    <w:p w14:paraId="12FA7F73" w14:textId="77777777" w:rsidR="00D54BAF" w:rsidRPr="003B2596" w:rsidRDefault="00F227D9" w:rsidP="00F227D9">
      <w:pPr>
        <w:pStyle w:val="Normal0"/>
        <w:jc w:val="both"/>
        <w:rPr>
          <w:rFonts w:ascii="Verdana" w:eastAsia="Times New Roman" w:hAnsi="Verdana" w:cs="Arial"/>
          <w:sz w:val="22"/>
          <w:szCs w:val="22"/>
          <w:lang w:val="en-GB" w:eastAsia="en-GB"/>
        </w:rPr>
      </w:pPr>
      <w:r w:rsidRPr="003B2596">
        <w:rPr>
          <w:rFonts w:ascii="Verdana" w:eastAsia="Times New Roman" w:hAnsi="Verdana" w:cs="Arial"/>
          <w:sz w:val="22"/>
          <w:szCs w:val="22"/>
          <w:lang w:val="en-GB" w:eastAsia="en-GB"/>
        </w:rPr>
        <w:t>Executive Director of Commercial and Financ</w:t>
      </w:r>
      <w:r w:rsidR="00B60B19" w:rsidRPr="003B2596">
        <w:rPr>
          <w:rFonts w:ascii="Verdana" w:eastAsia="Times New Roman" w:hAnsi="Verdana" w:cs="Arial"/>
          <w:sz w:val="22"/>
          <w:szCs w:val="22"/>
          <w:lang w:val="en-GB" w:eastAsia="en-GB"/>
        </w:rPr>
        <w:t>e</w:t>
      </w:r>
      <w:r w:rsidRPr="003B2596">
        <w:rPr>
          <w:rFonts w:ascii="Verdana" w:eastAsia="Times New Roman" w:hAnsi="Verdana" w:cs="Arial"/>
          <w:sz w:val="22"/>
          <w:szCs w:val="22"/>
          <w:lang w:val="en-GB" w:eastAsia="en-GB"/>
        </w:rPr>
        <w:t xml:space="preserve"> Services</w:t>
      </w:r>
      <w:r w:rsidR="00D54BAF" w:rsidRPr="003B2596">
        <w:rPr>
          <w:rFonts w:ascii="Verdana" w:eastAsia="Times New Roman" w:hAnsi="Verdana" w:cs="Arial"/>
          <w:sz w:val="22"/>
          <w:szCs w:val="22"/>
          <w:lang w:val="en-GB" w:eastAsia="en-GB"/>
        </w:rPr>
        <w:t xml:space="preserve">, </w:t>
      </w:r>
    </w:p>
    <w:p w14:paraId="2EF80E5C" w14:textId="77777777" w:rsidR="00F227D9" w:rsidRPr="003B2596" w:rsidRDefault="00D54BAF" w:rsidP="00F227D9">
      <w:pPr>
        <w:pStyle w:val="Normal0"/>
        <w:jc w:val="both"/>
        <w:rPr>
          <w:rFonts w:ascii="Verdana" w:eastAsia="Times New Roman" w:hAnsi="Verdana" w:cs="Arial"/>
          <w:sz w:val="22"/>
          <w:szCs w:val="22"/>
          <w:lang w:val="en-GB" w:eastAsia="en-GB"/>
        </w:rPr>
      </w:pPr>
      <w:r w:rsidRPr="003B2596">
        <w:rPr>
          <w:rFonts w:ascii="Verdana" w:eastAsia="Times New Roman" w:hAnsi="Verdana" w:cs="Arial"/>
          <w:sz w:val="22"/>
          <w:szCs w:val="22"/>
          <w:lang w:val="en-GB" w:eastAsia="en-GB"/>
        </w:rPr>
        <w:t>Chief Finance Officer to the Chief Constable of Surrey</w:t>
      </w:r>
    </w:p>
    <w:p w14:paraId="7D4BA002" w14:textId="77777777" w:rsidR="0076589E" w:rsidRPr="00DC1077" w:rsidRDefault="0076589E" w:rsidP="00F227D9">
      <w:pPr>
        <w:pStyle w:val="Normal0"/>
        <w:jc w:val="both"/>
        <w:rPr>
          <w:rFonts w:ascii="Verdana" w:eastAsia="Times New Roman" w:hAnsi="Verdana" w:cs="Arial"/>
          <w:sz w:val="22"/>
          <w:szCs w:val="22"/>
          <w:highlight w:val="yellow"/>
          <w:lang w:val="en-GB" w:eastAsia="en-GB"/>
        </w:rPr>
      </w:pPr>
    </w:p>
    <w:p w14:paraId="59465C98" w14:textId="4DC28A04" w:rsidR="0076589E" w:rsidRPr="00DC1077" w:rsidRDefault="0076589E" w:rsidP="00F227D9">
      <w:pPr>
        <w:pStyle w:val="Normal0"/>
        <w:jc w:val="both"/>
        <w:rPr>
          <w:rFonts w:ascii="Verdana" w:eastAsia="Times New Roman" w:hAnsi="Verdana" w:cs="Arial"/>
          <w:sz w:val="22"/>
          <w:szCs w:val="22"/>
          <w:highlight w:val="yellow"/>
          <w:lang w:val="en-GB" w:eastAsia="en-GB"/>
        </w:rPr>
      </w:pPr>
      <w:r w:rsidRPr="00DC1077">
        <w:rPr>
          <w:rFonts w:ascii="Verdana" w:eastAsia="Times New Roman" w:hAnsi="Verdana" w:cs="Arial"/>
          <w:sz w:val="22"/>
          <w:szCs w:val="22"/>
          <w:highlight w:val="yellow"/>
          <w:lang w:val="en-GB" w:eastAsia="en-GB"/>
        </w:rPr>
        <w:t>Date:</w:t>
      </w:r>
      <w:r w:rsidR="001C3F6C" w:rsidRPr="00DC1077">
        <w:rPr>
          <w:rFonts w:ascii="Verdana" w:eastAsia="Times New Roman" w:hAnsi="Verdana" w:cs="Arial"/>
          <w:sz w:val="22"/>
          <w:szCs w:val="22"/>
          <w:highlight w:val="yellow"/>
          <w:lang w:val="en-GB" w:eastAsia="en-GB"/>
        </w:rPr>
        <w:t xml:space="preserve"> 202</w:t>
      </w:r>
      <w:r w:rsidR="003B2596">
        <w:rPr>
          <w:rFonts w:ascii="Verdana" w:eastAsia="Times New Roman" w:hAnsi="Verdana" w:cs="Arial"/>
          <w:sz w:val="22"/>
          <w:szCs w:val="22"/>
          <w:highlight w:val="yellow"/>
          <w:lang w:val="en-GB" w:eastAsia="en-GB"/>
        </w:rPr>
        <w:t>1</w:t>
      </w:r>
    </w:p>
    <w:p w14:paraId="7B5B1466" w14:textId="77777777" w:rsidR="0076589E" w:rsidRPr="003B2596" w:rsidRDefault="0076589E" w:rsidP="00F227D9">
      <w:pPr>
        <w:pStyle w:val="Normal0"/>
        <w:jc w:val="both"/>
        <w:rPr>
          <w:rFonts w:ascii="Verdana" w:eastAsia="Times New Roman" w:hAnsi="Verdana" w:cs="Arial"/>
          <w:sz w:val="22"/>
          <w:szCs w:val="22"/>
          <w:lang w:val="en-GB" w:eastAsia="en-GB"/>
        </w:rPr>
      </w:pPr>
    </w:p>
    <w:p w14:paraId="702A7D72" w14:textId="77777777" w:rsidR="00F227D9" w:rsidRPr="003B2596" w:rsidRDefault="00F227D9" w:rsidP="00F227D9">
      <w:pPr>
        <w:pStyle w:val="Normal0"/>
        <w:jc w:val="both"/>
        <w:rPr>
          <w:rFonts w:ascii="Verdana" w:eastAsia="Times New Roman" w:hAnsi="Verdana" w:cs="Arial"/>
          <w:b/>
          <w:sz w:val="22"/>
          <w:szCs w:val="22"/>
          <w:lang w:val="en-GB" w:eastAsia="en-GB"/>
        </w:rPr>
      </w:pPr>
      <w:r w:rsidRPr="003B2596">
        <w:rPr>
          <w:rFonts w:ascii="Verdana" w:eastAsia="Times New Roman" w:hAnsi="Verdana" w:cs="Arial"/>
          <w:b/>
          <w:sz w:val="22"/>
          <w:szCs w:val="22"/>
          <w:lang w:val="en-GB" w:eastAsia="en-GB"/>
        </w:rPr>
        <w:t xml:space="preserve">        </w:t>
      </w:r>
      <w:r w:rsidRPr="003B2596">
        <w:rPr>
          <w:rFonts w:ascii="Verdana" w:eastAsia="Times New Roman" w:hAnsi="Verdana" w:cs="Arial"/>
          <w:b/>
          <w:sz w:val="22"/>
          <w:szCs w:val="22"/>
          <w:lang w:val="en-GB" w:eastAsia="en-GB"/>
        </w:rPr>
        <w:tab/>
        <w:t xml:space="preserve">             </w:t>
      </w:r>
      <w:r w:rsidRPr="003B2596">
        <w:rPr>
          <w:rFonts w:ascii="Verdana" w:eastAsia="Times New Roman" w:hAnsi="Verdana" w:cs="Arial"/>
          <w:b/>
          <w:sz w:val="22"/>
          <w:szCs w:val="22"/>
          <w:lang w:val="en-GB" w:eastAsia="en-GB"/>
        </w:rPr>
        <w:tab/>
      </w:r>
      <w:r w:rsidRPr="003B2596">
        <w:rPr>
          <w:rFonts w:ascii="Verdana" w:eastAsia="Times New Roman" w:hAnsi="Verdana" w:cs="Arial"/>
          <w:b/>
          <w:sz w:val="22"/>
          <w:szCs w:val="22"/>
          <w:lang w:val="en-GB" w:eastAsia="en-GB"/>
        </w:rPr>
        <w:tab/>
      </w:r>
    </w:p>
    <w:p w14:paraId="291B69F0" w14:textId="77777777" w:rsidR="00F227D9" w:rsidRPr="003B2596" w:rsidRDefault="00F227D9" w:rsidP="00F227D9">
      <w:pPr>
        <w:pStyle w:val="Normal0"/>
        <w:jc w:val="both"/>
        <w:rPr>
          <w:rFonts w:ascii="Verdana" w:eastAsia="Times New Roman" w:hAnsi="Verdana" w:cs="Arial"/>
          <w:b/>
          <w:sz w:val="22"/>
          <w:szCs w:val="22"/>
          <w:lang w:val="en-GB" w:eastAsia="en-GB"/>
        </w:rPr>
        <w:sectPr w:rsidR="00F227D9" w:rsidRPr="003B2596" w:rsidSect="00B54A0C">
          <w:type w:val="continuous"/>
          <w:pgSz w:w="16840" w:h="11900" w:orient="landscape"/>
          <w:pgMar w:top="709" w:right="720" w:bottom="567" w:left="720" w:header="708" w:footer="708" w:gutter="0"/>
          <w:cols w:space="708"/>
          <w:docGrid w:linePitch="360"/>
        </w:sectPr>
      </w:pPr>
      <w:r w:rsidRPr="003B2596">
        <w:rPr>
          <w:rFonts w:ascii="Verdana" w:eastAsia="Times New Roman" w:hAnsi="Verdana" w:cs="Arial"/>
          <w:b/>
          <w:sz w:val="22"/>
          <w:szCs w:val="22"/>
          <w:lang w:val="en-GB" w:eastAsia="en-GB"/>
        </w:rPr>
        <w:t xml:space="preserve"> </w:t>
      </w:r>
    </w:p>
    <w:p w14:paraId="1BBBE8D7" w14:textId="77777777" w:rsidR="00F227D9" w:rsidRPr="00DC1077" w:rsidRDefault="00F227D9" w:rsidP="00F227D9">
      <w:pPr>
        <w:pStyle w:val="Heading1"/>
        <w:rPr>
          <w:highlight w:val="yellow"/>
        </w:rPr>
      </w:pPr>
      <w:bookmarkStart w:id="2" w:name="_Toc77095553"/>
      <w:r w:rsidRPr="00DC1077">
        <w:rPr>
          <w:highlight w:val="yellow"/>
        </w:rPr>
        <w:t>External Auditor’s Report</w:t>
      </w:r>
      <w:bookmarkEnd w:id="2"/>
    </w:p>
    <w:p w14:paraId="12E052FB" w14:textId="77777777" w:rsidR="003F16E2" w:rsidRPr="00DC1077" w:rsidRDefault="003F16E2">
      <w:pPr>
        <w:pStyle w:val="Normal0"/>
        <w:rPr>
          <w:rFonts w:ascii="Verdana" w:eastAsia="Calibri" w:hAnsi="Verdana" w:cs="Times New Roman"/>
          <w:highlight w:val="yellow"/>
        </w:rPr>
      </w:pPr>
    </w:p>
    <w:p w14:paraId="10823D5F" w14:textId="77777777" w:rsidR="003B2596" w:rsidRPr="003516A4" w:rsidRDefault="003B2596" w:rsidP="003B2596">
      <w:pPr>
        <w:pStyle w:val="Normal0"/>
        <w:rPr>
          <w:rFonts w:ascii="Verdana" w:eastAsia="Calibri" w:hAnsi="Verdana" w:cs="Times New Roman"/>
          <w:highlight w:val="yellow"/>
        </w:rPr>
      </w:pPr>
      <w:r>
        <w:rPr>
          <w:rFonts w:ascii="Verdana" w:eastAsia="Calibri" w:hAnsi="Verdana" w:cs="Times New Roman"/>
          <w:highlight w:val="yellow"/>
        </w:rPr>
        <w:t>This page is deliberately blank until the External Audit has been completed</w:t>
      </w:r>
    </w:p>
    <w:p w14:paraId="42DC169D" w14:textId="77777777" w:rsidR="000C6A1E" w:rsidRPr="00DC1077" w:rsidRDefault="000C6A1E">
      <w:pPr>
        <w:pStyle w:val="Normal0"/>
        <w:rPr>
          <w:rFonts w:ascii="Verdana" w:eastAsia="Calibri" w:hAnsi="Verdana" w:cs="Times New Roman"/>
          <w:highlight w:val="yellow"/>
        </w:rPr>
      </w:pPr>
    </w:p>
    <w:p w14:paraId="105C5E0E" w14:textId="77777777" w:rsidR="000C6A1E" w:rsidRPr="00DC1077" w:rsidRDefault="000C6A1E">
      <w:pPr>
        <w:pStyle w:val="Normal0"/>
        <w:rPr>
          <w:rFonts w:ascii="Verdana" w:eastAsia="Calibri" w:hAnsi="Verdana" w:cs="Times New Roman"/>
          <w:highlight w:val="yellow"/>
        </w:rPr>
      </w:pPr>
    </w:p>
    <w:p w14:paraId="4290EA78" w14:textId="77777777" w:rsidR="000C6A1E" w:rsidRPr="00DC1077" w:rsidRDefault="000C6A1E">
      <w:pPr>
        <w:pStyle w:val="Normal0"/>
        <w:rPr>
          <w:rFonts w:ascii="Verdana" w:eastAsia="Calibri" w:hAnsi="Verdana" w:cs="Times New Roman"/>
          <w:highlight w:val="yellow"/>
        </w:rPr>
      </w:pPr>
    </w:p>
    <w:p w14:paraId="4C7FDDF3" w14:textId="77777777" w:rsidR="000C6A1E" w:rsidRPr="00DC1077" w:rsidRDefault="000C6A1E">
      <w:pPr>
        <w:pStyle w:val="Normal0"/>
        <w:rPr>
          <w:rFonts w:ascii="Verdana" w:eastAsia="Calibri" w:hAnsi="Verdana" w:cs="Times New Roman"/>
          <w:highlight w:val="yellow"/>
        </w:rPr>
      </w:pPr>
    </w:p>
    <w:p w14:paraId="6072A3BE" w14:textId="77777777" w:rsidR="000C6A1E" w:rsidRPr="00DC1077" w:rsidRDefault="000C6A1E">
      <w:pPr>
        <w:pStyle w:val="Normal0"/>
        <w:rPr>
          <w:rFonts w:ascii="Verdana" w:eastAsia="Calibri" w:hAnsi="Verdana" w:cs="Times New Roman"/>
          <w:highlight w:val="yellow"/>
        </w:rPr>
      </w:pPr>
    </w:p>
    <w:p w14:paraId="2900A284" w14:textId="77777777" w:rsidR="000C6A1E" w:rsidRPr="00DC1077" w:rsidRDefault="000C6A1E">
      <w:pPr>
        <w:pStyle w:val="Normal0"/>
        <w:rPr>
          <w:rFonts w:ascii="Verdana" w:eastAsia="Calibri" w:hAnsi="Verdana" w:cs="Times New Roman"/>
          <w:highlight w:val="yellow"/>
        </w:rPr>
      </w:pPr>
    </w:p>
    <w:p w14:paraId="18676A69" w14:textId="77777777" w:rsidR="000C6A1E" w:rsidRPr="00DC1077" w:rsidRDefault="000C6A1E">
      <w:pPr>
        <w:pStyle w:val="Normal0"/>
        <w:rPr>
          <w:rFonts w:ascii="Verdana" w:eastAsia="Calibri" w:hAnsi="Verdana" w:cs="Times New Roman"/>
          <w:highlight w:val="yellow"/>
        </w:rPr>
      </w:pPr>
    </w:p>
    <w:p w14:paraId="526A0A6C" w14:textId="77777777" w:rsidR="000C6A1E" w:rsidRPr="00DC1077" w:rsidRDefault="000C6A1E">
      <w:pPr>
        <w:pStyle w:val="Normal0"/>
        <w:rPr>
          <w:rFonts w:ascii="Verdana" w:eastAsia="Calibri" w:hAnsi="Verdana" w:cs="Times New Roman"/>
          <w:highlight w:val="yellow"/>
        </w:rPr>
      </w:pPr>
    </w:p>
    <w:p w14:paraId="491EA7A0" w14:textId="77777777" w:rsidR="000C6A1E" w:rsidRPr="00DC1077" w:rsidRDefault="000C6A1E">
      <w:pPr>
        <w:pStyle w:val="Normal0"/>
        <w:rPr>
          <w:rFonts w:ascii="Verdana" w:eastAsia="Calibri" w:hAnsi="Verdana" w:cs="Times New Roman"/>
          <w:highlight w:val="yellow"/>
        </w:rPr>
      </w:pPr>
    </w:p>
    <w:p w14:paraId="38118F86" w14:textId="77777777" w:rsidR="000C6A1E" w:rsidRPr="00DC1077" w:rsidRDefault="000C6A1E">
      <w:pPr>
        <w:pStyle w:val="Normal0"/>
        <w:rPr>
          <w:rFonts w:ascii="Verdana" w:eastAsia="Calibri" w:hAnsi="Verdana" w:cs="Times New Roman"/>
          <w:highlight w:val="yellow"/>
        </w:rPr>
      </w:pPr>
    </w:p>
    <w:p w14:paraId="14BBDED3" w14:textId="77777777" w:rsidR="000C6A1E" w:rsidRPr="00DC1077" w:rsidRDefault="000C6A1E">
      <w:pPr>
        <w:pStyle w:val="Normal0"/>
        <w:rPr>
          <w:rFonts w:ascii="Verdana" w:eastAsia="Calibri" w:hAnsi="Verdana" w:cs="Times New Roman"/>
          <w:highlight w:val="yellow"/>
        </w:rPr>
      </w:pPr>
    </w:p>
    <w:p w14:paraId="066001A6" w14:textId="77777777" w:rsidR="000C6A1E" w:rsidRPr="00DC1077" w:rsidRDefault="000C6A1E">
      <w:pPr>
        <w:pStyle w:val="Normal0"/>
        <w:rPr>
          <w:rFonts w:ascii="Verdana" w:eastAsia="Calibri" w:hAnsi="Verdana" w:cs="Times New Roman"/>
          <w:highlight w:val="yellow"/>
        </w:rPr>
      </w:pPr>
    </w:p>
    <w:p w14:paraId="2C2BEB3D" w14:textId="77777777" w:rsidR="000C6A1E" w:rsidRPr="00DC1077" w:rsidRDefault="000C6A1E">
      <w:pPr>
        <w:pStyle w:val="Normal0"/>
        <w:rPr>
          <w:rFonts w:ascii="Verdana" w:eastAsia="Calibri" w:hAnsi="Verdana" w:cs="Times New Roman"/>
          <w:highlight w:val="yellow"/>
        </w:rPr>
      </w:pPr>
    </w:p>
    <w:p w14:paraId="2BEC43E6" w14:textId="77777777" w:rsidR="000C6A1E" w:rsidRPr="00DC1077" w:rsidRDefault="000C6A1E">
      <w:pPr>
        <w:pStyle w:val="Normal0"/>
        <w:rPr>
          <w:rFonts w:ascii="Verdana" w:eastAsia="Calibri" w:hAnsi="Verdana" w:cs="Times New Roman"/>
          <w:highlight w:val="yellow"/>
        </w:rPr>
      </w:pPr>
    </w:p>
    <w:p w14:paraId="21F5A600" w14:textId="77777777" w:rsidR="000C6A1E" w:rsidRPr="00DC1077" w:rsidRDefault="000C6A1E">
      <w:pPr>
        <w:pStyle w:val="Normal0"/>
        <w:rPr>
          <w:rFonts w:ascii="Verdana" w:eastAsia="Calibri" w:hAnsi="Verdana" w:cs="Times New Roman"/>
          <w:highlight w:val="yellow"/>
        </w:rPr>
      </w:pPr>
    </w:p>
    <w:p w14:paraId="67EE0080" w14:textId="77777777" w:rsidR="000C6A1E" w:rsidRPr="00DC1077" w:rsidRDefault="000C6A1E">
      <w:pPr>
        <w:pStyle w:val="Normal0"/>
        <w:rPr>
          <w:rFonts w:ascii="Verdana" w:eastAsia="Calibri" w:hAnsi="Verdana" w:cs="Times New Roman"/>
          <w:highlight w:val="yellow"/>
        </w:rPr>
      </w:pPr>
    </w:p>
    <w:p w14:paraId="309618AD" w14:textId="77777777" w:rsidR="000C6A1E" w:rsidRPr="00DC1077" w:rsidRDefault="000C6A1E">
      <w:pPr>
        <w:pStyle w:val="Normal0"/>
        <w:rPr>
          <w:rFonts w:ascii="Verdana" w:eastAsia="Calibri" w:hAnsi="Verdana" w:cs="Times New Roman"/>
          <w:highlight w:val="yellow"/>
        </w:rPr>
      </w:pPr>
    </w:p>
    <w:p w14:paraId="093D6717" w14:textId="77777777" w:rsidR="000C6A1E" w:rsidRPr="00DC1077" w:rsidRDefault="000C6A1E">
      <w:pPr>
        <w:pStyle w:val="Normal0"/>
        <w:rPr>
          <w:rFonts w:ascii="Verdana" w:eastAsia="Calibri" w:hAnsi="Verdana" w:cs="Times New Roman"/>
          <w:highlight w:val="yellow"/>
        </w:rPr>
      </w:pPr>
    </w:p>
    <w:p w14:paraId="13A8805A" w14:textId="77777777" w:rsidR="000C6A1E" w:rsidRPr="00DC1077" w:rsidRDefault="000C6A1E">
      <w:pPr>
        <w:pStyle w:val="Normal0"/>
        <w:rPr>
          <w:rFonts w:ascii="Verdana" w:eastAsia="Calibri" w:hAnsi="Verdana" w:cs="Times New Roman"/>
          <w:highlight w:val="yellow"/>
        </w:rPr>
      </w:pPr>
    </w:p>
    <w:p w14:paraId="4250A981" w14:textId="77777777" w:rsidR="000C6A1E" w:rsidRPr="00DC1077" w:rsidRDefault="000C6A1E">
      <w:pPr>
        <w:pStyle w:val="Normal0"/>
        <w:rPr>
          <w:rFonts w:ascii="Verdana" w:eastAsia="Calibri" w:hAnsi="Verdana" w:cs="Times New Roman"/>
          <w:highlight w:val="yellow"/>
        </w:rPr>
      </w:pPr>
    </w:p>
    <w:p w14:paraId="2B83852B" w14:textId="77777777" w:rsidR="000C6A1E" w:rsidRPr="00DC1077" w:rsidRDefault="000C6A1E">
      <w:pPr>
        <w:pStyle w:val="Normal0"/>
        <w:rPr>
          <w:rFonts w:ascii="Verdana" w:eastAsia="Calibri" w:hAnsi="Verdana" w:cs="Times New Roman"/>
          <w:highlight w:val="yellow"/>
        </w:rPr>
      </w:pPr>
    </w:p>
    <w:p w14:paraId="6F988B26" w14:textId="77777777" w:rsidR="000C6A1E" w:rsidRPr="00DC1077" w:rsidRDefault="000C6A1E">
      <w:pPr>
        <w:pStyle w:val="Normal0"/>
        <w:rPr>
          <w:rFonts w:ascii="Verdana" w:eastAsia="Calibri" w:hAnsi="Verdana" w:cs="Times New Roman"/>
          <w:highlight w:val="yellow"/>
        </w:rPr>
      </w:pPr>
    </w:p>
    <w:p w14:paraId="4A1F2A6A" w14:textId="77777777" w:rsidR="000C6A1E" w:rsidRPr="00DC1077" w:rsidRDefault="000C6A1E">
      <w:pPr>
        <w:pStyle w:val="Normal0"/>
        <w:rPr>
          <w:rFonts w:ascii="Verdana" w:eastAsia="Calibri" w:hAnsi="Verdana" w:cs="Times New Roman"/>
          <w:highlight w:val="yellow"/>
        </w:rPr>
      </w:pPr>
    </w:p>
    <w:p w14:paraId="28AAF6DB" w14:textId="77777777" w:rsidR="000C6A1E" w:rsidRPr="00DC1077" w:rsidRDefault="000C6A1E">
      <w:pPr>
        <w:pStyle w:val="Normal0"/>
        <w:rPr>
          <w:rFonts w:ascii="Verdana" w:eastAsia="Calibri" w:hAnsi="Verdana" w:cs="Times New Roman"/>
          <w:highlight w:val="yellow"/>
        </w:rPr>
      </w:pPr>
    </w:p>
    <w:p w14:paraId="41CCFAF0" w14:textId="77777777" w:rsidR="000C6A1E" w:rsidRPr="00DC1077" w:rsidRDefault="000C6A1E">
      <w:pPr>
        <w:pStyle w:val="Normal0"/>
        <w:rPr>
          <w:rFonts w:ascii="Verdana" w:eastAsia="Calibri" w:hAnsi="Verdana" w:cs="Times New Roman"/>
          <w:highlight w:val="yellow"/>
        </w:rPr>
      </w:pPr>
    </w:p>
    <w:p w14:paraId="6FC398AF" w14:textId="77777777" w:rsidR="000C6A1E" w:rsidRPr="00DC1077" w:rsidRDefault="000C6A1E">
      <w:pPr>
        <w:pStyle w:val="Normal0"/>
        <w:rPr>
          <w:rFonts w:ascii="Verdana" w:eastAsia="Calibri" w:hAnsi="Verdana" w:cs="Times New Roman"/>
          <w:highlight w:val="yellow"/>
        </w:rPr>
      </w:pPr>
    </w:p>
    <w:p w14:paraId="3DC56710" w14:textId="77777777" w:rsidR="000C6A1E" w:rsidRPr="00DC1077" w:rsidRDefault="000C6A1E">
      <w:pPr>
        <w:pStyle w:val="Normal0"/>
        <w:rPr>
          <w:rFonts w:ascii="Verdana" w:eastAsia="Calibri" w:hAnsi="Verdana" w:cs="Times New Roman"/>
          <w:highlight w:val="yellow"/>
        </w:rPr>
      </w:pPr>
    </w:p>
    <w:p w14:paraId="590FA375" w14:textId="77777777" w:rsidR="000C6A1E" w:rsidRPr="00DC1077" w:rsidRDefault="000C6A1E">
      <w:pPr>
        <w:pStyle w:val="Normal0"/>
        <w:rPr>
          <w:rFonts w:ascii="Verdana" w:eastAsia="Calibri" w:hAnsi="Verdana" w:cs="Times New Roman"/>
          <w:highlight w:val="yellow"/>
        </w:rPr>
      </w:pPr>
    </w:p>
    <w:p w14:paraId="47FEA6C1" w14:textId="77777777" w:rsidR="000C6A1E" w:rsidRPr="00DC1077" w:rsidRDefault="000C6A1E">
      <w:pPr>
        <w:pStyle w:val="Normal0"/>
        <w:rPr>
          <w:rFonts w:ascii="Verdana" w:eastAsia="Calibri" w:hAnsi="Verdana" w:cs="Times New Roman"/>
          <w:highlight w:val="yellow"/>
        </w:rPr>
      </w:pPr>
    </w:p>
    <w:p w14:paraId="0F501F7F" w14:textId="77777777" w:rsidR="000C6A1E" w:rsidRPr="00DC1077" w:rsidRDefault="000C6A1E">
      <w:pPr>
        <w:pStyle w:val="Normal0"/>
        <w:rPr>
          <w:rFonts w:ascii="Verdana" w:eastAsia="Calibri" w:hAnsi="Verdana" w:cs="Times New Roman"/>
          <w:highlight w:val="yellow"/>
        </w:rPr>
      </w:pPr>
    </w:p>
    <w:p w14:paraId="0FD4F566" w14:textId="77777777" w:rsidR="000C6A1E" w:rsidRPr="00DC1077" w:rsidRDefault="000C6A1E">
      <w:pPr>
        <w:pStyle w:val="Normal0"/>
        <w:rPr>
          <w:rFonts w:ascii="Verdana" w:eastAsia="Calibri" w:hAnsi="Verdana" w:cs="Times New Roman"/>
          <w:highlight w:val="yellow"/>
        </w:rPr>
      </w:pPr>
    </w:p>
    <w:p w14:paraId="77D70E9C" w14:textId="77777777" w:rsidR="000C6A1E" w:rsidRPr="00DC1077" w:rsidRDefault="000C6A1E">
      <w:pPr>
        <w:pStyle w:val="Normal0"/>
        <w:rPr>
          <w:rFonts w:ascii="Verdana" w:eastAsia="Calibri" w:hAnsi="Verdana" w:cs="Times New Roman"/>
          <w:highlight w:val="yellow"/>
        </w:rPr>
        <w:sectPr w:rsidR="000C6A1E" w:rsidRPr="00DC1077" w:rsidSect="00B54A0C">
          <w:type w:val="nextColumn"/>
          <w:pgSz w:w="16840" w:h="11900" w:orient="landscape"/>
          <w:pgMar w:top="709" w:right="720" w:bottom="567" w:left="720" w:header="708" w:footer="708" w:gutter="0"/>
          <w:cols w:space="708"/>
          <w:docGrid w:linePitch="360"/>
        </w:sectPr>
      </w:pPr>
    </w:p>
    <w:p w14:paraId="10587E98" w14:textId="77777777" w:rsidR="00D636AF" w:rsidRPr="00E843CF" w:rsidRDefault="00D636AF" w:rsidP="00D636AF">
      <w:pPr>
        <w:pStyle w:val="Heading1"/>
        <w:rPr>
          <w:lang w:val="en-GB" w:eastAsia="en-GB"/>
        </w:rPr>
      </w:pPr>
      <w:bookmarkStart w:id="3" w:name="_Toc77095554"/>
      <w:r w:rsidRPr="00E843CF">
        <w:rPr>
          <w:lang w:val="en-GB" w:eastAsia="en-GB"/>
        </w:rPr>
        <w:t>Statement of Responsibilities</w:t>
      </w:r>
      <w:bookmarkEnd w:id="3"/>
    </w:p>
    <w:p w14:paraId="2DFD53E1" w14:textId="77777777" w:rsidR="00D636AF" w:rsidRDefault="00D636AF" w:rsidP="003F4F65">
      <w:pPr>
        <w:pStyle w:val="Normal00"/>
        <w:rPr>
          <w:rFonts w:ascii="Verdana" w:hAnsi="Verdana" w:cs="Arial"/>
          <w:color w:val="2E74B5" w:themeColor="accent1" w:themeShade="BF"/>
          <w:sz w:val="22"/>
          <w:szCs w:val="22"/>
          <w:highlight w:val="yellow"/>
        </w:rPr>
      </w:pPr>
    </w:p>
    <w:p w14:paraId="6A879D3A" w14:textId="77777777" w:rsidR="003F4F65" w:rsidRPr="004D57BE" w:rsidRDefault="003F4F65" w:rsidP="003F4F65">
      <w:pPr>
        <w:pStyle w:val="Normal00"/>
        <w:rPr>
          <w:rFonts w:ascii="Verdana" w:hAnsi="Verdana"/>
          <w:color w:val="2E74B5" w:themeColor="accent1" w:themeShade="BF"/>
          <w:sz w:val="22"/>
          <w:szCs w:val="22"/>
        </w:rPr>
      </w:pPr>
      <w:r w:rsidRPr="004D57BE">
        <w:rPr>
          <w:rFonts w:ascii="Verdana" w:hAnsi="Verdana" w:cs="Arial"/>
          <w:color w:val="2E74B5" w:themeColor="accent1" w:themeShade="BF"/>
          <w:sz w:val="22"/>
          <w:szCs w:val="22"/>
        </w:rPr>
        <w:t xml:space="preserve">This section explains the responsibilities for managing the financial affairs of the Chief Constable of </w:t>
      </w:r>
      <w:r w:rsidR="00826A1F" w:rsidRPr="004D57BE">
        <w:rPr>
          <w:rFonts w:ascii="Verdana" w:hAnsi="Verdana" w:cs="Arial"/>
          <w:color w:val="2E74B5" w:themeColor="accent1" w:themeShade="BF"/>
          <w:sz w:val="22"/>
          <w:szCs w:val="22"/>
        </w:rPr>
        <w:t>Surrey</w:t>
      </w:r>
      <w:r w:rsidRPr="004D57BE">
        <w:rPr>
          <w:rFonts w:ascii="Verdana" w:hAnsi="Verdana" w:cs="Arial"/>
          <w:color w:val="2E74B5" w:themeColor="accent1" w:themeShade="BF"/>
          <w:sz w:val="22"/>
          <w:szCs w:val="22"/>
        </w:rPr>
        <w:t xml:space="preserve">. </w:t>
      </w:r>
    </w:p>
    <w:p w14:paraId="6FA7A6A4" w14:textId="77777777" w:rsidR="003F4F65" w:rsidRPr="004D57BE" w:rsidRDefault="003F4F65" w:rsidP="003F4F65">
      <w:pPr>
        <w:pStyle w:val="Normal000"/>
        <w:rPr>
          <w:rFonts w:eastAsia="Times New Roman" w:cs="Arial"/>
          <w:b/>
          <w:color w:val="0060F0"/>
          <w:sz w:val="22"/>
          <w:szCs w:val="22"/>
        </w:rPr>
      </w:pPr>
    </w:p>
    <w:p w14:paraId="0DB0C2FD" w14:textId="77777777" w:rsidR="003F4F65" w:rsidRPr="003F4F65" w:rsidRDefault="003F4F65" w:rsidP="003F4F65">
      <w:pPr>
        <w:pStyle w:val="Normal000"/>
        <w:spacing w:after="120"/>
        <w:rPr>
          <w:rFonts w:eastAsia="Times New Roman" w:cs="Arial"/>
          <w:b/>
          <w:color w:val="0060F0"/>
          <w:sz w:val="22"/>
          <w:szCs w:val="22"/>
          <w:highlight w:val="yellow"/>
        </w:rPr>
      </w:pPr>
      <w:r w:rsidRPr="004D57BE">
        <w:rPr>
          <w:rFonts w:cs="Arial"/>
          <w:noProof/>
          <w:color w:val="2E74B5" w:themeColor="accent1" w:themeShade="BF"/>
          <w:sz w:val="22"/>
          <w:szCs w:val="22"/>
          <w:lang w:val="en-GB" w:eastAsia="en-GB"/>
        </w:rPr>
        <mc:AlternateContent>
          <mc:Choice Requires="wps">
            <w:drawing>
              <wp:anchor distT="0" distB="0" distL="114300" distR="114300" simplePos="0" relativeHeight="251660288" behindDoc="0" locked="0" layoutInCell="1" allowOverlap="1" wp14:anchorId="62FA74EF" wp14:editId="3D64E2AB">
                <wp:simplePos x="0" y="0"/>
                <wp:positionH relativeFrom="column">
                  <wp:posOffset>6886575</wp:posOffset>
                </wp:positionH>
                <wp:positionV relativeFrom="paragraph">
                  <wp:posOffset>17780</wp:posOffset>
                </wp:positionV>
                <wp:extent cx="2337435" cy="1731645"/>
                <wp:effectExtent l="9525" t="6985" r="5715"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731645"/>
                        </a:xfrm>
                        <a:prstGeom prst="rect">
                          <a:avLst/>
                        </a:prstGeom>
                        <a:solidFill>
                          <a:srgbClr val="FFFFFF"/>
                        </a:solidFill>
                        <a:ln w="9525">
                          <a:solidFill>
                            <a:srgbClr val="000000"/>
                          </a:solidFill>
                          <a:miter lim="800000"/>
                          <a:headEnd/>
                          <a:tailEnd/>
                        </a:ln>
                      </wps:spPr>
                      <wps:txbx>
                        <w:txbxContent>
                          <w:p w14:paraId="6FF32BC3" w14:textId="0CF420B5" w:rsidR="00D50C5D" w:rsidRPr="00E843CF" w:rsidRDefault="00D50C5D" w:rsidP="003F4F65">
                            <w:pPr>
                              <w:pStyle w:val="Normal000"/>
                              <w:rPr>
                                <w:rFonts w:eastAsia="Times New Roman" w:cs="Arial"/>
                                <w:sz w:val="18"/>
                                <w:szCs w:val="18"/>
                              </w:rPr>
                            </w:pPr>
                            <w:r w:rsidRPr="00E843CF">
                              <w:rPr>
                                <w:rFonts w:eastAsia="Times New Roman" w:cs="Arial"/>
                                <w:sz w:val="18"/>
                                <w:szCs w:val="18"/>
                              </w:rPr>
                              <w:t>I approve the Statement of Accounts for the year ended 31 March 2021.</w:t>
                            </w:r>
                          </w:p>
                          <w:p w14:paraId="5EE2BE7D" w14:textId="77777777" w:rsidR="00D50C5D" w:rsidRPr="00E843CF" w:rsidRDefault="00D50C5D" w:rsidP="003F4F65">
                            <w:pPr>
                              <w:pStyle w:val="Normal000"/>
                              <w:rPr>
                                <w:noProof/>
                                <w:lang w:val="en-GB" w:eastAsia="en-GB"/>
                              </w:rPr>
                            </w:pPr>
                          </w:p>
                          <w:p w14:paraId="3BB2BBEB" w14:textId="77777777" w:rsidR="00D50C5D" w:rsidRPr="00E843CF" w:rsidRDefault="00D50C5D" w:rsidP="003F4F65">
                            <w:pPr>
                              <w:pStyle w:val="Normal00"/>
                              <w:rPr>
                                <w:rFonts w:ascii="Verdana" w:hAnsi="Verdana"/>
                                <w:noProof/>
                                <w:lang w:val="en-GB" w:eastAsia="en-GB"/>
                              </w:rPr>
                            </w:pPr>
                          </w:p>
                          <w:p w14:paraId="52DFFF89" w14:textId="77777777" w:rsidR="00D50C5D" w:rsidRPr="00E843CF" w:rsidRDefault="00D50C5D" w:rsidP="003F4F65">
                            <w:pPr>
                              <w:pStyle w:val="Normal00"/>
                              <w:rPr>
                                <w:rFonts w:ascii="Verdana" w:hAnsi="Verdana"/>
                                <w:noProof/>
                                <w:lang w:val="en-GB" w:eastAsia="en-GB"/>
                              </w:rPr>
                            </w:pPr>
                          </w:p>
                          <w:p w14:paraId="765B0A73" w14:textId="77777777" w:rsidR="00D50C5D" w:rsidRPr="00E843CF" w:rsidRDefault="00D50C5D" w:rsidP="003F4F65">
                            <w:pPr>
                              <w:pStyle w:val="Normal00"/>
                              <w:rPr>
                                <w:lang w:val="en-GB" w:eastAsia="en-GB"/>
                              </w:rPr>
                            </w:pPr>
                          </w:p>
                          <w:p w14:paraId="1DACDC42" w14:textId="77777777" w:rsidR="00D50C5D" w:rsidRPr="00E843CF" w:rsidRDefault="00D50C5D" w:rsidP="003F4F65">
                            <w:pPr>
                              <w:pStyle w:val="Normal000"/>
                              <w:rPr>
                                <w:rFonts w:eastAsia="Times New Roman" w:cs="Arial"/>
                                <w:sz w:val="18"/>
                                <w:szCs w:val="18"/>
                              </w:rPr>
                            </w:pPr>
                            <w:r w:rsidRPr="00E843CF">
                              <w:rPr>
                                <w:rFonts w:eastAsia="Times New Roman" w:cs="Arial"/>
                                <w:sz w:val="18"/>
                                <w:szCs w:val="18"/>
                              </w:rPr>
                              <w:t>Gavin Stephens</w:t>
                            </w:r>
                          </w:p>
                          <w:p w14:paraId="0B8A9AD5" w14:textId="77777777" w:rsidR="00D50C5D" w:rsidRPr="00E843CF" w:rsidRDefault="00D50C5D" w:rsidP="003F4F65">
                            <w:pPr>
                              <w:pStyle w:val="Normal000"/>
                              <w:rPr>
                                <w:rFonts w:eastAsia="Times New Roman" w:cs="Arial"/>
                                <w:sz w:val="18"/>
                                <w:szCs w:val="18"/>
                              </w:rPr>
                            </w:pPr>
                            <w:r w:rsidRPr="00E843CF">
                              <w:rPr>
                                <w:rFonts w:eastAsia="Times New Roman" w:cs="Arial"/>
                                <w:sz w:val="18"/>
                                <w:szCs w:val="18"/>
                              </w:rPr>
                              <w:t>Chief Constable</w:t>
                            </w:r>
                          </w:p>
                          <w:p w14:paraId="5F62A276" w14:textId="77777777" w:rsidR="00D50C5D" w:rsidRPr="00773980" w:rsidRDefault="00D50C5D" w:rsidP="003F4F65">
                            <w:pPr>
                              <w:pStyle w:val="Normal000"/>
                              <w:rPr>
                                <w:rFonts w:eastAsia="Times New Roman" w:cs="Arial"/>
                                <w:sz w:val="18"/>
                                <w:szCs w:val="18"/>
                              </w:rPr>
                            </w:pPr>
                            <w:r w:rsidRPr="00E843CF">
                              <w:rPr>
                                <w:rFonts w:eastAsia="Times New Roman" w:cs="Arial"/>
                                <w:sz w:val="18"/>
                                <w:szCs w:val="18"/>
                              </w:rPr>
                              <w:t>Dated:</w:t>
                            </w:r>
                            <w:r w:rsidRPr="00F02A39">
                              <w:rPr>
                                <w:rFonts w:eastAsia="Times New Roman"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74EF" id="_x0000_t202" coordsize="21600,21600" o:spt="202" path="m,l,21600r21600,l21600,xe">
                <v:stroke joinstyle="miter"/>
                <v:path gradientshapeok="t" o:connecttype="rect"/>
              </v:shapetype>
              <v:shape id="Text Box 28" o:spid="_x0000_s1026" type="#_x0000_t202" style="position:absolute;left:0;text-align:left;margin-left:542.25pt;margin-top:1.4pt;width:184.05pt;height:1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">
                <v:textbox>
                  <w:txbxContent>
                    <w:p w14:paraId="6FF32BC3" w14:textId="0CF420B5" w:rsidR="00D50C5D" w:rsidRPr="00E843CF" w:rsidRDefault="00D50C5D" w:rsidP="003F4F65">
                      <w:pPr>
                        <w:pStyle w:val="Normal000"/>
                        <w:rPr>
                          <w:rFonts w:eastAsia="Times New Roman" w:cs="Arial"/>
                          <w:sz w:val="18"/>
                          <w:szCs w:val="18"/>
                        </w:rPr>
                      </w:pPr>
                      <w:r w:rsidRPr="00E843CF">
                        <w:rPr>
                          <w:rFonts w:eastAsia="Times New Roman" w:cs="Arial"/>
                          <w:sz w:val="18"/>
                          <w:szCs w:val="18"/>
                        </w:rPr>
                        <w:t>I approve the Statement of Accounts for the year ended 31 March 2021.</w:t>
                      </w:r>
                    </w:p>
                    <w:p w14:paraId="5EE2BE7D" w14:textId="77777777" w:rsidR="00D50C5D" w:rsidRPr="00E843CF" w:rsidRDefault="00D50C5D" w:rsidP="003F4F65">
                      <w:pPr>
                        <w:pStyle w:val="Normal000"/>
                        <w:rPr>
                          <w:noProof/>
                          <w:lang w:val="en-GB" w:eastAsia="en-GB"/>
                        </w:rPr>
                      </w:pPr>
                    </w:p>
                    <w:p w14:paraId="3BB2BBEB" w14:textId="77777777" w:rsidR="00D50C5D" w:rsidRPr="00E843CF" w:rsidRDefault="00D50C5D" w:rsidP="003F4F65">
                      <w:pPr>
                        <w:pStyle w:val="Normal00"/>
                        <w:rPr>
                          <w:rFonts w:ascii="Verdana" w:hAnsi="Verdana"/>
                          <w:noProof/>
                          <w:lang w:val="en-GB" w:eastAsia="en-GB"/>
                        </w:rPr>
                      </w:pPr>
                    </w:p>
                    <w:p w14:paraId="52DFFF89" w14:textId="77777777" w:rsidR="00D50C5D" w:rsidRPr="00E843CF" w:rsidRDefault="00D50C5D" w:rsidP="003F4F65">
                      <w:pPr>
                        <w:pStyle w:val="Normal00"/>
                        <w:rPr>
                          <w:rFonts w:ascii="Verdana" w:hAnsi="Verdana"/>
                          <w:noProof/>
                          <w:lang w:val="en-GB" w:eastAsia="en-GB"/>
                        </w:rPr>
                      </w:pPr>
                    </w:p>
                    <w:p w14:paraId="765B0A73" w14:textId="77777777" w:rsidR="00D50C5D" w:rsidRPr="00E843CF" w:rsidRDefault="00D50C5D" w:rsidP="003F4F65">
                      <w:pPr>
                        <w:pStyle w:val="Normal00"/>
                        <w:rPr>
                          <w:lang w:val="en-GB" w:eastAsia="en-GB"/>
                        </w:rPr>
                      </w:pPr>
                    </w:p>
                    <w:p w14:paraId="1DACDC42" w14:textId="77777777" w:rsidR="00D50C5D" w:rsidRPr="00E843CF" w:rsidRDefault="00D50C5D" w:rsidP="003F4F65">
                      <w:pPr>
                        <w:pStyle w:val="Normal000"/>
                        <w:rPr>
                          <w:rFonts w:eastAsia="Times New Roman" w:cs="Arial"/>
                          <w:sz w:val="18"/>
                          <w:szCs w:val="18"/>
                        </w:rPr>
                      </w:pPr>
                      <w:r w:rsidRPr="00E843CF">
                        <w:rPr>
                          <w:rFonts w:eastAsia="Times New Roman" w:cs="Arial"/>
                          <w:sz w:val="18"/>
                          <w:szCs w:val="18"/>
                        </w:rPr>
                        <w:t>Gavin Stephens</w:t>
                      </w:r>
                    </w:p>
                    <w:p w14:paraId="0B8A9AD5" w14:textId="77777777" w:rsidR="00D50C5D" w:rsidRPr="00E843CF" w:rsidRDefault="00D50C5D" w:rsidP="003F4F65">
                      <w:pPr>
                        <w:pStyle w:val="Normal000"/>
                        <w:rPr>
                          <w:rFonts w:eastAsia="Times New Roman" w:cs="Arial"/>
                          <w:sz w:val="18"/>
                          <w:szCs w:val="18"/>
                        </w:rPr>
                      </w:pPr>
                      <w:r w:rsidRPr="00E843CF">
                        <w:rPr>
                          <w:rFonts w:eastAsia="Times New Roman" w:cs="Arial"/>
                          <w:sz w:val="18"/>
                          <w:szCs w:val="18"/>
                        </w:rPr>
                        <w:t>Chief Constable</w:t>
                      </w:r>
                    </w:p>
                    <w:p w14:paraId="5F62A276" w14:textId="77777777" w:rsidR="00D50C5D" w:rsidRPr="00773980" w:rsidRDefault="00D50C5D" w:rsidP="003F4F65">
                      <w:pPr>
                        <w:pStyle w:val="Normal000"/>
                        <w:rPr>
                          <w:rFonts w:eastAsia="Times New Roman" w:cs="Arial"/>
                          <w:sz w:val="18"/>
                          <w:szCs w:val="18"/>
                        </w:rPr>
                      </w:pPr>
                      <w:r w:rsidRPr="00E843CF">
                        <w:rPr>
                          <w:rFonts w:eastAsia="Times New Roman" w:cs="Arial"/>
                          <w:sz w:val="18"/>
                          <w:szCs w:val="18"/>
                        </w:rPr>
                        <w:t>Dated:</w:t>
                      </w:r>
                      <w:r w:rsidRPr="00F02A39">
                        <w:rPr>
                          <w:rFonts w:eastAsia="Times New Roman" w:cs="Arial"/>
                          <w:sz w:val="18"/>
                          <w:szCs w:val="18"/>
                        </w:rPr>
                        <w:t xml:space="preserve"> </w:t>
                      </w:r>
                    </w:p>
                  </w:txbxContent>
                </v:textbox>
              </v:shape>
            </w:pict>
          </mc:Fallback>
        </mc:AlternateContent>
      </w:r>
      <w:r w:rsidRPr="004D57BE">
        <w:rPr>
          <w:rFonts w:eastAsia="Times New Roman" w:cs="Arial"/>
          <w:b/>
          <w:color w:val="2E74B5" w:themeColor="accent1" w:themeShade="BF"/>
          <w:sz w:val="22"/>
          <w:szCs w:val="22"/>
        </w:rPr>
        <w:t>Responsibilities of the Chief Constable:</w:t>
      </w:r>
    </w:p>
    <w:p w14:paraId="51351C7B" w14:textId="77777777" w:rsidR="003F4F65" w:rsidRPr="004D57BE" w:rsidRDefault="003F4F65" w:rsidP="003F4F65">
      <w:pPr>
        <w:pStyle w:val="Normal000"/>
        <w:spacing w:after="120"/>
        <w:rPr>
          <w:rFonts w:eastAsia="Times New Roman" w:cs="Arial"/>
          <w:b/>
          <w:color w:val="0060F0"/>
          <w:sz w:val="22"/>
          <w:szCs w:val="22"/>
        </w:rPr>
      </w:pPr>
      <w:r w:rsidRPr="004D57BE">
        <w:rPr>
          <w:rFonts w:eastAsia="Times New Roman" w:cs="Arial"/>
          <w:b/>
          <w:sz w:val="22"/>
          <w:szCs w:val="22"/>
        </w:rPr>
        <w:t>The Chief Constable is required:</w:t>
      </w:r>
    </w:p>
    <w:p w14:paraId="7D9279D7" w14:textId="77777777" w:rsidR="003F4F65" w:rsidRPr="004D57BE" w:rsidRDefault="003F4F65" w:rsidP="005E3E6F">
      <w:pPr>
        <w:pStyle w:val="ListParagraph"/>
        <w:numPr>
          <w:ilvl w:val="0"/>
          <w:numId w:val="21"/>
        </w:numPr>
        <w:ind w:left="360" w:right="4820"/>
        <w:jc w:val="both"/>
        <w:rPr>
          <w:rFonts w:ascii="Verdana" w:hAnsi="Verdana"/>
          <w:sz w:val="22"/>
          <w:szCs w:val="22"/>
        </w:rPr>
      </w:pPr>
      <w:r w:rsidRPr="004D57BE">
        <w:rPr>
          <w:rFonts w:ascii="Verdana" w:hAnsi="Verdana"/>
          <w:sz w:val="22"/>
          <w:szCs w:val="22"/>
        </w:rPr>
        <w:t xml:space="preserve">To make arrangements for the proper administration </w:t>
      </w:r>
      <w:r w:rsidR="003916CE" w:rsidRPr="004D57BE">
        <w:rPr>
          <w:rFonts w:ascii="Verdana" w:hAnsi="Verdana"/>
          <w:sz w:val="22"/>
          <w:szCs w:val="22"/>
        </w:rPr>
        <w:t>of the Chief Constable of Surrey</w:t>
      </w:r>
      <w:r w:rsidRPr="004D57BE">
        <w:rPr>
          <w:rFonts w:ascii="Verdana" w:hAnsi="Verdana"/>
          <w:sz w:val="22"/>
          <w:szCs w:val="22"/>
        </w:rPr>
        <w:t>’s financial affairs and to ensure that one of its officers (the Chief Finance Officer) has the responsibility for the administration of those affairs. That officer is the Executive Director of Commercial and Finance Services;</w:t>
      </w:r>
    </w:p>
    <w:p w14:paraId="7759212B" w14:textId="77777777" w:rsidR="003F4F65" w:rsidRPr="004D57BE" w:rsidRDefault="003F4F65" w:rsidP="005E3E6F">
      <w:pPr>
        <w:pStyle w:val="ListParagraph"/>
        <w:numPr>
          <w:ilvl w:val="0"/>
          <w:numId w:val="21"/>
        </w:numPr>
        <w:ind w:left="360" w:right="4820"/>
        <w:jc w:val="both"/>
        <w:rPr>
          <w:rFonts w:ascii="Verdana" w:hAnsi="Verdana"/>
          <w:b/>
          <w:sz w:val="22"/>
          <w:szCs w:val="22"/>
        </w:rPr>
      </w:pPr>
      <w:r w:rsidRPr="004D57BE">
        <w:rPr>
          <w:rFonts w:ascii="Verdana" w:hAnsi="Verdana"/>
          <w:sz w:val="22"/>
          <w:szCs w:val="22"/>
        </w:rPr>
        <w:t>To manage its affairs to secure economic, efficient and effective use of resources and safeguard its assets; and</w:t>
      </w:r>
    </w:p>
    <w:p w14:paraId="315A5666" w14:textId="77777777" w:rsidR="003F4F65" w:rsidRPr="004D57BE" w:rsidRDefault="003F4F65" w:rsidP="005E3E6F">
      <w:pPr>
        <w:pStyle w:val="ListParagraph"/>
        <w:numPr>
          <w:ilvl w:val="0"/>
          <w:numId w:val="21"/>
        </w:numPr>
        <w:ind w:left="360" w:right="4820"/>
        <w:jc w:val="both"/>
        <w:rPr>
          <w:rFonts w:ascii="Verdana" w:hAnsi="Verdana"/>
          <w:sz w:val="22"/>
          <w:szCs w:val="22"/>
        </w:rPr>
      </w:pPr>
      <w:r w:rsidRPr="004D57BE">
        <w:rPr>
          <w:rFonts w:ascii="Verdana" w:hAnsi="Verdana"/>
          <w:sz w:val="22"/>
          <w:szCs w:val="22"/>
        </w:rPr>
        <w:t>To approve the Statement of Accounts.</w:t>
      </w:r>
    </w:p>
    <w:p w14:paraId="71B1508E" w14:textId="77777777" w:rsidR="003F4F65" w:rsidRPr="004D57BE" w:rsidRDefault="003F4F65" w:rsidP="003F4F65">
      <w:pPr>
        <w:pStyle w:val="ListParagraph"/>
        <w:ind w:left="0" w:right="5103"/>
        <w:jc w:val="both"/>
        <w:rPr>
          <w:rFonts w:ascii="Verdana" w:hAnsi="Verdana"/>
        </w:rPr>
      </w:pPr>
    </w:p>
    <w:p w14:paraId="3A6C5F0F" w14:textId="77777777" w:rsidR="003F4F65" w:rsidRPr="004D57BE" w:rsidRDefault="003F4F65" w:rsidP="003F4F65">
      <w:pPr>
        <w:pStyle w:val="Normal000"/>
        <w:spacing w:after="120"/>
        <w:ind w:left="-160" w:firstLine="160"/>
        <w:rPr>
          <w:rFonts w:eastAsia="Times New Roman" w:cs="Arial"/>
          <w:b/>
          <w:color w:val="2E74B5" w:themeColor="accent1" w:themeShade="BF"/>
          <w:sz w:val="22"/>
          <w:szCs w:val="22"/>
        </w:rPr>
      </w:pPr>
      <w:r w:rsidRPr="004D57BE">
        <w:rPr>
          <w:rFonts w:eastAsia="Times New Roman" w:cs="Arial"/>
          <w:b/>
          <w:color w:val="2E74B5" w:themeColor="accent1" w:themeShade="BF"/>
          <w:sz w:val="22"/>
          <w:szCs w:val="22"/>
        </w:rPr>
        <w:t>Responsibilities of the Executive Director of Commercial &amp; Finance Services</w:t>
      </w:r>
    </w:p>
    <w:p w14:paraId="6A878582" w14:textId="77777777" w:rsidR="003F4F65" w:rsidRPr="004D57BE" w:rsidRDefault="003F4F65" w:rsidP="003F4F65">
      <w:pPr>
        <w:pStyle w:val="Normal000"/>
        <w:spacing w:after="120"/>
        <w:ind w:left="-160" w:firstLine="160"/>
        <w:rPr>
          <w:rFonts w:eastAsia="Times New Roman" w:cs="Arial"/>
          <w:b/>
          <w:color w:val="0060F0"/>
          <w:sz w:val="22"/>
          <w:szCs w:val="22"/>
        </w:rPr>
      </w:pPr>
      <w:r w:rsidRPr="004D57BE">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62589EE6" wp14:editId="7CD4C327">
                <wp:simplePos x="0" y="0"/>
                <wp:positionH relativeFrom="column">
                  <wp:posOffset>6905625</wp:posOffset>
                </wp:positionH>
                <wp:positionV relativeFrom="paragraph">
                  <wp:posOffset>76200</wp:posOffset>
                </wp:positionV>
                <wp:extent cx="2337435" cy="2795905"/>
                <wp:effectExtent l="9525" t="9525" r="5715"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2795905"/>
                        </a:xfrm>
                        <a:prstGeom prst="rect">
                          <a:avLst/>
                        </a:prstGeom>
                        <a:solidFill>
                          <a:srgbClr val="FFFFFF"/>
                        </a:solidFill>
                        <a:ln w="9525">
                          <a:solidFill>
                            <a:srgbClr val="000000"/>
                          </a:solidFill>
                          <a:miter lim="800000"/>
                          <a:headEnd/>
                          <a:tailEnd/>
                        </a:ln>
                      </wps:spPr>
                      <wps:txbx>
                        <w:txbxContent>
                          <w:p w14:paraId="14322C22" w14:textId="77777777" w:rsidR="00D50C5D" w:rsidRPr="00E843CF" w:rsidRDefault="00D50C5D" w:rsidP="003F4F65">
                            <w:pPr>
                              <w:pStyle w:val="Normal000"/>
                              <w:rPr>
                                <w:rFonts w:eastAsia="Times New Roman" w:cs="Arial"/>
                                <w:sz w:val="18"/>
                                <w:szCs w:val="18"/>
                              </w:rPr>
                            </w:pPr>
                            <w:r w:rsidRPr="00E843CF">
                              <w:rPr>
                                <w:rFonts w:eastAsia="Times New Roman" w:cs="Arial"/>
                                <w:sz w:val="18"/>
                                <w:szCs w:val="18"/>
                              </w:rPr>
                              <w:t xml:space="preserve">I certify that the Statement of Accounts gives a true and fair view of the financial position of the Chief Constable of Surrey at the accounting date and of the income and expenditure for the year ended </w:t>
                            </w:r>
                          </w:p>
                          <w:p w14:paraId="63D3C787" w14:textId="28325B5C" w:rsidR="00D50C5D" w:rsidRPr="00E843CF" w:rsidRDefault="00D50C5D" w:rsidP="003F4F65">
                            <w:pPr>
                              <w:pStyle w:val="Normal000"/>
                              <w:rPr>
                                <w:lang w:val="en-GB" w:eastAsia="en-GB"/>
                              </w:rPr>
                            </w:pPr>
                            <w:r w:rsidRPr="00E843CF">
                              <w:rPr>
                                <w:rFonts w:eastAsia="Times New Roman" w:cs="Arial"/>
                                <w:sz w:val="18"/>
                                <w:szCs w:val="18"/>
                              </w:rPr>
                              <w:t xml:space="preserve">31 March 2021.  </w:t>
                            </w:r>
                            <w:r w:rsidRPr="00E843CF">
                              <w:rPr>
                                <w:lang w:val="en-GB" w:eastAsia="en-GB"/>
                              </w:rPr>
                              <w:t xml:space="preserve">      </w:t>
                            </w:r>
                          </w:p>
                          <w:p w14:paraId="4E9A6234" w14:textId="77777777" w:rsidR="00D50C5D" w:rsidRPr="00E843CF" w:rsidRDefault="00D50C5D" w:rsidP="003F4F65">
                            <w:pPr>
                              <w:pStyle w:val="Normal000"/>
                              <w:rPr>
                                <w:rFonts w:eastAsia="Times New Roman" w:cs="Times New Roman"/>
                                <w:sz w:val="18"/>
                                <w:szCs w:val="18"/>
                              </w:rPr>
                            </w:pPr>
                          </w:p>
                          <w:p w14:paraId="13B64EC4" w14:textId="708A39C3" w:rsidR="00D50C5D" w:rsidRDefault="00D50C5D" w:rsidP="003F4F65">
                            <w:pPr>
                              <w:pStyle w:val="Normal000"/>
                              <w:rPr>
                                <w:noProof/>
                                <w:lang w:val="en-GB" w:eastAsia="en-GB"/>
                              </w:rPr>
                            </w:pPr>
                          </w:p>
                          <w:p w14:paraId="01D6EB93" w14:textId="77777777" w:rsidR="00D50C5D" w:rsidRPr="00E843CF" w:rsidRDefault="00D50C5D" w:rsidP="00E843CF">
                            <w:pPr>
                              <w:pStyle w:val="Normal00"/>
                              <w:rPr>
                                <w:lang w:val="en-GB" w:eastAsia="en-GB"/>
                              </w:rPr>
                            </w:pPr>
                          </w:p>
                          <w:p w14:paraId="53F881EE" w14:textId="77777777" w:rsidR="00D50C5D" w:rsidRPr="00E843CF" w:rsidRDefault="00D50C5D" w:rsidP="003F4F65">
                            <w:pPr>
                              <w:pStyle w:val="Normal000"/>
                              <w:rPr>
                                <w:rFonts w:eastAsia="Times New Roman" w:cs="Times New Roman"/>
                                <w:sz w:val="18"/>
                                <w:szCs w:val="18"/>
                              </w:rPr>
                            </w:pPr>
                          </w:p>
                          <w:p w14:paraId="7F9D614C" w14:textId="77777777" w:rsidR="00D50C5D" w:rsidRPr="00E843CF" w:rsidRDefault="00D50C5D" w:rsidP="003F4F65">
                            <w:pPr>
                              <w:pStyle w:val="Normal000"/>
                              <w:rPr>
                                <w:rFonts w:eastAsia="Times New Roman" w:cs="Times New Roman"/>
                                <w:sz w:val="18"/>
                                <w:szCs w:val="18"/>
                              </w:rPr>
                            </w:pPr>
                          </w:p>
                          <w:p w14:paraId="53AA98A5" w14:textId="77777777" w:rsidR="00D50C5D" w:rsidRPr="00E843CF" w:rsidRDefault="00D50C5D" w:rsidP="003F4F65">
                            <w:pPr>
                              <w:pStyle w:val="Normal000"/>
                              <w:rPr>
                                <w:rFonts w:eastAsia="Times New Roman" w:cs="Times New Roman"/>
                                <w:sz w:val="18"/>
                                <w:szCs w:val="18"/>
                              </w:rPr>
                            </w:pPr>
                          </w:p>
                          <w:p w14:paraId="52AECB7B" w14:textId="77777777" w:rsidR="00D50C5D" w:rsidRPr="00E843CF" w:rsidRDefault="00D50C5D" w:rsidP="003F4F65">
                            <w:pPr>
                              <w:pStyle w:val="Normal000"/>
                              <w:rPr>
                                <w:rFonts w:eastAsia="Times New Roman" w:cs="Times New Roman"/>
                                <w:sz w:val="18"/>
                                <w:szCs w:val="18"/>
                              </w:rPr>
                            </w:pPr>
                            <w:r w:rsidRPr="00E843CF">
                              <w:rPr>
                                <w:rFonts w:eastAsia="Times New Roman" w:cs="Times New Roman"/>
                                <w:sz w:val="18"/>
                                <w:szCs w:val="18"/>
                              </w:rPr>
                              <w:t>Peter Gillett CPFA</w:t>
                            </w:r>
                          </w:p>
                          <w:p w14:paraId="16C109D9" w14:textId="77777777" w:rsidR="00D50C5D" w:rsidRPr="00E843CF" w:rsidRDefault="00D50C5D" w:rsidP="003F4F65">
                            <w:pPr>
                              <w:pStyle w:val="Normal000"/>
                              <w:rPr>
                                <w:rFonts w:eastAsia="Times New Roman" w:cs="Times New Roman"/>
                                <w:sz w:val="18"/>
                                <w:szCs w:val="18"/>
                              </w:rPr>
                            </w:pPr>
                            <w:r w:rsidRPr="00E843CF">
                              <w:rPr>
                                <w:rFonts w:eastAsia="Times New Roman" w:cs="Times New Roman"/>
                                <w:sz w:val="18"/>
                                <w:szCs w:val="18"/>
                              </w:rPr>
                              <w:t>Executive Director of Commercial and Finance Services</w:t>
                            </w:r>
                          </w:p>
                          <w:p w14:paraId="06A38D59" w14:textId="77777777" w:rsidR="00D50C5D" w:rsidRDefault="00D50C5D" w:rsidP="003F4F65">
                            <w:pPr>
                              <w:pStyle w:val="Normal000"/>
                              <w:rPr>
                                <w:rFonts w:eastAsia="Times New Roman" w:cs="Times New Roman"/>
                                <w:sz w:val="18"/>
                                <w:szCs w:val="18"/>
                              </w:rPr>
                            </w:pPr>
                            <w:r w:rsidRPr="00E843CF">
                              <w:rPr>
                                <w:rFonts w:eastAsia="Times New Roman" w:cs="Times New Roman"/>
                                <w:sz w:val="18"/>
                                <w:szCs w:val="18"/>
                              </w:rPr>
                              <w:t>Dated:</w:t>
                            </w:r>
                            <w:r w:rsidRPr="00F02A39">
                              <w:rPr>
                                <w:rFonts w:eastAsia="Times New Roman" w:cs="Times New Roman"/>
                                <w:sz w:val="18"/>
                                <w:szCs w:val="18"/>
                              </w:rPr>
                              <w:t xml:space="preserve"> </w:t>
                            </w:r>
                          </w:p>
                          <w:p w14:paraId="4B7235B2" w14:textId="77777777" w:rsidR="00D50C5D" w:rsidRPr="00597AB3" w:rsidRDefault="00D50C5D" w:rsidP="003F4F65">
                            <w:pPr>
                              <w:pStyle w:val="Normal000"/>
                              <w:rPr>
                                <w:rFonts w:eastAsia="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9EE6" id="Text Box 27" o:spid="_x0000_s1027" type="#_x0000_t202" style="position:absolute;left:0;text-align:left;margin-left:543.75pt;margin-top:6pt;width:184.05pt;height:2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">
                <v:textbox>
                  <w:txbxContent>
                    <w:p w14:paraId="14322C22" w14:textId="77777777" w:rsidR="00D50C5D" w:rsidRPr="00E843CF" w:rsidRDefault="00D50C5D" w:rsidP="003F4F65">
                      <w:pPr>
                        <w:pStyle w:val="Normal000"/>
                        <w:rPr>
                          <w:rFonts w:eastAsia="Times New Roman" w:cs="Arial"/>
                          <w:sz w:val="18"/>
                          <w:szCs w:val="18"/>
                        </w:rPr>
                      </w:pPr>
                      <w:r w:rsidRPr="00E843CF">
                        <w:rPr>
                          <w:rFonts w:eastAsia="Times New Roman" w:cs="Arial"/>
                          <w:sz w:val="18"/>
                          <w:szCs w:val="18"/>
                        </w:rPr>
                        <w:t xml:space="preserve">I certify that the Statement of Accounts gives a true and fair view of the financial position of the Chief Constable of Surrey at the accounting date and of the income and expenditure for the year ended </w:t>
                      </w:r>
                    </w:p>
                    <w:p w14:paraId="63D3C787" w14:textId="28325B5C" w:rsidR="00D50C5D" w:rsidRPr="00E843CF" w:rsidRDefault="00D50C5D" w:rsidP="003F4F65">
                      <w:pPr>
                        <w:pStyle w:val="Normal000"/>
                        <w:rPr>
                          <w:lang w:val="en-GB" w:eastAsia="en-GB"/>
                        </w:rPr>
                      </w:pPr>
                      <w:r w:rsidRPr="00E843CF">
                        <w:rPr>
                          <w:rFonts w:eastAsia="Times New Roman" w:cs="Arial"/>
                          <w:sz w:val="18"/>
                          <w:szCs w:val="18"/>
                        </w:rPr>
                        <w:t xml:space="preserve">31 March 2021.  </w:t>
                      </w:r>
                      <w:r w:rsidRPr="00E843CF">
                        <w:rPr>
                          <w:lang w:val="en-GB" w:eastAsia="en-GB"/>
                        </w:rPr>
                        <w:t xml:space="preserve">      </w:t>
                      </w:r>
                    </w:p>
                    <w:p w14:paraId="4E9A6234" w14:textId="77777777" w:rsidR="00D50C5D" w:rsidRPr="00E843CF" w:rsidRDefault="00D50C5D" w:rsidP="003F4F65">
                      <w:pPr>
                        <w:pStyle w:val="Normal000"/>
                        <w:rPr>
                          <w:rFonts w:eastAsia="Times New Roman" w:cs="Times New Roman"/>
                          <w:sz w:val="18"/>
                          <w:szCs w:val="18"/>
                        </w:rPr>
                      </w:pPr>
                    </w:p>
                    <w:p w14:paraId="13B64EC4" w14:textId="708A39C3" w:rsidR="00D50C5D" w:rsidRDefault="00D50C5D" w:rsidP="003F4F65">
                      <w:pPr>
                        <w:pStyle w:val="Normal000"/>
                        <w:rPr>
                          <w:noProof/>
                          <w:lang w:val="en-GB" w:eastAsia="en-GB"/>
                        </w:rPr>
                      </w:pPr>
                    </w:p>
                    <w:p w14:paraId="01D6EB93" w14:textId="77777777" w:rsidR="00D50C5D" w:rsidRPr="00E843CF" w:rsidRDefault="00D50C5D" w:rsidP="00E843CF">
                      <w:pPr>
                        <w:pStyle w:val="Normal00"/>
                        <w:rPr>
                          <w:lang w:val="en-GB" w:eastAsia="en-GB"/>
                        </w:rPr>
                      </w:pPr>
                    </w:p>
                    <w:p w14:paraId="53F881EE" w14:textId="77777777" w:rsidR="00D50C5D" w:rsidRPr="00E843CF" w:rsidRDefault="00D50C5D" w:rsidP="003F4F65">
                      <w:pPr>
                        <w:pStyle w:val="Normal000"/>
                        <w:rPr>
                          <w:rFonts w:eastAsia="Times New Roman" w:cs="Times New Roman"/>
                          <w:sz w:val="18"/>
                          <w:szCs w:val="18"/>
                        </w:rPr>
                      </w:pPr>
                    </w:p>
                    <w:p w14:paraId="7F9D614C" w14:textId="77777777" w:rsidR="00D50C5D" w:rsidRPr="00E843CF" w:rsidRDefault="00D50C5D" w:rsidP="003F4F65">
                      <w:pPr>
                        <w:pStyle w:val="Normal000"/>
                        <w:rPr>
                          <w:rFonts w:eastAsia="Times New Roman" w:cs="Times New Roman"/>
                          <w:sz w:val="18"/>
                          <w:szCs w:val="18"/>
                        </w:rPr>
                      </w:pPr>
                    </w:p>
                    <w:p w14:paraId="53AA98A5" w14:textId="77777777" w:rsidR="00D50C5D" w:rsidRPr="00E843CF" w:rsidRDefault="00D50C5D" w:rsidP="003F4F65">
                      <w:pPr>
                        <w:pStyle w:val="Normal000"/>
                        <w:rPr>
                          <w:rFonts w:eastAsia="Times New Roman" w:cs="Times New Roman"/>
                          <w:sz w:val="18"/>
                          <w:szCs w:val="18"/>
                        </w:rPr>
                      </w:pPr>
                    </w:p>
                    <w:p w14:paraId="52AECB7B" w14:textId="77777777" w:rsidR="00D50C5D" w:rsidRPr="00E843CF" w:rsidRDefault="00D50C5D" w:rsidP="003F4F65">
                      <w:pPr>
                        <w:pStyle w:val="Normal000"/>
                        <w:rPr>
                          <w:rFonts w:eastAsia="Times New Roman" w:cs="Times New Roman"/>
                          <w:sz w:val="18"/>
                          <w:szCs w:val="18"/>
                        </w:rPr>
                      </w:pPr>
                      <w:r w:rsidRPr="00E843CF">
                        <w:rPr>
                          <w:rFonts w:eastAsia="Times New Roman" w:cs="Times New Roman"/>
                          <w:sz w:val="18"/>
                          <w:szCs w:val="18"/>
                        </w:rPr>
                        <w:t>Peter Gillett CPFA</w:t>
                      </w:r>
                    </w:p>
                    <w:p w14:paraId="16C109D9" w14:textId="77777777" w:rsidR="00D50C5D" w:rsidRPr="00E843CF" w:rsidRDefault="00D50C5D" w:rsidP="003F4F65">
                      <w:pPr>
                        <w:pStyle w:val="Normal000"/>
                        <w:rPr>
                          <w:rFonts w:eastAsia="Times New Roman" w:cs="Times New Roman"/>
                          <w:sz w:val="18"/>
                          <w:szCs w:val="18"/>
                        </w:rPr>
                      </w:pPr>
                      <w:r w:rsidRPr="00E843CF">
                        <w:rPr>
                          <w:rFonts w:eastAsia="Times New Roman" w:cs="Times New Roman"/>
                          <w:sz w:val="18"/>
                          <w:szCs w:val="18"/>
                        </w:rPr>
                        <w:t>Executive Director of Commercial and Finance Services</w:t>
                      </w:r>
                    </w:p>
                    <w:p w14:paraId="06A38D59" w14:textId="77777777" w:rsidR="00D50C5D" w:rsidRDefault="00D50C5D" w:rsidP="003F4F65">
                      <w:pPr>
                        <w:pStyle w:val="Normal000"/>
                        <w:rPr>
                          <w:rFonts w:eastAsia="Times New Roman" w:cs="Times New Roman"/>
                          <w:sz w:val="18"/>
                          <w:szCs w:val="18"/>
                        </w:rPr>
                      </w:pPr>
                      <w:r w:rsidRPr="00E843CF">
                        <w:rPr>
                          <w:rFonts w:eastAsia="Times New Roman" w:cs="Times New Roman"/>
                          <w:sz w:val="18"/>
                          <w:szCs w:val="18"/>
                        </w:rPr>
                        <w:t>Dated:</w:t>
                      </w:r>
                      <w:r w:rsidRPr="00F02A39">
                        <w:rPr>
                          <w:rFonts w:eastAsia="Times New Roman" w:cs="Times New Roman"/>
                          <w:sz w:val="18"/>
                          <w:szCs w:val="18"/>
                        </w:rPr>
                        <w:t xml:space="preserve"> </w:t>
                      </w:r>
                    </w:p>
                    <w:p w14:paraId="4B7235B2" w14:textId="77777777" w:rsidR="00D50C5D" w:rsidRPr="00597AB3" w:rsidRDefault="00D50C5D" w:rsidP="003F4F65">
                      <w:pPr>
                        <w:pStyle w:val="Normal000"/>
                        <w:rPr>
                          <w:rFonts w:eastAsia="Times New Roman" w:cs="Times New Roman"/>
                          <w:sz w:val="18"/>
                          <w:szCs w:val="18"/>
                        </w:rPr>
                      </w:pPr>
                    </w:p>
                  </w:txbxContent>
                </v:textbox>
              </v:shape>
            </w:pict>
          </mc:Fallback>
        </mc:AlternateContent>
      </w:r>
      <w:r w:rsidRPr="004D57BE">
        <w:rPr>
          <w:rFonts w:eastAsia="Times New Roman" w:cs="Arial"/>
          <w:b/>
          <w:color w:val="2E74B5" w:themeColor="accent1" w:themeShade="BF"/>
          <w:sz w:val="22"/>
          <w:szCs w:val="22"/>
        </w:rPr>
        <w:t xml:space="preserve">as Chief Finance Officer </w:t>
      </w:r>
      <w:r w:rsidR="003916CE" w:rsidRPr="004D57BE">
        <w:rPr>
          <w:rFonts w:eastAsia="Times New Roman" w:cs="Arial"/>
          <w:b/>
          <w:color w:val="2E74B5" w:themeColor="accent1" w:themeShade="BF"/>
          <w:sz w:val="22"/>
          <w:szCs w:val="22"/>
        </w:rPr>
        <w:t>to the Chief Constable of Surrey</w:t>
      </w:r>
      <w:r w:rsidRPr="004D57BE">
        <w:rPr>
          <w:rFonts w:eastAsia="Times New Roman" w:cs="Arial"/>
          <w:b/>
          <w:color w:val="2E74B5" w:themeColor="accent1" w:themeShade="BF"/>
          <w:sz w:val="22"/>
          <w:szCs w:val="22"/>
        </w:rPr>
        <w:t>:</w:t>
      </w:r>
    </w:p>
    <w:p w14:paraId="6C19BBDE" w14:textId="77777777" w:rsidR="003F4F65" w:rsidRPr="004D57BE" w:rsidRDefault="003F4F65" w:rsidP="003F4F65">
      <w:pPr>
        <w:pStyle w:val="Normal000"/>
        <w:spacing w:after="120"/>
        <w:ind w:right="5160"/>
        <w:rPr>
          <w:rFonts w:eastAsia="Times New Roman" w:cs="Arial"/>
          <w:b/>
          <w:sz w:val="22"/>
          <w:szCs w:val="22"/>
        </w:rPr>
      </w:pPr>
      <w:r w:rsidRPr="004D57BE">
        <w:rPr>
          <w:rFonts w:eastAsia="Times New Roman" w:cs="Arial"/>
          <w:b/>
          <w:sz w:val="22"/>
          <w:szCs w:val="22"/>
        </w:rPr>
        <w:t xml:space="preserve">The Chief Finance Officer is responsible for: </w:t>
      </w:r>
    </w:p>
    <w:p w14:paraId="32492637" w14:textId="77777777" w:rsidR="003F4F65" w:rsidRPr="004D57BE" w:rsidRDefault="003F4F65" w:rsidP="005E3E6F">
      <w:pPr>
        <w:pStyle w:val="ListParagraph"/>
        <w:numPr>
          <w:ilvl w:val="0"/>
          <w:numId w:val="22"/>
        </w:numPr>
        <w:ind w:left="360" w:right="4820"/>
        <w:jc w:val="both"/>
        <w:rPr>
          <w:rFonts w:ascii="Verdana" w:hAnsi="Verdana"/>
          <w:sz w:val="22"/>
          <w:szCs w:val="22"/>
        </w:rPr>
      </w:pPr>
      <w:r w:rsidRPr="004D57BE">
        <w:rPr>
          <w:rFonts w:ascii="Verdana" w:hAnsi="Verdana"/>
          <w:sz w:val="22"/>
          <w:szCs w:val="22"/>
        </w:rPr>
        <w:t>Preparation of the Statement of Accounts f</w:t>
      </w:r>
      <w:r w:rsidR="00826A1F" w:rsidRPr="004D57BE">
        <w:rPr>
          <w:rFonts w:ascii="Verdana" w:hAnsi="Verdana"/>
          <w:sz w:val="22"/>
          <w:szCs w:val="22"/>
        </w:rPr>
        <w:t>or the Chief Constable of Surrey</w:t>
      </w:r>
      <w:r w:rsidRPr="004D57BE">
        <w:rPr>
          <w:rFonts w:ascii="Verdana" w:hAnsi="Verdana"/>
          <w:sz w:val="22"/>
          <w:szCs w:val="22"/>
        </w:rPr>
        <w:t xml:space="preserve"> in accordance with proper practices as set out in the CIPFA/LASAAC Code of Practice on Local Authority Accounting in the United Kingdom (‘the Code’).</w:t>
      </w:r>
    </w:p>
    <w:p w14:paraId="3B4BDB7B" w14:textId="77777777" w:rsidR="003F4F65" w:rsidRPr="004D57BE" w:rsidRDefault="003F4F65" w:rsidP="003F4F65">
      <w:pPr>
        <w:pStyle w:val="ListParagraph"/>
        <w:ind w:left="0" w:right="4820"/>
        <w:jc w:val="both"/>
        <w:rPr>
          <w:rFonts w:ascii="Verdana" w:hAnsi="Verdana"/>
          <w:sz w:val="22"/>
          <w:szCs w:val="22"/>
        </w:rPr>
      </w:pPr>
    </w:p>
    <w:p w14:paraId="682FCCCE" w14:textId="77777777" w:rsidR="003F4F65" w:rsidRPr="004D57BE" w:rsidRDefault="003F4F65" w:rsidP="003F4F65">
      <w:pPr>
        <w:pStyle w:val="Normal000"/>
        <w:spacing w:after="120"/>
        <w:ind w:right="5160"/>
        <w:rPr>
          <w:rFonts w:eastAsia="Times New Roman" w:cs="Arial"/>
          <w:b/>
          <w:sz w:val="22"/>
          <w:szCs w:val="22"/>
        </w:rPr>
      </w:pPr>
      <w:r w:rsidRPr="004D57BE">
        <w:rPr>
          <w:rFonts w:eastAsia="Times New Roman" w:cs="Times New Roman"/>
          <w:b/>
          <w:sz w:val="22"/>
          <w:szCs w:val="22"/>
        </w:rPr>
        <w:t>In preparing the Statement of Accounts, the Chief Finance Officer</w:t>
      </w:r>
      <w:r w:rsidRPr="004D57BE">
        <w:rPr>
          <w:rFonts w:eastAsia="Times New Roman" w:cs="Times New Roman"/>
          <w:sz w:val="22"/>
          <w:szCs w:val="22"/>
        </w:rPr>
        <w:t xml:space="preserve"> </w:t>
      </w:r>
      <w:r w:rsidRPr="004D57BE">
        <w:rPr>
          <w:rFonts w:eastAsia="Times New Roman" w:cs="Arial"/>
          <w:b/>
          <w:sz w:val="22"/>
          <w:szCs w:val="22"/>
        </w:rPr>
        <w:t>has:</w:t>
      </w:r>
    </w:p>
    <w:p w14:paraId="0CD0F3D9" w14:textId="77777777" w:rsidR="003F4F65" w:rsidRPr="004D57BE" w:rsidRDefault="003F4F65" w:rsidP="005E3E6F">
      <w:pPr>
        <w:pStyle w:val="ListParagraph"/>
        <w:numPr>
          <w:ilvl w:val="0"/>
          <w:numId w:val="23"/>
        </w:numPr>
        <w:ind w:left="360" w:right="4820"/>
        <w:jc w:val="both"/>
        <w:rPr>
          <w:rFonts w:ascii="Verdana" w:hAnsi="Verdana"/>
          <w:sz w:val="22"/>
          <w:szCs w:val="22"/>
        </w:rPr>
      </w:pPr>
      <w:r w:rsidRPr="004D57BE">
        <w:rPr>
          <w:rFonts w:ascii="Verdana" w:hAnsi="Verdana"/>
          <w:sz w:val="22"/>
          <w:szCs w:val="22"/>
        </w:rPr>
        <w:t>Selected suitable accounting policies and applied them consistently;</w:t>
      </w:r>
    </w:p>
    <w:p w14:paraId="47278CB8" w14:textId="77777777" w:rsidR="003F4F65" w:rsidRPr="004D57BE" w:rsidRDefault="003F4F65" w:rsidP="005E3E6F">
      <w:pPr>
        <w:pStyle w:val="ListParagraph"/>
        <w:numPr>
          <w:ilvl w:val="0"/>
          <w:numId w:val="23"/>
        </w:numPr>
        <w:ind w:left="360" w:right="4820"/>
        <w:jc w:val="both"/>
        <w:rPr>
          <w:rFonts w:ascii="Verdana" w:hAnsi="Verdana"/>
          <w:sz w:val="22"/>
          <w:szCs w:val="22"/>
        </w:rPr>
      </w:pPr>
      <w:r w:rsidRPr="004D57BE">
        <w:rPr>
          <w:rFonts w:ascii="Verdana" w:hAnsi="Verdana"/>
          <w:sz w:val="22"/>
          <w:szCs w:val="22"/>
        </w:rPr>
        <w:t>Made judgements and estimates that were reasonable and prudent; and</w:t>
      </w:r>
    </w:p>
    <w:p w14:paraId="534E5439" w14:textId="77777777" w:rsidR="003F4F65" w:rsidRPr="004D57BE" w:rsidRDefault="003F4F65" w:rsidP="005E3E6F">
      <w:pPr>
        <w:pStyle w:val="ListParagraph"/>
        <w:numPr>
          <w:ilvl w:val="0"/>
          <w:numId w:val="23"/>
        </w:numPr>
        <w:ind w:left="360" w:right="4820"/>
        <w:jc w:val="both"/>
        <w:rPr>
          <w:rFonts w:ascii="Verdana" w:hAnsi="Verdana"/>
          <w:sz w:val="22"/>
          <w:szCs w:val="22"/>
        </w:rPr>
      </w:pPr>
      <w:r w:rsidRPr="004D57BE">
        <w:rPr>
          <w:rFonts w:ascii="Verdana" w:hAnsi="Verdana"/>
          <w:sz w:val="22"/>
          <w:szCs w:val="22"/>
        </w:rPr>
        <w:t xml:space="preserve">Complied with the code and its application to the Accounts </w:t>
      </w:r>
      <w:r w:rsidR="00826A1F" w:rsidRPr="004D57BE">
        <w:rPr>
          <w:rFonts w:ascii="Verdana" w:hAnsi="Verdana"/>
          <w:sz w:val="22"/>
          <w:szCs w:val="22"/>
        </w:rPr>
        <w:t>of the Chief Constable of Surrey</w:t>
      </w:r>
      <w:r w:rsidRPr="004D57BE">
        <w:rPr>
          <w:rFonts w:ascii="Verdana" w:hAnsi="Verdana"/>
          <w:sz w:val="22"/>
          <w:szCs w:val="22"/>
        </w:rPr>
        <w:t>.</w:t>
      </w:r>
    </w:p>
    <w:p w14:paraId="7F01DF54" w14:textId="77777777" w:rsidR="003F4F65" w:rsidRPr="004D57BE" w:rsidRDefault="003F4F65" w:rsidP="005E3E6F">
      <w:pPr>
        <w:pStyle w:val="ListParagraph"/>
        <w:numPr>
          <w:ilvl w:val="0"/>
          <w:numId w:val="23"/>
        </w:numPr>
        <w:ind w:left="360" w:right="4820"/>
        <w:jc w:val="both"/>
        <w:rPr>
          <w:rFonts w:ascii="Verdana" w:hAnsi="Verdana"/>
          <w:sz w:val="22"/>
          <w:szCs w:val="22"/>
        </w:rPr>
      </w:pPr>
      <w:r w:rsidRPr="004D57BE">
        <w:rPr>
          <w:rFonts w:ascii="Verdana" w:hAnsi="Verdana"/>
          <w:sz w:val="22"/>
          <w:szCs w:val="22"/>
        </w:rPr>
        <w:t>Kept proper accounting records which are up to date; and</w:t>
      </w:r>
    </w:p>
    <w:p w14:paraId="05E18471" w14:textId="77777777" w:rsidR="003F4F65" w:rsidRPr="004D57BE" w:rsidRDefault="003F4F65" w:rsidP="005E3E6F">
      <w:pPr>
        <w:pStyle w:val="ListParagraph"/>
        <w:numPr>
          <w:ilvl w:val="0"/>
          <w:numId w:val="23"/>
        </w:numPr>
        <w:ind w:left="360" w:right="4820"/>
        <w:jc w:val="both"/>
        <w:rPr>
          <w:rFonts w:ascii="Verdana" w:hAnsi="Verdana"/>
          <w:sz w:val="22"/>
          <w:szCs w:val="22"/>
        </w:rPr>
      </w:pPr>
      <w:r w:rsidRPr="004D57BE">
        <w:rPr>
          <w:rFonts w:ascii="Verdana" w:hAnsi="Verdana"/>
          <w:sz w:val="22"/>
          <w:szCs w:val="22"/>
        </w:rPr>
        <w:t>Taken reasonable steps for the prevention and detection of fraud and other irregularities.</w:t>
      </w:r>
    </w:p>
    <w:p w14:paraId="37A29E52" w14:textId="77777777" w:rsidR="00F227D9" w:rsidRPr="00DC1077" w:rsidRDefault="00F227D9">
      <w:pPr>
        <w:rPr>
          <w:rFonts w:ascii="Verdana" w:hAnsi="Verdana"/>
          <w:sz w:val="22"/>
          <w:szCs w:val="22"/>
          <w:highlight w:val="yellow"/>
          <w:lang w:val="en-AU"/>
        </w:rPr>
        <w:sectPr w:rsidR="00F227D9" w:rsidRPr="00DC1077" w:rsidSect="00B54A0C">
          <w:type w:val="nextColumn"/>
          <w:pgSz w:w="16840" w:h="11900" w:orient="landscape"/>
          <w:pgMar w:top="709" w:right="720" w:bottom="567" w:left="720" w:header="708" w:footer="708" w:gutter="0"/>
          <w:cols w:space="708"/>
          <w:docGrid w:linePitch="360"/>
        </w:sectPr>
      </w:pPr>
    </w:p>
    <w:p w14:paraId="74A07D43" w14:textId="77777777" w:rsidR="00DA4E8D" w:rsidRPr="0093622A" w:rsidRDefault="00DA4E8D" w:rsidP="00DA4E8D">
      <w:pPr>
        <w:pStyle w:val="Heading1"/>
      </w:pPr>
      <w:bookmarkStart w:id="4" w:name="_Toc77095555"/>
      <w:r w:rsidRPr="0093622A">
        <w:t>Annual Governance Statement</w:t>
      </w:r>
      <w:bookmarkEnd w:id="4"/>
    </w:p>
    <w:p w14:paraId="4BF26C80" w14:textId="77777777" w:rsidR="00F227D9" w:rsidRPr="0093622A" w:rsidRDefault="00F227D9">
      <w:pPr>
        <w:rPr>
          <w:rFonts w:ascii="Verdana" w:hAnsi="Verdana"/>
          <w:sz w:val="22"/>
          <w:szCs w:val="22"/>
          <w:lang w:val="en-AU"/>
        </w:rPr>
      </w:pPr>
    </w:p>
    <w:p w14:paraId="2E393967" w14:textId="77777777" w:rsidR="00F227D9" w:rsidRPr="0093622A" w:rsidRDefault="00F227D9">
      <w:pPr>
        <w:rPr>
          <w:rFonts w:ascii="Verdana" w:hAnsi="Verdana"/>
          <w:sz w:val="22"/>
          <w:szCs w:val="22"/>
          <w:lang w:val="en-AU"/>
        </w:rPr>
      </w:pPr>
    </w:p>
    <w:p w14:paraId="645BE228" w14:textId="77777777" w:rsidR="00F227D9" w:rsidRPr="0093622A" w:rsidRDefault="00F227D9">
      <w:pPr>
        <w:rPr>
          <w:rFonts w:ascii="Verdana" w:hAnsi="Verdana"/>
          <w:sz w:val="22"/>
          <w:szCs w:val="22"/>
          <w:lang w:val="en-AU"/>
        </w:rPr>
      </w:pPr>
    </w:p>
    <w:p w14:paraId="34000C26" w14:textId="77777777" w:rsidR="00F227D9" w:rsidRPr="0093622A" w:rsidRDefault="00F227D9">
      <w:pPr>
        <w:rPr>
          <w:rFonts w:ascii="Verdana" w:hAnsi="Verdana"/>
          <w:sz w:val="22"/>
          <w:szCs w:val="22"/>
          <w:lang w:val="en-AU"/>
        </w:rPr>
      </w:pPr>
    </w:p>
    <w:p w14:paraId="00DECBB3" w14:textId="77777777" w:rsidR="00D835CC" w:rsidRPr="0093622A" w:rsidRDefault="00D835CC" w:rsidP="00D835CC"/>
    <w:p w14:paraId="7E3946D9" w14:textId="77777777" w:rsidR="00D835CC" w:rsidRPr="0093622A" w:rsidRDefault="00D835CC" w:rsidP="00D835CC"/>
    <w:p w14:paraId="765FF535" w14:textId="77777777" w:rsidR="00D835CC" w:rsidRPr="0093622A" w:rsidRDefault="00D835CC" w:rsidP="00D835CC">
      <w:pPr>
        <w:jc w:val="right"/>
      </w:pPr>
      <w:r w:rsidRPr="0093622A">
        <w:rPr>
          <w:noProof/>
          <w:lang w:val="en-GB" w:eastAsia="en-GB"/>
        </w:rPr>
        <w:drawing>
          <wp:inline distT="0" distB="0" distL="0" distR="0" wp14:anchorId="094FBB10" wp14:editId="52C80D15">
            <wp:extent cx="1783080" cy="1935480"/>
            <wp:effectExtent l="0" t="0" r="7620" b="7620"/>
            <wp:docPr id="11" name="Picture 1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Crest_Colour (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3080" cy="1935480"/>
                    </a:xfrm>
                    <a:prstGeom prst="rect">
                      <a:avLst/>
                    </a:prstGeom>
                    <a:noFill/>
                    <a:ln>
                      <a:noFill/>
                    </a:ln>
                  </pic:spPr>
                </pic:pic>
              </a:graphicData>
            </a:graphic>
          </wp:inline>
        </w:drawing>
      </w:r>
    </w:p>
    <w:p w14:paraId="5A4ED9BB" w14:textId="77777777" w:rsidR="00D835CC" w:rsidRPr="0093622A" w:rsidRDefault="00D835CC" w:rsidP="00D835CC"/>
    <w:p w14:paraId="1E03AEEE" w14:textId="77777777" w:rsidR="00D835CC" w:rsidRPr="0093622A" w:rsidRDefault="00D835CC" w:rsidP="00D835CC"/>
    <w:p w14:paraId="0E5AABB1" w14:textId="77777777" w:rsidR="00D835CC" w:rsidRPr="0093622A" w:rsidRDefault="00D835CC" w:rsidP="00D835CC"/>
    <w:p w14:paraId="477966DD" w14:textId="77777777" w:rsidR="00D835CC" w:rsidRPr="0093622A" w:rsidRDefault="00D835CC" w:rsidP="00D835CC">
      <w:pPr>
        <w:rPr>
          <w:rFonts w:ascii="Calibri" w:hAnsi="Calibri"/>
        </w:rPr>
      </w:pPr>
    </w:p>
    <w:p w14:paraId="176C03A8" w14:textId="77777777" w:rsidR="00D835CC" w:rsidRPr="0093622A" w:rsidRDefault="00D835CC" w:rsidP="00D835CC">
      <w:pPr>
        <w:rPr>
          <w:rFonts w:ascii="Calibri" w:hAnsi="Calibri"/>
        </w:rPr>
      </w:pPr>
    </w:p>
    <w:p w14:paraId="25D4EF91" w14:textId="77777777" w:rsidR="00D835CC" w:rsidRPr="0093622A" w:rsidRDefault="00D835CC" w:rsidP="00D835CC">
      <w:pPr>
        <w:pBdr>
          <w:top w:val="single" w:sz="4" w:space="1" w:color="auto"/>
        </w:pBdr>
        <w:rPr>
          <w:rFonts w:ascii="Calibri" w:hAnsi="Calibri"/>
          <w:color w:val="4472C4"/>
          <w:sz w:val="48"/>
          <w:szCs w:val="48"/>
        </w:rPr>
      </w:pPr>
      <w:r w:rsidRPr="0093622A">
        <w:rPr>
          <w:rFonts w:ascii="Calibri" w:hAnsi="Calibri"/>
          <w:color w:val="4472C4"/>
          <w:sz w:val="48"/>
          <w:szCs w:val="48"/>
        </w:rPr>
        <w:t xml:space="preserve">Surrey Police </w:t>
      </w:r>
    </w:p>
    <w:p w14:paraId="74F7559B" w14:textId="3349FC6B" w:rsidR="00D835CC" w:rsidRPr="0093622A" w:rsidRDefault="00D835CC" w:rsidP="00D835CC">
      <w:pPr>
        <w:pBdr>
          <w:top w:val="single" w:sz="4" w:space="1" w:color="auto"/>
        </w:pBdr>
        <w:rPr>
          <w:rFonts w:ascii="Calibri" w:hAnsi="Calibri"/>
          <w:b/>
          <w:sz w:val="44"/>
          <w:szCs w:val="44"/>
        </w:rPr>
      </w:pPr>
      <w:r w:rsidRPr="0093622A">
        <w:rPr>
          <w:rFonts w:ascii="Calibri" w:hAnsi="Calibri"/>
          <w:b/>
          <w:color w:val="4472C4"/>
          <w:sz w:val="44"/>
          <w:szCs w:val="44"/>
        </w:rPr>
        <w:t>Chief Constable’s Annual Governance Statement</w:t>
      </w:r>
      <w:r w:rsidRPr="0093622A">
        <w:rPr>
          <w:rFonts w:ascii="Calibri" w:hAnsi="Calibri"/>
          <w:color w:val="4472C4"/>
          <w:sz w:val="44"/>
          <w:szCs w:val="44"/>
        </w:rPr>
        <w:t xml:space="preserve"> 20</w:t>
      </w:r>
      <w:r w:rsidR="0093622A">
        <w:rPr>
          <w:rFonts w:ascii="Calibri" w:hAnsi="Calibri"/>
          <w:color w:val="4472C4"/>
          <w:sz w:val="44"/>
          <w:szCs w:val="44"/>
        </w:rPr>
        <w:t>20-21</w:t>
      </w:r>
    </w:p>
    <w:p w14:paraId="4F9C0389" w14:textId="77777777" w:rsidR="00D835CC" w:rsidRPr="00DC1077" w:rsidRDefault="00D835CC" w:rsidP="00D835CC">
      <w:pPr>
        <w:pBdr>
          <w:bottom w:val="single" w:sz="4" w:space="1" w:color="auto"/>
        </w:pBdr>
        <w:jc w:val="both"/>
        <w:outlineLvl w:val="0"/>
        <w:rPr>
          <w:rFonts w:ascii="Calibri" w:hAnsi="Calibri"/>
          <w:b/>
          <w:highlight w:val="yellow"/>
          <w:u w:val="single"/>
        </w:rPr>
      </w:pPr>
    </w:p>
    <w:p w14:paraId="2F406BB9" w14:textId="77777777" w:rsidR="00D835CC" w:rsidRPr="003B2596" w:rsidRDefault="00D835CC" w:rsidP="00D835CC">
      <w:pPr>
        <w:jc w:val="both"/>
        <w:rPr>
          <w:b/>
          <w:sz w:val="22"/>
          <w:szCs w:val="22"/>
        </w:rPr>
      </w:pPr>
      <w:r w:rsidRPr="00DC1077">
        <w:rPr>
          <w:b/>
          <w:sz w:val="22"/>
          <w:szCs w:val="22"/>
          <w:highlight w:val="yellow"/>
        </w:rPr>
        <w:br w:type="page"/>
      </w:r>
    </w:p>
    <w:p w14:paraId="55716096" w14:textId="77777777" w:rsidR="008A6FEA" w:rsidRPr="003B2596" w:rsidRDefault="008A6FEA" w:rsidP="008A6FEA">
      <w:pPr>
        <w:shd w:val="clear" w:color="auto" w:fill="4472C4"/>
        <w:autoSpaceDE w:val="0"/>
        <w:jc w:val="both"/>
        <w:rPr>
          <w:rFonts w:ascii="Calibri" w:hAnsi="Calibri"/>
          <w:b/>
          <w:color w:val="FFFFFF"/>
          <w:sz w:val="22"/>
          <w:szCs w:val="22"/>
        </w:rPr>
      </w:pPr>
      <w:r w:rsidRPr="003B2596">
        <w:rPr>
          <w:rFonts w:ascii="Calibri" w:hAnsi="Calibri"/>
          <w:b/>
          <w:color w:val="FFFFFF"/>
          <w:sz w:val="22"/>
          <w:szCs w:val="22"/>
        </w:rPr>
        <w:t>1</w:t>
      </w:r>
      <w:r w:rsidRPr="003B2596">
        <w:rPr>
          <w:rFonts w:ascii="Calibri" w:hAnsi="Calibri"/>
          <w:b/>
          <w:color w:val="FFFFFF"/>
          <w:sz w:val="22"/>
          <w:szCs w:val="22"/>
        </w:rPr>
        <w:tab/>
        <w:t>Introduction</w:t>
      </w:r>
    </w:p>
    <w:p w14:paraId="79934629" w14:textId="77777777" w:rsidR="00D835CC" w:rsidRPr="003B2596" w:rsidRDefault="00D835CC" w:rsidP="00D835CC">
      <w:pPr>
        <w:autoSpaceDE w:val="0"/>
        <w:jc w:val="both"/>
        <w:rPr>
          <w:rFonts w:ascii="Calibri" w:hAnsi="Calibri"/>
          <w:b/>
          <w:sz w:val="22"/>
          <w:szCs w:val="22"/>
        </w:rPr>
      </w:pPr>
    </w:p>
    <w:p w14:paraId="21F793C6" w14:textId="1026A35E" w:rsidR="00D835CC" w:rsidRPr="003B2596" w:rsidRDefault="008A6FEA" w:rsidP="008A6FEA">
      <w:pPr>
        <w:suppressAutoHyphens/>
        <w:autoSpaceDE w:val="0"/>
        <w:ind w:left="720" w:hanging="720"/>
        <w:jc w:val="both"/>
        <w:rPr>
          <w:rFonts w:ascii="Calibri" w:hAnsi="Calibri"/>
          <w:sz w:val="22"/>
          <w:szCs w:val="22"/>
        </w:rPr>
      </w:pPr>
      <w:r w:rsidRPr="003B2596">
        <w:rPr>
          <w:rFonts w:ascii="Calibri" w:hAnsi="Calibri"/>
          <w:sz w:val="22"/>
          <w:szCs w:val="22"/>
        </w:rPr>
        <w:t>1.1</w:t>
      </w:r>
      <w:r w:rsidRPr="003B2596">
        <w:rPr>
          <w:rFonts w:ascii="Calibri" w:hAnsi="Calibri"/>
          <w:sz w:val="22"/>
          <w:szCs w:val="22"/>
        </w:rPr>
        <w:tab/>
      </w:r>
      <w:r w:rsidR="00D835CC" w:rsidRPr="003B2596">
        <w:rPr>
          <w:rFonts w:ascii="Calibri" w:hAnsi="Calibri"/>
          <w:sz w:val="22"/>
          <w:szCs w:val="22"/>
        </w:rPr>
        <w:t>This annual governance statement sets out how Surrey Police has complied with the corporate governance framework set out in the Code of Corporate Governance for the Surrey Police and Crime Commissioner (PCC) and the Chief Constable</w:t>
      </w:r>
      <w:r w:rsidR="00D835CC" w:rsidRPr="003B2596">
        <w:rPr>
          <w:rStyle w:val="FootnoteReference"/>
          <w:rFonts w:ascii="Calibri" w:hAnsi="Calibri"/>
          <w:sz w:val="22"/>
          <w:szCs w:val="22"/>
        </w:rPr>
        <w:footnoteReference w:id="1"/>
      </w:r>
      <w:r w:rsidR="00D835CC" w:rsidRPr="003B2596">
        <w:rPr>
          <w:rFonts w:ascii="Calibri" w:hAnsi="Calibri"/>
          <w:sz w:val="22"/>
          <w:szCs w:val="22"/>
        </w:rPr>
        <w:t xml:space="preserve"> in place for the year ended 31 March 202</w:t>
      </w:r>
      <w:r w:rsidR="003B2596">
        <w:rPr>
          <w:rFonts w:ascii="Calibri" w:hAnsi="Calibri"/>
          <w:sz w:val="22"/>
          <w:szCs w:val="22"/>
        </w:rPr>
        <w:t>1</w:t>
      </w:r>
      <w:r w:rsidR="00D835CC" w:rsidRPr="003B2596">
        <w:rPr>
          <w:rFonts w:ascii="Calibri" w:hAnsi="Calibri"/>
          <w:sz w:val="22"/>
          <w:szCs w:val="22"/>
        </w:rPr>
        <w:t>. It also details areas of improvement to further enhance governance arrangements that the force plans to progress during 202</w:t>
      </w:r>
      <w:r w:rsidR="003B2596" w:rsidRPr="003B2596">
        <w:rPr>
          <w:rFonts w:ascii="Calibri" w:hAnsi="Calibri"/>
          <w:sz w:val="22"/>
          <w:szCs w:val="22"/>
        </w:rPr>
        <w:t>1</w:t>
      </w:r>
      <w:r w:rsidR="00D835CC" w:rsidRPr="003B2596">
        <w:rPr>
          <w:rFonts w:ascii="Calibri" w:hAnsi="Calibri"/>
          <w:sz w:val="22"/>
          <w:szCs w:val="22"/>
        </w:rPr>
        <w:t>-2</w:t>
      </w:r>
      <w:r w:rsidR="003B2596" w:rsidRPr="003B2596">
        <w:rPr>
          <w:rFonts w:ascii="Calibri" w:hAnsi="Calibri"/>
          <w:sz w:val="22"/>
          <w:szCs w:val="22"/>
        </w:rPr>
        <w:t>2</w:t>
      </w:r>
      <w:r w:rsidR="00D835CC" w:rsidRPr="003B2596">
        <w:rPr>
          <w:rFonts w:ascii="Calibri" w:hAnsi="Calibri"/>
          <w:sz w:val="22"/>
          <w:szCs w:val="22"/>
        </w:rPr>
        <w:t>.</w:t>
      </w:r>
    </w:p>
    <w:p w14:paraId="31ECD697" w14:textId="77777777" w:rsidR="00D835CC" w:rsidRPr="003B2596" w:rsidRDefault="00D835CC" w:rsidP="00D835CC">
      <w:pPr>
        <w:autoSpaceDE w:val="0"/>
        <w:ind w:left="720"/>
        <w:jc w:val="both"/>
        <w:rPr>
          <w:rFonts w:ascii="Calibri" w:hAnsi="Calibri"/>
          <w:sz w:val="22"/>
          <w:szCs w:val="22"/>
        </w:rPr>
      </w:pPr>
      <w:r w:rsidRPr="003B2596">
        <w:rPr>
          <w:rFonts w:ascii="Calibri" w:hAnsi="Calibri"/>
          <w:sz w:val="22"/>
          <w:szCs w:val="22"/>
        </w:rPr>
        <w:t xml:space="preserve"> </w:t>
      </w:r>
    </w:p>
    <w:p w14:paraId="65F13984" w14:textId="77777777" w:rsidR="00D835CC" w:rsidRPr="003B2596" w:rsidRDefault="008A6FEA" w:rsidP="008A6FEA">
      <w:pPr>
        <w:suppressAutoHyphens/>
        <w:autoSpaceDE w:val="0"/>
        <w:ind w:left="720" w:hanging="720"/>
        <w:jc w:val="both"/>
        <w:rPr>
          <w:rFonts w:ascii="Calibri" w:hAnsi="Calibri"/>
          <w:sz w:val="22"/>
          <w:szCs w:val="22"/>
        </w:rPr>
      </w:pPr>
      <w:r w:rsidRPr="003B2596">
        <w:rPr>
          <w:rFonts w:ascii="Calibri" w:hAnsi="Calibri"/>
          <w:sz w:val="22"/>
          <w:szCs w:val="22"/>
        </w:rPr>
        <w:t>1.2</w:t>
      </w:r>
      <w:r w:rsidRPr="003B2596">
        <w:rPr>
          <w:rFonts w:ascii="Calibri" w:hAnsi="Calibri"/>
          <w:sz w:val="22"/>
          <w:szCs w:val="22"/>
        </w:rPr>
        <w:tab/>
      </w:r>
      <w:r w:rsidR="00D835CC" w:rsidRPr="003B2596">
        <w:rPr>
          <w:rFonts w:ascii="Calibri" w:hAnsi="Calibri"/>
          <w:sz w:val="22"/>
          <w:szCs w:val="22"/>
        </w:rPr>
        <w:t>It is designed to complement the annual governance statement of the Surrey PCC, to give the full picture of governance within Surrey Police and the Office of the PCC.</w:t>
      </w:r>
    </w:p>
    <w:p w14:paraId="723874E9" w14:textId="77777777" w:rsidR="00D835CC" w:rsidRPr="003B2596" w:rsidRDefault="00D835CC" w:rsidP="00D835CC">
      <w:pPr>
        <w:autoSpaceDE w:val="0"/>
        <w:jc w:val="both"/>
        <w:rPr>
          <w:rFonts w:ascii="Calibri" w:hAnsi="Calibri"/>
          <w:sz w:val="22"/>
          <w:szCs w:val="22"/>
        </w:rPr>
      </w:pPr>
    </w:p>
    <w:p w14:paraId="7AEA076D" w14:textId="77777777" w:rsidR="00D835CC" w:rsidRPr="003B2596" w:rsidRDefault="008A6FEA" w:rsidP="008A6FEA">
      <w:pPr>
        <w:suppressAutoHyphens/>
        <w:autoSpaceDE w:val="0"/>
        <w:ind w:left="720" w:hanging="720"/>
        <w:jc w:val="both"/>
        <w:rPr>
          <w:rFonts w:ascii="Calibri" w:hAnsi="Calibri"/>
          <w:sz w:val="22"/>
          <w:szCs w:val="22"/>
        </w:rPr>
      </w:pPr>
      <w:r w:rsidRPr="003B2596">
        <w:rPr>
          <w:rFonts w:ascii="Calibri" w:hAnsi="Calibri"/>
          <w:sz w:val="22"/>
          <w:szCs w:val="22"/>
        </w:rPr>
        <w:t>1.3</w:t>
      </w:r>
      <w:r w:rsidRPr="003B2596">
        <w:rPr>
          <w:rFonts w:ascii="Calibri" w:hAnsi="Calibri"/>
          <w:sz w:val="22"/>
          <w:szCs w:val="22"/>
        </w:rPr>
        <w:tab/>
      </w:r>
      <w:r w:rsidR="00D835CC" w:rsidRPr="003B2596">
        <w:rPr>
          <w:rFonts w:ascii="Calibri" w:hAnsi="Calibri"/>
          <w:sz w:val="22"/>
          <w:szCs w:val="22"/>
        </w:rPr>
        <w:t>This statement is informed by an annual review of governance arrangements with assurance on compliance with the seven principles of the Code of Corporate Governance, by on-going audit inspection and external review.</w:t>
      </w:r>
    </w:p>
    <w:p w14:paraId="7F2BD94E" w14:textId="77777777" w:rsidR="00D835CC" w:rsidRPr="003B2596" w:rsidRDefault="00D835CC" w:rsidP="00D835CC">
      <w:pPr>
        <w:autoSpaceDE w:val="0"/>
        <w:ind w:left="720"/>
        <w:jc w:val="both"/>
        <w:rPr>
          <w:rFonts w:ascii="Calibri" w:hAnsi="Calibri"/>
          <w:sz w:val="22"/>
          <w:szCs w:val="22"/>
        </w:rPr>
      </w:pPr>
    </w:p>
    <w:p w14:paraId="503C7727" w14:textId="16DCCED2" w:rsidR="00D835CC" w:rsidRPr="003B2596" w:rsidRDefault="008A6FEA" w:rsidP="008A6FEA">
      <w:pPr>
        <w:suppressAutoHyphens/>
        <w:autoSpaceDE w:val="0"/>
        <w:ind w:left="720" w:hanging="720"/>
        <w:jc w:val="both"/>
        <w:rPr>
          <w:rFonts w:ascii="Calibri" w:hAnsi="Calibri"/>
          <w:sz w:val="22"/>
          <w:szCs w:val="22"/>
        </w:rPr>
      </w:pPr>
      <w:r w:rsidRPr="003B2596">
        <w:rPr>
          <w:rFonts w:ascii="Calibri" w:hAnsi="Calibri"/>
          <w:sz w:val="22"/>
          <w:szCs w:val="22"/>
        </w:rPr>
        <w:t>1.4</w:t>
      </w:r>
      <w:r w:rsidRPr="003B2596">
        <w:rPr>
          <w:rFonts w:ascii="Calibri" w:hAnsi="Calibri"/>
          <w:sz w:val="22"/>
          <w:szCs w:val="22"/>
        </w:rPr>
        <w:tab/>
      </w:r>
      <w:r w:rsidR="00D835CC" w:rsidRPr="003B2596">
        <w:rPr>
          <w:rFonts w:ascii="Calibri" w:hAnsi="Calibri"/>
          <w:sz w:val="22"/>
          <w:szCs w:val="22"/>
        </w:rPr>
        <w:t>Regulation 6(1)(a) of the Accounts and Audit Regulations 2015 requires an authority to conduct a review at least once in a year of the effectiveness of its system of internal control and include a statement reporting on the review with any published Statement of Accounts (England).  This term ‘authority’ includes the Chief Constable and the Police and Crime Commissioner legal entities.  This requirement is reflected in the Code of Practice on Local Authority Accounting in the United Kingdom 20</w:t>
      </w:r>
      <w:r w:rsidR="003B2596" w:rsidRPr="003B2596">
        <w:rPr>
          <w:rFonts w:ascii="Calibri" w:hAnsi="Calibri"/>
          <w:sz w:val="22"/>
          <w:szCs w:val="22"/>
        </w:rPr>
        <w:t>20</w:t>
      </w:r>
      <w:r w:rsidR="00D835CC" w:rsidRPr="003B2596">
        <w:rPr>
          <w:rFonts w:ascii="Calibri" w:hAnsi="Calibri"/>
          <w:sz w:val="22"/>
          <w:szCs w:val="22"/>
        </w:rPr>
        <w:t>/2</w:t>
      </w:r>
      <w:r w:rsidR="003B2596" w:rsidRPr="003B2596">
        <w:rPr>
          <w:rFonts w:ascii="Calibri" w:hAnsi="Calibri"/>
          <w:sz w:val="22"/>
          <w:szCs w:val="22"/>
        </w:rPr>
        <w:t>1</w:t>
      </w:r>
      <w:r w:rsidR="00D835CC" w:rsidRPr="003B2596">
        <w:rPr>
          <w:rFonts w:ascii="Calibri" w:hAnsi="Calibri"/>
          <w:sz w:val="22"/>
          <w:szCs w:val="22"/>
        </w:rPr>
        <w:t xml:space="preserve"> published by the Chartered Institute of Public Finance &amp; Accountancy (CIPFA).</w:t>
      </w:r>
    </w:p>
    <w:p w14:paraId="3AB3E9B6" w14:textId="77777777" w:rsidR="00D835CC" w:rsidRPr="003B2596" w:rsidRDefault="00D835CC" w:rsidP="00D835CC">
      <w:pPr>
        <w:jc w:val="both"/>
        <w:rPr>
          <w:b/>
          <w:sz w:val="22"/>
          <w:szCs w:val="22"/>
        </w:rPr>
      </w:pPr>
    </w:p>
    <w:p w14:paraId="2319BD17" w14:textId="77777777" w:rsidR="008A6FEA" w:rsidRPr="003B2596" w:rsidRDefault="008A6FEA" w:rsidP="008A6FEA">
      <w:pPr>
        <w:shd w:val="clear" w:color="auto" w:fill="0070C0"/>
        <w:jc w:val="both"/>
        <w:rPr>
          <w:rFonts w:ascii="Calibri" w:hAnsi="Calibri"/>
          <w:b/>
          <w:color w:val="FFFFFF"/>
        </w:rPr>
      </w:pPr>
      <w:r w:rsidRPr="003B2596">
        <w:rPr>
          <w:rFonts w:ascii="Calibri" w:hAnsi="Calibri"/>
          <w:b/>
          <w:color w:val="FFFFFF"/>
        </w:rPr>
        <w:t>2</w:t>
      </w:r>
      <w:r w:rsidRPr="003B2596">
        <w:rPr>
          <w:rFonts w:ascii="Calibri" w:hAnsi="Calibri"/>
          <w:b/>
          <w:color w:val="FFFFFF"/>
        </w:rPr>
        <w:tab/>
        <w:t>In response to Covid-19</w:t>
      </w:r>
    </w:p>
    <w:p w14:paraId="2D77EA42" w14:textId="5F5E151D" w:rsidR="00D835CC" w:rsidRPr="008624EF" w:rsidRDefault="003B2596" w:rsidP="00D835CC">
      <w:pPr>
        <w:autoSpaceDE w:val="0"/>
        <w:jc w:val="both"/>
        <w:rPr>
          <w:rFonts w:ascii="Calibri" w:hAnsi="Calibri"/>
          <w:color w:val="FF0000"/>
          <w:sz w:val="22"/>
          <w:szCs w:val="22"/>
        </w:rPr>
      </w:pPr>
      <w:r w:rsidRPr="003B2596">
        <w:rPr>
          <w:rFonts w:ascii="Calibri" w:hAnsi="Calibri"/>
          <w:bCs/>
          <w:i/>
          <w:iCs/>
          <w:color w:val="FF0000"/>
        </w:rPr>
        <w:t xml:space="preserve">NB: THIS SECTION IS AN </w:t>
      </w:r>
      <w:r w:rsidRPr="008624EF">
        <w:rPr>
          <w:rFonts w:ascii="Calibri" w:hAnsi="Calibri"/>
          <w:bCs/>
          <w:i/>
          <w:iCs/>
          <w:color w:val="FF0000"/>
        </w:rPr>
        <w:t>INITIAL DRAFT WHICH WILL BE UPDATED IN SEPTEMBER 2021 TO PROVIDE THE POSITION AS AT THE SIGNING OF THE AGS</w:t>
      </w:r>
    </w:p>
    <w:p w14:paraId="2FF71ADE" w14:textId="77777777" w:rsidR="003B2596" w:rsidRPr="008624EF" w:rsidRDefault="003B2596" w:rsidP="00D835CC">
      <w:pPr>
        <w:autoSpaceDE w:val="0"/>
        <w:jc w:val="both"/>
        <w:rPr>
          <w:rFonts w:ascii="Calibri" w:hAnsi="Calibri"/>
          <w:b/>
          <w:sz w:val="22"/>
          <w:szCs w:val="22"/>
        </w:rPr>
      </w:pPr>
    </w:p>
    <w:p w14:paraId="6C62A3B7" w14:textId="77777777" w:rsidR="00D835CC" w:rsidRPr="008624EF" w:rsidRDefault="00D835CC" w:rsidP="005E3E6F">
      <w:pPr>
        <w:pStyle w:val="ListParagraph"/>
        <w:numPr>
          <w:ilvl w:val="0"/>
          <w:numId w:val="16"/>
        </w:numPr>
        <w:suppressAutoHyphens/>
        <w:autoSpaceDE w:val="0"/>
        <w:contextualSpacing w:val="0"/>
        <w:jc w:val="both"/>
        <w:rPr>
          <w:rFonts w:ascii="Calibri" w:hAnsi="Calibri"/>
          <w:vanish/>
          <w:sz w:val="22"/>
          <w:szCs w:val="22"/>
        </w:rPr>
      </w:pPr>
    </w:p>
    <w:p w14:paraId="1F2F9719" w14:textId="77777777" w:rsidR="00D835CC" w:rsidRPr="008624EF" w:rsidRDefault="00D835CC" w:rsidP="005E3E6F">
      <w:pPr>
        <w:pStyle w:val="ListParagraph"/>
        <w:numPr>
          <w:ilvl w:val="0"/>
          <w:numId w:val="16"/>
        </w:numPr>
        <w:suppressAutoHyphens/>
        <w:autoSpaceDE w:val="0"/>
        <w:contextualSpacing w:val="0"/>
        <w:jc w:val="both"/>
        <w:rPr>
          <w:rFonts w:ascii="Calibri" w:hAnsi="Calibri"/>
          <w:vanish/>
          <w:sz w:val="22"/>
          <w:szCs w:val="22"/>
        </w:rPr>
      </w:pPr>
    </w:p>
    <w:p w14:paraId="7FC4580B" w14:textId="5DC1C0D4" w:rsidR="00D835CC" w:rsidRPr="008624EF" w:rsidRDefault="00D835CC"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The annual governance statement (AGS) needs to be current at the final date of publication which may be later than previous years due to the extended deadlines for statutory reporting for 20</w:t>
      </w:r>
      <w:r w:rsidR="00177720" w:rsidRPr="008624EF">
        <w:rPr>
          <w:rFonts w:ascii="Calibri" w:hAnsi="Calibri"/>
          <w:sz w:val="22"/>
          <w:szCs w:val="22"/>
        </w:rPr>
        <w:t>20</w:t>
      </w:r>
      <w:r w:rsidRPr="008624EF">
        <w:rPr>
          <w:rFonts w:ascii="Calibri" w:hAnsi="Calibri"/>
          <w:sz w:val="22"/>
          <w:szCs w:val="22"/>
        </w:rPr>
        <w:t>-2</w:t>
      </w:r>
      <w:r w:rsidR="00177720" w:rsidRPr="008624EF">
        <w:rPr>
          <w:rFonts w:ascii="Calibri" w:hAnsi="Calibri"/>
          <w:sz w:val="22"/>
          <w:szCs w:val="22"/>
        </w:rPr>
        <w:t>1</w:t>
      </w:r>
      <w:r w:rsidRPr="008624EF">
        <w:rPr>
          <w:rFonts w:ascii="Calibri" w:hAnsi="Calibri"/>
          <w:sz w:val="22"/>
          <w:szCs w:val="22"/>
        </w:rPr>
        <w:t xml:space="preserve">. </w:t>
      </w:r>
      <w:r w:rsidR="00177720" w:rsidRPr="008624EF">
        <w:rPr>
          <w:rFonts w:ascii="Calibri" w:hAnsi="Calibri"/>
          <w:sz w:val="22"/>
          <w:szCs w:val="22"/>
        </w:rPr>
        <w:t>As a result of Covid-19, statutory deadlines have been set for the next two years as 31 July for publication of the draft AGS with the final AGS (ideally post-audit) deadline as 30 September.</w:t>
      </w:r>
    </w:p>
    <w:p w14:paraId="2A72A684" w14:textId="77777777" w:rsidR="00D835CC" w:rsidRPr="008624EF" w:rsidRDefault="00D835CC" w:rsidP="00D835CC">
      <w:pPr>
        <w:autoSpaceDE w:val="0"/>
        <w:ind w:left="720"/>
        <w:jc w:val="both"/>
        <w:rPr>
          <w:rFonts w:ascii="Calibri" w:hAnsi="Calibri"/>
          <w:sz w:val="22"/>
          <w:szCs w:val="22"/>
        </w:rPr>
      </w:pPr>
    </w:p>
    <w:p w14:paraId="0B6AEDFF" w14:textId="3E846721" w:rsidR="00D835CC" w:rsidRPr="008624EF" w:rsidRDefault="00177720" w:rsidP="00177720">
      <w:pPr>
        <w:numPr>
          <w:ilvl w:val="1"/>
          <w:numId w:val="16"/>
        </w:numPr>
        <w:suppressAutoHyphens/>
        <w:autoSpaceDE w:val="0"/>
        <w:jc w:val="both"/>
        <w:rPr>
          <w:rFonts w:ascii="Calibri" w:hAnsi="Calibri"/>
          <w:sz w:val="22"/>
          <w:szCs w:val="22"/>
        </w:rPr>
      </w:pPr>
      <w:r w:rsidRPr="008624EF">
        <w:rPr>
          <w:rFonts w:ascii="Calibri" w:hAnsi="Calibri"/>
          <w:sz w:val="22"/>
          <w:szCs w:val="22"/>
        </w:rPr>
        <w:t>The AGS assesses governance in place during the 2020/21, during which time the Covid-19 coronavirus pandemic had considerable impact on governance arrangements and has continued to do so beyond 31 March 2021. The impact of Covid-19 on existing governance arrangements is under constant review through established risk monitoring processes. The Police and Crime Commissioner is keeping under continuous review the impact of Covid-19 on the operation of the Office of the PCC, the force and partner organisations.</w:t>
      </w:r>
    </w:p>
    <w:p w14:paraId="20391386" w14:textId="77777777" w:rsidR="00D835CC" w:rsidRPr="008624EF" w:rsidRDefault="00D835CC" w:rsidP="00D835CC">
      <w:pPr>
        <w:autoSpaceDE w:val="0"/>
        <w:ind w:left="720"/>
        <w:jc w:val="both"/>
        <w:rPr>
          <w:rFonts w:ascii="Calibri" w:hAnsi="Calibri"/>
          <w:sz w:val="22"/>
          <w:szCs w:val="22"/>
        </w:rPr>
      </w:pPr>
    </w:p>
    <w:p w14:paraId="48AEC4E2" w14:textId="77777777" w:rsidR="00D835CC" w:rsidRPr="008624EF" w:rsidRDefault="00D835CC"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As part of the Coronavirus Bill 2020 two new powers were given to the police:</w:t>
      </w:r>
    </w:p>
    <w:p w14:paraId="73C3FDB2"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Powers Relating to Potentially Infectious Persons – Schedule 20;</w:t>
      </w:r>
    </w:p>
    <w:p w14:paraId="40E88F93"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Powers to Issue Directions Relating to Events, Gathering and Premises – Schedule 21</w:t>
      </w:r>
    </w:p>
    <w:p w14:paraId="34D8C242" w14:textId="77777777" w:rsidR="00D835CC" w:rsidRPr="008624EF" w:rsidRDefault="00D835CC" w:rsidP="00D835CC">
      <w:pPr>
        <w:ind w:left="720"/>
        <w:jc w:val="both"/>
        <w:rPr>
          <w:rFonts w:ascii="Calibri" w:hAnsi="Calibri"/>
          <w:sz w:val="22"/>
          <w:szCs w:val="22"/>
        </w:rPr>
      </w:pPr>
      <w:r w:rsidRPr="008624EF">
        <w:rPr>
          <w:rFonts w:ascii="Calibri" w:hAnsi="Calibri"/>
          <w:sz w:val="22"/>
          <w:szCs w:val="22"/>
        </w:rPr>
        <w:t>In Surrey Police these powers are used only on the express direction of specific individuals.</w:t>
      </w:r>
    </w:p>
    <w:p w14:paraId="7AA13F3B" w14:textId="77777777" w:rsidR="00D835CC" w:rsidRPr="008624EF" w:rsidRDefault="00D835CC" w:rsidP="00D835CC">
      <w:pPr>
        <w:autoSpaceDE w:val="0"/>
        <w:jc w:val="both"/>
        <w:rPr>
          <w:rFonts w:ascii="Calibri" w:hAnsi="Calibri"/>
          <w:sz w:val="22"/>
          <w:szCs w:val="22"/>
        </w:rPr>
      </w:pPr>
    </w:p>
    <w:p w14:paraId="1703B1CC" w14:textId="3CADE325" w:rsidR="00D835CC" w:rsidRPr="008624EF" w:rsidRDefault="008624EF"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Operation Titan</w:t>
      </w:r>
      <w:r w:rsidR="00D835CC" w:rsidRPr="008624EF">
        <w:rPr>
          <w:rFonts w:ascii="Calibri" w:hAnsi="Calibri"/>
          <w:sz w:val="22"/>
          <w:szCs w:val="22"/>
        </w:rPr>
        <w:t>, a ‘gold command’ governance group</w:t>
      </w:r>
      <w:r w:rsidRPr="008624EF">
        <w:rPr>
          <w:rFonts w:ascii="Calibri" w:hAnsi="Calibri"/>
          <w:sz w:val="22"/>
          <w:szCs w:val="22"/>
        </w:rPr>
        <w:t xml:space="preserve"> (formerly known as Op Apollo, but combined during 2021 with the response to the EU Exit and potential issues from severe winter weather)</w:t>
      </w:r>
      <w:r w:rsidR="00D835CC" w:rsidRPr="008624EF">
        <w:rPr>
          <w:rFonts w:ascii="Calibri" w:hAnsi="Calibri"/>
          <w:sz w:val="22"/>
          <w:szCs w:val="22"/>
        </w:rPr>
        <w:t xml:space="preserve"> set up to respond to</w:t>
      </w:r>
      <w:r w:rsidRPr="008624EF">
        <w:rPr>
          <w:rFonts w:ascii="Calibri" w:hAnsi="Calibri"/>
          <w:sz w:val="22"/>
          <w:szCs w:val="22"/>
        </w:rPr>
        <w:t xml:space="preserve"> the challenges of Covid-19 as they were publicly announced,</w:t>
      </w:r>
      <w:r w:rsidR="00D835CC" w:rsidRPr="008624EF">
        <w:rPr>
          <w:rFonts w:ascii="Calibri" w:hAnsi="Calibri"/>
          <w:sz w:val="22"/>
          <w:szCs w:val="22"/>
        </w:rPr>
        <w:t xml:space="preserve"> maintained a robust control environment to capture issues, assess capacity and capability, manage stakeholder engagement, make decisions and coordinate the Surrey Police response to Covid-19. </w:t>
      </w:r>
    </w:p>
    <w:p w14:paraId="03C8A03A" w14:textId="77777777" w:rsidR="00D835CC" w:rsidRPr="008624EF" w:rsidRDefault="00D835CC" w:rsidP="00D835CC">
      <w:pPr>
        <w:pStyle w:val="ListParagraph"/>
        <w:rPr>
          <w:rFonts w:ascii="Calibri" w:hAnsi="Calibri"/>
          <w:sz w:val="22"/>
          <w:szCs w:val="22"/>
        </w:rPr>
      </w:pPr>
    </w:p>
    <w:p w14:paraId="42B77EA0" w14:textId="4AACC8EE" w:rsidR="00D835CC" w:rsidRPr="008624EF" w:rsidRDefault="00D835CC"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 xml:space="preserve">Extensive internal and external communications, managed via Operation </w:t>
      </w:r>
      <w:r w:rsidR="008624EF" w:rsidRPr="008624EF">
        <w:rPr>
          <w:rFonts w:ascii="Calibri" w:hAnsi="Calibri"/>
          <w:sz w:val="22"/>
          <w:szCs w:val="22"/>
        </w:rPr>
        <w:t>Titan</w:t>
      </w:r>
      <w:r w:rsidRPr="008624EF">
        <w:rPr>
          <w:rFonts w:ascii="Calibri" w:hAnsi="Calibri"/>
          <w:sz w:val="22"/>
          <w:szCs w:val="22"/>
        </w:rPr>
        <w:t xml:space="preserve"> issued the latest information and guidance to staff and officers daily to include; briefings, operational guidance, intelligence updates, personal guidance, line manager advice, staff impact and wellbeing resources. </w:t>
      </w:r>
    </w:p>
    <w:p w14:paraId="1481AAC0" w14:textId="77777777" w:rsidR="00D835CC" w:rsidRPr="008624EF" w:rsidRDefault="00D835CC" w:rsidP="00D835CC">
      <w:pPr>
        <w:pStyle w:val="ListParagraph"/>
        <w:rPr>
          <w:rFonts w:ascii="Calibri" w:hAnsi="Calibri"/>
          <w:sz w:val="22"/>
          <w:szCs w:val="22"/>
        </w:rPr>
      </w:pPr>
    </w:p>
    <w:p w14:paraId="4D804D6F" w14:textId="77777777" w:rsidR="00D835CC" w:rsidRPr="008624EF" w:rsidRDefault="00D835CC"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Activation of ‘social distancing’ policies and business continuity plans were invoked early on:</w:t>
      </w:r>
    </w:p>
    <w:p w14:paraId="4E277251"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 xml:space="preserve">Employees were instructed to avoid unnecessary travel and non-essential physical contact; </w:t>
      </w:r>
    </w:p>
    <w:p w14:paraId="5A5962D8"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Familiarity with PPE guidance promoted in recognition of inevitable physical contact in policing</w:t>
      </w:r>
    </w:p>
    <w:p w14:paraId="3231D502"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NHS hygiene advice made available to all staff and officers;</w:t>
      </w:r>
    </w:p>
    <w:p w14:paraId="3CC56DB7"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Managers encouraged to support remote/home working for non-operational staff;</w:t>
      </w:r>
    </w:p>
    <w:p w14:paraId="7D0EE3F6"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Face to face meetings, wherever possible were moved to teleconference or alternative virtual meeting space e.g. Skype;</w:t>
      </w:r>
    </w:p>
    <w:p w14:paraId="3F4C5671"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Non-urgent meetings, events and conferences cancelled or postponed in consultation with stakeholders.</w:t>
      </w:r>
    </w:p>
    <w:p w14:paraId="6E9D137A" w14:textId="77777777" w:rsidR="00D835CC" w:rsidRPr="008624EF" w:rsidRDefault="00D835CC" w:rsidP="00D835CC">
      <w:pPr>
        <w:autoSpaceDE w:val="0"/>
        <w:ind w:left="720"/>
        <w:jc w:val="both"/>
        <w:rPr>
          <w:rFonts w:ascii="Calibri" w:hAnsi="Calibri"/>
          <w:sz w:val="22"/>
          <w:szCs w:val="22"/>
        </w:rPr>
      </w:pPr>
    </w:p>
    <w:p w14:paraId="1B0114C7" w14:textId="4F687E2B" w:rsidR="00D835CC" w:rsidRPr="008624EF" w:rsidRDefault="00D835CC"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Instruction was given mid-March</w:t>
      </w:r>
      <w:r w:rsidR="008624EF" w:rsidRPr="008624EF">
        <w:rPr>
          <w:rFonts w:ascii="Calibri" w:hAnsi="Calibri"/>
          <w:sz w:val="22"/>
          <w:szCs w:val="22"/>
        </w:rPr>
        <w:t xml:space="preserve"> 2020</w:t>
      </w:r>
      <w:r w:rsidRPr="008624EF">
        <w:rPr>
          <w:rFonts w:ascii="Calibri" w:hAnsi="Calibri"/>
          <w:sz w:val="22"/>
          <w:szCs w:val="22"/>
        </w:rPr>
        <w:t xml:space="preserve"> for all staff to work from home where possible in line with restrictions on public life made by the UK Government to slow the effects of Coronavirus and protect NHS resources.</w:t>
      </w:r>
      <w:r w:rsidR="008624EF" w:rsidRPr="008624EF">
        <w:rPr>
          <w:rFonts w:ascii="Calibri" w:hAnsi="Calibri"/>
          <w:sz w:val="22"/>
          <w:szCs w:val="22"/>
        </w:rPr>
        <w:t xml:space="preserve"> Regular updates were issued throughout the year to reflect changes in restrictions.</w:t>
      </w:r>
    </w:p>
    <w:p w14:paraId="1386C7AC" w14:textId="77777777" w:rsidR="00D835CC" w:rsidRPr="008624EF" w:rsidRDefault="00D835CC" w:rsidP="00D835CC">
      <w:pPr>
        <w:autoSpaceDE w:val="0"/>
        <w:ind w:left="720"/>
        <w:jc w:val="both"/>
        <w:rPr>
          <w:rFonts w:ascii="Calibri" w:hAnsi="Calibri"/>
          <w:sz w:val="22"/>
          <w:szCs w:val="22"/>
        </w:rPr>
      </w:pPr>
    </w:p>
    <w:p w14:paraId="34A6DFDC" w14:textId="77777777" w:rsidR="00D835CC" w:rsidRPr="008624EF" w:rsidRDefault="00D835CC"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Other changes to governance arrangements as a result of Covid-19 include:</w:t>
      </w:r>
    </w:p>
    <w:p w14:paraId="00E6D49D"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Force command structure across Surrey Police and Sussex Police changes to increase resilience around the policing response;</w:t>
      </w:r>
    </w:p>
    <w:p w14:paraId="32774EC6" w14:textId="26D55E9D"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Redeployment of staff to support the front-lin</w:t>
      </w:r>
      <w:r w:rsidR="008624EF" w:rsidRPr="008624EF">
        <w:rPr>
          <w:rFonts w:ascii="Calibri" w:hAnsi="Calibri"/>
          <w:sz w:val="22"/>
          <w:szCs w:val="22"/>
        </w:rPr>
        <w:t>e workforce and Operation Titan</w:t>
      </w:r>
      <w:r w:rsidRPr="008624EF">
        <w:rPr>
          <w:rFonts w:ascii="Calibri" w:hAnsi="Calibri"/>
          <w:sz w:val="22"/>
          <w:szCs w:val="22"/>
        </w:rPr>
        <w:t>;</w:t>
      </w:r>
    </w:p>
    <w:p w14:paraId="2615BD33"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Redeployment of officers to changes in priorities and crime demands arising from Covid-19;</w:t>
      </w:r>
    </w:p>
    <w:p w14:paraId="2B082682"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Frequent dialogue maintained with government officials and key stakeholders on the financial impact on policing resulting from Covid-19;</w:t>
      </w:r>
    </w:p>
    <w:p w14:paraId="72BA044E"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Monitoring and approval process through Operation Apollo to deal with additional costs e.g. pay related costs, personal protective equipment (PPE) for frontline staff, IT investment to allow people to work from home and income losses;</w:t>
      </w:r>
    </w:p>
    <w:p w14:paraId="654419EF" w14:textId="77777777" w:rsidR="00D835CC" w:rsidRPr="008624EF" w:rsidRDefault="00D835CC" w:rsidP="00D835CC">
      <w:pPr>
        <w:numPr>
          <w:ilvl w:val="0"/>
          <w:numId w:val="2"/>
        </w:numPr>
        <w:tabs>
          <w:tab w:val="num" w:pos="1080"/>
        </w:tabs>
        <w:suppressAutoHyphens/>
        <w:ind w:left="1080"/>
        <w:jc w:val="both"/>
        <w:rPr>
          <w:rFonts w:ascii="Calibri" w:hAnsi="Calibri"/>
          <w:sz w:val="22"/>
          <w:szCs w:val="22"/>
        </w:rPr>
      </w:pPr>
      <w:r w:rsidRPr="008624EF">
        <w:rPr>
          <w:rFonts w:ascii="Calibri" w:hAnsi="Calibri"/>
          <w:sz w:val="22"/>
          <w:szCs w:val="22"/>
        </w:rPr>
        <w:t xml:space="preserve">More flexible use of Government Procurement Cards and increased local floats to facilitate urgent purchases. </w:t>
      </w:r>
    </w:p>
    <w:p w14:paraId="00A3D625" w14:textId="77777777" w:rsidR="00D835CC" w:rsidRPr="008624EF" w:rsidRDefault="00D835CC" w:rsidP="00D835CC">
      <w:pPr>
        <w:pStyle w:val="ListParagraph"/>
        <w:rPr>
          <w:rFonts w:ascii="Calibri" w:hAnsi="Calibri"/>
          <w:sz w:val="22"/>
          <w:szCs w:val="22"/>
        </w:rPr>
      </w:pPr>
    </w:p>
    <w:p w14:paraId="285B07A2" w14:textId="77777777" w:rsidR="00D835CC" w:rsidRPr="008624EF" w:rsidRDefault="00D835CC" w:rsidP="005E3E6F">
      <w:pPr>
        <w:numPr>
          <w:ilvl w:val="1"/>
          <w:numId w:val="16"/>
        </w:numPr>
        <w:suppressAutoHyphens/>
        <w:autoSpaceDE w:val="0"/>
        <w:jc w:val="both"/>
        <w:rPr>
          <w:rFonts w:ascii="Calibri" w:hAnsi="Calibri"/>
          <w:sz w:val="22"/>
          <w:szCs w:val="22"/>
        </w:rPr>
      </w:pPr>
      <w:r w:rsidRPr="008624EF">
        <w:rPr>
          <w:rFonts w:ascii="Calibri" w:hAnsi="Calibri"/>
          <w:sz w:val="22"/>
          <w:szCs w:val="22"/>
        </w:rPr>
        <w:t>Since 31 March 2020 the following governance issues arose relating to Covid-19:</w:t>
      </w:r>
    </w:p>
    <w:p w14:paraId="4740A28D" w14:textId="77777777" w:rsidR="00D835CC" w:rsidRPr="008624EF" w:rsidRDefault="00D835CC" w:rsidP="005E3E6F">
      <w:pPr>
        <w:numPr>
          <w:ilvl w:val="0"/>
          <w:numId w:val="17"/>
        </w:numPr>
        <w:suppressAutoHyphens/>
        <w:autoSpaceDE w:val="0"/>
        <w:jc w:val="both"/>
        <w:rPr>
          <w:rFonts w:ascii="Calibri" w:hAnsi="Calibri"/>
          <w:sz w:val="22"/>
          <w:szCs w:val="22"/>
        </w:rPr>
      </w:pPr>
      <w:r w:rsidRPr="008624EF">
        <w:rPr>
          <w:rFonts w:ascii="Calibri" w:hAnsi="Calibri"/>
          <w:sz w:val="22"/>
          <w:szCs w:val="22"/>
        </w:rPr>
        <w:t>National procurement contribution towards personal protective equipment (£5m Surrey Police &amp; Sussex Police) requiring legal and procurement expertise and cash flow management;</w:t>
      </w:r>
    </w:p>
    <w:p w14:paraId="15A8D241" w14:textId="77777777" w:rsidR="00D835CC" w:rsidRPr="008624EF" w:rsidRDefault="00D835CC" w:rsidP="005E3E6F">
      <w:pPr>
        <w:numPr>
          <w:ilvl w:val="0"/>
          <w:numId w:val="17"/>
        </w:numPr>
        <w:suppressAutoHyphens/>
        <w:autoSpaceDE w:val="0"/>
        <w:jc w:val="both"/>
        <w:rPr>
          <w:rFonts w:ascii="Calibri" w:hAnsi="Calibri"/>
          <w:sz w:val="22"/>
          <w:szCs w:val="22"/>
        </w:rPr>
      </w:pPr>
      <w:r w:rsidRPr="008624EF">
        <w:rPr>
          <w:rFonts w:ascii="Calibri" w:hAnsi="Calibri"/>
          <w:sz w:val="22"/>
          <w:szCs w:val="22"/>
        </w:rPr>
        <w:t>Strategic review of budgets, existing projects and capital programmes with a view to mitigate costs arising from Covid-19 and support financial sustainability;</w:t>
      </w:r>
    </w:p>
    <w:p w14:paraId="0896CD4D" w14:textId="77777777" w:rsidR="00D835CC" w:rsidRPr="008624EF" w:rsidRDefault="00D835CC" w:rsidP="005E3E6F">
      <w:pPr>
        <w:numPr>
          <w:ilvl w:val="0"/>
          <w:numId w:val="17"/>
        </w:numPr>
        <w:suppressAutoHyphens/>
        <w:autoSpaceDE w:val="0"/>
        <w:jc w:val="both"/>
        <w:rPr>
          <w:rFonts w:ascii="Calibri" w:hAnsi="Calibri"/>
          <w:sz w:val="22"/>
          <w:szCs w:val="22"/>
        </w:rPr>
      </w:pPr>
      <w:r w:rsidRPr="008624EF">
        <w:rPr>
          <w:rFonts w:ascii="Calibri" w:hAnsi="Calibri"/>
          <w:sz w:val="22"/>
          <w:szCs w:val="22"/>
        </w:rPr>
        <w:t>Supply chain management including immediate payment of suppliers and/or exceptional payments in advance to mitigate risk of failure by essential suppliers;</w:t>
      </w:r>
    </w:p>
    <w:p w14:paraId="1C4EB39B" w14:textId="2DF264CB" w:rsidR="00D835CC" w:rsidRPr="008624EF" w:rsidRDefault="00D835CC" w:rsidP="005E3E6F">
      <w:pPr>
        <w:numPr>
          <w:ilvl w:val="0"/>
          <w:numId w:val="17"/>
        </w:numPr>
        <w:suppressAutoHyphens/>
        <w:autoSpaceDE w:val="0"/>
        <w:jc w:val="both"/>
        <w:rPr>
          <w:rFonts w:ascii="Calibri" w:hAnsi="Calibri"/>
          <w:sz w:val="22"/>
          <w:szCs w:val="22"/>
        </w:rPr>
      </w:pPr>
      <w:r w:rsidRPr="008624EF">
        <w:rPr>
          <w:rFonts w:ascii="Calibri" w:hAnsi="Calibri"/>
          <w:sz w:val="22"/>
          <w:szCs w:val="22"/>
        </w:rPr>
        <w:t>Greater likelihood of borrowing requirement due to additional costs and potential reductions in income</w:t>
      </w:r>
      <w:r w:rsidR="008624EF" w:rsidRPr="008624EF">
        <w:rPr>
          <w:rFonts w:ascii="Calibri" w:hAnsi="Calibri"/>
          <w:sz w:val="22"/>
          <w:szCs w:val="22"/>
        </w:rPr>
        <w:t xml:space="preserve"> during the year were largely mitigated by government grants covering costs in relation to Covid-19. However the longer term impacts on the economy will </w:t>
      </w:r>
      <w:r w:rsidRPr="008624EF">
        <w:rPr>
          <w:rFonts w:ascii="Calibri" w:hAnsi="Calibri"/>
          <w:sz w:val="22"/>
          <w:szCs w:val="22"/>
        </w:rPr>
        <w:t>impact on medium term financial planning.</w:t>
      </w:r>
    </w:p>
    <w:p w14:paraId="124CF05E" w14:textId="77777777" w:rsidR="00D835CC" w:rsidRPr="008624EF" w:rsidRDefault="00D835CC" w:rsidP="00D835CC">
      <w:pPr>
        <w:autoSpaceDE w:val="0"/>
        <w:ind w:left="720"/>
        <w:jc w:val="both"/>
        <w:rPr>
          <w:rFonts w:ascii="Calibri" w:hAnsi="Calibri"/>
          <w:sz w:val="22"/>
          <w:szCs w:val="22"/>
        </w:rPr>
      </w:pPr>
    </w:p>
    <w:p w14:paraId="2CADFC53" w14:textId="77777777" w:rsidR="00D835CC" w:rsidRPr="003B2596" w:rsidRDefault="00D835CC" w:rsidP="00D835CC">
      <w:pPr>
        <w:shd w:val="clear" w:color="auto" w:fill="4472C4"/>
        <w:autoSpaceDE w:val="0"/>
        <w:jc w:val="both"/>
        <w:rPr>
          <w:rFonts w:ascii="Calibri" w:hAnsi="Calibri"/>
          <w:b/>
          <w:color w:val="FFFFFF"/>
          <w:sz w:val="22"/>
          <w:szCs w:val="22"/>
        </w:rPr>
      </w:pPr>
      <w:r w:rsidRPr="008624EF">
        <w:rPr>
          <w:rFonts w:ascii="Calibri" w:hAnsi="Calibri"/>
          <w:b/>
          <w:color w:val="FFFFFF"/>
          <w:sz w:val="22"/>
          <w:szCs w:val="22"/>
        </w:rPr>
        <w:t>3</w:t>
      </w:r>
      <w:r w:rsidRPr="008624EF">
        <w:rPr>
          <w:rFonts w:ascii="Calibri" w:hAnsi="Calibri"/>
          <w:b/>
          <w:color w:val="FFFFFF"/>
          <w:sz w:val="22"/>
          <w:szCs w:val="22"/>
        </w:rPr>
        <w:tab/>
        <w:t>Scope of Responsibilities</w:t>
      </w:r>
    </w:p>
    <w:p w14:paraId="29B5BC25" w14:textId="77777777" w:rsidR="00D835CC" w:rsidRPr="003B2596" w:rsidRDefault="00D835CC" w:rsidP="00D835CC">
      <w:pPr>
        <w:jc w:val="both"/>
        <w:rPr>
          <w:b/>
          <w:sz w:val="22"/>
          <w:szCs w:val="22"/>
        </w:rPr>
      </w:pPr>
    </w:p>
    <w:p w14:paraId="3BFF8F90" w14:textId="77777777" w:rsidR="00D835CC" w:rsidRPr="008624EF" w:rsidRDefault="00D835CC" w:rsidP="00D835CC">
      <w:pPr>
        <w:ind w:left="709" w:hanging="709"/>
        <w:jc w:val="both"/>
        <w:rPr>
          <w:rFonts w:ascii="Calibri" w:hAnsi="Calibri"/>
          <w:sz w:val="22"/>
          <w:szCs w:val="22"/>
        </w:rPr>
      </w:pPr>
      <w:r w:rsidRPr="008624EF">
        <w:rPr>
          <w:rFonts w:ascii="Calibri" w:hAnsi="Calibri"/>
          <w:sz w:val="22"/>
          <w:szCs w:val="22"/>
        </w:rPr>
        <w:t>3.1</w:t>
      </w:r>
      <w:r w:rsidRPr="008624EF">
        <w:rPr>
          <w:rFonts w:ascii="Calibri" w:hAnsi="Calibri"/>
          <w:sz w:val="22"/>
          <w:szCs w:val="22"/>
        </w:rPr>
        <w:tab/>
      </w:r>
      <w:r w:rsidRPr="008624EF">
        <w:rPr>
          <w:rFonts w:ascii="Calibri" w:hAnsi="Calibri"/>
          <w:sz w:val="22"/>
          <w:szCs w:val="22"/>
        </w:rPr>
        <w:tab/>
        <w:t xml:space="preserve">The Chief Constable and the PCC are responsible for ensuring business is conducted in accordance with the law and proper standards, and that public money is safeguarded and is properly accounted for. </w:t>
      </w:r>
    </w:p>
    <w:p w14:paraId="56336306" w14:textId="77777777" w:rsidR="00D835CC" w:rsidRPr="008624EF" w:rsidRDefault="00D835CC" w:rsidP="00D835CC">
      <w:pPr>
        <w:ind w:left="709" w:hanging="709"/>
        <w:jc w:val="both"/>
        <w:rPr>
          <w:rFonts w:ascii="Calibri" w:hAnsi="Calibri"/>
          <w:sz w:val="22"/>
          <w:szCs w:val="22"/>
        </w:rPr>
      </w:pPr>
    </w:p>
    <w:p w14:paraId="0C6AC39C" w14:textId="77777777" w:rsidR="00D835CC" w:rsidRPr="008624EF" w:rsidRDefault="00D835CC" w:rsidP="00D835CC">
      <w:pPr>
        <w:ind w:left="709" w:hanging="709"/>
        <w:jc w:val="both"/>
        <w:rPr>
          <w:rFonts w:ascii="Calibri" w:hAnsi="Calibri"/>
          <w:sz w:val="22"/>
          <w:szCs w:val="22"/>
        </w:rPr>
      </w:pPr>
      <w:r w:rsidRPr="008624EF">
        <w:rPr>
          <w:rFonts w:ascii="Calibri" w:hAnsi="Calibri"/>
          <w:sz w:val="22"/>
          <w:szCs w:val="22"/>
        </w:rPr>
        <w:t>3.2</w:t>
      </w:r>
      <w:r w:rsidRPr="008624EF">
        <w:rPr>
          <w:rFonts w:ascii="Calibri" w:hAnsi="Calibri"/>
          <w:sz w:val="22"/>
          <w:szCs w:val="22"/>
        </w:rPr>
        <w:tab/>
        <w:t>Under the Policing Protocol 2011 the PCC has responsibility for the delivery of efficient and effective policing, management of resources and expenditure by the police force. The PCC has a statutory responsibility to obtain views from the community and victims of crime about the policing of the Force area and must take into account the views of responsible authorities. These views inform the PCC’s Police and Crime Plan which sets the strategic direction and priorities for the Force.</w:t>
      </w:r>
    </w:p>
    <w:p w14:paraId="76DEF6C2" w14:textId="77777777" w:rsidR="00D835CC" w:rsidRPr="008624EF" w:rsidRDefault="00D835CC" w:rsidP="00D835CC">
      <w:pPr>
        <w:ind w:left="709" w:hanging="709"/>
        <w:jc w:val="both"/>
        <w:rPr>
          <w:rFonts w:ascii="Calibri" w:hAnsi="Calibri"/>
          <w:sz w:val="22"/>
          <w:szCs w:val="22"/>
        </w:rPr>
      </w:pPr>
    </w:p>
    <w:p w14:paraId="62AD6E6E" w14:textId="77777777" w:rsidR="00D835CC" w:rsidRPr="008624EF" w:rsidRDefault="00D835CC" w:rsidP="00D835CC">
      <w:pPr>
        <w:ind w:left="709" w:hanging="709"/>
        <w:jc w:val="both"/>
        <w:rPr>
          <w:rFonts w:ascii="Calibri" w:hAnsi="Calibri"/>
          <w:sz w:val="22"/>
          <w:szCs w:val="22"/>
        </w:rPr>
      </w:pPr>
      <w:r w:rsidRPr="008624EF">
        <w:rPr>
          <w:rFonts w:ascii="Calibri" w:hAnsi="Calibri"/>
          <w:sz w:val="22"/>
          <w:szCs w:val="22"/>
        </w:rPr>
        <w:t>3.3</w:t>
      </w:r>
      <w:r w:rsidRPr="008624EF">
        <w:rPr>
          <w:rFonts w:ascii="Calibri" w:hAnsi="Calibri"/>
          <w:sz w:val="22"/>
          <w:szCs w:val="22"/>
        </w:rPr>
        <w:tab/>
      </w:r>
      <w:r w:rsidRPr="008624EF">
        <w:rPr>
          <w:rFonts w:ascii="Calibri" w:hAnsi="Calibri" w:cs="Verdana"/>
          <w:sz w:val="22"/>
          <w:szCs w:val="22"/>
        </w:rPr>
        <w:t xml:space="preserve">The Chief Constable has a statutory responsibility for the control, direction and delivery of operational policing services provided by Surrey Police </w:t>
      </w:r>
      <w:r w:rsidRPr="008624EF">
        <w:rPr>
          <w:rFonts w:ascii="Calibri" w:hAnsi="Calibri"/>
          <w:sz w:val="22"/>
          <w:szCs w:val="22"/>
        </w:rPr>
        <w:t>(the Force),</w:t>
      </w:r>
      <w:r w:rsidRPr="008624EF">
        <w:rPr>
          <w:rFonts w:ascii="Calibri" w:hAnsi="Calibri" w:cs="Verdana"/>
          <w:sz w:val="22"/>
          <w:szCs w:val="22"/>
        </w:rPr>
        <w:t xml:space="preserve"> having regard to the strategic direction and priorities set by the PCC in the Police and Crime Plan.</w:t>
      </w:r>
      <w:r w:rsidRPr="008624EF">
        <w:rPr>
          <w:rFonts w:ascii="Calibri" w:hAnsi="Calibri"/>
          <w:sz w:val="22"/>
          <w:szCs w:val="22"/>
        </w:rPr>
        <w:t xml:space="preserve">  In discharging this overall responsibility, the Chief Constable is responsible for establishing and maintaining appropriate risk management processes, governance arrangements and ensuring that there is a sound system of internal control, which facilitates the effective exercise of these functions.  </w:t>
      </w:r>
    </w:p>
    <w:p w14:paraId="327258D7" w14:textId="77777777" w:rsidR="00D835CC" w:rsidRPr="008624EF" w:rsidRDefault="00D835CC" w:rsidP="00D835CC">
      <w:pPr>
        <w:ind w:left="709" w:hanging="709"/>
        <w:jc w:val="both"/>
        <w:rPr>
          <w:rFonts w:ascii="Calibri" w:hAnsi="Calibri"/>
          <w:sz w:val="22"/>
          <w:szCs w:val="22"/>
        </w:rPr>
      </w:pPr>
    </w:p>
    <w:p w14:paraId="67C6F2A4" w14:textId="77777777" w:rsidR="00D835CC" w:rsidRPr="008624EF" w:rsidRDefault="00D835CC" w:rsidP="00D835CC">
      <w:pPr>
        <w:ind w:left="709" w:hanging="709"/>
        <w:jc w:val="both"/>
        <w:rPr>
          <w:rFonts w:ascii="Calibri" w:hAnsi="Calibri"/>
          <w:sz w:val="22"/>
          <w:szCs w:val="22"/>
        </w:rPr>
      </w:pPr>
      <w:r w:rsidRPr="008624EF">
        <w:rPr>
          <w:rFonts w:ascii="Calibri" w:hAnsi="Calibri"/>
          <w:sz w:val="22"/>
          <w:szCs w:val="22"/>
        </w:rPr>
        <w:t>3.4</w:t>
      </w:r>
      <w:r w:rsidRPr="008624EF">
        <w:rPr>
          <w:rFonts w:ascii="Calibri" w:hAnsi="Calibri"/>
          <w:sz w:val="22"/>
          <w:szCs w:val="22"/>
        </w:rPr>
        <w:tab/>
        <w:t>Surrey Police continues to follow the principles of the CIPFA Framework: ‘</w:t>
      </w:r>
      <w:r w:rsidRPr="008624EF">
        <w:rPr>
          <w:rFonts w:ascii="Calibri" w:hAnsi="Calibri"/>
          <w:iCs/>
          <w:sz w:val="22"/>
          <w:szCs w:val="22"/>
        </w:rPr>
        <w:t>Delivering Good</w:t>
      </w:r>
      <w:r w:rsidRPr="008624EF">
        <w:rPr>
          <w:rFonts w:ascii="Calibri" w:hAnsi="Calibri"/>
          <w:sz w:val="22"/>
          <w:szCs w:val="22"/>
        </w:rPr>
        <w:t xml:space="preserve"> Go</w:t>
      </w:r>
      <w:r w:rsidRPr="008624EF">
        <w:rPr>
          <w:rFonts w:ascii="Calibri" w:hAnsi="Calibri"/>
          <w:iCs/>
          <w:sz w:val="22"/>
          <w:szCs w:val="22"/>
        </w:rPr>
        <w:t>vernance in Local Government’</w:t>
      </w:r>
      <w:r w:rsidRPr="008624EF">
        <w:rPr>
          <w:rStyle w:val="FootnoteReference"/>
          <w:rFonts w:ascii="Calibri" w:hAnsi="Calibri"/>
          <w:iCs/>
          <w:sz w:val="22"/>
          <w:szCs w:val="22"/>
        </w:rPr>
        <w:footnoteReference w:id="2"/>
      </w:r>
      <w:r w:rsidRPr="008624EF">
        <w:rPr>
          <w:rFonts w:ascii="Calibri" w:hAnsi="Calibri"/>
          <w:sz w:val="22"/>
          <w:szCs w:val="22"/>
        </w:rPr>
        <w:t xml:space="preserve"> and the guidance notes for policing bodies (revised 2016)</w:t>
      </w:r>
      <w:r w:rsidRPr="008624EF">
        <w:rPr>
          <w:rStyle w:val="FootnoteReference"/>
          <w:rFonts w:ascii="Calibri" w:hAnsi="Calibri"/>
          <w:sz w:val="22"/>
          <w:szCs w:val="22"/>
        </w:rPr>
        <w:footnoteReference w:id="3"/>
      </w:r>
      <w:r w:rsidRPr="008624EF">
        <w:rPr>
          <w:rFonts w:ascii="Calibri" w:hAnsi="Calibri"/>
          <w:sz w:val="22"/>
          <w:szCs w:val="22"/>
        </w:rPr>
        <w:t>.</w:t>
      </w:r>
    </w:p>
    <w:p w14:paraId="565762CE" w14:textId="77777777" w:rsidR="00D835CC" w:rsidRPr="008624EF" w:rsidRDefault="00D835CC" w:rsidP="00D835CC">
      <w:pPr>
        <w:ind w:left="709" w:hanging="709"/>
        <w:jc w:val="both"/>
        <w:rPr>
          <w:rFonts w:ascii="Calibri" w:hAnsi="Calibri"/>
          <w:sz w:val="22"/>
          <w:szCs w:val="22"/>
        </w:rPr>
      </w:pPr>
      <w:r w:rsidRPr="008624EF">
        <w:rPr>
          <w:rFonts w:ascii="Calibri" w:hAnsi="Calibri"/>
          <w:i/>
          <w:sz w:val="22"/>
          <w:szCs w:val="22"/>
        </w:rPr>
        <w:t xml:space="preserve">  </w:t>
      </w:r>
    </w:p>
    <w:p w14:paraId="717661E2" w14:textId="77777777" w:rsidR="00D835CC" w:rsidRPr="008624EF" w:rsidRDefault="00D835CC" w:rsidP="00D835CC">
      <w:pPr>
        <w:ind w:left="709" w:hanging="709"/>
        <w:jc w:val="both"/>
        <w:rPr>
          <w:rFonts w:ascii="Calibri" w:hAnsi="Calibri"/>
          <w:sz w:val="22"/>
          <w:szCs w:val="22"/>
        </w:rPr>
      </w:pPr>
      <w:r w:rsidRPr="008624EF">
        <w:rPr>
          <w:rFonts w:ascii="Calibri" w:hAnsi="Calibri"/>
          <w:sz w:val="22"/>
          <w:szCs w:val="22"/>
        </w:rPr>
        <w:t>3.5</w:t>
      </w:r>
      <w:r w:rsidRPr="008624EF">
        <w:rPr>
          <w:rFonts w:ascii="Calibri" w:hAnsi="Calibri"/>
          <w:sz w:val="22"/>
          <w:szCs w:val="22"/>
        </w:rPr>
        <w:tab/>
        <w:t xml:space="preserve">This statement explains how the Force has complied with the principles and also meets the requirements of regulation 6 of the Accounts and Audit Regulations 2015 in relation to the publication of a statement on internal control. </w:t>
      </w:r>
    </w:p>
    <w:p w14:paraId="65960E44" w14:textId="77777777" w:rsidR="00D835CC" w:rsidRPr="008624EF" w:rsidRDefault="00D835CC" w:rsidP="00D835CC">
      <w:pPr>
        <w:ind w:left="709" w:hanging="709"/>
        <w:jc w:val="both"/>
        <w:rPr>
          <w:rFonts w:ascii="Calibri" w:hAnsi="Calibri"/>
          <w:sz w:val="22"/>
          <w:szCs w:val="22"/>
        </w:rPr>
      </w:pPr>
    </w:p>
    <w:p w14:paraId="48AE2796" w14:textId="3EF20E46" w:rsidR="00D835CC" w:rsidRPr="003B2596" w:rsidRDefault="00D835CC" w:rsidP="00C5423F">
      <w:pPr>
        <w:ind w:left="709" w:hanging="709"/>
        <w:jc w:val="both"/>
        <w:rPr>
          <w:rFonts w:ascii="Calibri" w:hAnsi="Calibri"/>
          <w:sz w:val="22"/>
          <w:szCs w:val="22"/>
        </w:rPr>
      </w:pPr>
      <w:r w:rsidRPr="00C10852">
        <w:rPr>
          <w:rFonts w:ascii="Calibri" w:hAnsi="Calibri"/>
          <w:sz w:val="22"/>
          <w:szCs w:val="22"/>
        </w:rPr>
        <w:t>3.6</w:t>
      </w:r>
      <w:r w:rsidRPr="00C10852">
        <w:rPr>
          <w:rFonts w:ascii="Calibri" w:hAnsi="Calibri"/>
          <w:sz w:val="22"/>
          <w:szCs w:val="22"/>
        </w:rPr>
        <w:tab/>
        <w:t>The Force’s financial management arrangements conform to the governance requirements of CIPFA's Statement on ‘The role of the Chief Finance Officer of the Police and Crime Commissioner and the Chief Finance Officer of the Chief Constable (July 2012)’</w:t>
      </w:r>
      <w:r w:rsidRPr="00C10852">
        <w:rPr>
          <w:rStyle w:val="FootnoteReference"/>
          <w:rFonts w:ascii="Calibri" w:hAnsi="Calibri"/>
          <w:sz w:val="22"/>
          <w:szCs w:val="22"/>
        </w:rPr>
        <w:footnoteReference w:id="4"/>
      </w:r>
      <w:r w:rsidRPr="00C10852">
        <w:rPr>
          <w:rFonts w:ascii="Calibri" w:hAnsi="Calibri"/>
          <w:sz w:val="22"/>
          <w:szCs w:val="22"/>
        </w:rPr>
        <w:t xml:space="preserve">. </w:t>
      </w:r>
      <w:r w:rsidR="00C10852" w:rsidRPr="00C10852">
        <w:rPr>
          <w:rFonts w:ascii="Calibri" w:hAnsi="Calibri"/>
          <w:sz w:val="22"/>
          <w:szCs w:val="22"/>
        </w:rPr>
        <w:t>CIPFA’s new document for ‘The Role of CFO’s in Policing’ was published in March 2021 and will be used as a reference going forward.</w:t>
      </w:r>
      <w:r w:rsidR="00C10852">
        <w:rPr>
          <w:rFonts w:ascii="Calibri" w:hAnsi="Calibri"/>
          <w:sz w:val="22"/>
          <w:szCs w:val="22"/>
        </w:rPr>
        <w:t xml:space="preserve"> </w:t>
      </w:r>
    </w:p>
    <w:p w14:paraId="5C317A03" w14:textId="77777777" w:rsidR="00D835CC" w:rsidRPr="003B2596" w:rsidRDefault="00D835CC" w:rsidP="00D835CC">
      <w:pPr>
        <w:autoSpaceDE w:val="0"/>
        <w:ind w:left="720"/>
        <w:jc w:val="both"/>
        <w:rPr>
          <w:rFonts w:ascii="Calibri" w:hAnsi="Calibri"/>
          <w:sz w:val="22"/>
          <w:szCs w:val="22"/>
        </w:rPr>
      </w:pPr>
    </w:p>
    <w:p w14:paraId="71229ABB" w14:textId="77777777" w:rsidR="00D835CC" w:rsidRPr="003B2596" w:rsidRDefault="00D835CC" w:rsidP="00D835CC">
      <w:pPr>
        <w:shd w:val="clear" w:color="auto" w:fill="4472C4"/>
        <w:autoSpaceDE w:val="0"/>
        <w:jc w:val="both"/>
        <w:rPr>
          <w:rFonts w:ascii="Calibri" w:hAnsi="Calibri"/>
          <w:b/>
          <w:color w:val="FFFFFF"/>
          <w:sz w:val="22"/>
          <w:szCs w:val="22"/>
        </w:rPr>
      </w:pPr>
      <w:r w:rsidRPr="003B2596">
        <w:rPr>
          <w:rFonts w:ascii="Calibri" w:hAnsi="Calibri"/>
          <w:b/>
          <w:color w:val="FFFFFF"/>
          <w:sz w:val="22"/>
          <w:szCs w:val="22"/>
        </w:rPr>
        <w:t>4</w:t>
      </w:r>
      <w:r w:rsidRPr="003B2596">
        <w:rPr>
          <w:rFonts w:ascii="Calibri" w:hAnsi="Calibri"/>
          <w:b/>
          <w:color w:val="FFFFFF"/>
          <w:sz w:val="22"/>
          <w:szCs w:val="22"/>
        </w:rPr>
        <w:tab/>
        <w:t>The Purpose of the Governance Framework</w:t>
      </w:r>
    </w:p>
    <w:p w14:paraId="5796E960" w14:textId="77777777" w:rsidR="00D835CC" w:rsidRPr="003B2596" w:rsidRDefault="00D835CC" w:rsidP="00D835CC">
      <w:pPr>
        <w:jc w:val="both"/>
        <w:rPr>
          <w:rFonts w:ascii="Calibri" w:hAnsi="Calibri"/>
          <w:sz w:val="22"/>
          <w:szCs w:val="22"/>
        </w:rPr>
      </w:pPr>
    </w:p>
    <w:p w14:paraId="5383E203" w14:textId="77777777" w:rsidR="00D835CC" w:rsidRPr="00C10852" w:rsidRDefault="00D835CC" w:rsidP="00D835CC">
      <w:pPr>
        <w:pStyle w:val="ListParagraph"/>
        <w:numPr>
          <w:ilvl w:val="0"/>
          <w:numId w:val="4"/>
        </w:numPr>
        <w:tabs>
          <w:tab w:val="num" w:pos="720"/>
        </w:tabs>
        <w:suppressAutoHyphens/>
        <w:ind w:left="720" w:hanging="360"/>
        <w:contextualSpacing w:val="0"/>
        <w:jc w:val="both"/>
        <w:rPr>
          <w:rFonts w:ascii="Calibri" w:hAnsi="Calibri"/>
          <w:vanish/>
          <w:sz w:val="22"/>
          <w:szCs w:val="22"/>
        </w:rPr>
      </w:pPr>
    </w:p>
    <w:p w14:paraId="05827AA4" w14:textId="77777777" w:rsidR="00D835CC" w:rsidRPr="00C10852" w:rsidRDefault="00D835CC" w:rsidP="00D835CC">
      <w:pPr>
        <w:pStyle w:val="ListParagraph"/>
        <w:numPr>
          <w:ilvl w:val="0"/>
          <w:numId w:val="4"/>
        </w:numPr>
        <w:tabs>
          <w:tab w:val="num" w:pos="720"/>
        </w:tabs>
        <w:suppressAutoHyphens/>
        <w:ind w:left="720" w:hanging="360"/>
        <w:contextualSpacing w:val="0"/>
        <w:jc w:val="both"/>
        <w:rPr>
          <w:rFonts w:ascii="Calibri" w:hAnsi="Calibri"/>
          <w:vanish/>
          <w:sz w:val="22"/>
          <w:szCs w:val="22"/>
        </w:rPr>
      </w:pPr>
    </w:p>
    <w:p w14:paraId="79A7881E" w14:textId="77777777" w:rsidR="00D835CC" w:rsidRPr="00C10852" w:rsidRDefault="00DA4E8D" w:rsidP="00DA4E8D">
      <w:pPr>
        <w:suppressAutoHyphens/>
        <w:ind w:left="720" w:hanging="720"/>
        <w:jc w:val="both"/>
        <w:rPr>
          <w:rFonts w:ascii="Calibri" w:hAnsi="Calibri"/>
          <w:sz w:val="22"/>
          <w:szCs w:val="22"/>
        </w:rPr>
      </w:pPr>
      <w:r w:rsidRPr="00C10852">
        <w:rPr>
          <w:rFonts w:ascii="Calibri" w:hAnsi="Calibri"/>
          <w:sz w:val="22"/>
          <w:szCs w:val="22"/>
        </w:rPr>
        <w:t>4.1</w:t>
      </w:r>
      <w:r w:rsidRPr="00C10852">
        <w:rPr>
          <w:rFonts w:ascii="Calibri" w:hAnsi="Calibri"/>
          <w:sz w:val="22"/>
          <w:szCs w:val="22"/>
        </w:rPr>
        <w:tab/>
      </w:r>
      <w:r w:rsidR="00D835CC" w:rsidRPr="00C10852">
        <w:rPr>
          <w:rFonts w:ascii="Calibri" w:hAnsi="Calibri"/>
          <w:sz w:val="22"/>
          <w:szCs w:val="22"/>
        </w:rPr>
        <w:t xml:space="preserve">The governance framework comprises the systems, processes, culture and values by which the Force is directed and controlled, together with its activities through which it accounts to and engages with the community.  </w:t>
      </w:r>
    </w:p>
    <w:p w14:paraId="2B1DDCFD" w14:textId="77777777" w:rsidR="00D835CC" w:rsidRPr="00C10852" w:rsidRDefault="00D835CC" w:rsidP="00D835CC">
      <w:pPr>
        <w:ind w:left="720"/>
        <w:jc w:val="both"/>
        <w:rPr>
          <w:rFonts w:ascii="Calibri" w:hAnsi="Calibri"/>
          <w:sz w:val="22"/>
          <w:szCs w:val="22"/>
        </w:rPr>
      </w:pPr>
    </w:p>
    <w:p w14:paraId="33B39394" w14:textId="77777777" w:rsidR="00D835CC" w:rsidRPr="00C10852" w:rsidRDefault="00DA4E8D" w:rsidP="00DA4E8D">
      <w:pPr>
        <w:suppressAutoHyphens/>
        <w:ind w:left="720" w:hanging="720"/>
        <w:jc w:val="both"/>
        <w:rPr>
          <w:rFonts w:ascii="Calibri" w:hAnsi="Calibri"/>
          <w:sz w:val="22"/>
          <w:szCs w:val="22"/>
        </w:rPr>
      </w:pPr>
      <w:r w:rsidRPr="00C10852">
        <w:rPr>
          <w:rFonts w:ascii="Calibri" w:hAnsi="Calibri"/>
          <w:sz w:val="22"/>
          <w:szCs w:val="22"/>
        </w:rPr>
        <w:t>4.2</w:t>
      </w:r>
      <w:r w:rsidRPr="00C10852">
        <w:rPr>
          <w:rFonts w:ascii="Calibri" w:hAnsi="Calibri"/>
          <w:sz w:val="22"/>
          <w:szCs w:val="22"/>
        </w:rPr>
        <w:tab/>
      </w:r>
      <w:r w:rsidR="00D835CC" w:rsidRPr="00C10852">
        <w:rPr>
          <w:rFonts w:ascii="Calibri" w:hAnsi="Calibri"/>
          <w:sz w:val="22"/>
          <w:szCs w:val="22"/>
        </w:rPr>
        <w:t>It enables the Force to monitor the achievement of its strategic objectives, as set out by the PCC in the Police and Crime Plan</w:t>
      </w:r>
      <w:r w:rsidR="00D835CC" w:rsidRPr="00C10852">
        <w:rPr>
          <w:rStyle w:val="FootnoteReference"/>
          <w:rFonts w:ascii="Calibri" w:hAnsi="Calibri"/>
          <w:sz w:val="22"/>
          <w:szCs w:val="22"/>
        </w:rPr>
        <w:footnoteReference w:id="5"/>
      </w:r>
      <w:r w:rsidR="00D835CC" w:rsidRPr="00C10852">
        <w:rPr>
          <w:rFonts w:ascii="Calibri" w:hAnsi="Calibri"/>
          <w:sz w:val="22"/>
          <w:szCs w:val="22"/>
        </w:rPr>
        <w:t xml:space="preserve"> and the Strategic Policing Requirement</w:t>
      </w:r>
      <w:r w:rsidR="00D835CC" w:rsidRPr="00C10852">
        <w:rPr>
          <w:rStyle w:val="FootnoteReference"/>
          <w:rFonts w:ascii="Calibri" w:hAnsi="Calibri"/>
          <w:sz w:val="22"/>
          <w:szCs w:val="22"/>
        </w:rPr>
        <w:footnoteReference w:id="6"/>
      </w:r>
      <w:r w:rsidR="00D835CC" w:rsidRPr="00C10852">
        <w:rPr>
          <w:rFonts w:ascii="Calibri" w:hAnsi="Calibri"/>
          <w:sz w:val="22"/>
          <w:szCs w:val="22"/>
        </w:rPr>
        <w:t>, and to consider whether those objectives have led to the delivery of appropriate, cost-effective services, including achieving value for money.</w:t>
      </w:r>
    </w:p>
    <w:p w14:paraId="0B315B0D" w14:textId="77777777" w:rsidR="00D835CC" w:rsidRPr="00C10852" w:rsidRDefault="00D835CC" w:rsidP="00D835CC">
      <w:pPr>
        <w:ind w:left="720"/>
        <w:jc w:val="both"/>
        <w:rPr>
          <w:rFonts w:ascii="Calibri" w:hAnsi="Calibri"/>
          <w:sz w:val="22"/>
          <w:szCs w:val="22"/>
        </w:rPr>
      </w:pPr>
    </w:p>
    <w:p w14:paraId="7F7EC3BB" w14:textId="77777777" w:rsidR="00D835CC" w:rsidRPr="003B2596" w:rsidRDefault="00DA4E8D" w:rsidP="00DA4E8D">
      <w:pPr>
        <w:suppressAutoHyphens/>
        <w:ind w:left="720" w:hanging="720"/>
        <w:jc w:val="both"/>
        <w:rPr>
          <w:rFonts w:ascii="Calibri" w:hAnsi="Calibri"/>
          <w:sz w:val="22"/>
          <w:szCs w:val="22"/>
        </w:rPr>
      </w:pPr>
      <w:r w:rsidRPr="00C10852">
        <w:rPr>
          <w:rFonts w:ascii="Calibri" w:hAnsi="Calibri"/>
          <w:sz w:val="22"/>
          <w:szCs w:val="22"/>
        </w:rPr>
        <w:t>4.3</w:t>
      </w:r>
      <w:r w:rsidRPr="00C10852">
        <w:rPr>
          <w:rFonts w:ascii="Calibri" w:hAnsi="Calibri"/>
          <w:sz w:val="22"/>
          <w:szCs w:val="22"/>
        </w:rPr>
        <w:tab/>
      </w:r>
      <w:r w:rsidR="00D835CC" w:rsidRPr="00C10852">
        <w:rPr>
          <w:rFonts w:ascii="Calibri" w:hAnsi="Calibri"/>
          <w:sz w:val="22"/>
          <w:szCs w:val="22"/>
        </w:rPr>
        <w:t>The fundamental function of good governance in the public sector is to ensure that intended outcomes are achieved whilst acting in the public interest at all times.</w:t>
      </w:r>
    </w:p>
    <w:p w14:paraId="3D27DE1C" w14:textId="77777777" w:rsidR="00D835CC" w:rsidRPr="003B2596" w:rsidRDefault="00D835CC" w:rsidP="00D835CC">
      <w:pPr>
        <w:ind w:left="720"/>
        <w:jc w:val="both"/>
        <w:rPr>
          <w:rFonts w:ascii="Calibri" w:hAnsi="Calibri"/>
          <w:sz w:val="22"/>
          <w:szCs w:val="22"/>
        </w:rPr>
      </w:pPr>
    </w:p>
    <w:p w14:paraId="3D80B7B5" w14:textId="77777777" w:rsidR="00D835CC" w:rsidRPr="003B2596" w:rsidRDefault="00D835CC" w:rsidP="00D835CC">
      <w:pPr>
        <w:shd w:val="clear" w:color="auto" w:fill="4472C4"/>
        <w:jc w:val="both"/>
        <w:rPr>
          <w:rFonts w:ascii="Calibri" w:hAnsi="Calibri"/>
          <w:b/>
          <w:color w:val="FFFFFF"/>
          <w:sz w:val="22"/>
          <w:szCs w:val="22"/>
        </w:rPr>
      </w:pPr>
      <w:r w:rsidRPr="003B2596">
        <w:rPr>
          <w:rFonts w:ascii="Calibri" w:hAnsi="Calibri"/>
          <w:b/>
          <w:color w:val="FFFFFF"/>
          <w:sz w:val="22"/>
          <w:szCs w:val="22"/>
        </w:rPr>
        <w:t>5</w:t>
      </w:r>
      <w:r w:rsidRPr="003B2596">
        <w:rPr>
          <w:rFonts w:ascii="Calibri" w:hAnsi="Calibri"/>
          <w:b/>
          <w:color w:val="FFFFFF"/>
          <w:sz w:val="22"/>
          <w:szCs w:val="22"/>
        </w:rPr>
        <w:tab/>
        <w:t>The Governance Framework</w:t>
      </w:r>
    </w:p>
    <w:p w14:paraId="0E1464F0" w14:textId="77777777" w:rsidR="00D835CC" w:rsidRPr="003B2596" w:rsidRDefault="00D835CC" w:rsidP="00D835CC">
      <w:pPr>
        <w:autoSpaceDE w:val="0"/>
        <w:ind w:left="720" w:hanging="720"/>
        <w:jc w:val="both"/>
        <w:rPr>
          <w:rFonts w:ascii="Calibri" w:hAnsi="Calibri"/>
          <w:sz w:val="22"/>
          <w:szCs w:val="22"/>
        </w:rPr>
      </w:pPr>
      <w:r w:rsidRPr="003B2596">
        <w:rPr>
          <w:rFonts w:ascii="Calibri" w:hAnsi="Calibri"/>
          <w:sz w:val="22"/>
          <w:szCs w:val="22"/>
        </w:rPr>
        <w:tab/>
      </w:r>
    </w:p>
    <w:p w14:paraId="3F70F7EC" w14:textId="77777777" w:rsidR="00D835CC" w:rsidRPr="00C10852" w:rsidRDefault="00D835CC" w:rsidP="00D835CC">
      <w:pPr>
        <w:autoSpaceDE w:val="0"/>
        <w:ind w:left="720" w:hanging="720"/>
        <w:jc w:val="both"/>
        <w:rPr>
          <w:rFonts w:ascii="Calibri" w:hAnsi="Calibri"/>
          <w:sz w:val="22"/>
          <w:szCs w:val="22"/>
        </w:rPr>
      </w:pPr>
      <w:r w:rsidRPr="00C10852">
        <w:rPr>
          <w:rFonts w:ascii="Calibri" w:hAnsi="Calibri"/>
          <w:sz w:val="22"/>
          <w:szCs w:val="22"/>
        </w:rPr>
        <w:t>5.1</w:t>
      </w:r>
      <w:r w:rsidRPr="00C10852">
        <w:rPr>
          <w:rFonts w:ascii="Calibri" w:hAnsi="Calibri"/>
          <w:sz w:val="22"/>
          <w:szCs w:val="22"/>
        </w:rPr>
        <w:tab/>
        <w:t>The Chief Constable of Surrey Police is responsible for operational policing matters, direction and control of police personnel, and for putting in place proper arrangements for the governance of the Force. The PCC is required to hold him/her to account for the exercise of those functions and those of the persons under his/her direction and control. It therefore follows that the PCC must be assured that the Force has appropriate mechanisms in place for the maintenance of good governance and that these operate in practice.</w:t>
      </w:r>
    </w:p>
    <w:p w14:paraId="6BE3DD11" w14:textId="77777777" w:rsidR="00D835CC" w:rsidRPr="00C10852" w:rsidRDefault="00D835CC" w:rsidP="00D835CC">
      <w:pPr>
        <w:autoSpaceDE w:val="0"/>
        <w:jc w:val="both"/>
        <w:rPr>
          <w:sz w:val="22"/>
          <w:szCs w:val="22"/>
        </w:rPr>
      </w:pPr>
    </w:p>
    <w:p w14:paraId="1FA4C831" w14:textId="77777777" w:rsidR="00D835CC" w:rsidRPr="00C10852" w:rsidRDefault="00D835CC" w:rsidP="005E3E6F">
      <w:pPr>
        <w:pStyle w:val="ListParagraph"/>
        <w:numPr>
          <w:ilvl w:val="0"/>
          <w:numId w:val="14"/>
        </w:numPr>
        <w:suppressAutoHyphens/>
        <w:contextualSpacing w:val="0"/>
        <w:jc w:val="both"/>
        <w:rPr>
          <w:rFonts w:ascii="Calibri" w:hAnsi="Calibri"/>
          <w:vanish/>
          <w:sz w:val="22"/>
          <w:szCs w:val="22"/>
        </w:rPr>
      </w:pPr>
    </w:p>
    <w:p w14:paraId="0FA0D2C0" w14:textId="77777777" w:rsidR="00D835CC" w:rsidRPr="00C10852" w:rsidRDefault="00D835CC" w:rsidP="005E3E6F">
      <w:pPr>
        <w:pStyle w:val="ListParagraph"/>
        <w:numPr>
          <w:ilvl w:val="0"/>
          <w:numId w:val="14"/>
        </w:numPr>
        <w:suppressAutoHyphens/>
        <w:contextualSpacing w:val="0"/>
        <w:jc w:val="both"/>
        <w:rPr>
          <w:rFonts w:ascii="Calibri" w:hAnsi="Calibri"/>
          <w:vanish/>
          <w:sz w:val="22"/>
          <w:szCs w:val="22"/>
        </w:rPr>
      </w:pPr>
    </w:p>
    <w:p w14:paraId="27C1C626" w14:textId="78B14656" w:rsidR="00D835CC" w:rsidRPr="00C10852" w:rsidRDefault="00D835CC" w:rsidP="005E3E6F">
      <w:pPr>
        <w:numPr>
          <w:ilvl w:val="1"/>
          <w:numId w:val="14"/>
        </w:numPr>
        <w:suppressAutoHyphens/>
        <w:jc w:val="both"/>
        <w:rPr>
          <w:rFonts w:ascii="Calibri" w:hAnsi="Calibri"/>
          <w:sz w:val="22"/>
          <w:szCs w:val="22"/>
        </w:rPr>
      </w:pPr>
      <w:r w:rsidRPr="00C10852">
        <w:rPr>
          <w:rFonts w:ascii="Calibri" w:hAnsi="Calibri"/>
          <w:sz w:val="22"/>
          <w:szCs w:val="22"/>
        </w:rPr>
        <w:t>A governance framework, collectively known as the Scheme of Corporate Governance, has been in place for the year ended 31 March 202</w:t>
      </w:r>
      <w:r w:rsidR="00C10852" w:rsidRPr="00C10852">
        <w:rPr>
          <w:rFonts w:ascii="Calibri" w:hAnsi="Calibri"/>
          <w:sz w:val="22"/>
          <w:szCs w:val="22"/>
        </w:rPr>
        <w:t>1</w:t>
      </w:r>
      <w:r w:rsidRPr="00C10852">
        <w:rPr>
          <w:rFonts w:ascii="Calibri" w:hAnsi="Calibri"/>
          <w:sz w:val="22"/>
          <w:szCs w:val="22"/>
        </w:rPr>
        <w:t xml:space="preserve"> and includes the Code of Corporate Governance, Memorandum of Understanding, Decision–making Framework, Scheme of Delegation, Financial Regulations and Contract Standing Orders. The Force system of internal control, based on a framework of policies and procedures, is a significant part of the Force governance framework and is designed to manage risk to a reasonable and foreseeable level. The Force cannot eliminate all risk of failure to achieve policies, aims and objectives; it can only provide reasonable but not absolute assurance of effectiveness.   </w:t>
      </w:r>
    </w:p>
    <w:p w14:paraId="4FDB74B3" w14:textId="77777777" w:rsidR="00D835CC" w:rsidRPr="00C10852" w:rsidRDefault="00D835CC" w:rsidP="00D835CC">
      <w:pPr>
        <w:ind w:left="720"/>
        <w:jc w:val="both"/>
        <w:rPr>
          <w:rFonts w:ascii="Calibri" w:hAnsi="Calibri"/>
          <w:sz w:val="22"/>
          <w:szCs w:val="22"/>
        </w:rPr>
      </w:pPr>
    </w:p>
    <w:p w14:paraId="3118C926" w14:textId="3D839537" w:rsidR="00D835CC" w:rsidRPr="00C10852" w:rsidRDefault="00D835CC" w:rsidP="005E3E6F">
      <w:pPr>
        <w:numPr>
          <w:ilvl w:val="1"/>
          <w:numId w:val="14"/>
        </w:numPr>
        <w:suppressAutoHyphens/>
        <w:jc w:val="both"/>
        <w:rPr>
          <w:rFonts w:ascii="Calibri" w:hAnsi="Calibri"/>
          <w:sz w:val="22"/>
          <w:szCs w:val="22"/>
        </w:rPr>
      </w:pPr>
      <w:r w:rsidRPr="00C10852">
        <w:rPr>
          <w:rFonts w:ascii="Calibri" w:hAnsi="Calibri"/>
          <w:sz w:val="22"/>
          <w:szCs w:val="22"/>
        </w:rPr>
        <w:t>The Code of Corporate Governance for the Surrey Police and Crime Commissioner and Chief Constable for Surrey Police and all strategic governance documents that comprise the Scheme of Corporate Governance were reviewed in 20</w:t>
      </w:r>
      <w:r w:rsidR="00C10852" w:rsidRPr="00C10852">
        <w:rPr>
          <w:rFonts w:ascii="Calibri" w:hAnsi="Calibri"/>
          <w:sz w:val="22"/>
          <w:szCs w:val="22"/>
        </w:rPr>
        <w:t>20</w:t>
      </w:r>
      <w:r w:rsidRPr="00C10852">
        <w:rPr>
          <w:rFonts w:ascii="Calibri" w:hAnsi="Calibri"/>
          <w:sz w:val="22"/>
          <w:szCs w:val="22"/>
        </w:rPr>
        <w:t>-2</w:t>
      </w:r>
      <w:r w:rsidR="00C10852" w:rsidRPr="00C10852">
        <w:rPr>
          <w:rFonts w:ascii="Calibri" w:hAnsi="Calibri"/>
          <w:sz w:val="22"/>
          <w:szCs w:val="22"/>
        </w:rPr>
        <w:t>1</w:t>
      </w:r>
      <w:r w:rsidRPr="00C10852">
        <w:rPr>
          <w:rFonts w:ascii="Calibri" w:hAnsi="Calibri"/>
          <w:sz w:val="22"/>
          <w:szCs w:val="22"/>
        </w:rPr>
        <w:t xml:space="preserve"> </w:t>
      </w:r>
      <w:r w:rsidR="00C10852" w:rsidRPr="00C10852">
        <w:rPr>
          <w:rFonts w:ascii="Calibri" w:hAnsi="Calibri"/>
          <w:sz w:val="22"/>
          <w:szCs w:val="22"/>
        </w:rPr>
        <w:t xml:space="preserve">(except the Contract Standing Orders due to anticipated legislative changes later in the year) </w:t>
      </w:r>
      <w:r w:rsidRPr="00C10852">
        <w:rPr>
          <w:rFonts w:ascii="Calibri" w:hAnsi="Calibri"/>
          <w:sz w:val="22"/>
          <w:szCs w:val="22"/>
        </w:rPr>
        <w:t>as part of the annual review of governance documentation and are available on the PCC’s website</w:t>
      </w:r>
      <w:r w:rsidRPr="00C10852">
        <w:rPr>
          <w:rStyle w:val="FootnoteReference"/>
          <w:rFonts w:ascii="Calibri" w:hAnsi="Calibri"/>
          <w:sz w:val="22"/>
          <w:szCs w:val="22"/>
        </w:rPr>
        <w:footnoteReference w:id="7"/>
      </w:r>
      <w:r w:rsidRPr="00C10852">
        <w:rPr>
          <w:rFonts w:ascii="Calibri" w:hAnsi="Calibri"/>
          <w:sz w:val="22"/>
          <w:szCs w:val="22"/>
        </w:rPr>
        <w:t>.  The joint Code provides a summary of governance arrangements setting out responsibilities. The Code also details a diarised programme for the regular review of policies.  A key element of this is the identification and management of risk.</w:t>
      </w:r>
    </w:p>
    <w:p w14:paraId="1EE993A5" w14:textId="77777777" w:rsidR="00D835CC" w:rsidRPr="00C10852" w:rsidRDefault="00D835CC" w:rsidP="00D835CC">
      <w:pPr>
        <w:jc w:val="both"/>
        <w:rPr>
          <w:rFonts w:ascii="Calibri" w:hAnsi="Calibri"/>
          <w:sz w:val="22"/>
          <w:szCs w:val="22"/>
        </w:rPr>
      </w:pPr>
    </w:p>
    <w:p w14:paraId="01D1D672" w14:textId="77777777" w:rsidR="00D835CC" w:rsidRPr="00C10852" w:rsidRDefault="00D835CC" w:rsidP="005E3E6F">
      <w:pPr>
        <w:numPr>
          <w:ilvl w:val="1"/>
          <w:numId w:val="14"/>
        </w:numPr>
        <w:suppressAutoHyphens/>
        <w:jc w:val="both"/>
        <w:rPr>
          <w:rFonts w:ascii="Calibri" w:hAnsi="Calibri"/>
          <w:sz w:val="22"/>
          <w:szCs w:val="22"/>
        </w:rPr>
      </w:pPr>
      <w:r w:rsidRPr="00C10852">
        <w:rPr>
          <w:rFonts w:ascii="Calibri" w:hAnsi="Calibri"/>
          <w:sz w:val="22"/>
          <w:szCs w:val="22"/>
        </w:rPr>
        <w:t>Governance arrangements for both the Force and the PCC follow the seven principles as set out in the revised Delivering Good Governance: Guidance Notes for Policing Bodies in England and Wales (2016 Edition).  The diagram below illustrates the various principles of good governance in the public sector and how they relate to each other. A summary of how the force complies with these principles is detailed below.</w:t>
      </w:r>
    </w:p>
    <w:p w14:paraId="6A1C7B0D" w14:textId="77777777" w:rsidR="00D835CC" w:rsidRPr="00C10852" w:rsidRDefault="00D835CC" w:rsidP="00D835CC">
      <w:pPr>
        <w:ind w:left="720"/>
        <w:jc w:val="center"/>
        <w:rPr>
          <w:rFonts w:ascii="Calibri" w:hAnsi="Calibri"/>
          <w:sz w:val="22"/>
          <w:szCs w:val="22"/>
        </w:rPr>
      </w:pPr>
      <w:r w:rsidRPr="00C10852">
        <w:rPr>
          <w:rFonts w:ascii="Calibri" w:hAnsi="Calibri"/>
          <w:color w:val="002060"/>
          <w:sz w:val="22"/>
          <w:szCs w:val="22"/>
        </w:rPr>
        <w:t xml:space="preserve"> </w:t>
      </w:r>
      <w:r w:rsidRPr="00C10852">
        <w:rPr>
          <w:rFonts w:ascii="Calibri" w:hAnsi="Calibri"/>
          <w:noProof/>
          <w:color w:val="002060"/>
          <w:sz w:val="22"/>
          <w:szCs w:val="22"/>
          <w:lang w:val="en-GB" w:eastAsia="en-GB"/>
        </w:rPr>
        <w:drawing>
          <wp:inline distT="0" distB="0" distL="0" distR="0" wp14:anchorId="5FAAC847" wp14:editId="35D229FB">
            <wp:extent cx="4046220" cy="3451860"/>
            <wp:effectExtent l="0" t="0" r="0" b="0"/>
            <wp:docPr id="10" name="Picture 10" descr="AGS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S_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6220" cy="3451860"/>
                    </a:xfrm>
                    <a:prstGeom prst="rect">
                      <a:avLst/>
                    </a:prstGeom>
                    <a:noFill/>
                    <a:ln>
                      <a:noFill/>
                    </a:ln>
                  </pic:spPr>
                </pic:pic>
              </a:graphicData>
            </a:graphic>
          </wp:inline>
        </w:drawing>
      </w:r>
    </w:p>
    <w:p w14:paraId="61A97EEF" w14:textId="77777777" w:rsidR="00D835CC" w:rsidRPr="00C10852" w:rsidRDefault="00D835CC" w:rsidP="00D835CC">
      <w:pPr>
        <w:ind w:left="720"/>
        <w:jc w:val="both"/>
        <w:rPr>
          <w:rFonts w:ascii="Calibri" w:hAnsi="Calibri"/>
          <w:sz w:val="22"/>
          <w:szCs w:val="22"/>
        </w:rPr>
      </w:pPr>
    </w:p>
    <w:p w14:paraId="3E77862B" w14:textId="77777777" w:rsidR="00D835CC" w:rsidRPr="00C10852" w:rsidRDefault="00D835CC" w:rsidP="005E3E6F">
      <w:pPr>
        <w:numPr>
          <w:ilvl w:val="1"/>
          <w:numId w:val="14"/>
        </w:numPr>
        <w:suppressAutoHyphens/>
        <w:jc w:val="both"/>
        <w:rPr>
          <w:rFonts w:ascii="Calibri" w:hAnsi="Calibri"/>
          <w:b/>
          <w:sz w:val="22"/>
          <w:szCs w:val="22"/>
        </w:rPr>
      </w:pPr>
      <w:r w:rsidRPr="00C10852">
        <w:rPr>
          <w:rFonts w:ascii="Calibri" w:hAnsi="Calibri"/>
          <w:b/>
          <w:i/>
          <w:sz w:val="22"/>
          <w:szCs w:val="22"/>
        </w:rPr>
        <w:t>Principle of Good Governance: A</w:t>
      </w:r>
      <w:r w:rsidRPr="00C10852">
        <w:rPr>
          <w:rFonts w:ascii="Calibri" w:hAnsi="Calibri" w:cs="FS Lola"/>
          <w:color w:val="000000"/>
          <w:sz w:val="22"/>
          <w:szCs w:val="22"/>
        </w:rPr>
        <w:t xml:space="preserve">   </w:t>
      </w:r>
      <w:r w:rsidRPr="00C10852">
        <w:rPr>
          <w:rFonts w:ascii="Calibri" w:hAnsi="Calibri" w:cs="FS Lola"/>
          <w:b/>
          <w:color w:val="000000"/>
          <w:sz w:val="22"/>
          <w:szCs w:val="22"/>
        </w:rPr>
        <w:t>Behaving with integrity, demonstrating strong commitment to ethical values, and respecting the rule of law.</w:t>
      </w:r>
    </w:p>
    <w:p w14:paraId="0A62F651" w14:textId="77777777" w:rsidR="00D835CC" w:rsidRPr="00C10852" w:rsidRDefault="00D835CC" w:rsidP="00D835CC">
      <w:pPr>
        <w:ind w:left="720"/>
        <w:jc w:val="both"/>
        <w:rPr>
          <w:rFonts w:ascii="Calibri" w:hAnsi="Calibri"/>
          <w:sz w:val="10"/>
          <w:szCs w:val="10"/>
        </w:rPr>
      </w:pPr>
    </w:p>
    <w:p w14:paraId="11903AF9" w14:textId="77777777" w:rsidR="00D835CC" w:rsidRPr="00C10852" w:rsidRDefault="00D835CC" w:rsidP="00D835CC">
      <w:pPr>
        <w:ind w:firstLine="720"/>
        <w:jc w:val="both"/>
        <w:rPr>
          <w:rFonts w:ascii="Calibri" w:hAnsi="Calibri"/>
          <w:sz w:val="22"/>
          <w:szCs w:val="22"/>
        </w:rPr>
      </w:pPr>
      <w:r w:rsidRPr="00C10852">
        <w:rPr>
          <w:rFonts w:ascii="Calibri" w:hAnsi="Calibri"/>
          <w:sz w:val="22"/>
          <w:szCs w:val="22"/>
        </w:rPr>
        <w:t>To achieve this, the Chief Constable has:</w:t>
      </w:r>
    </w:p>
    <w:p w14:paraId="6533291D"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that officers and staff carry out their respective roles in a climate of openness, support and respect;</w:t>
      </w:r>
    </w:p>
    <w:p w14:paraId="76BD2263"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developed standards of conduct and personal behaviour which are defined and communicated through appropriate codes of conduct and protocols and the policing</w:t>
      </w:r>
      <w:r w:rsidRPr="00C10852">
        <w:rPr>
          <w:rFonts w:ascii="Calibri" w:hAnsi="Calibri"/>
          <w:color w:val="FF0000"/>
          <w:sz w:val="22"/>
          <w:szCs w:val="22"/>
        </w:rPr>
        <w:t xml:space="preserve"> </w:t>
      </w:r>
      <w:r w:rsidRPr="00C10852">
        <w:rPr>
          <w:rFonts w:ascii="Calibri" w:hAnsi="Calibri"/>
          <w:sz w:val="22"/>
          <w:szCs w:val="22"/>
        </w:rPr>
        <w:t>Code of Ethics;</w:t>
      </w:r>
    </w:p>
    <w:p w14:paraId="50DD1C89"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communicated that all managers and supervisors at all levels of the Force should set a good example and challenge any behaviour that does not meet the Code of Ethics and to clearly communicate the Force’s values, standards, expectations and priorities;</w:t>
      </w:r>
    </w:p>
    <w:p w14:paraId="4D9C9540"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continued the Ethics Committee with an Independent Chair and Vice-chair to provide advice to the Force on ethical dilemmas raised by individuals or departments, with Information Management process in place to ensure policies and procedures are consistent and developed in consultation with subject matter experts including diversity and staff associations;</w:t>
      </w:r>
    </w:p>
    <w:p w14:paraId="0B169E28"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in place arrangements for the reporting of all financial irregularities to senior managers and Section 151 officers via the Financial Regulations;</w:t>
      </w:r>
    </w:p>
    <w:p w14:paraId="7DBE1934"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that an Equality, Diver</w:t>
      </w:r>
      <w:r w:rsidR="001C3F6C" w:rsidRPr="00C10852">
        <w:rPr>
          <w:rFonts w:ascii="Calibri" w:hAnsi="Calibri"/>
          <w:sz w:val="22"/>
          <w:szCs w:val="22"/>
        </w:rPr>
        <w:t>s</w:t>
      </w:r>
      <w:r w:rsidRPr="00C10852">
        <w:rPr>
          <w:rFonts w:ascii="Calibri" w:hAnsi="Calibri"/>
          <w:sz w:val="22"/>
          <w:szCs w:val="22"/>
        </w:rPr>
        <w:t xml:space="preserve">ity and Human Rights (EDHR) strategy is in place, overseen by the EDHR Board to link EDHR aims, objectives and outcomes with Force vision and priorities; </w:t>
      </w:r>
    </w:p>
    <w:p w14:paraId="00D9D455"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continued to emphasise to staff the importance of crime data integrity, compliant with the national standards for crime recording, to ensure effective crime investigation and prevention (Her Majesty’s Inspectorate of Constabulary and Fire &amp; Rescue Services (HMICFRS) undertook an inspection of crime data integrity in Surrey Police</w:t>
      </w:r>
      <w:r w:rsidRPr="00C10852">
        <w:rPr>
          <w:rStyle w:val="FootnoteReference"/>
          <w:rFonts w:ascii="Calibri" w:hAnsi="Calibri"/>
          <w:sz w:val="22"/>
          <w:szCs w:val="22"/>
        </w:rPr>
        <w:footnoteReference w:id="8"/>
      </w:r>
      <w:r w:rsidRPr="00C10852">
        <w:rPr>
          <w:rFonts w:ascii="Calibri" w:hAnsi="Calibri"/>
          <w:sz w:val="22"/>
          <w:szCs w:val="22"/>
        </w:rPr>
        <w:t xml:space="preserve"> and assessed the Force as “Good”);</w:t>
      </w:r>
    </w:p>
    <w:p w14:paraId="3FB37ED8"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ethical application of Home Office Counting rules via the Strategic Crime and Incident Recording Group monitoring via the Data Quality Action Plan:</w:t>
      </w:r>
    </w:p>
    <w:p w14:paraId="641606A0" w14:textId="1583A25B"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 xml:space="preserve">ensured a policy on anti-fraud, bribery and corruption is in place (updated </w:t>
      </w:r>
      <w:r w:rsidR="00C10852" w:rsidRPr="00C10852">
        <w:rPr>
          <w:rFonts w:ascii="Calibri" w:hAnsi="Calibri"/>
          <w:sz w:val="22"/>
          <w:szCs w:val="22"/>
        </w:rPr>
        <w:t>Jan 2021</w:t>
      </w:r>
      <w:r w:rsidRPr="00C10852">
        <w:rPr>
          <w:rFonts w:ascii="Calibri" w:hAnsi="Calibri"/>
          <w:sz w:val="22"/>
          <w:szCs w:val="22"/>
        </w:rPr>
        <w:t>)</w:t>
      </w:r>
      <w:r w:rsidRPr="00C10852">
        <w:rPr>
          <w:rStyle w:val="FootnoteReference"/>
          <w:rFonts w:ascii="Calibri" w:hAnsi="Calibri"/>
          <w:sz w:val="22"/>
          <w:szCs w:val="22"/>
        </w:rPr>
        <w:footnoteReference w:id="9"/>
      </w:r>
      <w:r w:rsidRPr="00C10852">
        <w:rPr>
          <w:rFonts w:ascii="Calibri" w:hAnsi="Calibri"/>
          <w:sz w:val="22"/>
          <w:szCs w:val="22"/>
        </w:rPr>
        <w:t xml:space="preserve"> which clearly sets out the procedures to be operated and which is designed to encourage prevention, promote detection and identify a clear pathway for the investigation of fraudulent and/or corrupt practices or behaviour;</w:t>
      </w:r>
    </w:p>
    <w:p w14:paraId="3C090B7B"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that the Force is compliant with all relevant anti money laundering legislation;</w:t>
      </w:r>
    </w:p>
    <w:p w14:paraId="420A41FA"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accessible,</w:t>
      </w:r>
      <w:r w:rsidRPr="00C10852">
        <w:rPr>
          <w:rFonts w:ascii="Calibri" w:hAnsi="Calibri"/>
          <w:color w:val="FF0000"/>
          <w:sz w:val="22"/>
          <w:szCs w:val="22"/>
        </w:rPr>
        <w:t xml:space="preserve"> </w:t>
      </w:r>
      <w:r w:rsidRPr="00C10852">
        <w:rPr>
          <w:rFonts w:ascii="Calibri" w:hAnsi="Calibri"/>
          <w:sz w:val="22"/>
          <w:szCs w:val="22"/>
        </w:rPr>
        <w:t>appropriate and long established whistle-blowing arrangements and processes in place and that these are regularly reviewed e.g. “Anonymous Contact” confidential and independent web based reporting system;</w:t>
      </w:r>
    </w:p>
    <w:p w14:paraId="1E91FAED"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lang w:eastAsia="en-GB"/>
        </w:rPr>
      </w:pPr>
      <w:r w:rsidRPr="00C10852">
        <w:rPr>
          <w:rFonts w:ascii="Calibri" w:hAnsi="Calibri"/>
          <w:sz w:val="22"/>
          <w:szCs w:val="22"/>
          <w:lang w:eastAsia="en-GB"/>
        </w:rPr>
        <w:t>ensured that the requirements of the Policing and Crime Act 2017 relating to police conduct reforms  were implemented</w:t>
      </w:r>
      <w:r w:rsidRPr="00C10852">
        <w:rPr>
          <w:rFonts w:ascii="Calibri" w:hAnsi="Calibri"/>
          <w:sz w:val="22"/>
          <w:szCs w:val="22"/>
        </w:rPr>
        <w:t xml:space="preserve"> (effective from February 1st 2020), establishing procedures for dealing with and investigating complaints which are in line with legal requirements and national guidelines;</w:t>
      </w:r>
    </w:p>
    <w:p w14:paraId="6154072D" w14:textId="794488DF"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 xml:space="preserve">ensured that Surrey Police remains proactive in preventing and responding to cases involving “Abuse of Authority”, which includes raising awareness for staff, two new joint Surrey and Sussex policies are being developed in 2020 to give clear guidance on standards of sexual integrity expected entitled “Abuse of Authority for Sexual and Emotional Gain” and “Professional Boundaries and Appropriate Personal Relationships and Behaviours in the Workplace” </w:t>
      </w:r>
      <w:r w:rsidR="00C10852" w:rsidRPr="00C10852">
        <w:rPr>
          <w:rFonts w:ascii="Calibri" w:hAnsi="Calibri"/>
          <w:sz w:val="22"/>
          <w:szCs w:val="22"/>
        </w:rPr>
        <w:t>via</w:t>
      </w:r>
      <w:r w:rsidRPr="00C10852">
        <w:rPr>
          <w:rFonts w:ascii="Calibri" w:hAnsi="Calibri"/>
          <w:sz w:val="22"/>
          <w:szCs w:val="22"/>
        </w:rPr>
        <w:t xml:space="preserve"> bespoke NCALT training package;</w:t>
      </w:r>
    </w:p>
    <w:p w14:paraId="6FA42236"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that officers and staff have easy reference to key information that relates to integrity accessible through the Force intranet;</w:t>
      </w:r>
    </w:p>
    <w:p w14:paraId="06C15BCB"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that media engagement policy is in place relating to media relations, integrity and use of social media;</w:t>
      </w:r>
    </w:p>
    <w:p w14:paraId="42EB3D0F"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that staff and officers have been provided with and understand training in unconscious bias;</w:t>
      </w:r>
    </w:p>
    <w:p w14:paraId="559238C5"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regularly published chief officer expenses, gifts and hospitality (received and declined) and outside business interests of senior officers and staff with quarterly reports subject to oversight by Joint Audit Committee, Head of Professional Standards Department and the PCC;</w:t>
      </w:r>
    </w:p>
    <w:p w14:paraId="6598D2FA"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there is a Force policy regarding use of force, and that it is compliant with Independent Office of Police Conduct (IOPC), (formerly the Independent Police Complaints Commission), report recommendations</w:t>
      </w:r>
      <w:r w:rsidRPr="00C10852">
        <w:rPr>
          <w:rStyle w:val="FootnoteReference"/>
          <w:rFonts w:ascii="Calibri" w:hAnsi="Calibri"/>
          <w:sz w:val="22"/>
          <w:szCs w:val="22"/>
        </w:rPr>
        <w:footnoteReference w:id="10"/>
      </w:r>
      <w:r w:rsidRPr="00C10852">
        <w:rPr>
          <w:rFonts w:ascii="Calibri" w:hAnsi="Calibri"/>
          <w:sz w:val="22"/>
          <w:szCs w:val="22"/>
        </w:rPr>
        <w:t xml:space="preserve">, which </w:t>
      </w:r>
      <w:r w:rsidRPr="00C10852">
        <w:rPr>
          <w:rFonts w:ascii="Calibri" w:hAnsi="Calibri" w:cs="Calibri"/>
          <w:sz w:val="22"/>
          <w:szCs w:val="22"/>
          <w:lang w:eastAsia="en-GB"/>
        </w:rPr>
        <w:t>includes the responsibility to fully document at the earliest opportunity the extent and method of force used, and the rationale for that force;</w:t>
      </w:r>
    </w:p>
    <w:p w14:paraId="32E2B2DD"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 xml:space="preserve">considers divisional and IOPC reports published by the Professional Standards Department detailing results and lessons learnt from complaints and investigations to provide further guidance to all employees; </w:t>
      </w:r>
    </w:p>
    <w:p w14:paraId="3DF48D4B"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ensured that the Force has met its equality and diversity obligations as set out in the Equality Act 2010 and the Public Sector Equality Duty 2011;</w:t>
      </w:r>
    </w:p>
    <w:p w14:paraId="69DD5B3F"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a force Criminal Justice team responsible for keeping the Force up to date with changes in national criminal justice and legislation, with the Force Policy and Procedure team overseeing appropriate policies.</w:t>
      </w:r>
    </w:p>
    <w:p w14:paraId="6C027A64" w14:textId="77777777" w:rsidR="00D835CC" w:rsidRPr="00C10852" w:rsidRDefault="00D835CC" w:rsidP="00D835CC">
      <w:pPr>
        <w:numPr>
          <w:ilvl w:val="0"/>
          <w:numId w:val="2"/>
        </w:numPr>
        <w:tabs>
          <w:tab w:val="num" w:pos="1080"/>
        </w:tabs>
        <w:suppressAutoHyphens/>
        <w:ind w:left="1080"/>
        <w:jc w:val="both"/>
        <w:rPr>
          <w:rFonts w:ascii="Calibri" w:hAnsi="Calibri"/>
          <w:sz w:val="22"/>
          <w:szCs w:val="22"/>
        </w:rPr>
      </w:pPr>
      <w:r w:rsidRPr="00C10852">
        <w:rPr>
          <w:rFonts w:ascii="Calibri" w:hAnsi="Calibri"/>
          <w:sz w:val="22"/>
          <w:szCs w:val="22"/>
        </w:rPr>
        <w:t>continued to develop the work of the Legitimacy and Ethics Board (formed jointly with Sussex Police in 2017), to ensure that both forces are compliant with relevant Authorised Professional Practice and forces’ policies and to improve the scrutiny and governance arrangements in relation to key aspects of policing in Surrey and Sussex, including Stop and Search, Use of Force and the use of body worn video.</w:t>
      </w:r>
    </w:p>
    <w:p w14:paraId="361E4DDB" w14:textId="77777777" w:rsidR="00D835CC" w:rsidRPr="00C10852" w:rsidRDefault="00D835CC" w:rsidP="00D835CC">
      <w:pPr>
        <w:ind w:left="1080"/>
        <w:jc w:val="both"/>
        <w:rPr>
          <w:rFonts w:ascii="Calibri" w:hAnsi="Calibri"/>
          <w:sz w:val="22"/>
          <w:szCs w:val="22"/>
        </w:rPr>
      </w:pPr>
    </w:p>
    <w:p w14:paraId="439DAA64" w14:textId="77777777" w:rsidR="00D835CC" w:rsidRPr="00C10852" w:rsidRDefault="00D835CC" w:rsidP="00C10852">
      <w:pPr>
        <w:ind w:left="1080"/>
        <w:jc w:val="both"/>
        <w:rPr>
          <w:rFonts w:ascii="Calibri" w:hAnsi="Calibri"/>
          <w:sz w:val="22"/>
          <w:szCs w:val="22"/>
        </w:rPr>
      </w:pPr>
      <w:r w:rsidRPr="00C10852">
        <w:rPr>
          <w:rFonts w:ascii="Calibri" w:hAnsi="Calibri"/>
          <w:sz w:val="22"/>
          <w:szCs w:val="22"/>
        </w:rPr>
        <w:t xml:space="preserve">In 2018-19 HMICFRS assessed Surrey Police through the PEEL (police effectiveness, efficiency and legitimacy) programme of inspections and assessed Surrey as “Good” for Legitimacy, confirming that </w:t>
      </w:r>
      <w:r w:rsidRPr="00C10852">
        <w:rPr>
          <w:rFonts w:ascii="Calibri" w:hAnsi="Calibri"/>
          <w:color w:val="282828"/>
          <w:sz w:val="22"/>
          <w:szCs w:val="22"/>
        </w:rPr>
        <w:t>Surrey Police works hard to promote a no-blame, ethical, learning culture</w:t>
      </w:r>
      <w:r w:rsidRPr="00C10852">
        <w:rPr>
          <w:rStyle w:val="FootnoteReference"/>
          <w:rFonts w:ascii="Calibri" w:hAnsi="Calibri"/>
          <w:sz w:val="22"/>
          <w:szCs w:val="22"/>
        </w:rPr>
        <w:footnoteReference w:id="11"/>
      </w:r>
      <w:r w:rsidRPr="00C10852">
        <w:rPr>
          <w:rFonts w:ascii="Calibri" w:hAnsi="Calibri"/>
          <w:sz w:val="22"/>
          <w:szCs w:val="22"/>
        </w:rPr>
        <w:t>.</w:t>
      </w:r>
    </w:p>
    <w:p w14:paraId="129EA462" w14:textId="77777777" w:rsidR="00D835CC" w:rsidRPr="00C10852" w:rsidRDefault="00D835CC" w:rsidP="00D835CC">
      <w:pPr>
        <w:ind w:left="720"/>
        <w:jc w:val="both"/>
        <w:rPr>
          <w:rFonts w:ascii="Calibri" w:hAnsi="Calibri"/>
          <w:sz w:val="22"/>
          <w:szCs w:val="22"/>
        </w:rPr>
      </w:pPr>
    </w:p>
    <w:p w14:paraId="6B150636" w14:textId="77777777" w:rsidR="00D835CC" w:rsidRPr="00C10852" w:rsidRDefault="00D835CC" w:rsidP="005E3E6F">
      <w:pPr>
        <w:numPr>
          <w:ilvl w:val="1"/>
          <w:numId w:val="14"/>
        </w:numPr>
        <w:suppressAutoHyphens/>
        <w:jc w:val="both"/>
        <w:rPr>
          <w:rFonts w:ascii="Calibri" w:hAnsi="Calibri"/>
          <w:b/>
          <w:sz w:val="22"/>
          <w:szCs w:val="22"/>
        </w:rPr>
      </w:pPr>
      <w:r w:rsidRPr="00C10852">
        <w:rPr>
          <w:rFonts w:ascii="Calibri" w:hAnsi="Calibri"/>
          <w:b/>
          <w:i/>
          <w:sz w:val="22"/>
          <w:szCs w:val="22"/>
        </w:rPr>
        <w:t>Principle of Good Governance: B</w:t>
      </w:r>
      <w:r w:rsidRPr="00C10852">
        <w:rPr>
          <w:rFonts w:ascii="Calibri" w:hAnsi="Calibri"/>
          <w:i/>
          <w:sz w:val="22"/>
          <w:szCs w:val="22"/>
        </w:rPr>
        <w:t xml:space="preserve"> </w:t>
      </w:r>
      <w:r w:rsidRPr="00C10852">
        <w:rPr>
          <w:rFonts w:ascii="Calibri" w:hAnsi="Calibri" w:cs="FS Lola"/>
          <w:b/>
          <w:color w:val="000000"/>
          <w:sz w:val="22"/>
          <w:szCs w:val="22"/>
        </w:rPr>
        <w:t>Ensuring openness and comprehensive stakeholder engagement.</w:t>
      </w:r>
    </w:p>
    <w:p w14:paraId="209C31D1" w14:textId="77777777" w:rsidR="00D835CC" w:rsidRPr="00C10852" w:rsidRDefault="00D835CC" w:rsidP="00D835CC">
      <w:pPr>
        <w:ind w:left="720"/>
        <w:jc w:val="both"/>
        <w:rPr>
          <w:rFonts w:ascii="Calibri" w:hAnsi="Calibri"/>
          <w:b/>
          <w:i/>
          <w:sz w:val="10"/>
          <w:szCs w:val="10"/>
        </w:rPr>
      </w:pPr>
    </w:p>
    <w:p w14:paraId="232FDD7E" w14:textId="77777777" w:rsidR="00D835CC" w:rsidRPr="00A050AB" w:rsidRDefault="00D835CC" w:rsidP="00D835CC">
      <w:pPr>
        <w:ind w:firstLine="720"/>
        <w:jc w:val="both"/>
        <w:rPr>
          <w:rFonts w:ascii="Calibri" w:hAnsi="Calibri"/>
          <w:sz w:val="22"/>
          <w:szCs w:val="22"/>
        </w:rPr>
      </w:pPr>
      <w:r w:rsidRPr="00C10852">
        <w:rPr>
          <w:rFonts w:ascii="Calibri" w:hAnsi="Calibri"/>
          <w:sz w:val="22"/>
          <w:szCs w:val="22"/>
        </w:rPr>
        <w:t xml:space="preserve">To achieve this, the Chief Constable </w:t>
      </w:r>
      <w:r w:rsidRPr="00A050AB">
        <w:rPr>
          <w:rFonts w:ascii="Calibri" w:hAnsi="Calibri"/>
          <w:sz w:val="22"/>
          <w:szCs w:val="22"/>
        </w:rPr>
        <w:t>has:</w:t>
      </w:r>
    </w:p>
    <w:p w14:paraId="7E50F7F2" w14:textId="77777777" w:rsidR="00D835CC" w:rsidRPr="00A050AB" w:rsidRDefault="00D835CC" w:rsidP="005E3E6F">
      <w:pPr>
        <w:numPr>
          <w:ilvl w:val="0"/>
          <w:numId w:val="18"/>
        </w:numPr>
        <w:suppressAutoHyphens/>
        <w:jc w:val="both"/>
        <w:rPr>
          <w:rFonts w:ascii="Calibri" w:hAnsi="Calibri"/>
          <w:sz w:val="22"/>
          <w:szCs w:val="22"/>
        </w:rPr>
      </w:pPr>
      <w:r w:rsidRPr="00A050AB">
        <w:rPr>
          <w:rFonts w:ascii="Calibri" w:hAnsi="Calibri"/>
          <w:sz w:val="22"/>
          <w:szCs w:val="22"/>
        </w:rPr>
        <w:t>meetings with the PCC every 6 weeks for alternate public webcast, and private scrutiny, meetings to report on progress against the PCC’s Police and Crime Plan;</w:t>
      </w:r>
    </w:p>
    <w:p w14:paraId="03450291" w14:textId="77777777" w:rsidR="00D835CC" w:rsidRPr="00A050AB" w:rsidRDefault="00D835CC" w:rsidP="005E3E6F">
      <w:pPr>
        <w:numPr>
          <w:ilvl w:val="0"/>
          <w:numId w:val="18"/>
        </w:numPr>
        <w:suppressAutoHyphens/>
        <w:jc w:val="both"/>
        <w:rPr>
          <w:rFonts w:ascii="Calibri" w:hAnsi="Calibri"/>
          <w:sz w:val="22"/>
          <w:szCs w:val="22"/>
        </w:rPr>
      </w:pPr>
      <w:r w:rsidRPr="00A050AB">
        <w:rPr>
          <w:rFonts w:ascii="Calibri" w:hAnsi="Calibri"/>
          <w:sz w:val="22"/>
          <w:szCs w:val="22"/>
        </w:rPr>
        <w:t>ensured that Force engagement with the public takes place on many levels, from daily street contact and phone calls through to contact via social media (Facebook, Twitter etc.), on line interaction via the force website and formal surveys in relation to service priorities;</w:t>
      </w:r>
    </w:p>
    <w:p w14:paraId="09802DB3" w14:textId="6E066482"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encouraged the public to sign up to ‘In the Know’ receipt of regular updates from Surrey Police;</w:t>
      </w:r>
    </w:p>
    <w:p w14:paraId="1565E846"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ensured use of social media accounts at a corporate and local neighbourhood level to provide updates, crime prevention advice and opportunities for engagement with all key news stories, including proactive transparency on negative issues involving the force such as officer misconduct, with monthly review of public information effectiveness to promote improvement, and social media training delivered in year to frontline staff including the Contact Centre;</w:t>
      </w:r>
    </w:p>
    <w:p w14:paraId="018C9167"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held regular meetings with local communities offering local people a chance to be heard, to discuss issues that affect them, to agree local action to tackle these issues and agree priorities;</w:t>
      </w:r>
    </w:p>
    <w:p w14:paraId="08B2C7B1"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worked with partner organisations - through community safety partnerships and a range of others to tackle crime, disorder, anti-social behaviour and to reduce re-offending;</w:t>
      </w:r>
    </w:p>
    <w:p w14:paraId="4DA39406"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engaged with Independent Advisory Groups, whose membership reflect different sections of the community, to encourage the active involvement of people from diverse groups;</w:t>
      </w:r>
    </w:p>
    <w:p w14:paraId="17729927"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maintained Surrey Police information sharing agreements with partners and other organisations to manage information, working closely with County, Borough and District Councils via a centralised communications group which meets quarterly to share key messages.</w:t>
      </w:r>
    </w:p>
    <w:p w14:paraId="226A2105"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ensured that user satisfaction surveys across a range of victim groups (beyond the statutory requirement) are conducted to a high standard, providing the Force with information about the quality of service these groups have received from the police service e.g. quarterly neighbourhood survey, monthly Victim Satisfaction surveys for Anti-Social Behaviour and Crime, and ad hoc public surveys via social media;</w:t>
      </w:r>
    </w:p>
    <w:p w14:paraId="5C818AF7"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in place an engagement guide explaining to stakeholders and interested members of the public what they can expect from the force, supported by local engagement plans, policies and procedures;</w:t>
      </w:r>
    </w:p>
    <w:p w14:paraId="70BD10E0"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ensured that the Surrey Police website was further developed having joined the national initiative “Single On-line Home”,  which offers an enhanced self-service feature for the public, greater consistency of advice and guidance and an improved user experience;</w:t>
      </w:r>
    </w:p>
    <w:p w14:paraId="203D57D7" w14:textId="77777777" w:rsidR="00D835CC" w:rsidRPr="00A050AB" w:rsidRDefault="00D835CC" w:rsidP="005E3E6F">
      <w:pPr>
        <w:numPr>
          <w:ilvl w:val="0"/>
          <w:numId w:val="19"/>
        </w:numPr>
        <w:suppressAutoHyphens/>
        <w:jc w:val="both"/>
        <w:rPr>
          <w:rFonts w:ascii="Calibri" w:hAnsi="Calibri"/>
          <w:sz w:val="22"/>
          <w:szCs w:val="22"/>
        </w:rPr>
      </w:pPr>
      <w:r w:rsidRPr="00A050AB">
        <w:rPr>
          <w:rFonts w:ascii="Calibri" w:hAnsi="Calibri"/>
          <w:sz w:val="22"/>
          <w:szCs w:val="22"/>
        </w:rPr>
        <w:t>ensured there is an up to date Freedom of information Act 2000 publication scheme;</w:t>
      </w:r>
    </w:p>
    <w:p w14:paraId="6C5F8D53" w14:textId="77777777" w:rsidR="00D835CC" w:rsidRPr="00A050AB" w:rsidRDefault="00D835CC" w:rsidP="00D835CC">
      <w:pPr>
        <w:ind w:left="1080"/>
        <w:jc w:val="both"/>
        <w:rPr>
          <w:rFonts w:ascii="Calibri" w:hAnsi="Calibri"/>
          <w:sz w:val="22"/>
          <w:szCs w:val="22"/>
        </w:rPr>
      </w:pPr>
    </w:p>
    <w:p w14:paraId="28BD882A" w14:textId="77777777" w:rsidR="00D835CC" w:rsidRPr="00A050AB" w:rsidRDefault="00D835CC" w:rsidP="005E3E6F">
      <w:pPr>
        <w:numPr>
          <w:ilvl w:val="1"/>
          <w:numId w:val="14"/>
        </w:numPr>
        <w:suppressAutoHyphens/>
        <w:jc w:val="both"/>
        <w:rPr>
          <w:rFonts w:ascii="Calibri" w:hAnsi="Calibri"/>
          <w:b/>
          <w:sz w:val="22"/>
          <w:szCs w:val="22"/>
        </w:rPr>
      </w:pPr>
      <w:r w:rsidRPr="00A050AB">
        <w:rPr>
          <w:rFonts w:ascii="Calibri" w:hAnsi="Calibri"/>
          <w:b/>
          <w:i/>
          <w:sz w:val="22"/>
          <w:szCs w:val="22"/>
        </w:rPr>
        <w:t xml:space="preserve">Principle of Good Governance: C </w:t>
      </w:r>
      <w:r w:rsidRPr="00A050AB">
        <w:rPr>
          <w:rFonts w:ascii="Calibri" w:hAnsi="Calibri" w:cs="FS Lola"/>
          <w:b/>
          <w:color w:val="000000"/>
          <w:sz w:val="22"/>
          <w:szCs w:val="22"/>
        </w:rPr>
        <w:t>Defining outcomes in terms of sustainable economic, social and environmental benefits.</w:t>
      </w:r>
    </w:p>
    <w:p w14:paraId="0A1D7307" w14:textId="77777777" w:rsidR="00D835CC" w:rsidRPr="00A050AB" w:rsidRDefault="00D835CC" w:rsidP="00D835CC">
      <w:pPr>
        <w:ind w:left="720"/>
        <w:jc w:val="both"/>
        <w:rPr>
          <w:rFonts w:ascii="Calibri" w:hAnsi="Calibri"/>
          <w:b/>
          <w:i/>
          <w:sz w:val="10"/>
          <w:szCs w:val="10"/>
        </w:rPr>
      </w:pPr>
    </w:p>
    <w:p w14:paraId="26D276C3" w14:textId="77777777" w:rsidR="00D835CC" w:rsidRPr="00872F75" w:rsidRDefault="00D835CC" w:rsidP="00D835CC">
      <w:pPr>
        <w:ind w:firstLine="720"/>
        <w:jc w:val="both"/>
        <w:rPr>
          <w:rFonts w:ascii="Calibri" w:hAnsi="Calibri"/>
          <w:sz w:val="22"/>
          <w:szCs w:val="22"/>
        </w:rPr>
      </w:pPr>
      <w:r w:rsidRPr="00A050AB">
        <w:rPr>
          <w:rFonts w:ascii="Calibri" w:hAnsi="Calibri"/>
          <w:sz w:val="22"/>
          <w:szCs w:val="22"/>
        </w:rPr>
        <w:t xml:space="preserve">To achieve this, the </w:t>
      </w:r>
      <w:r w:rsidRPr="00872F75">
        <w:rPr>
          <w:rFonts w:ascii="Calibri" w:hAnsi="Calibri"/>
          <w:sz w:val="22"/>
          <w:szCs w:val="22"/>
        </w:rPr>
        <w:t>Chief Constable has:</w:t>
      </w:r>
    </w:p>
    <w:p w14:paraId="7322D88D" w14:textId="297B4C79" w:rsidR="00D835CC" w:rsidRPr="00CA7D42" w:rsidRDefault="00D835CC" w:rsidP="005E3E6F">
      <w:pPr>
        <w:numPr>
          <w:ilvl w:val="0"/>
          <w:numId w:val="13"/>
        </w:numPr>
        <w:suppressAutoHyphens/>
        <w:jc w:val="both"/>
        <w:rPr>
          <w:rFonts w:ascii="Calibri" w:hAnsi="Calibri"/>
          <w:sz w:val="22"/>
          <w:szCs w:val="22"/>
        </w:rPr>
      </w:pPr>
      <w:r w:rsidRPr="00872F75">
        <w:rPr>
          <w:rFonts w:ascii="Calibri" w:hAnsi="Calibri"/>
          <w:sz w:val="22"/>
          <w:szCs w:val="22"/>
        </w:rPr>
        <w:t>A Chief Constable’s ‘Plan on a Page’ set out the force vision and purpose in accordance with the PCC’s Police and Crime Plan and the Surrey Police Business Plan 2017-2025</w:t>
      </w:r>
      <w:r w:rsidRPr="00872F75">
        <w:rPr>
          <w:rStyle w:val="FootnoteReference"/>
          <w:rFonts w:ascii="Calibri" w:hAnsi="Calibri"/>
          <w:sz w:val="22"/>
          <w:szCs w:val="22"/>
        </w:rPr>
        <w:footnoteReference w:id="12"/>
      </w:r>
      <w:r w:rsidR="00A050AB" w:rsidRPr="00872F75">
        <w:rPr>
          <w:rFonts w:ascii="Calibri" w:hAnsi="Calibri"/>
          <w:sz w:val="22"/>
          <w:szCs w:val="22"/>
        </w:rPr>
        <w:t xml:space="preserve">. Recognising the need for staff and public to see and understand a </w:t>
      </w:r>
      <w:r w:rsidR="00A050AB" w:rsidRPr="00CA7D42">
        <w:rPr>
          <w:rFonts w:ascii="Calibri" w:hAnsi="Calibri"/>
          <w:sz w:val="22"/>
          <w:szCs w:val="22"/>
        </w:rPr>
        <w:t>clear vision and strategy for the Force, in September 2020 Surrey Police set out its strategy as “Our Commitments” to our Communities, our Force and our People. The Force will use this framework to focus activity over the next five years</w:t>
      </w:r>
      <w:r w:rsidR="00A050AB" w:rsidRPr="00CA7D42">
        <w:rPr>
          <w:rStyle w:val="FootnoteReference"/>
          <w:rFonts w:ascii="Calibri" w:hAnsi="Calibri"/>
          <w:sz w:val="22"/>
          <w:szCs w:val="22"/>
        </w:rPr>
        <w:footnoteReference w:id="13"/>
      </w:r>
      <w:r w:rsidRPr="00CA7D42">
        <w:rPr>
          <w:rFonts w:ascii="Calibri" w:hAnsi="Calibri"/>
          <w:sz w:val="22"/>
          <w:szCs w:val="22"/>
        </w:rPr>
        <w:t>;</w:t>
      </w:r>
    </w:p>
    <w:p w14:paraId="1ADA7E87" w14:textId="77777777"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published a Force Management Statement</w:t>
      </w:r>
      <w:r w:rsidRPr="00CA7D42">
        <w:rPr>
          <w:rStyle w:val="FootnoteReference"/>
          <w:rFonts w:ascii="Calibri" w:hAnsi="Calibri"/>
          <w:sz w:val="22"/>
          <w:szCs w:val="22"/>
        </w:rPr>
        <w:footnoteReference w:id="14"/>
      </w:r>
      <w:r w:rsidRPr="00CA7D42">
        <w:rPr>
          <w:rFonts w:ascii="Calibri" w:hAnsi="Calibri"/>
          <w:sz w:val="22"/>
          <w:szCs w:val="22"/>
        </w:rPr>
        <w:t xml:space="preserve"> detailing demand for police services and Surrey Police resourcing to meet these demands, together with details of identified areas to be addressed through investment;</w:t>
      </w:r>
    </w:p>
    <w:p w14:paraId="4B34CAB2" w14:textId="77777777"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a five year Medium Term Financial Plan which is regularly reviewed and supported by robust, sustainable multi-year budgets to deliver the Force Business Plan and consider external factors such as inflation, borrowing and funding;</w:t>
      </w:r>
    </w:p>
    <w:p w14:paraId="4350FDB5" w14:textId="77777777"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 xml:space="preserve">decided how the quality of service for users is to be measured and ensured that the information needed to regularly and effectively review service quality is available; </w:t>
      </w:r>
    </w:p>
    <w:p w14:paraId="1521E9F0" w14:textId="77777777"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established a robust performance framework that ensures that the Chief Constable is informed of progress against key indicators;</w:t>
      </w:r>
    </w:p>
    <w:p w14:paraId="51186637" w14:textId="77777777"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 xml:space="preserve">has continued to review the key functions, departments and activities, to ensure that the delivery of all elements of policing are effective and efficient; </w:t>
      </w:r>
    </w:p>
    <w:p w14:paraId="30163781" w14:textId="77777777"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actively pursued joint working opportunities at a local, regional and national level, which has resulted in a number of policing services being delivered in collaboration with other organisations and bodies, particularly with the Sussex PCC and Sussex Police;</w:t>
      </w:r>
    </w:p>
    <w:p w14:paraId="5F5C1C70" w14:textId="59CEFE51"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 xml:space="preserve">established with Sussex Police a Change </w:t>
      </w:r>
      <w:r w:rsidR="00CA7D42" w:rsidRPr="00CA7D42">
        <w:rPr>
          <w:rFonts w:ascii="Calibri" w:hAnsi="Calibri"/>
          <w:sz w:val="22"/>
          <w:szCs w:val="22"/>
        </w:rPr>
        <w:t xml:space="preserve">Delivery </w:t>
      </w:r>
      <w:r w:rsidRPr="00CA7D42">
        <w:rPr>
          <w:rFonts w:ascii="Calibri" w:hAnsi="Calibri"/>
          <w:sz w:val="22"/>
          <w:szCs w:val="22"/>
        </w:rPr>
        <w:t>function which recognises the importance of strategic planning and integration to incorporate national, regional and local change, business change/adoption and change assurance;</w:t>
      </w:r>
    </w:p>
    <w:p w14:paraId="6BBBE6F3" w14:textId="62281F8C" w:rsidR="00D835CC" w:rsidRPr="00CA7D42" w:rsidRDefault="00D835CC" w:rsidP="005E3E6F">
      <w:pPr>
        <w:numPr>
          <w:ilvl w:val="0"/>
          <w:numId w:val="13"/>
        </w:numPr>
        <w:suppressAutoHyphens/>
        <w:jc w:val="both"/>
        <w:rPr>
          <w:rFonts w:ascii="Calibri" w:hAnsi="Calibri"/>
          <w:sz w:val="22"/>
          <w:szCs w:val="22"/>
        </w:rPr>
      </w:pPr>
      <w:r w:rsidRPr="00CA7D42">
        <w:rPr>
          <w:rFonts w:ascii="Calibri" w:hAnsi="Calibri"/>
          <w:sz w:val="22"/>
          <w:szCs w:val="22"/>
        </w:rPr>
        <w:t xml:space="preserve">a robust mechanism to record and respond to recommendations and findings from external review, including HMICFRS and the IOPC, which is overseen by the Organisational Reassurance Board (ORB), chaired by the Deputy Chief Constable. </w:t>
      </w:r>
    </w:p>
    <w:p w14:paraId="1D89FC6A" w14:textId="77777777" w:rsidR="00D835CC" w:rsidRPr="00CA7D42" w:rsidRDefault="00D835CC" w:rsidP="00D835CC">
      <w:pPr>
        <w:jc w:val="both"/>
        <w:rPr>
          <w:rFonts w:ascii="Calibri" w:hAnsi="Calibri"/>
          <w:sz w:val="22"/>
          <w:szCs w:val="22"/>
        </w:rPr>
      </w:pPr>
    </w:p>
    <w:p w14:paraId="51A5316B" w14:textId="77777777" w:rsidR="00D835CC" w:rsidRPr="00CA7D42" w:rsidRDefault="00D835CC" w:rsidP="005E3E6F">
      <w:pPr>
        <w:numPr>
          <w:ilvl w:val="1"/>
          <w:numId w:val="14"/>
        </w:numPr>
        <w:suppressAutoHyphens/>
        <w:jc w:val="both"/>
        <w:rPr>
          <w:rFonts w:ascii="Calibri" w:hAnsi="Calibri"/>
          <w:b/>
          <w:sz w:val="22"/>
          <w:szCs w:val="22"/>
        </w:rPr>
      </w:pPr>
      <w:r w:rsidRPr="00CA7D42">
        <w:rPr>
          <w:rFonts w:ascii="Calibri" w:hAnsi="Calibri"/>
          <w:b/>
          <w:i/>
          <w:sz w:val="22"/>
          <w:szCs w:val="22"/>
        </w:rPr>
        <w:t xml:space="preserve">Principle of Good Governance D:  </w:t>
      </w:r>
      <w:r w:rsidRPr="00CA7D42">
        <w:rPr>
          <w:rFonts w:ascii="Calibri" w:hAnsi="Calibri" w:cs="FS Lola"/>
          <w:b/>
          <w:color w:val="000000"/>
          <w:sz w:val="22"/>
          <w:szCs w:val="22"/>
        </w:rPr>
        <w:t>Determining the interventions necessary to optimise the achievement of the intended outcomes.</w:t>
      </w:r>
    </w:p>
    <w:p w14:paraId="4965B794" w14:textId="77777777" w:rsidR="00D835CC" w:rsidRPr="00CA7D42" w:rsidRDefault="00D835CC" w:rsidP="00D835CC">
      <w:pPr>
        <w:ind w:left="720"/>
        <w:jc w:val="both"/>
        <w:rPr>
          <w:rFonts w:ascii="Calibri" w:hAnsi="Calibri"/>
          <w:b/>
          <w:i/>
          <w:sz w:val="10"/>
          <w:szCs w:val="10"/>
        </w:rPr>
      </w:pPr>
    </w:p>
    <w:p w14:paraId="5E407D35" w14:textId="77777777" w:rsidR="00D835CC" w:rsidRPr="00CA7D42" w:rsidRDefault="00D835CC" w:rsidP="00D835CC">
      <w:pPr>
        <w:ind w:firstLine="720"/>
        <w:jc w:val="both"/>
        <w:rPr>
          <w:rFonts w:ascii="Calibri" w:hAnsi="Calibri"/>
          <w:sz w:val="22"/>
          <w:szCs w:val="22"/>
        </w:rPr>
      </w:pPr>
      <w:r w:rsidRPr="00CA7D42">
        <w:rPr>
          <w:rFonts w:ascii="Calibri" w:hAnsi="Calibri"/>
          <w:sz w:val="22"/>
          <w:szCs w:val="22"/>
        </w:rPr>
        <w:t>To achieve this, the Chief Constable has:</w:t>
      </w:r>
    </w:p>
    <w:p w14:paraId="6B104F4A"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undertaken an annual review of the corporate governance framework and key high level governance documents, including the Code of Corporate Governance ensuring the Code is aligned with the CIPFA guidance published in 2016;</w:t>
      </w:r>
    </w:p>
    <w:p w14:paraId="6BBEBF71"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ensured that there is a risk management strategy and policy in place to ensure that threats to the achievement of the Force’s organisational objectives and regional and national responsibilities are identified and managed effectively via the Organisational Reassurance Board (ORB), with regular risk updates reviewed by the Joint Audit Committee and at the PCC’s Performance meeting;</w:t>
      </w:r>
    </w:p>
    <w:p w14:paraId="0FC3521B"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established a performance framework based on force priorities/strategic objectives, with an increased focus on qualitative assessment of behaviours and performance and root-cause analysis of issues - these changes have been aligned with the findings from the Irene Curtis review into the use of targets in policing</w:t>
      </w:r>
      <w:r w:rsidRPr="00CA7D42">
        <w:rPr>
          <w:rStyle w:val="FootnoteReference"/>
          <w:rFonts w:ascii="Calibri" w:hAnsi="Calibri"/>
          <w:sz w:val="22"/>
          <w:szCs w:val="22"/>
        </w:rPr>
        <w:footnoteReference w:id="15"/>
      </w:r>
      <w:r w:rsidRPr="00CA7D42">
        <w:rPr>
          <w:rFonts w:ascii="Calibri" w:hAnsi="Calibri"/>
          <w:sz w:val="22"/>
          <w:szCs w:val="22"/>
        </w:rPr>
        <w:t>;</w:t>
      </w:r>
    </w:p>
    <w:p w14:paraId="5331999E" w14:textId="384F23C3"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subjected key strategic projects to specific oversight arrangements, including frequent review of the level of intervention required by the PCC and CC;</w:t>
      </w:r>
    </w:p>
    <w:p w14:paraId="30DF2B00"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ensured that there is robust scrutiny of the Force’s ‘Policing in Your Neighbourhood’ and other change programmes to ensure that significant and complex change programmes are monitored, reviewed and delivered effectively;</w:t>
      </w:r>
    </w:p>
    <w:p w14:paraId="7C81685A"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ensured regular and focussed communication with the public via a communication planner regarding communication strategies supporting force priorities and alignment of public campaigns with those priorities;</w:t>
      </w:r>
    </w:p>
    <w:p w14:paraId="0B8D3E3C"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used monthly victim satisfaction surveys to monitor service delivery outcome satisfaction and compliance with the Victim Code.</w:t>
      </w:r>
    </w:p>
    <w:p w14:paraId="449928E3"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developed the governance related to change to better prioritise and drive delivery and better enable decision-making – this change governance process is supported by three levels of governance boards: Change Engagement Meeting; Change Assessment Board and Strategic Change Board which continue to work well for the organisation;</w:t>
      </w:r>
    </w:p>
    <w:p w14:paraId="42C262EF" w14:textId="77777777" w:rsidR="00D835CC" w:rsidRPr="00CA7D42" w:rsidRDefault="00D835CC" w:rsidP="005E3E6F">
      <w:pPr>
        <w:numPr>
          <w:ilvl w:val="0"/>
          <w:numId w:val="15"/>
        </w:numPr>
        <w:suppressAutoHyphens/>
        <w:jc w:val="both"/>
        <w:rPr>
          <w:rFonts w:ascii="Calibri" w:hAnsi="Calibri"/>
          <w:sz w:val="22"/>
          <w:szCs w:val="22"/>
        </w:rPr>
      </w:pPr>
      <w:r w:rsidRPr="00CA7D42">
        <w:rPr>
          <w:rFonts w:ascii="Calibri" w:hAnsi="Calibri"/>
          <w:sz w:val="22"/>
          <w:szCs w:val="22"/>
        </w:rPr>
        <w:t>ensured post implementation reviews have been undertaken of key change programmes to provide assurance of benefit delivery, with processes in place for follow up on the completion of any additional actions.</w:t>
      </w:r>
    </w:p>
    <w:p w14:paraId="365A35D4" w14:textId="77777777" w:rsidR="00D835CC" w:rsidRPr="00CA7D42" w:rsidRDefault="00D835CC" w:rsidP="00D835CC">
      <w:pPr>
        <w:ind w:left="1080"/>
        <w:jc w:val="both"/>
        <w:rPr>
          <w:rFonts w:ascii="Calibri" w:hAnsi="Calibri"/>
          <w:sz w:val="22"/>
          <w:szCs w:val="22"/>
        </w:rPr>
      </w:pPr>
    </w:p>
    <w:p w14:paraId="3DCFD909" w14:textId="77777777" w:rsidR="00D835CC" w:rsidRPr="00CA7D42" w:rsidRDefault="00D835CC" w:rsidP="00CA7D42">
      <w:pPr>
        <w:ind w:left="1080"/>
        <w:jc w:val="both"/>
        <w:rPr>
          <w:rFonts w:ascii="Calibri" w:hAnsi="Calibri"/>
          <w:sz w:val="22"/>
          <w:szCs w:val="22"/>
        </w:rPr>
      </w:pPr>
      <w:r w:rsidRPr="00CA7D42">
        <w:rPr>
          <w:rFonts w:ascii="Calibri" w:hAnsi="Calibri"/>
          <w:sz w:val="22"/>
          <w:szCs w:val="22"/>
        </w:rPr>
        <w:t>In 2018-19 HMICFRS assessed Surrey Police through the PEEL programme of inspections and assessed Surrey as “Requires Improvement” for Efficiency, identifying that the</w:t>
      </w:r>
      <w:r w:rsidRPr="00CA7D42">
        <w:rPr>
          <w:rFonts w:ascii="Calibri" w:hAnsi="Calibri"/>
          <w:color w:val="282828"/>
          <w:sz w:val="22"/>
          <w:szCs w:val="22"/>
        </w:rPr>
        <w:t xml:space="preserve"> force “needs to analyse data more effectively to understand demand (including hidden demand) to better serve the public” and recommended that the force should gain a better understanding of how it uses and prioritises resources to meet current demand.</w:t>
      </w:r>
    </w:p>
    <w:p w14:paraId="69C611FF" w14:textId="77777777" w:rsidR="00D835CC" w:rsidRPr="00CA7D42" w:rsidRDefault="00D835CC" w:rsidP="00D835CC">
      <w:pPr>
        <w:ind w:left="1080"/>
        <w:jc w:val="both"/>
        <w:rPr>
          <w:rFonts w:ascii="Calibri" w:hAnsi="Calibri"/>
          <w:sz w:val="22"/>
          <w:szCs w:val="22"/>
        </w:rPr>
      </w:pPr>
    </w:p>
    <w:p w14:paraId="6EAD5AC5" w14:textId="77777777" w:rsidR="00D835CC" w:rsidRPr="00CA7D42" w:rsidRDefault="00D835CC" w:rsidP="005E3E6F">
      <w:pPr>
        <w:numPr>
          <w:ilvl w:val="1"/>
          <w:numId w:val="14"/>
        </w:numPr>
        <w:suppressAutoHyphens/>
        <w:jc w:val="both"/>
        <w:rPr>
          <w:rFonts w:ascii="Calibri" w:hAnsi="Calibri"/>
          <w:b/>
          <w:sz w:val="22"/>
          <w:szCs w:val="22"/>
        </w:rPr>
      </w:pPr>
      <w:r w:rsidRPr="00CA7D42">
        <w:rPr>
          <w:rFonts w:ascii="Calibri" w:hAnsi="Calibri"/>
          <w:b/>
          <w:i/>
          <w:sz w:val="22"/>
          <w:szCs w:val="22"/>
        </w:rPr>
        <w:t>Principle of Good Governance E:</w:t>
      </w:r>
      <w:r w:rsidRPr="00CA7D42">
        <w:rPr>
          <w:rFonts w:ascii="Calibri" w:hAnsi="Calibri"/>
          <w:i/>
          <w:sz w:val="22"/>
          <w:szCs w:val="22"/>
        </w:rPr>
        <w:t xml:space="preserve">   </w:t>
      </w:r>
      <w:r w:rsidRPr="00CA7D42">
        <w:rPr>
          <w:rFonts w:ascii="Calibri" w:hAnsi="Calibri" w:cs="FS Lola"/>
          <w:b/>
          <w:color w:val="000000"/>
          <w:sz w:val="22"/>
          <w:szCs w:val="22"/>
        </w:rPr>
        <w:t>Developing the entity’s capacity, including the capability of its leadership and the individuals within it.</w:t>
      </w:r>
    </w:p>
    <w:p w14:paraId="0B80306E" w14:textId="77777777" w:rsidR="00D835CC" w:rsidRPr="00CA7D42" w:rsidRDefault="00D835CC" w:rsidP="00D835CC">
      <w:pPr>
        <w:ind w:left="720"/>
        <w:jc w:val="both"/>
        <w:rPr>
          <w:rFonts w:ascii="Calibri" w:hAnsi="Calibri"/>
          <w:b/>
          <w:i/>
          <w:sz w:val="10"/>
          <w:szCs w:val="10"/>
        </w:rPr>
      </w:pPr>
    </w:p>
    <w:p w14:paraId="4FCE9EFD" w14:textId="77777777" w:rsidR="00D835CC" w:rsidRPr="00CA7D42" w:rsidRDefault="00D835CC" w:rsidP="00D835CC">
      <w:pPr>
        <w:ind w:firstLine="720"/>
        <w:jc w:val="both"/>
        <w:rPr>
          <w:rFonts w:ascii="Calibri" w:hAnsi="Calibri"/>
          <w:sz w:val="22"/>
          <w:szCs w:val="22"/>
        </w:rPr>
      </w:pPr>
      <w:r w:rsidRPr="00CA7D42">
        <w:rPr>
          <w:rFonts w:ascii="Calibri" w:hAnsi="Calibri"/>
          <w:sz w:val="22"/>
          <w:szCs w:val="22"/>
        </w:rPr>
        <w:t>To achieve this, the Chief Constable has:</w:t>
      </w:r>
    </w:p>
    <w:p w14:paraId="44B61E23" w14:textId="77777777" w:rsidR="00D835CC" w:rsidRPr="00CA7D42" w:rsidRDefault="00D835CC" w:rsidP="00D835CC">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 xml:space="preserve">established clear roles and responsibilities for each of the Force’s senior officers; </w:t>
      </w:r>
    </w:p>
    <w:p w14:paraId="19AEF078"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developed a workforce plan introduced across Surrey Police and Sussex Police and reviewed quarterly, which identifies the future workforce mix and profile requirements, this is reviewed at the DCC’s Strategic Board and quarterly at the Workforce Capability and Capacity Board and the Surrey Resource Management meeting attended by business representatives and used to understand and review priorities;</w:t>
      </w:r>
    </w:p>
    <w:p w14:paraId="674BF792"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undertaken a skills audit for officers and staff to establish the current level of leadership skills with the force and enabling better planning of training which more effectively meets the needs of officers and staff e.g. work is underway for core skills for Response (Prevention and Detectives to follow);</w:t>
      </w:r>
      <w:r w:rsidRPr="00CA7D42">
        <w:rPr>
          <w:sz w:val="18"/>
          <w:szCs w:val="18"/>
        </w:rPr>
        <w:t xml:space="preserve"> </w:t>
      </w:r>
    </w:p>
    <w:p w14:paraId="68657CEB"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used the skill product “Licence to Police” to baseline essential skills for all police officers;</w:t>
      </w:r>
    </w:p>
    <w:p w14:paraId="18763E42"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 xml:space="preserve">introduced a new process from July 2018 for individual performance review and management – “Focus”, which sets out a new approach for regular constructive feedback on performance and areas for improvement;          </w:t>
      </w:r>
    </w:p>
    <w:p w14:paraId="0B3F1943"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lang w:eastAsia="en-GB"/>
        </w:rPr>
        <w:t>introduced in 2019-20 a Succession Planning Framework, known as Future Focus</w:t>
      </w:r>
      <w:r w:rsidRPr="00CA7D42">
        <w:rPr>
          <w:sz w:val="18"/>
          <w:szCs w:val="18"/>
          <w:lang w:eastAsia="en-GB"/>
        </w:rPr>
        <w:t>,</w:t>
      </w:r>
      <w:r w:rsidRPr="00CA7D42">
        <w:rPr>
          <w:rFonts w:ascii="Calibri" w:hAnsi="Calibri"/>
          <w:sz w:val="22"/>
          <w:szCs w:val="22"/>
        </w:rPr>
        <w:t xml:space="preserve"> which enables line managers to undertake career planning with staff and officers, identifying talent at the same time as succession planning for critical roles within departments and putting in place plans to minimise risks if this is required;</w:t>
      </w:r>
    </w:p>
    <w:p w14:paraId="0EB8C40F"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lang w:eastAsia="en-GB"/>
        </w:rPr>
        <w:t>ensured local talent pools are embedded in the Force to develop and support future leaders in conjunction with Future Focus;</w:t>
      </w:r>
    </w:p>
    <w:p w14:paraId="61462713" w14:textId="39C3FABE"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developed a leadership</w:t>
      </w:r>
      <w:r w:rsidRPr="00CA7D42">
        <w:rPr>
          <w:rFonts w:ascii="Calibri" w:hAnsi="Calibri"/>
          <w:sz w:val="22"/>
          <w:szCs w:val="22"/>
          <w:lang w:eastAsia="en-GB"/>
        </w:rPr>
        <w:t xml:space="preserve"> strategy and framework based on the national Competency and Values Framework as part of the leadership programme aiming to increase capability in good leadership for officers and staff across Surrey Police and Sussex Police, this includes </w:t>
      </w:r>
      <w:r w:rsidRPr="00CA7D42">
        <w:rPr>
          <w:rFonts w:ascii="Calibri" w:hAnsi="Calibri"/>
          <w:sz w:val="22"/>
          <w:szCs w:val="22"/>
        </w:rPr>
        <w:t>the First Line Leaders Development (FLLD) pathway to unblock barriers and develop skills,</w:t>
      </w:r>
      <w:r w:rsidR="00CA7D42" w:rsidRPr="00CA7D42">
        <w:rPr>
          <w:rFonts w:ascii="Calibri" w:hAnsi="Calibri"/>
          <w:sz w:val="22"/>
          <w:szCs w:val="22"/>
        </w:rPr>
        <w:t xml:space="preserve"> and</w:t>
      </w:r>
      <w:r w:rsidRPr="00CA7D42">
        <w:rPr>
          <w:rFonts w:ascii="Calibri" w:hAnsi="Calibri"/>
          <w:sz w:val="22"/>
          <w:szCs w:val="22"/>
        </w:rPr>
        <w:t xml:space="preserve"> the Second Line Leaders Development Programme aimed at Inspectors/Chief Inspectors and staff equivalents</w:t>
      </w:r>
      <w:r w:rsidRPr="00CA7D42">
        <w:rPr>
          <w:rFonts w:ascii="Calibri" w:hAnsi="Calibri"/>
          <w:sz w:val="22"/>
          <w:szCs w:val="22"/>
          <w:lang w:eastAsia="en-GB"/>
        </w:rPr>
        <w:t xml:space="preserve">; </w:t>
      </w:r>
    </w:p>
    <w:p w14:paraId="5B55E382"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lang w:eastAsia="en-GB"/>
        </w:rPr>
        <w:t xml:space="preserve">ensured that </w:t>
      </w:r>
      <w:r w:rsidRPr="00CA7D42">
        <w:rPr>
          <w:rFonts w:ascii="Calibri" w:hAnsi="Calibri"/>
          <w:sz w:val="22"/>
          <w:szCs w:val="22"/>
        </w:rPr>
        <w:t xml:space="preserve">Force capability continues to be monitored at the Capacity, Capability and Performance Board (CCPB) which was relaunched in June 2019 with revised terms of reference;  </w:t>
      </w:r>
    </w:p>
    <w:p w14:paraId="0905E9BE"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 xml:space="preserve">ensured specific work was undertaken to address the gap in detectives the Force is experiencing with the Heads of Crime Investigative Improvement Programme (HocIIP), including a fast track detective degree holder entry programme; </w:t>
      </w:r>
    </w:p>
    <w:p w14:paraId="42E4C6A2"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 xml:space="preserve">promoted an ethos of continuous improvement across the Force and been proactive in promoting innovative practice in order to reduce organisation costs and improve performance, including ensuring that staff have every opportunity to help shape organisational change and service improvement, </w:t>
      </w:r>
      <w:r w:rsidRPr="00CA7D42">
        <w:rPr>
          <w:rFonts w:ascii="Calibri" w:hAnsi="Calibri"/>
          <w:sz w:val="22"/>
          <w:szCs w:val="22"/>
          <w:lang w:eastAsia="en-GB"/>
        </w:rPr>
        <w:t>with an intranet Development Hub to support officers and staff via a central point of reference to Leadership Development programmes, Continuing Professional Development (CPD) and national tools</w:t>
      </w:r>
      <w:r w:rsidRPr="00CA7D42">
        <w:rPr>
          <w:rFonts w:ascii="Calibri" w:hAnsi="Calibri"/>
          <w:sz w:val="22"/>
          <w:szCs w:val="22"/>
        </w:rPr>
        <w:t>;</w:t>
      </w:r>
    </w:p>
    <w:p w14:paraId="5DA51FEC"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continued to work with Unison, the Police Federation and the Superintendent’s Association using the seven point plan (launched Feb 2017) to enable a consistent approach to how assaults on staff and officers are dealt with;</w:t>
      </w:r>
    </w:p>
    <w:p w14:paraId="3697E5B3"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developed the work of the Wellbeing Board, attended by representatives from Surrey Police and Sussex Police as well as staff associations, allowing workforce concerns to be raised and acted upon;</w:t>
      </w:r>
    </w:p>
    <w:p w14:paraId="7C53DBB1" w14:textId="77777777" w:rsidR="00D835CC" w:rsidRPr="00CA7D42" w:rsidRDefault="00D835CC" w:rsidP="00D835CC">
      <w:pPr>
        <w:numPr>
          <w:ilvl w:val="0"/>
          <w:numId w:val="3"/>
        </w:numPr>
        <w:tabs>
          <w:tab w:val="num" w:pos="1080"/>
        </w:tabs>
        <w:suppressAutoHyphens/>
        <w:ind w:left="1080"/>
        <w:jc w:val="both"/>
        <w:rPr>
          <w:rFonts w:ascii="Calibri" w:hAnsi="Calibri"/>
          <w:sz w:val="22"/>
          <w:szCs w:val="22"/>
        </w:rPr>
      </w:pPr>
      <w:r w:rsidRPr="00CA7D42">
        <w:rPr>
          <w:rFonts w:ascii="Calibri" w:hAnsi="Calibri"/>
          <w:sz w:val="22"/>
          <w:szCs w:val="22"/>
        </w:rPr>
        <w:t xml:space="preserve">established a Wellbeing Strategy and Action Plan, </w:t>
      </w:r>
      <w:r w:rsidRPr="00CA7D42">
        <w:rPr>
          <w:rFonts w:ascii="Calibri" w:eastAsia="Calibri" w:hAnsi="Calibri" w:cs="Segoe UI"/>
          <w:sz w:val="22"/>
          <w:szCs w:val="22"/>
        </w:rPr>
        <w:t xml:space="preserve">revised every year to factor in emerging and identified needs, which </w:t>
      </w:r>
      <w:r w:rsidRPr="00CA7D42">
        <w:rPr>
          <w:rFonts w:ascii="Calibri" w:hAnsi="Calibri"/>
          <w:sz w:val="22"/>
          <w:szCs w:val="22"/>
        </w:rPr>
        <w:t>defines</w:t>
      </w:r>
      <w:r w:rsidRPr="00CA7D42">
        <w:rPr>
          <w:rFonts w:ascii="Calibri" w:eastAsia="Calibri" w:hAnsi="Calibri" w:cs="Segoe UI"/>
          <w:sz w:val="22"/>
          <w:szCs w:val="22"/>
        </w:rPr>
        <w:t xml:space="preserve"> the meaning of “wellbeing” and why it is important.</w:t>
      </w:r>
    </w:p>
    <w:p w14:paraId="38200312" w14:textId="77777777" w:rsidR="00D835CC" w:rsidRPr="00CA7D42" w:rsidRDefault="00D835CC" w:rsidP="00D835CC">
      <w:pPr>
        <w:jc w:val="both"/>
        <w:rPr>
          <w:rFonts w:ascii="Calibri" w:hAnsi="Calibri"/>
          <w:sz w:val="22"/>
          <w:szCs w:val="22"/>
        </w:rPr>
      </w:pPr>
    </w:p>
    <w:p w14:paraId="3F22A76D" w14:textId="77777777" w:rsidR="00D835CC" w:rsidRPr="00CA7D42" w:rsidRDefault="00D835CC" w:rsidP="00D835CC">
      <w:pPr>
        <w:jc w:val="both"/>
        <w:rPr>
          <w:rFonts w:ascii="Calibri" w:hAnsi="Calibri"/>
          <w:color w:val="0000FF"/>
          <w:sz w:val="22"/>
          <w:szCs w:val="22"/>
        </w:rPr>
      </w:pPr>
    </w:p>
    <w:p w14:paraId="2F7DCAEE" w14:textId="77777777" w:rsidR="00D835CC" w:rsidRPr="00CA7D42" w:rsidRDefault="00D835CC" w:rsidP="005E3E6F">
      <w:pPr>
        <w:numPr>
          <w:ilvl w:val="1"/>
          <w:numId w:val="14"/>
        </w:numPr>
        <w:suppressAutoHyphens/>
        <w:jc w:val="both"/>
        <w:rPr>
          <w:rFonts w:ascii="Calibri" w:hAnsi="Calibri"/>
          <w:b/>
          <w:sz w:val="22"/>
          <w:szCs w:val="22"/>
        </w:rPr>
      </w:pPr>
      <w:r w:rsidRPr="00CA7D42">
        <w:rPr>
          <w:rFonts w:ascii="Calibri" w:hAnsi="Calibri"/>
          <w:b/>
          <w:i/>
          <w:sz w:val="22"/>
          <w:szCs w:val="22"/>
        </w:rPr>
        <w:t xml:space="preserve">Principle of Good Governance F: </w:t>
      </w:r>
      <w:r w:rsidRPr="00CA7D42">
        <w:rPr>
          <w:rFonts w:ascii="Calibri" w:hAnsi="Calibri" w:cs="FS Lola"/>
          <w:b/>
          <w:color w:val="000000"/>
          <w:sz w:val="22"/>
          <w:szCs w:val="22"/>
        </w:rPr>
        <w:t>Managing risks and performance through robust internal control and strong public financial management.</w:t>
      </w:r>
    </w:p>
    <w:p w14:paraId="07DEC722" w14:textId="77777777" w:rsidR="00D835CC" w:rsidRPr="00CA7D42" w:rsidRDefault="00D835CC" w:rsidP="00D835CC">
      <w:pPr>
        <w:ind w:left="720"/>
        <w:jc w:val="both"/>
        <w:rPr>
          <w:rFonts w:ascii="Calibri" w:hAnsi="Calibri"/>
          <w:b/>
          <w:i/>
          <w:sz w:val="22"/>
          <w:szCs w:val="22"/>
        </w:rPr>
      </w:pPr>
    </w:p>
    <w:p w14:paraId="088A1F73" w14:textId="77777777" w:rsidR="00D835CC" w:rsidRPr="000D2EE4" w:rsidRDefault="00D835CC" w:rsidP="00D835CC">
      <w:pPr>
        <w:ind w:firstLine="720"/>
        <w:jc w:val="both"/>
        <w:rPr>
          <w:rFonts w:ascii="Calibri" w:hAnsi="Calibri"/>
          <w:sz w:val="22"/>
          <w:szCs w:val="22"/>
        </w:rPr>
      </w:pPr>
      <w:r w:rsidRPr="000D2EE4">
        <w:rPr>
          <w:rFonts w:ascii="Calibri" w:hAnsi="Calibri"/>
          <w:sz w:val="22"/>
          <w:szCs w:val="22"/>
        </w:rPr>
        <w:t>To achieve this, the Chief Constable has:</w:t>
      </w:r>
    </w:p>
    <w:p w14:paraId="35E525D1" w14:textId="77777777" w:rsidR="00D835CC" w:rsidRPr="000D2EE4" w:rsidRDefault="00D835CC" w:rsidP="005E3E6F">
      <w:pPr>
        <w:numPr>
          <w:ilvl w:val="0"/>
          <w:numId w:val="8"/>
        </w:numPr>
        <w:tabs>
          <w:tab w:val="num" w:pos="1080"/>
        </w:tabs>
        <w:suppressAutoHyphens/>
        <w:ind w:left="1080"/>
        <w:jc w:val="both"/>
        <w:rPr>
          <w:rFonts w:ascii="Calibri" w:hAnsi="Calibri"/>
          <w:sz w:val="22"/>
          <w:szCs w:val="22"/>
        </w:rPr>
      </w:pPr>
      <w:r w:rsidRPr="000D2EE4">
        <w:rPr>
          <w:rFonts w:ascii="Calibri" w:hAnsi="Calibri"/>
          <w:sz w:val="22"/>
          <w:szCs w:val="22"/>
        </w:rPr>
        <w:t>ensured that all decision making is carried out in accordance with the governance framework as set out in the Code of Corporate Governance;</w:t>
      </w:r>
    </w:p>
    <w:p w14:paraId="32E88EC1" w14:textId="77777777" w:rsidR="00D835CC" w:rsidRPr="000D2EE4" w:rsidRDefault="00D835CC" w:rsidP="005E3E6F">
      <w:pPr>
        <w:numPr>
          <w:ilvl w:val="0"/>
          <w:numId w:val="8"/>
        </w:numPr>
        <w:tabs>
          <w:tab w:val="num" w:pos="1080"/>
        </w:tabs>
        <w:suppressAutoHyphens/>
        <w:ind w:left="1080"/>
        <w:jc w:val="both"/>
        <w:rPr>
          <w:rFonts w:ascii="Calibri" w:hAnsi="Calibri"/>
          <w:sz w:val="22"/>
          <w:szCs w:val="22"/>
        </w:rPr>
      </w:pPr>
      <w:r w:rsidRPr="000D2EE4">
        <w:rPr>
          <w:rFonts w:ascii="Calibri" w:hAnsi="Calibri"/>
          <w:sz w:val="22"/>
          <w:szCs w:val="22"/>
        </w:rPr>
        <w:t>continued to work to embed ethical decision making at all levels following the National Decision Model (NDM), which has at its centre the policing Code of Ethics;</w:t>
      </w:r>
    </w:p>
    <w:p w14:paraId="1EB95510" w14:textId="77777777" w:rsidR="00D835CC" w:rsidRPr="000D2EE4" w:rsidRDefault="00D835CC" w:rsidP="00D835CC">
      <w:pPr>
        <w:jc w:val="both"/>
        <w:rPr>
          <w:rFonts w:ascii="Calibri" w:hAnsi="Calibri"/>
          <w:sz w:val="22"/>
          <w:szCs w:val="22"/>
        </w:rPr>
      </w:pPr>
    </w:p>
    <w:p w14:paraId="4700FD36" w14:textId="77777777" w:rsidR="00D835CC" w:rsidRPr="000D2EE4" w:rsidRDefault="00D835CC" w:rsidP="00D835CC">
      <w:pPr>
        <w:jc w:val="center"/>
        <w:rPr>
          <w:rFonts w:ascii="Calibri" w:hAnsi="Calibri"/>
          <w:sz w:val="22"/>
          <w:szCs w:val="22"/>
        </w:rPr>
      </w:pPr>
      <w:r w:rsidRPr="000D2EE4">
        <w:rPr>
          <w:noProof/>
          <w:lang w:val="en-GB" w:eastAsia="en-GB"/>
        </w:rPr>
        <w:drawing>
          <wp:inline distT="0" distB="0" distL="0" distR="0" wp14:anchorId="5AA14205" wp14:editId="776EB0B9">
            <wp:extent cx="2689860" cy="1645920"/>
            <wp:effectExtent l="0" t="0" r="0" b="0"/>
            <wp:docPr id="8" name="Picture 8" descr="NEW-National-decision-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National-decision-mode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9860" cy="1645920"/>
                    </a:xfrm>
                    <a:prstGeom prst="rect">
                      <a:avLst/>
                    </a:prstGeom>
                    <a:noFill/>
                    <a:ln>
                      <a:noFill/>
                    </a:ln>
                  </pic:spPr>
                </pic:pic>
              </a:graphicData>
            </a:graphic>
          </wp:inline>
        </w:drawing>
      </w:r>
    </w:p>
    <w:p w14:paraId="0BFED584" w14:textId="77777777" w:rsidR="00D835CC" w:rsidRPr="000D2EE4" w:rsidRDefault="00D835CC" w:rsidP="00D835CC">
      <w:pPr>
        <w:jc w:val="both"/>
        <w:rPr>
          <w:rFonts w:ascii="Calibri" w:hAnsi="Calibri"/>
          <w:sz w:val="22"/>
          <w:szCs w:val="22"/>
        </w:rPr>
      </w:pPr>
    </w:p>
    <w:p w14:paraId="4A51D4B6"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0D2EE4">
        <w:rPr>
          <w:rFonts w:ascii="Calibri" w:hAnsi="Calibri"/>
          <w:sz w:val="22"/>
          <w:szCs w:val="22"/>
        </w:rPr>
        <w:t xml:space="preserve">NDM is explained on dedicated intranet pages and posters promoting principles of the Code of Ethics. NDM is included in all </w:t>
      </w:r>
      <w:r w:rsidRPr="007C09D7">
        <w:rPr>
          <w:rFonts w:ascii="Calibri" w:hAnsi="Calibri"/>
          <w:sz w:val="22"/>
          <w:szCs w:val="22"/>
        </w:rPr>
        <w:t>learning material, selection/promotion processes, on investigators notebooks and pocket books as an aid to regular use and decision making process;</w:t>
      </w:r>
    </w:p>
    <w:p w14:paraId="405A26F4" w14:textId="5645BDB1"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 xml:space="preserve">set strategic direction and priorities via the Chief Officer Group (COG) for Surrey, and the Chief Officer Meeting (COM) for matters across Surrey Police and Sussex Police. The </w:t>
      </w:r>
      <w:r w:rsidR="007C09D7" w:rsidRPr="007C09D7">
        <w:rPr>
          <w:rFonts w:ascii="Calibri" w:hAnsi="Calibri"/>
          <w:sz w:val="22"/>
          <w:szCs w:val="22"/>
        </w:rPr>
        <w:t>Force Organisation Board</w:t>
      </w:r>
      <w:r w:rsidRPr="007C09D7">
        <w:rPr>
          <w:rFonts w:ascii="Calibri" w:hAnsi="Calibri"/>
          <w:sz w:val="22"/>
          <w:szCs w:val="22"/>
        </w:rPr>
        <w:t xml:space="preserve"> includes Chief Superintendents and Heads of Department providing a forum to agree changes to policy and practice, and maintain oversight of financial and workforce planning.</w:t>
      </w:r>
    </w:p>
    <w:p w14:paraId="5D953A80" w14:textId="6EB1C5EA"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compared performance against peer data as provided by HMICFRS 20</w:t>
      </w:r>
      <w:r w:rsidR="007C09D7" w:rsidRPr="007C09D7">
        <w:rPr>
          <w:rFonts w:ascii="Calibri" w:hAnsi="Calibri"/>
          <w:sz w:val="22"/>
          <w:szCs w:val="22"/>
        </w:rPr>
        <w:t>20</w:t>
      </w:r>
      <w:r w:rsidRPr="007C09D7">
        <w:rPr>
          <w:rFonts w:ascii="Calibri" w:hAnsi="Calibri"/>
          <w:sz w:val="22"/>
          <w:szCs w:val="22"/>
        </w:rPr>
        <w:t xml:space="preserve"> Value for Money profiles,</w:t>
      </w:r>
      <w:r w:rsidRPr="007C09D7">
        <w:rPr>
          <w:rStyle w:val="FootnoteReference"/>
          <w:rFonts w:ascii="Calibri" w:hAnsi="Calibri"/>
          <w:sz w:val="22"/>
          <w:szCs w:val="22"/>
        </w:rPr>
        <w:footnoteReference w:id="16"/>
      </w:r>
      <w:r w:rsidRPr="007C09D7">
        <w:rPr>
          <w:rFonts w:ascii="Calibri" w:hAnsi="Calibri"/>
          <w:sz w:val="22"/>
          <w:szCs w:val="22"/>
        </w:rPr>
        <w:t xml:space="preserve"> seeking improvement where best practice was identified;</w:t>
      </w:r>
    </w:p>
    <w:p w14:paraId="40F234DD"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 xml:space="preserve">ensured individual change programmes are built on comprehensive business cases to secure value for money,  effective resources management, and projected benefits; </w:t>
      </w:r>
    </w:p>
    <w:p w14:paraId="26E2DF7F"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ensured change programme and project expenditure was scrutinised and challenged by chief officers via relevant programme and project boards led by chief officers;</w:t>
      </w:r>
    </w:p>
    <w:p w14:paraId="68A4E37A"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ensured that there is a process in place between Change Delivery and finance to manage and monitor the delivery of savings, which has been incorporated into the budget setting process.</w:t>
      </w:r>
    </w:p>
    <w:p w14:paraId="18B79F15" w14:textId="77777777" w:rsidR="00D835CC" w:rsidRPr="007C09D7" w:rsidRDefault="00D835CC" w:rsidP="005E3E6F">
      <w:pPr>
        <w:numPr>
          <w:ilvl w:val="0"/>
          <w:numId w:val="8"/>
        </w:numPr>
        <w:tabs>
          <w:tab w:val="num" w:pos="1080"/>
        </w:tabs>
        <w:suppressAutoHyphens/>
        <w:ind w:left="1080"/>
        <w:jc w:val="both"/>
        <w:rPr>
          <w:sz w:val="22"/>
          <w:szCs w:val="22"/>
        </w:rPr>
      </w:pPr>
      <w:r w:rsidRPr="007C09D7">
        <w:rPr>
          <w:rFonts w:ascii="Calibri" w:hAnsi="Calibri"/>
          <w:sz w:val="22"/>
          <w:szCs w:val="22"/>
        </w:rPr>
        <w:t>ensured that a risk management strategy and policy is embedded in the governance structure and is used effectively to inform and focus decision making, including the response to COVID-19;</w:t>
      </w:r>
    </w:p>
    <w:p w14:paraId="575EA159" w14:textId="77777777" w:rsidR="00D835CC" w:rsidRPr="007C09D7" w:rsidRDefault="00D835CC" w:rsidP="005E3E6F">
      <w:pPr>
        <w:numPr>
          <w:ilvl w:val="0"/>
          <w:numId w:val="8"/>
        </w:numPr>
        <w:tabs>
          <w:tab w:val="num" w:pos="1080"/>
        </w:tabs>
        <w:suppressAutoHyphens/>
        <w:ind w:left="1080"/>
        <w:jc w:val="both"/>
        <w:rPr>
          <w:sz w:val="22"/>
          <w:szCs w:val="22"/>
        </w:rPr>
      </w:pPr>
      <w:r w:rsidRPr="007C09D7">
        <w:rPr>
          <w:rFonts w:ascii="Calibri" w:hAnsi="Calibri"/>
          <w:sz w:val="22"/>
          <w:szCs w:val="22"/>
        </w:rPr>
        <w:t xml:space="preserve">ensured that effective business continuity arrangements are in place </w:t>
      </w:r>
      <w:r w:rsidRPr="007C09D7">
        <w:rPr>
          <w:rFonts w:ascii="Calibri" w:hAnsi="Calibri" w:cs="Times New Roman"/>
          <w:sz w:val="22"/>
          <w:szCs w:val="22"/>
          <w:lang w:eastAsia="en-GB"/>
        </w:rPr>
        <w:t>to meet the requirements outlined in the Civil Contingencies Act 2004.</w:t>
      </w:r>
    </w:p>
    <w:p w14:paraId="6460C06D" w14:textId="40458B43" w:rsidR="00D835CC" w:rsidRPr="007C09D7" w:rsidRDefault="00D835CC" w:rsidP="005E3E6F">
      <w:pPr>
        <w:numPr>
          <w:ilvl w:val="0"/>
          <w:numId w:val="8"/>
        </w:numPr>
        <w:tabs>
          <w:tab w:val="num" w:pos="1080"/>
        </w:tabs>
        <w:suppressAutoHyphens/>
        <w:ind w:left="1080"/>
        <w:jc w:val="both"/>
        <w:rPr>
          <w:sz w:val="22"/>
          <w:szCs w:val="22"/>
        </w:rPr>
      </w:pPr>
      <w:r w:rsidRPr="007C09D7">
        <w:rPr>
          <w:rFonts w:ascii="Calibri" w:hAnsi="Calibri"/>
          <w:sz w:val="22"/>
          <w:szCs w:val="22"/>
        </w:rPr>
        <w:t>ensured data protection and information management policies and strategy are in place to ensure that the Force is compliant with General Data Protection Regulation</w:t>
      </w:r>
      <w:r w:rsidR="007C09D7" w:rsidRPr="007C09D7">
        <w:rPr>
          <w:rFonts w:ascii="Calibri" w:hAnsi="Calibri"/>
          <w:sz w:val="22"/>
          <w:szCs w:val="22"/>
        </w:rPr>
        <w:t xml:space="preserve"> 2018</w:t>
      </w:r>
      <w:r w:rsidRPr="007C09D7">
        <w:rPr>
          <w:rFonts w:ascii="Calibri" w:hAnsi="Calibri"/>
          <w:sz w:val="22"/>
          <w:szCs w:val="22"/>
        </w:rPr>
        <w:t xml:space="preserve"> (GDPR)</w:t>
      </w:r>
      <w:r w:rsidR="007C09D7" w:rsidRPr="007C09D7">
        <w:rPr>
          <w:rFonts w:ascii="Calibri" w:hAnsi="Calibri"/>
          <w:sz w:val="22"/>
          <w:szCs w:val="22"/>
        </w:rPr>
        <w:t xml:space="preserve"> </w:t>
      </w:r>
      <w:r w:rsidRPr="007C09D7">
        <w:rPr>
          <w:rFonts w:ascii="Calibri" w:hAnsi="Calibri"/>
          <w:sz w:val="22"/>
          <w:szCs w:val="22"/>
        </w:rPr>
        <w:t>and the Data Protection Act 2018;</w:t>
      </w:r>
    </w:p>
    <w:p w14:paraId="6EC3016B" w14:textId="77777777" w:rsidR="00D835CC" w:rsidRPr="007C09D7" w:rsidRDefault="00D835CC" w:rsidP="00D835CC">
      <w:pPr>
        <w:ind w:left="360"/>
        <w:jc w:val="both"/>
        <w:rPr>
          <w:rFonts w:ascii="Calibri" w:hAnsi="Calibri"/>
          <w:b/>
          <w:i/>
          <w:sz w:val="22"/>
          <w:szCs w:val="22"/>
        </w:rPr>
      </w:pPr>
    </w:p>
    <w:p w14:paraId="4A1A4E52" w14:textId="77777777" w:rsidR="00D835CC" w:rsidRPr="007C09D7" w:rsidRDefault="00D835CC" w:rsidP="005E3E6F">
      <w:pPr>
        <w:numPr>
          <w:ilvl w:val="1"/>
          <w:numId w:val="14"/>
        </w:numPr>
        <w:suppressAutoHyphens/>
        <w:jc w:val="both"/>
        <w:rPr>
          <w:rFonts w:ascii="Calibri" w:hAnsi="Calibri"/>
          <w:b/>
          <w:sz w:val="22"/>
          <w:szCs w:val="22"/>
        </w:rPr>
      </w:pPr>
      <w:r w:rsidRPr="007C09D7">
        <w:rPr>
          <w:rFonts w:ascii="Calibri" w:hAnsi="Calibri"/>
          <w:b/>
          <w:i/>
          <w:sz w:val="22"/>
          <w:szCs w:val="22"/>
        </w:rPr>
        <w:t>Principle of Good Governance: G</w:t>
      </w:r>
      <w:r w:rsidRPr="007C09D7">
        <w:rPr>
          <w:rFonts w:ascii="Calibri" w:hAnsi="Calibri" w:cs="FS Lola"/>
          <w:color w:val="000000"/>
          <w:sz w:val="22"/>
          <w:szCs w:val="22"/>
        </w:rPr>
        <w:t xml:space="preserve"> </w:t>
      </w:r>
      <w:r w:rsidRPr="007C09D7">
        <w:rPr>
          <w:rFonts w:ascii="Calibri" w:hAnsi="Calibri" w:cs="FS Lola"/>
          <w:b/>
          <w:color w:val="000000"/>
          <w:sz w:val="22"/>
          <w:szCs w:val="22"/>
        </w:rPr>
        <w:t>Implementing good practices in transparency, reporting and audit to deliver effective accountability.</w:t>
      </w:r>
    </w:p>
    <w:p w14:paraId="6E3B81B8" w14:textId="77777777" w:rsidR="00D835CC" w:rsidRPr="007C09D7" w:rsidRDefault="00D835CC" w:rsidP="00D835CC">
      <w:pPr>
        <w:jc w:val="both"/>
        <w:rPr>
          <w:rFonts w:ascii="Calibri" w:hAnsi="Calibri"/>
          <w:sz w:val="22"/>
          <w:szCs w:val="22"/>
        </w:rPr>
      </w:pPr>
    </w:p>
    <w:p w14:paraId="7BEC5931" w14:textId="77777777" w:rsidR="00D835CC" w:rsidRPr="007C09D7" w:rsidRDefault="00D835CC" w:rsidP="00D835CC">
      <w:pPr>
        <w:ind w:firstLine="720"/>
        <w:jc w:val="both"/>
        <w:rPr>
          <w:rFonts w:ascii="Calibri" w:hAnsi="Calibri"/>
          <w:b/>
          <w:sz w:val="22"/>
          <w:szCs w:val="22"/>
        </w:rPr>
      </w:pPr>
      <w:r w:rsidRPr="007C09D7">
        <w:rPr>
          <w:rFonts w:ascii="Calibri" w:hAnsi="Calibri"/>
          <w:sz w:val="22"/>
          <w:szCs w:val="22"/>
        </w:rPr>
        <w:t>To achieve this, the Chief Constable has:</w:t>
      </w:r>
    </w:p>
    <w:p w14:paraId="352695A0"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 xml:space="preserve">ensured that the Force undergoes extensive internal and external inspection and that the results of these inspections area available on line; </w:t>
      </w:r>
    </w:p>
    <w:p w14:paraId="2446F976"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ensured that internal audit is provided through a managed service contract with the Southern Internal Audit Partnership and regular updates are provided to the Joint Audit Committee</w:t>
      </w:r>
      <w:r w:rsidRPr="007C09D7">
        <w:rPr>
          <w:rStyle w:val="FootnoteReference"/>
          <w:rFonts w:ascii="Calibri" w:hAnsi="Calibri"/>
          <w:sz w:val="22"/>
          <w:szCs w:val="22"/>
        </w:rPr>
        <w:footnoteReference w:id="17"/>
      </w:r>
      <w:r w:rsidRPr="007C09D7">
        <w:rPr>
          <w:rFonts w:ascii="Calibri" w:hAnsi="Calibri"/>
          <w:sz w:val="22"/>
          <w:szCs w:val="22"/>
        </w:rPr>
        <w:t>;</w:t>
      </w:r>
    </w:p>
    <w:p w14:paraId="51DCF1A4"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ensured that information is published to allow appropriate scrutiny of decision making</w:t>
      </w:r>
      <w:r w:rsidRPr="007C09D7">
        <w:rPr>
          <w:rStyle w:val="FootnoteReference"/>
          <w:rFonts w:ascii="Calibri" w:hAnsi="Calibri"/>
          <w:sz w:val="22"/>
          <w:szCs w:val="22"/>
        </w:rPr>
        <w:footnoteReference w:id="18"/>
      </w:r>
      <w:r w:rsidRPr="007C09D7">
        <w:rPr>
          <w:rFonts w:ascii="Calibri" w:hAnsi="Calibri"/>
          <w:sz w:val="22"/>
          <w:szCs w:val="22"/>
        </w:rPr>
        <w:t xml:space="preserve">; </w:t>
      </w:r>
    </w:p>
    <w:p w14:paraId="242F0F40" w14:textId="77777777" w:rsidR="00D835CC" w:rsidRPr="007C09D7" w:rsidRDefault="00D835CC" w:rsidP="005E3E6F">
      <w:pPr>
        <w:numPr>
          <w:ilvl w:val="0"/>
          <w:numId w:val="8"/>
        </w:numPr>
        <w:tabs>
          <w:tab w:val="num" w:pos="1080"/>
        </w:tabs>
        <w:suppressAutoHyphens/>
        <w:ind w:left="1080"/>
        <w:jc w:val="both"/>
        <w:rPr>
          <w:rFonts w:ascii="Calibri" w:hAnsi="Calibri"/>
          <w:sz w:val="22"/>
          <w:szCs w:val="22"/>
        </w:rPr>
      </w:pPr>
      <w:r w:rsidRPr="007C09D7">
        <w:rPr>
          <w:rFonts w:ascii="Calibri" w:hAnsi="Calibri"/>
          <w:sz w:val="22"/>
          <w:szCs w:val="22"/>
        </w:rPr>
        <w:t>ensured that the public are able to attend police disciplinary hearings to observe proceedings</w:t>
      </w:r>
      <w:r w:rsidRPr="007C09D7">
        <w:rPr>
          <w:rStyle w:val="FootnoteReference"/>
          <w:rFonts w:ascii="Calibri" w:hAnsi="Calibri"/>
          <w:sz w:val="22"/>
          <w:szCs w:val="22"/>
        </w:rPr>
        <w:footnoteReference w:id="19"/>
      </w:r>
      <w:r w:rsidRPr="007C09D7">
        <w:rPr>
          <w:rFonts w:ascii="Calibri" w:hAnsi="Calibri"/>
          <w:sz w:val="22"/>
          <w:szCs w:val="22"/>
        </w:rPr>
        <w:t xml:space="preserve"> </w:t>
      </w:r>
    </w:p>
    <w:p w14:paraId="3C68C897" w14:textId="77777777" w:rsidR="00D835CC" w:rsidRPr="007C09D7" w:rsidRDefault="00D835CC" w:rsidP="005E3E6F">
      <w:pPr>
        <w:numPr>
          <w:ilvl w:val="0"/>
          <w:numId w:val="8"/>
        </w:numPr>
        <w:tabs>
          <w:tab w:val="num" w:pos="1080"/>
        </w:tabs>
        <w:suppressAutoHyphens/>
        <w:ind w:left="1080"/>
        <w:jc w:val="both"/>
        <w:rPr>
          <w:sz w:val="22"/>
          <w:szCs w:val="22"/>
        </w:rPr>
      </w:pPr>
      <w:r w:rsidRPr="007C09D7">
        <w:rPr>
          <w:rFonts w:ascii="Calibri" w:hAnsi="Calibri"/>
          <w:sz w:val="22"/>
          <w:szCs w:val="22"/>
        </w:rPr>
        <w:t>continued to support the work of the Joint Audit Committee in its role of monitoring Force governance and internal control.</w:t>
      </w:r>
    </w:p>
    <w:p w14:paraId="1AE4277E" w14:textId="77777777" w:rsidR="00D835CC" w:rsidRPr="003B2596" w:rsidRDefault="00D835CC" w:rsidP="00D835CC">
      <w:pPr>
        <w:autoSpaceDE w:val="0"/>
        <w:jc w:val="both"/>
        <w:rPr>
          <w:rFonts w:ascii="Calibri" w:hAnsi="Calibri"/>
          <w:sz w:val="22"/>
          <w:szCs w:val="22"/>
        </w:rPr>
      </w:pPr>
    </w:p>
    <w:p w14:paraId="3DCBD00F" w14:textId="77777777" w:rsidR="00D835CC" w:rsidRPr="003B2596" w:rsidRDefault="00D835CC" w:rsidP="00D835CC">
      <w:pPr>
        <w:shd w:val="clear" w:color="auto" w:fill="0070C0"/>
        <w:jc w:val="both"/>
        <w:rPr>
          <w:rFonts w:ascii="Calibri" w:hAnsi="Calibri"/>
          <w:b/>
          <w:color w:val="FFFFFF"/>
          <w:sz w:val="22"/>
          <w:szCs w:val="22"/>
        </w:rPr>
      </w:pPr>
      <w:r w:rsidRPr="003B2596">
        <w:rPr>
          <w:rFonts w:ascii="Calibri" w:hAnsi="Calibri"/>
          <w:b/>
          <w:color w:val="FFFFFF"/>
          <w:sz w:val="22"/>
          <w:szCs w:val="22"/>
        </w:rPr>
        <w:t>6</w:t>
      </w:r>
      <w:r w:rsidRPr="003B2596">
        <w:rPr>
          <w:rFonts w:ascii="Calibri" w:hAnsi="Calibri"/>
          <w:b/>
          <w:color w:val="FFFFFF"/>
          <w:sz w:val="22"/>
          <w:szCs w:val="22"/>
        </w:rPr>
        <w:tab/>
        <w:t>Review of Effectiveness</w:t>
      </w:r>
    </w:p>
    <w:p w14:paraId="4EF9ADA2" w14:textId="77777777" w:rsidR="00D835CC" w:rsidRPr="003B2596" w:rsidRDefault="00D835CC" w:rsidP="00D835CC">
      <w:pPr>
        <w:ind w:left="720"/>
        <w:jc w:val="both"/>
        <w:rPr>
          <w:rFonts w:ascii="Calibri" w:hAnsi="Calibri"/>
          <w:sz w:val="22"/>
          <w:szCs w:val="22"/>
        </w:rPr>
      </w:pPr>
    </w:p>
    <w:p w14:paraId="5B87060D" w14:textId="77777777" w:rsidR="00D835CC" w:rsidRPr="00497DB1" w:rsidRDefault="00D835CC" w:rsidP="005E3E6F">
      <w:pPr>
        <w:pStyle w:val="ListParagraph"/>
        <w:numPr>
          <w:ilvl w:val="0"/>
          <w:numId w:val="7"/>
        </w:numPr>
        <w:tabs>
          <w:tab w:val="num" w:pos="360"/>
        </w:tabs>
        <w:suppressAutoHyphens/>
        <w:ind w:left="360"/>
        <w:contextualSpacing w:val="0"/>
        <w:jc w:val="both"/>
        <w:rPr>
          <w:rFonts w:ascii="Calibri" w:hAnsi="Calibri"/>
          <w:vanish/>
          <w:color w:val="000000"/>
          <w:sz w:val="22"/>
          <w:szCs w:val="22"/>
        </w:rPr>
      </w:pPr>
    </w:p>
    <w:p w14:paraId="660017A2" w14:textId="77777777" w:rsidR="00D835CC" w:rsidRPr="00497DB1" w:rsidRDefault="00D835CC" w:rsidP="005E3E6F">
      <w:pPr>
        <w:pStyle w:val="ListParagraph"/>
        <w:numPr>
          <w:ilvl w:val="0"/>
          <w:numId w:val="7"/>
        </w:numPr>
        <w:tabs>
          <w:tab w:val="num" w:pos="360"/>
        </w:tabs>
        <w:suppressAutoHyphens/>
        <w:ind w:left="360"/>
        <w:contextualSpacing w:val="0"/>
        <w:jc w:val="both"/>
        <w:rPr>
          <w:rFonts w:ascii="Calibri" w:hAnsi="Calibri"/>
          <w:vanish/>
          <w:color w:val="000000"/>
          <w:sz w:val="22"/>
          <w:szCs w:val="22"/>
        </w:rPr>
      </w:pPr>
    </w:p>
    <w:p w14:paraId="2C9785CF" w14:textId="4F568E30" w:rsidR="00D835CC" w:rsidRPr="00497DB1" w:rsidRDefault="00DA4E8D" w:rsidP="00DA4E8D">
      <w:pPr>
        <w:suppressAutoHyphens/>
        <w:ind w:left="720" w:hanging="720"/>
        <w:jc w:val="both"/>
        <w:rPr>
          <w:rFonts w:ascii="Calibri" w:hAnsi="Calibri"/>
          <w:sz w:val="22"/>
          <w:szCs w:val="22"/>
        </w:rPr>
      </w:pPr>
      <w:r w:rsidRPr="00497DB1">
        <w:rPr>
          <w:rFonts w:ascii="Calibri" w:hAnsi="Calibri"/>
          <w:color w:val="000000"/>
          <w:sz w:val="22"/>
          <w:szCs w:val="22"/>
        </w:rPr>
        <w:t>6.1</w:t>
      </w:r>
      <w:r w:rsidRPr="00497DB1">
        <w:rPr>
          <w:rFonts w:ascii="Calibri" w:hAnsi="Calibri"/>
          <w:color w:val="000000"/>
          <w:sz w:val="22"/>
          <w:szCs w:val="22"/>
        </w:rPr>
        <w:tab/>
      </w:r>
      <w:r w:rsidR="00D835CC" w:rsidRPr="00497DB1">
        <w:rPr>
          <w:rFonts w:ascii="Calibri" w:hAnsi="Calibri"/>
          <w:color w:val="000000"/>
          <w:sz w:val="22"/>
          <w:szCs w:val="22"/>
        </w:rPr>
        <w:t xml:space="preserve">The Chief Constable has responsibility for conducting a regular review of the effectiveness of the governance framework, including the system of internal audit and control. </w:t>
      </w:r>
      <w:r w:rsidR="00D835CC" w:rsidRPr="00497DB1">
        <w:rPr>
          <w:rFonts w:ascii="Calibri" w:hAnsi="Calibri"/>
          <w:sz w:val="22"/>
          <w:szCs w:val="22"/>
        </w:rPr>
        <w:t>This annual governance statement provides a summary of activities undertaken and areas for continuous improvement identified through the Force review of the governance arrangements; these have been included in the action plan for 202</w:t>
      </w:r>
      <w:r w:rsidR="00497DB1" w:rsidRPr="00497DB1">
        <w:rPr>
          <w:rFonts w:ascii="Calibri" w:hAnsi="Calibri"/>
          <w:sz w:val="22"/>
          <w:szCs w:val="22"/>
        </w:rPr>
        <w:t>1</w:t>
      </w:r>
      <w:r w:rsidR="00D835CC" w:rsidRPr="00497DB1">
        <w:rPr>
          <w:rFonts w:ascii="Calibri" w:hAnsi="Calibri"/>
          <w:sz w:val="22"/>
          <w:szCs w:val="22"/>
        </w:rPr>
        <w:t>-2</w:t>
      </w:r>
      <w:r w:rsidR="00497DB1" w:rsidRPr="00497DB1">
        <w:rPr>
          <w:rFonts w:ascii="Calibri" w:hAnsi="Calibri"/>
          <w:sz w:val="22"/>
          <w:szCs w:val="22"/>
        </w:rPr>
        <w:t>2</w:t>
      </w:r>
      <w:r w:rsidR="00D835CC" w:rsidRPr="00497DB1">
        <w:rPr>
          <w:rFonts w:ascii="Calibri" w:hAnsi="Calibri"/>
          <w:sz w:val="22"/>
          <w:szCs w:val="22"/>
        </w:rPr>
        <w:t>.</w:t>
      </w:r>
    </w:p>
    <w:p w14:paraId="4BF51583" w14:textId="77777777" w:rsidR="00D835CC" w:rsidRPr="00497DB1" w:rsidRDefault="00D835CC" w:rsidP="00D835CC">
      <w:pPr>
        <w:jc w:val="both"/>
        <w:rPr>
          <w:rFonts w:ascii="Calibri" w:hAnsi="Calibri"/>
          <w:color w:val="000000"/>
          <w:sz w:val="22"/>
          <w:szCs w:val="22"/>
        </w:rPr>
      </w:pPr>
    </w:p>
    <w:p w14:paraId="14472F17" w14:textId="77777777" w:rsidR="00D835CC" w:rsidRPr="00497DB1" w:rsidRDefault="00DA4E8D" w:rsidP="00DA4E8D">
      <w:pPr>
        <w:suppressAutoHyphens/>
        <w:ind w:left="720" w:hanging="720"/>
        <w:jc w:val="both"/>
        <w:rPr>
          <w:rFonts w:ascii="Calibri" w:hAnsi="Calibri"/>
          <w:sz w:val="22"/>
          <w:szCs w:val="22"/>
        </w:rPr>
      </w:pPr>
      <w:r w:rsidRPr="00497DB1">
        <w:rPr>
          <w:rFonts w:ascii="Calibri" w:hAnsi="Calibri"/>
          <w:sz w:val="22"/>
          <w:szCs w:val="22"/>
        </w:rPr>
        <w:t>6.2</w:t>
      </w:r>
      <w:r w:rsidRPr="00497DB1">
        <w:rPr>
          <w:rFonts w:ascii="Calibri" w:hAnsi="Calibri"/>
          <w:sz w:val="22"/>
          <w:szCs w:val="22"/>
        </w:rPr>
        <w:tab/>
      </w:r>
      <w:r w:rsidR="00D835CC" w:rsidRPr="00497DB1">
        <w:rPr>
          <w:rFonts w:ascii="Calibri" w:hAnsi="Calibri"/>
          <w:sz w:val="22"/>
          <w:szCs w:val="22"/>
        </w:rPr>
        <w:t xml:space="preserve">This review has been co-ordinated by the Corporate Finance team and informed by senior managers across the Force in order to assess the Force compliance with the CIPFA guidance. </w:t>
      </w:r>
    </w:p>
    <w:p w14:paraId="09E6396F" w14:textId="77777777" w:rsidR="00D835CC" w:rsidRPr="00497DB1" w:rsidRDefault="00D835CC" w:rsidP="00D835CC">
      <w:pPr>
        <w:ind w:left="720"/>
        <w:jc w:val="both"/>
        <w:rPr>
          <w:rFonts w:ascii="Calibri" w:hAnsi="Calibri"/>
          <w:sz w:val="22"/>
          <w:szCs w:val="22"/>
        </w:rPr>
      </w:pPr>
    </w:p>
    <w:p w14:paraId="60361404" w14:textId="4F9B6984" w:rsidR="00D835CC" w:rsidRPr="00497DB1" w:rsidRDefault="00DA4E8D" w:rsidP="00DA4E8D">
      <w:pPr>
        <w:suppressAutoHyphens/>
        <w:ind w:left="720" w:hanging="720"/>
        <w:jc w:val="both"/>
        <w:rPr>
          <w:rFonts w:ascii="Calibri" w:hAnsi="Calibri"/>
          <w:sz w:val="22"/>
          <w:szCs w:val="22"/>
        </w:rPr>
      </w:pPr>
      <w:r w:rsidRPr="00497DB1">
        <w:rPr>
          <w:rFonts w:ascii="Calibri" w:hAnsi="Calibri"/>
          <w:sz w:val="22"/>
          <w:szCs w:val="22"/>
        </w:rPr>
        <w:t>6.3</w:t>
      </w:r>
      <w:r w:rsidRPr="00497DB1">
        <w:rPr>
          <w:rFonts w:ascii="Calibri" w:hAnsi="Calibri"/>
          <w:sz w:val="22"/>
          <w:szCs w:val="22"/>
        </w:rPr>
        <w:tab/>
      </w:r>
      <w:r w:rsidR="00D835CC" w:rsidRPr="00497DB1">
        <w:rPr>
          <w:rFonts w:ascii="Calibri" w:hAnsi="Calibri"/>
          <w:sz w:val="22"/>
          <w:szCs w:val="22"/>
        </w:rPr>
        <w:t>The review of the evidence for the effectiveness of the governance framework, to confirm that the current arrangements are fit for purpose, are presented to meetings of the Force Organisational Reassurance Board and the Joint Audit Committee. The review also provided updates and confirmation regarding the completion of areas for improvement identified in 201</w:t>
      </w:r>
      <w:r w:rsidR="00497DB1" w:rsidRPr="00497DB1">
        <w:rPr>
          <w:rFonts w:ascii="Calibri" w:hAnsi="Calibri"/>
          <w:sz w:val="22"/>
          <w:szCs w:val="22"/>
        </w:rPr>
        <w:t>9</w:t>
      </w:r>
      <w:r w:rsidR="00D835CC" w:rsidRPr="00497DB1">
        <w:rPr>
          <w:rFonts w:ascii="Calibri" w:hAnsi="Calibri"/>
          <w:sz w:val="22"/>
          <w:szCs w:val="22"/>
        </w:rPr>
        <w:t>-</w:t>
      </w:r>
      <w:r w:rsidR="00497DB1" w:rsidRPr="00497DB1">
        <w:rPr>
          <w:rFonts w:ascii="Calibri" w:hAnsi="Calibri"/>
          <w:sz w:val="22"/>
          <w:szCs w:val="22"/>
        </w:rPr>
        <w:t>20</w:t>
      </w:r>
      <w:r w:rsidR="00D835CC" w:rsidRPr="00497DB1">
        <w:rPr>
          <w:rFonts w:ascii="Calibri" w:hAnsi="Calibri"/>
          <w:sz w:val="22"/>
          <w:szCs w:val="22"/>
        </w:rPr>
        <w:t xml:space="preserve"> annual governance statement. </w:t>
      </w:r>
    </w:p>
    <w:p w14:paraId="15AABC3E" w14:textId="77777777" w:rsidR="00D835CC" w:rsidRPr="00497DB1" w:rsidRDefault="00D835CC" w:rsidP="00D835CC">
      <w:pPr>
        <w:ind w:left="720"/>
        <w:jc w:val="both"/>
        <w:rPr>
          <w:rFonts w:ascii="Calibri" w:hAnsi="Calibri"/>
          <w:sz w:val="22"/>
          <w:szCs w:val="22"/>
        </w:rPr>
      </w:pPr>
    </w:p>
    <w:p w14:paraId="52044162" w14:textId="77777777" w:rsidR="00D835CC" w:rsidRPr="00497DB1" w:rsidRDefault="00DA4E8D" w:rsidP="00DA4E8D">
      <w:pPr>
        <w:suppressAutoHyphens/>
        <w:ind w:left="720" w:hanging="720"/>
        <w:jc w:val="both"/>
        <w:rPr>
          <w:rFonts w:ascii="Calibri" w:hAnsi="Calibri"/>
          <w:color w:val="000000"/>
          <w:sz w:val="22"/>
          <w:szCs w:val="22"/>
        </w:rPr>
      </w:pPr>
      <w:r w:rsidRPr="00497DB1">
        <w:rPr>
          <w:rFonts w:ascii="Calibri" w:hAnsi="Calibri"/>
          <w:sz w:val="22"/>
          <w:szCs w:val="22"/>
        </w:rPr>
        <w:t>6.4</w:t>
      </w:r>
      <w:r w:rsidRPr="00497DB1">
        <w:rPr>
          <w:rFonts w:ascii="Calibri" w:hAnsi="Calibri"/>
          <w:sz w:val="22"/>
          <w:szCs w:val="22"/>
        </w:rPr>
        <w:tab/>
      </w:r>
      <w:r w:rsidR="00D835CC" w:rsidRPr="00497DB1">
        <w:rPr>
          <w:rFonts w:ascii="Calibri" w:hAnsi="Calibri"/>
          <w:sz w:val="22"/>
          <w:szCs w:val="22"/>
        </w:rPr>
        <w:t xml:space="preserve">Assessments and recommendations made by the internal and external auditors and other review agencies and inspectorates have also informed this review. </w:t>
      </w:r>
    </w:p>
    <w:p w14:paraId="084D228C" w14:textId="77777777" w:rsidR="00D835CC" w:rsidRPr="00497DB1" w:rsidRDefault="00D835CC" w:rsidP="00D835CC">
      <w:pPr>
        <w:ind w:left="720"/>
        <w:jc w:val="both"/>
        <w:rPr>
          <w:rFonts w:ascii="Calibri" w:hAnsi="Calibri"/>
          <w:color w:val="000000"/>
          <w:sz w:val="22"/>
          <w:szCs w:val="22"/>
        </w:rPr>
      </w:pPr>
    </w:p>
    <w:p w14:paraId="12331573" w14:textId="77777777" w:rsidR="00D835CC" w:rsidRPr="00497DB1" w:rsidRDefault="00DA4E8D" w:rsidP="00DA4E8D">
      <w:pPr>
        <w:suppressAutoHyphens/>
        <w:ind w:left="720" w:hanging="720"/>
        <w:jc w:val="both"/>
        <w:rPr>
          <w:rFonts w:ascii="Calibri" w:hAnsi="Calibri"/>
          <w:color w:val="000000"/>
          <w:sz w:val="22"/>
          <w:szCs w:val="22"/>
        </w:rPr>
      </w:pPr>
      <w:r w:rsidRPr="00497DB1">
        <w:rPr>
          <w:rFonts w:ascii="Calibri" w:hAnsi="Calibri"/>
          <w:color w:val="000000"/>
          <w:sz w:val="22"/>
          <w:szCs w:val="22"/>
        </w:rPr>
        <w:t>6.5</w:t>
      </w:r>
      <w:r w:rsidRPr="00497DB1">
        <w:rPr>
          <w:rFonts w:ascii="Calibri" w:hAnsi="Calibri"/>
          <w:color w:val="000000"/>
          <w:sz w:val="22"/>
          <w:szCs w:val="22"/>
        </w:rPr>
        <w:tab/>
      </w:r>
      <w:r w:rsidR="00D835CC" w:rsidRPr="00497DB1">
        <w:rPr>
          <w:rFonts w:ascii="Calibri" w:hAnsi="Calibri"/>
          <w:color w:val="000000"/>
          <w:sz w:val="22"/>
          <w:szCs w:val="22"/>
        </w:rPr>
        <w:t>The Joint Audit Committee has been consulted on the development of the annual governance statement. The final statement is considered at its meeting for recommendation for approval by the Chief Constable. The Committee aims to ensure that there is continuous improvement in the process and endorses the resulting annual action plan.  Regular updates on progress to address the areas for improvement are provided to the Committee.</w:t>
      </w:r>
    </w:p>
    <w:p w14:paraId="4CCAA648" w14:textId="77777777" w:rsidR="00D835CC" w:rsidRPr="00497DB1" w:rsidRDefault="00D835CC" w:rsidP="00D835CC">
      <w:pPr>
        <w:jc w:val="both"/>
        <w:rPr>
          <w:rFonts w:ascii="Calibri" w:hAnsi="Calibri"/>
          <w:color w:val="000000"/>
          <w:sz w:val="22"/>
          <w:szCs w:val="22"/>
        </w:rPr>
      </w:pPr>
    </w:p>
    <w:p w14:paraId="1559F944" w14:textId="77777777" w:rsidR="00D835CC" w:rsidRPr="00497DB1" w:rsidRDefault="00DA4E8D" w:rsidP="00DA4E8D">
      <w:pPr>
        <w:suppressAutoHyphens/>
        <w:ind w:left="720" w:hanging="720"/>
        <w:jc w:val="both"/>
        <w:rPr>
          <w:rFonts w:ascii="Calibri" w:hAnsi="Calibri"/>
          <w:sz w:val="22"/>
          <w:szCs w:val="22"/>
        </w:rPr>
      </w:pPr>
      <w:r w:rsidRPr="00497DB1">
        <w:rPr>
          <w:rFonts w:ascii="Calibri" w:hAnsi="Calibri"/>
          <w:color w:val="000000"/>
          <w:sz w:val="22"/>
          <w:szCs w:val="22"/>
        </w:rPr>
        <w:t>6.6</w:t>
      </w:r>
      <w:r w:rsidRPr="00497DB1">
        <w:rPr>
          <w:rFonts w:ascii="Calibri" w:hAnsi="Calibri"/>
          <w:color w:val="000000"/>
          <w:sz w:val="22"/>
          <w:szCs w:val="22"/>
        </w:rPr>
        <w:tab/>
      </w:r>
      <w:r w:rsidR="00D835CC" w:rsidRPr="00497DB1">
        <w:rPr>
          <w:rFonts w:ascii="Calibri" w:hAnsi="Calibri"/>
          <w:color w:val="000000"/>
          <w:sz w:val="22"/>
          <w:szCs w:val="22"/>
        </w:rPr>
        <w:t>A process is established to ensure the Chief Constable and Surrey PCC, approve and sign off the annual governance statement</w:t>
      </w:r>
      <w:r w:rsidR="00D835CC" w:rsidRPr="00497DB1">
        <w:rPr>
          <w:rFonts w:ascii="Calibri" w:hAnsi="Calibri"/>
          <w:sz w:val="22"/>
          <w:szCs w:val="22"/>
        </w:rPr>
        <w:t>, in accordance with the CIPFA guidance.</w:t>
      </w:r>
    </w:p>
    <w:p w14:paraId="37BC68C4" w14:textId="77777777" w:rsidR="00D835CC" w:rsidRPr="00497DB1" w:rsidRDefault="00D835CC" w:rsidP="00D835CC">
      <w:pPr>
        <w:jc w:val="both"/>
        <w:rPr>
          <w:rFonts w:ascii="Calibri" w:hAnsi="Calibri"/>
          <w:sz w:val="22"/>
          <w:szCs w:val="22"/>
        </w:rPr>
      </w:pPr>
    </w:p>
    <w:p w14:paraId="520BF07B" w14:textId="77777777" w:rsidR="00C5423F" w:rsidRPr="00497DB1" w:rsidRDefault="00C5423F" w:rsidP="00C5423F">
      <w:pPr>
        <w:shd w:val="clear" w:color="auto" w:fill="0070C0"/>
        <w:jc w:val="both"/>
        <w:rPr>
          <w:rFonts w:ascii="Calibri" w:hAnsi="Calibri"/>
          <w:b/>
          <w:color w:val="FFFFFF"/>
          <w:sz w:val="22"/>
          <w:szCs w:val="22"/>
        </w:rPr>
      </w:pPr>
      <w:r w:rsidRPr="00497DB1">
        <w:rPr>
          <w:rFonts w:ascii="Calibri" w:hAnsi="Calibri"/>
          <w:b/>
          <w:color w:val="FFFFFF"/>
          <w:sz w:val="22"/>
          <w:szCs w:val="22"/>
        </w:rPr>
        <w:t>7</w:t>
      </w:r>
      <w:r w:rsidRPr="00497DB1">
        <w:rPr>
          <w:rFonts w:ascii="Calibri" w:hAnsi="Calibri"/>
          <w:b/>
          <w:color w:val="FFFFFF"/>
          <w:sz w:val="22"/>
          <w:szCs w:val="22"/>
        </w:rPr>
        <w:tab/>
        <w:t>Internal Audit Opinion</w:t>
      </w:r>
    </w:p>
    <w:p w14:paraId="2F159140" w14:textId="77777777" w:rsidR="00C5423F" w:rsidRPr="00497DB1" w:rsidRDefault="00C5423F" w:rsidP="00C5423F">
      <w:pPr>
        <w:jc w:val="both"/>
        <w:rPr>
          <w:sz w:val="22"/>
          <w:szCs w:val="22"/>
        </w:rPr>
      </w:pPr>
    </w:p>
    <w:p w14:paraId="697213AC" w14:textId="77777777" w:rsidR="00C5423F" w:rsidRPr="00497DB1" w:rsidRDefault="00C5423F" w:rsidP="00C5423F">
      <w:pPr>
        <w:ind w:left="709" w:hanging="709"/>
        <w:jc w:val="both"/>
        <w:rPr>
          <w:rFonts w:ascii="Calibri" w:hAnsi="Calibri"/>
          <w:bCs/>
          <w:sz w:val="22"/>
          <w:szCs w:val="22"/>
        </w:rPr>
      </w:pPr>
      <w:r w:rsidRPr="00497DB1">
        <w:rPr>
          <w:rFonts w:ascii="Calibri" w:hAnsi="Calibri"/>
          <w:bCs/>
          <w:sz w:val="22"/>
          <w:szCs w:val="22"/>
        </w:rPr>
        <w:t>7.1</w:t>
      </w:r>
      <w:r w:rsidRPr="00497DB1">
        <w:rPr>
          <w:rFonts w:ascii="Calibri" w:hAnsi="Calibri"/>
          <w:bCs/>
          <w:sz w:val="22"/>
          <w:szCs w:val="22"/>
        </w:rPr>
        <w:tab/>
      </w:r>
      <w:r w:rsidRPr="00497DB1">
        <w:rPr>
          <w:rFonts w:ascii="Calibri" w:hAnsi="Calibri"/>
          <w:sz w:val="22"/>
          <w:szCs w:val="22"/>
          <w:lang w:eastAsia="en-GB"/>
        </w:rPr>
        <w:t>The CIPFA code requires Internal Audit to provide an opinion on the overall adequacy and effectiveness of the governance framework.  That opinion is provided below:</w:t>
      </w:r>
    </w:p>
    <w:p w14:paraId="58699C01" w14:textId="77777777" w:rsidR="00C5423F" w:rsidRPr="00497DB1" w:rsidRDefault="00C5423F" w:rsidP="00C5423F">
      <w:pPr>
        <w:ind w:left="709" w:hanging="709"/>
        <w:jc w:val="both"/>
        <w:rPr>
          <w:rFonts w:ascii="Calibri" w:hAnsi="Calibri"/>
          <w:bCs/>
          <w:sz w:val="22"/>
          <w:szCs w:val="22"/>
        </w:rPr>
      </w:pPr>
    </w:p>
    <w:p w14:paraId="6692A921" w14:textId="3C3E0ADA" w:rsidR="00C5423F" w:rsidRPr="00497DB1" w:rsidRDefault="00C5423F" w:rsidP="00C5423F">
      <w:pPr>
        <w:ind w:left="709"/>
        <w:jc w:val="both"/>
        <w:rPr>
          <w:rFonts w:ascii="Calibri" w:hAnsi="Calibri"/>
          <w:b/>
          <w:sz w:val="22"/>
          <w:szCs w:val="22"/>
          <w:lang w:eastAsia="en-GB"/>
        </w:rPr>
      </w:pPr>
      <w:r w:rsidRPr="00497DB1">
        <w:rPr>
          <w:rFonts w:ascii="Calibri" w:hAnsi="Calibri"/>
          <w:b/>
          <w:sz w:val="22"/>
          <w:szCs w:val="22"/>
          <w:lang w:eastAsia="en-GB"/>
        </w:rPr>
        <w:t>Annual Internal Audit Opinion 20</w:t>
      </w:r>
      <w:r w:rsidR="00497DB1" w:rsidRPr="00497DB1">
        <w:rPr>
          <w:rFonts w:ascii="Calibri" w:hAnsi="Calibri"/>
          <w:b/>
          <w:sz w:val="22"/>
          <w:szCs w:val="22"/>
          <w:lang w:eastAsia="en-GB"/>
        </w:rPr>
        <w:t>20</w:t>
      </w:r>
      <w:r w:rsidRPr="00497DB1">
        <w:rPr>
          <w:rFonts w:ascii="Calibri" w:hAnsi="Calibri"/>
          <w:b/>
          <w:sz w:val="22"/>
          <w:szCs w:val="22"/>
          <w:lang w:eastAsia="en-GB"/>
        </w:rPr>
        <w:t>-2</w:t>
      </w:r>
      <w:r w:rsidR="00497DB1" w:rsidRPr="00497DB1">
        <w:rPr>
          <w:rFonts w:ascii="Calibri" w:hAnsi="Calibri"/>
          <w:b/>
          <w:sz w:val="22"/>
          <w:szCs w:val="22"/>
          <w:lang w:eastAsia="en-GB"/>
        </w:rPr>
        <w:t>1</w:t>
      </w:r>
      <w:r w:rsidRPr="00497DB1">
        <w:rPr>
          <w:rFonts w:ascii="Calibri" w:hAnsi="Calibri"/>
          <w:b/>
          <w:sz w:val="22"/>
          <w:szCs w:val="22"/>
          <w:lang w:eastAsia="en-GB"/>
        </w:rPr>
        <w:t>:</w:t>
      </w:r>
    </w:p>
    <w:p w14:paraId="236F3DDE" w14:textId="50F8A948" w:rsidR="00C5423F" w:rsidRDefault="00C5423F" w:rsidP="00C5423F">
      <w:pPr>
        <w:ind w:left="709"/>
        <w:jc w:val="both"/>
        <w:rPr>
          <w:rFonts w:ascii="Calibri" w:hAnsi="Calibri"/>
          <w:sz w:val="22"/>
          <w:szCs w:val="22"/>
          <w:highlight w:val="yellow"/>
          <w:lang w:eastAsia="en-GB"/>
        </w:rPr>
      </w:pPr>
      <w:r w:rsidRPr="00497DB1">
        <w:rPr>
          <w:rFonts w:ascii="Calibri" w:hAnsi="Calibri"/>
          <w:sz w:val="22"/>
          <w:szCs w:val="22"/>
          <w:lang w:eastAsia="en-GB"/>
        </w:rPr>
        <w:t xml:space="preserve">For the </w:t>
      </w:r>
      <w:r w:rsidRPr="00012441">
        <w:rPr>
          <w:rFonts w:ascii="Calibri" w:hAnsi="Calibri"/>
          <w:sz w:val="22"/>
          <w:szCs w:val="22"/>
          <w:lang w:eastAsia="en-GB"/>
        </w:rPr>
        <w:t>12 months ended 31 March 202</w:t>
      </w:r>
      <w:r w:rsidR="00497DB1" w:rsidRPr="00012441">
        <w:rPr>
          <w:rFonts w:ascii="Calibri" w:hAnsi="Calibri"/>
          <w:sz w:val="22"/>
          <w:szCs w:val="22"/>
          <w:lang w:eastAsia="en-GB"/>
        </w:rPr>
        <w:t>1</w:t>
      </w:r>
      <w:r w:rsidRPr="00012441">
        <w:rPr>
          <w:rFonts w:ascii="Calibri" w:hAnsi="Calibri"/>
          <w:sz w:val="22"/>
          <w:szCs w:val="22"/>
          <w:lang w:eastAsia="en-GB"/>
        </w:rPr>
        <w:t>, the Chief Internal Auditor’s opinion for Surrey Police Force is as follows</w:t>
      </w:r>
      <w:r w:rsidRPr="0073748E">
        <w:rPr>
          <w:rStyle w:val="FootnoteReference"/>
          <w:rFonts w:ascii="Calibri" w:hAnsi="Calibri"/>
          <w:sz w:val="22"/>
          <w:szCs w:val="22"/>
        </w:rPr>
        <w:footnoteReference w:id="20"/>
      </w:r>
      <w:r w:rsidRPr="0073748E">
        <w:rPr>
          <w:rFonts w:ascii="Calibri" w:hAnsi="Calibri"/>
          <w:sz w:val="22"/>
          <w:szCs w:val="22"/>
          <w:lang w:eastAsia="en-GB"/>
        </w:rPr>
        <w:t xml:space="preserve">: </w:t>
      </w:r>
    </w:p>
    <w:p w14:paraId="30310001" w14:textId="77777777" w:rsidR="00012441" w:rsidRDefault="00012441" w:rsidP="00C5423F">
      <w:pPr>
        <w:ind w:left="709"/>
        <w:jc w:val="both"/>
        <w:rPr>
          <w:rFonts w:ascii="Calibri" w:hAnsi="Calibri"/>
          <w:sz w:val="22"/>
          <w:szCs w:val="22"/>
          <w:highlight w:val="yellow"/>
          <w:lang w:eastAsia="en-GB"/>
        </w:rPr>
      </w:pPr>
    </w:p>
    <w:p w14:paraId="72986124" w14:textId="77777777" w:rsidR="00012441" w:rsidRDefault="00012441" w:rsidP="00012441">
      <w:pPr>
        <w:keepLines/>
        <w:ind w:left="709"/>
        <w:jc w:val="both"/>
        <w:rPr>
          <w:rFonts w:ascii="Calibri" w:hAnsi="Calibri"/>
          <w:sz w:val="22"/>
          <w:szCs w:val="22"/>
          <w:lang w:eastAsia="en-GB"/>
        </w:rPr>
      </w:pPr>
      <w:r>
        <w:rPr>
          <w:rFonts w:ascii="Calibri" w:hAnsi="Calibri"/>
          <w:lang w:eastAsia="en-GB"/>
        </w:rPr>
        <w:t xml:space="preserve">“I am satisfied that sufficient assurance work has been carried out to allow me to form a reasonable conclusion on the adequacy and effectiveness of the internal control environment. </w:t>
      </w:r>
    </w:p>
    <w:p w14:paraId="5AD3A773" w14:textId="77777777" w:rsidR="00012441" w:rsidRDefault="00012441" w:rsidP="00012441">
      <w:pPr>
        <w:keepLines/>
        <w:ind w:left="709"/>
        <w:jc w:val="both"/>
        <w:rPr>
          <w:rFonts w:ascii="Calibri" w:hAnsi="Calibri"/>
          <w:lang w:eastAsia="en-GB"/>
        </w:rPr>
      </w:pPr>
    </w:p>
    <w:p w14:paraId="04CBCCE9" w14:textId="77777777" w:rsidR="00012441" w:rsidRDefault="00012441" w:rsidP="00012441">
      <w:pPr>
        <w:keepLines/>
        <w:ind w:left="709"/>
        <w:jc w:val="both"/>
        <w:rPr>
          <w:rFonts w:ascii="Calibri" w:hAnsi="Calibri"/>
          <w:lang w:eastAsia="en-GB"/>
        </w:rPr>
      </w:pPr>
      <w:r>
        <w:rPr>
          <w:rFonts w:ascii="Calibri" w:hAnsi="Calibri"/>
          <w:lang w:eastAsia="en-GB"/>
        </w:rPr>
        <w:t xml:space="preserve">In my opinion frameworks of governance, risk management and management control are </w:t>
      </w:r>
      <w:r>
        <w:rPr>
          <w:rFonts w:ascii="Calibri" w:hAnsi="Calibri"/>
          <w:i/>
          <w:lang w:eastAsia="en-GB"/>
        </w:rPr>
        <w:t>reasonable</w:t>
      </w:r>
      <w:r>
        <w:rPr>
          <w:rFonts w:ascii="Calibri" w:hAnsi="Calibri"/>
          <w:lang w:eastAsia="en-GB"/>
        </w:rPr>
        <w:t xml:space="preserve"> and audit testing has demonstrated controls to be working in practice.  </w:t>
      </w:r>
    </w:p>
    <w:p w14:paraId="1980A9DD" w14:textId="77777777" w:rsidR="00012441" w:rsidRDefault="00012441" w:rsidP="00012441">
      <w:pPr>
        <w:keepLines/>
        <w:ind w:left="709"/>
        <w:jc w:val="both"/>
        <w:rPr>
          <w:rFonts w:ascii="Calibri" w:hAnsi="Calibri"/>
          <w:lang w:eastAsia="en-GB"/>
        </w:rPr>
      </w:pPr>
    </w:p>
    <w:p w14:paraId="780144FF" w14:textId="77777777" w:rsidR="00012441" w:rsidRDefault="00012441" w:rsidP="00012441">
      <w:pPr>
        <w:keepLines/>
        <w:ind w:left="709"/>
        <w:jc w:val="both"/>
        <w:rPr>
          <w:rFonts w:ascii="Calibri" w:hAnsi="Calibri"/>
          <w:lang w:eastAsia="en-GB"/>
        </w:rPr>
      </w:pPr>
      <w:r>
        <w:rPr>
          <w:rFonts w:ascii="Calibri" w:hAnsi="Calibri"/>
          <w:lang w:eastAsia="en-GB"/>
        </w:rPr>
        <w:t>In 2019-20 I gave a limited assurance opinion, primarily due to the results relating to IT reviews, given that this is such a critical area of control.  Prior to 2019-20 there had been very little assurance work completed in the collaborative area of IT and this was rectified from 2019-20 through delivery of a joint internal audit plan with Sussex Police, following our appointment as Surrey Police’s internal auditors from April 2019.  Whilst there remains work to be done in some areas, the results of our reviews and follow-up work in 2020-21 relating specifically to IT, have shown significant progress in addressing the issues raised.  The direction of travel remains positive with strong governance over monitoring and challenging progress in addressing the outstanding actions.</w:t>
      </w:r>
    </w:p>
    <w:p w14:paraId="63C0CFF0" w14:textId="77777777" w:rsidR="00012441" w:rsidRDefault="00012441" w:rsidP="00012441">
      <w:pPr>
        <w:keepLines/>
        <w:ind w:left="709"/>
        <w:jc w:val="both"/>
        <w:rPr>
          <w:rFonts w:ascii="Calibri" w:hAnsi="Calibri"/>
          <w:lang w:eastAsia="en-GB"/>
        </w:rPr>
      </w:pPr>
    </w:p>
    <w:p w14:paraId="76F61A34" w14:textId="77777777" w:rsidR="00012441" w:rsidRDefault="00012441" w:rsidP="00012441">
      <w:pPr>
        <w:keepLines/>
        <w:ind w:left="709"/>
        <w:jc w:val="both"/>
        <w:rPr>
          <w:rFonts w:ascii="Calibri" w:hAnsi="Calibri"/>
          <w:lang w:eastAsia="en-GB"/>
        </w:rPr>
      </w:pPr>
      <w:r>
        <w:rPr>
          <w:rFonts w:ascii="Calibri" w:hAnsi="Calibri"/>
          <w:lang w:eastAsia="en-GB"/>
        </w:rPr>
        <w:t>Where weaknesses have been identified through internal audit review, we have worked with management to agree appropriate corrective actions and a timescale for improvement.”</w:t>
      </w:r>
    </w:p>
    <w:p w14:paraId="1C70E8C6" w14:textId="77777777" w:rsidR="00D835CC" w:rsidRPr="003B2596" w:rsidRDefault="00D835CC" w:rsidP="00D835CC">
      <w:pPr>
        <w:autoSpaceDE w:val="0"/>
        <w:jc w:val="both"/>
        <w:rPr>
          <w:rFonts w:ascii="Calibri" w:hAnsi="Calibri"/>
          <w:sz w:val="22"/>
          <w:szCs w:val="22"/>
        </w:rPr>
      </w:pPr>
    </w:p>
    <w:p w14:paraId="329EB32C" w14:textId="77777777" w:rsidR="00D835CC" w:rsidRPr="003B2596" w:rsidRDefault="00C5423F" w:rsidP="00D835CC">
      <w:pPr>
        <w:shd w:val="clear" w:color="auto" w:fill="0070C0"/>
        <w:jc w:val="both"/>
        <w:rPr>
          <w:rFonts w:ascii="Calibri" w:hAnsi="Calibri"/>
          <w:b/>
          <w:color w:val="FFFFFF"/>
          <w:sz w:val="22"/>
          <w:szCs w:val="22"/>
        </w:rPr>
      </w:pPr>
      <w:r w:rsidRPr="003B2596">
        <w:rPr>
          <w:rFonts w:ascii="Calibri" w:hAnsi="Calibri"/>
          <w:b/>
          <w:color w:val="FFFFFF"/>
          <w:sz w:val="22"/>
          <w:szCs w:val="22"/>
        </w:rPr>
        <w:t>8</w:t>
      </w:r>
      <w:r w:rsidR="00D835CC" w:rsidRPr="003B2596">
        <w:rPr>
          <w:rFonts w:ascii="Calibri" w:hAnsi="Calibri"/>
          <w:b/>
          <w:color w:val="FFFFFF"/>
          <w:sz w:val="22"/>
          <w:szCs w:val="22"/>
        </w:rPr>
        <w:tab/>
        <w:t>Governance Issues</w:t>
      </w:r>
    </w:p>
    <w:p w14:paraId="0D4C5E27" w14:textId="6E1CD1A8" w:rsidR="00D835CC" w:rsidRPr="00497DB1" w:rsidRDefault="00497DB1" w:rsidP="00D835CC">
      <w:pPr>
        <w:jc w:val="both"/>
        <w:rPr>
          <w:color w:val="FF0000"/>
          <w:sz w:val="22"/>
          <w:szCs w:val="22"/>
        </w:rPr>
      </w:pPr>
      <w:r w:rsidRPr="00497DB1">
        <w:rPr>
          <w:rFonts w:ascii="Calibri" w:hAnsi="Calibri"/>
          <w:b/>
          <w:bCs/>
          <w:i/>
          <w:iCs/>
          <w:color w:val="FF0000"/>
        </w:rPr>
        <w:t>NB: THIS SECTION IS AN INITIAL DRAFT WHI</w:t>
      </w:r>
      <w:r>
        <w:rPr>
          <w:rFonts w:ascii="Calibri" w:hAnsi="Calibri"/>
          <w:b/>
          <w:bCs/>
          <w:i/>
          <w:iCs/>
          <w:color w:val="FF0000"/>
        </w:rPr>
        <w:t>CH WILL BE UPDATED IN SEPTEMB</w:t>
      </w:r>
      <w:r w:rsidRPr="00497DB1">
        <w:rPr>
          <w:rFonts w:ascii="Calibri" w:hAnsi="Calibri"/>
          <w:b/>
          <w:bCs/>
          <w:i/>
          <w:iCs/>
          <w:color w:val="FF0000"/>
        </w:rPr>
        <w:t>ER 2021 TO PROVIDE THE POSITION AS AT THE SIGNING OF THE AGS</w:t>
      </w:r>
    </w:p>
    <w:p w14:paraId="6F5F6E25" w14:textId="77777777" w:rsidR="00497DB1" w:rsidRPr="00497DB1" w:rsidRDefault="00497DB1" w:rsidP="00D835CC">
      <w:pPr>
        <w:jc w:val="both"/>
        <w:rPr>
          <w:sz w:val="22"/>
          <w:szCs w:val="22"/>
        </w:rPr>
      </w:pPr>
    </w:p>
    <w:p w14:paraId="45C4B65D" w14:textId="548865BB" w:rsidR="00121FED" w:rsidRPr="00497DB1" w:rsidRDefault="00C5423F" w:rsidP="00D835CC">
      <w:pPr>
        <w:ind w:left="709" w:hanging="709"/>
        <w:jc w:val="both"/>
        <w:rPr>
          <w:rFonts w:ascii="Calibri" w:hAnsi="Calibri"/>
          <w:bCs/>
          <w:sz w:val="22"/>
          <w:szCs w:val="22"/>
        </w:rPr>
      </w:pPr>
      <w:r w:rsidRPr="00497DB1">
        <w:rPr>
          <w:rFonts w:ascii="Calibri" w:hAnsi="Calibri"/>
          <w:bCs/>
          <w:sz w:val="22"/>
          <w:szCs w:val="22"/>
        </w:rPr>
        <w:t>8</w:t>
      </w:r>
      <w:r w:rsidR="00D835CC" w:rsidRPr="00497DB1">
        <w:rPr>
          <w:rFonts w:ascii="Calibri" w:hAnsi="Calibri"/>
          <w:bCs/>
          <w:sz w:val="22"/>
          <w:szCs w:val="22"/>
        </w:rPr>
        <w:t>.1</w:t>
      </w:r>
      <w:r w:rsidR="00D835CC" w:rsidRPr="00497DB1">
        <w:rPr>
          <w:rFonts w:ascii="Calibri" w:hAnsi="Calibri"/>
          <w:bCs/>
          <w:sz w:val="22"/>
          <w:szCs w:val="22"/>
        </w:rPr>
        <w:tab/>
      </w:r>
      <w:r w:rsidR="00D835CC" w:rsidRPr="00497DB1">
        <w:rPr>
          <w:rFonts w:ascii="Calibri" w:hAnsi="Calibri"/>
          <w:sz w:val="22"/>
          <w:szCs w:val="22"/>
        </w:rPr>
        <w:t xml:space="preserve">No significant concerns were raised during the internal review of the effectiveness of governance arrangements however, </w:t>
      </w:r>
      <w:r w:rsidR="00D835CC" w:rsidRPr="00497DB1">
        <w:rPr>
          <w:rFonts w:ascii="Calibri" w:hAnsi="Calibri"/>
          <w:bCs/>
          <w:sz w:val="22"/>
          <w:szCs w:val="22"/>
        </w:rPr>
        <w:t>a number of areas for improvement were identified. These improvements, to further enhance the Force governance arrangements, are detailed in Appendix A together with any on-going areas for improvement continued from the action plan included in the 201</w:t>
      </w:r>
      <w:r w:rsidR="00497DB1" w:rsidRPr="00497DB1">
        <w:rPr>
          <w:rFonts w:ascii="Calibri" w:hAnsi="Calibri"/>
          <w:bCs/>
          <w:sz w:val="22"/>
          <w:szCs w:val="22"/>
        </w:rPr>
        <w:t>9</w:t>
      </w:r>
      <w:r w:rsidR="00D835CC" w:rsidRPr="00497DB1">
        <w:rPr>
          <w:rFonts w:ascii="Calibri" w:hAnsi="Calibri"/>
          <w:bCs/>
          <w:sz w:val="22"/>
          <w:szCs w:val="22"/>
        </w:rPr>
        <w:t>-</w:t>
      </w:r>
      <w:r w:rsidR="00497DB1" w:rsidRPr="00497DB1">
        <w:rPr>
          <w:rFonts w:ascii="Calibri" w:hAnsi="Calibri"/>
          <w:bCs/>
          <w:sz w:val="22"/>
          <w:szCs w:val="22"/>
        </w:rPr>
        <w:t>20</w:t>
      </w:r>
      <w:r w:rsidR="00D835CC" w:rsidRPr="00497DB1">
        <w:rPr>
          <w:rFonts w:ascii="Calibri" w:hAnsi="Calibri"/>
          <w:bCs/>
          <w:sz w:val="22"/>
          <w:szCs w:val="22"/>
        </w:rPr>
        <w:t xml:space="preserve"> </w:t>
      </w:r>
      <w:r w:rsidR="00D835CC" w:rsidRPr="00497DB1">
        <w:rPr>
          <w:rFonts w:ascii="Calibri" w:hAnsi="Calibri"/>
          <w:sz w:val="22"/>
          <w:szCs w:val="22"/>
        </w:rPr>
        <w:t>annual governance statement</w:t>
      </w:r>
      <w:r w:rsidR="00D835CC" w:rsidRPr="00497DB1">
        <w:rPr>
          <w:rFonts w:ascii="Calibri" w:hAnsi="Calibri"/>
          <w:bCs/>
          <w:sz w:val="22"/>
          <w:szCs w:val="22"/>
        </w:rPr>
        <w:t>. The actions to achieve these improvements will be monitored through the Force Organisational Reassurance Board and reported to the Joint Audit Committee.</w:t>
      </w:r>
    </w:p>
    <w:p w14:paraId="2694F078" w14:textId="77777777" w:rsidR="001B1F72" w:rsidRPr="00497DB1" w:rsidRDefault="001B1F72" w:rsidP="00D835CC">
      <w:pPr>
        <w:ind w:left="709" w:hanging="709"/>
        <w:jc w:val="both"/>
        <w:rPr>
          <w:rFonts w:ascii="Calibri" w:hAnsi="Calibri"/>
          <w:bCs/>
          <w:sz w:val="22"/>
          <w:szCs w:val="22"/>
        </w:rPr>
      </w:pPr>
    </w:p>
    <w:p w14:paraId="3AD9E789" w14:textId="77777777" w:rsidR="001B1F72" w:rsidRPr="00497DB1" w:rsidRDefault="001B1F72" w:rsidP="00D835CC">
      <w:pPr>
        <w:ind w:left="709" w:hanging="709"/>
        <w:jc w:val="both"/>
        <w:rPr>
          <w:rFonts w:ascii="Calibri" w:hAnsi="Calibri"/>
          <w:b/>
          <w:bCs/>
          <w:sz w:val="22"/>
          <w:szCs w:val="22"/>
        </w:rPr>
      </w:pPr>
      <w:r w:rsidRPr="00497DB1">
        <w:rPr>
          <w:rFonts w:ascii="Calibri" w:hAnsi="Calibri"/>
          <w:b/>
          <w:bCs/>
          <w:sz w:val="22"/>
          <w:szCs w:val="22"/>
        </w:rPr>
        <w:tab/>
        <w:t>Internal Audit</w:t>
      </w:r>
    </w:p>
    <w:p w14:paraId="54945899" w14:textId="77777777" w:rsidR="001B1F72" w:rsidRPr="00497DB1" w:rsidRDefault="001B1F72" w:rsidP="00D835CC">
      <w:pPr>
        <w:ind w:left="709" w:hanging="709"/>
        <w:jc w:val="both"/>
        <w:rPr>
          <w:rFonts w:ascii="Calibri" w:hAnsi="Calibri"/>
          <w:b/>
          <w:bCs/>
          <w:sz w:val="22"/>
          <w:szCs w:val="22"/>
        </w:rPr>
      </w:pPr>
    </w:p>
    <w:p w14:paraId="5A17B9A6" w14:textId="77777777" w:rsidR="00D835CC" w:rsidRPr="00497DB1" w:rsidRDefault="00C5423F" w:rsidP="00D835CC">
      <w:pPr>
        <w:ind w:left="709" w:hanging="709"/>
        <w:jc w:val="both"/>
        <w:rPr>
          <w:rFonts w:ascii="Calibri" w:hAnsi="Calibri"/>
          <w:sz w:val="22"/>
          <w:szCs w:val="22"/>
          <w:lang w:eastAsia="en-GB"/>
        </w:rPr>
      </w:pPr>
      <w:r w:rsidRPr="00497DB1">
        <w:rPr>
          <w:rFonts w:ascii="Calibri" w:hAnsi="Calibri"/>
          <w:bCs/>
          <w:sz w:val="22"/>
          <w:szCs w:val="22"/>
        </w:rPr>
        <w:t>8</w:t>
      </w:r>
      <w:r w:rsidR="00D835CC" w:rsidRPr="00497DB1">
        <w:rPr>
          <w:rFonts w:ascii="Calibri" w:hAnsi="Calibri"/>
          <w:bCs/>
          <w:sz w:val="22"/>
          <w:szCs w:val="22"/>
        </w:rPr>
        <w:t>.2</w:t>
      </w:r>
      <w:r w:rsidR="00D835CC" w:rsidRPr="00497DB1">
        <w:rPr>
          <w:rFonts w:ascii="Calibri" w:hAnsi="Calibri"/>
          <w:bCs/>
          <w:sz w:val="22"/>
          <w:szCs w:val="22"/>
        </w:rPr>
        <w:tab/>
      </w:r>
      <w:r w:rsidR="00D835CC" w:rsidRPr="00497DB1">
        <w:rPr>
          <w:rFonts w:ascii="Calibri" w:hAnsi="Calibri"/>
          <w:sz w:val="22"/>
          <w:szCs w:val="22"/>
          <w:lang w:eastAsia="en-GB"/>
        </w:rPr>
        <w:t xml:space="preserve">The internal audit function is carried out by Southern Internal Audit Partnership for both the PCC and the Chief Constable. Audit reviews are undertaken in line with an annual internal audit plan, which is recommended by the Joint Audit Committee. </w:t>
      </w:r>
    </w:p>
    <w:p w14:paraId="5B3A0DDD" w14:textId="77777777" w:rsidR="00C5423F" w:rsidRPr="00497DB1" w:rsidRDefault="00C5423F" w:rsidP="00C5423F">
      <w:pPr>
        <w:ind w:left="709" w:hanging="709"/>
        <w:jc w:val="both"/>
        <w:rPr>
          <w:rFonts w:ascii="Calibri" w:hAnsi="Calibri"/>
          <w:sz w:val="22"/>
          <w:szCs w:val="22"/>
          <w:lang w:eastAsia="en-GB"/>
        </w:rPr>
      </w:pPr>
    </w:p>
    <w:p w14:paraId="5D32BB17" w14:textId="7DF44D7D" w:rsidR="00C5423F" w:rsidRPr="00DC1077" w:rsidRDefault="00C5423F" w:rsidP="00C5423F">
      <w:pPr>
        <w:ind w:left="709" w:hanging="709"/>
        <w:jc w:val="both"/>
        <w:rPr>
          <w:rFonts w:ascii="Calibri" w:hAnsi="Calibri"/>
          <w:sz w:val="22"/>
          <w:szCs w:val="22"/>
          <w:highlight w:val="yellow"/>
          <w:lang w:eastAsia="en-GB"/>
        </w:rPr>
      </w:pPr>
      <w:r w:rsidRPr="00497DB1">
        <w:rPr>
          <w:rFonts w:ascii="Calibri" w:hAnsi="Calibri"/>
          <w:sz w:val="22"/>
          <w:szCs w:val="22"/>
          <w:lang w:eastAsia="en-GB"/>
        </w:rPr>
        <w:t>8.3</w:t>
      </w:r>
      <w:r w:rsidRPr="00497DB1">
        <w:rPr>
          <w:rFonts w:ascii="Calibri" w:hAnsi="Calibri"/>
          <w:sz w:val="22"/>
          <w:szCs w:val="22"/>
          <w:lang w:eastAsia="en-GB"/>
        </w:rPr>
        <w:tab/>
        <w:t>The overall Annual Internal Audit Opinion for 20</w:t>
      </w:r>
      <w:r w:rsidR="00497DB1" w:rsidRPr="00497DB1">
        <w:rPr>
          <w:rFonts w:ascii="Calibri" w:hAnsi="Calibri"/>
          <w:sz w:val="22"/>
          <w:szCs w:val="22"/>
          <w:lang w:eastAsia="en-GB"/>
        </w:rPr>
        <w:t>20</w:t>
      </w:r>
      <w:r w:rsidRPr="00497DB1">
        <w:rPr>
          <w:rFonts w:ascii="Calibri" w:hAnsi="Calibri"/>
          <w:sz w:val="22"/>
          <w:szCs w:val="22"/>
          <w:lang w:eastAsia="en-GB"/>
        </w:rPr>
        <w:t>-2</w:t>
      </w:r>
      <w:r w:rsidR="00497DB1" w:rsidRPr="00497DB1">
        <w:rPr>
          <w:rFonts w:ascii="Calibri" w:hAnsi="Calibri"/>
          <w:sz w:val="22"/>
          <w:szCs w:val="22"/>
          <w:lang w:eastAsia="en-GB"/>
        </w:rPr>
        <w:t>1</w:t>
      </w:r>
      <w:r w:rsidRPr="00497DB1">
        <w:rPr>
          <w:rFonts w:ascii="Calibri" w:hAnsi="Calibri"/>
          <w:sz w:val="22"/>
          <w:szCs w:val="22"/>
          <w:lang w:eastAsia="en-GB"/>
        </w:rPr>
        <w:t xml:space="preserve"> from the Chief Internal Auditor of SIAP</w:t>
      </w:r>
      <w:r w:rsidR="00012441">
        <w:rPr>
          <w:rFonts w:ascii="Calibri" w:hAnsi="Calibri"/>
          <w:sz w:val="22"/>
          <w:szCs w:val="22"/>
          <w:lang w:eastAsia="en-GB"/>
        </w:rPr>
        <w:t xml:space="preserve"> was “reasonable”.</w:t>
      </w:r>
      <w:r w:rsidR="00497DB1" w:rsidRPr="00497DB1">
        <w:rPr>
          <w:rFonts w:ascii="Calibri" w:hAnsi="Calibri"/>
          <w:sz w:val="22"/>
          <w:szCs w:val="22"/>
          <w:lang w:eastAsia="en-GB"/>
        </w:rPr>
        <w:t xml:space="preserve"> </w:t>
      </w:r>
    </w:p>
    <w:p w14:paraId="7E403918" w14:textId="77777777" w:rsidR="00C5423F" w:rsidRPr="00497DB1" w:rsidRDefault="00C5423F" w:rsidP="00C5423F">
      <w:pPr>
        <w:ind w:left="709" w:hanging="709"/>
        <w:jc w:val="both"/>
        <w:rPr>
          <w:rFonts w:ascii="Calibri" w:hAnsi="Calibri"/>
          <w:sz w:val="22"/>
          <w:szCs w:val="22"/>
          <w:lang w:eastAsia="en-GB"/>
        </w:rPr>
      </w:pPr>
    </w:p>
    <w:p w14:paraId="00DB4276" w14:textId="51FD5FA5" w:rsidR="00C5423F" w:rsidRPr="00497DB1" w:rsidRDefault="00C5423F" w:rsidP="00C5423F">
      <w:pPr>
        <w:ind w:left="709" w:hanging="709"/>
        <w:jc w:val="both"/>
        <w:rPr>
          <w:rFonts w:ascii="Calibri" w:hAnsi="Calibri"/>
          <w:sz w:val="22"/>
          <w:szCs w:val="22"/>
        </w:rPr>
      </w:pPr>
      <w:r w:rsidRPr="00497DB1">
        <w:rPr>
          <w:rFonts w:ascii="Calibri" w:hAnsi="Calibri"/>
          <w:sz w:val="22"/>
          <w:szCs w:val="22"/>
          <w:lang w:eastAsia="en-GB"/>
        </w:rPr>
        <w:t>8.4</w:t>
      </w:r>
      <w:r w:rsidRPr="00497DB1">
        <w:rPr>
          <w:rFonts w:ascii="Calibri" w:hAnsi="Calibri"/>
          <w:sz w:val="22"/>
          <w:szCs w:val="22"/>
          <w:lang w:eastAsia="en-GB"/>
        </w:rPr>
        <w:tab/>
      </w:r>
      <w:r w:rsidRPr="00497DB1">
        <w:rPr>
          <w:rFonts w:ascii="Calibri" w:hAnsi="Calibri"/>
          <w:sz w:val="22"/>
          <w:szCs w:val="22"/>
        </w:rPr>
        <w:t>In 20</w:t>
      </w:r>
      <w:r w:rsidR="00497DB1" w:rsidRPr="00497DB1">
        <w:rPr>
          <w:rFonts w:ascii="Calibri" w:hAnsi="Calibri"/>
          <w:sz w:val="22"/>
          <w:szCs w:val="22"/>
        </w:rPr>
        <w:t>20</w:t>
      </w:r>
      <w:r w:rsidRPr="00497DB1">
        <w:rPr>
          <w:rFonts w:ascii="Calibri" w:hAnsi="Calibri"/>
          <w:sz w:val="22"/>
          <w:szCs w:val="22"/>
        </w:rPr>
        <w:t>-2</w:t>
      </w:r>
      <w:r w:rsidR="00497DB1" w:rsidRPr="00497DB1">
        <w:rPr>
          <w:rFonts w:ascii="Calibri" w:hAnsi="Calibri"/>
          <w:sz w:val="22"/>
          <w:szCs w:val="22"/>
        </w:rPr>
        <w:t>1</w:t>
      </w:r>
      <w:r w:rsidRPr="00497DB1">
        <w:rPr>
          <w:rFonts w:ascii="Calibri" w:hAnsi="Calibri"/>
          <w:sz w:val="22"/>
          <w:szCs w:val="22"/>
        </w:rPr>
        <w:t xml:space="preserve"> no Internal Audit reviews gave an opinion of no assurance</w:t>
      </w:r>
      <w:r w:rsidR="00012441">
        <w:rPr>
          <w:rFonts w:ascii="Calibri" w:hAnsi="Calibri"/>
          <w:sz w:val="22"/>
          <w:szCs w:val="22"/>
        </w:rPr>
        <w:t xml:space="preserve"> </w:t>
      </w:r>
      <w:r w:rsidRPr="00497DB1">
        <w:rPr>
          <w:rFonts w:ascii="Calibri" w:hAnsi="Calibri"/>
          <w:sz w:val="22"/>
          <w:szCs w:val="22"/>
        </w:rPr>
        <w:t xml:space="preserve">of the governance framework.  </w:t>
      </w:r>
    </w:p>
    <w:p w14:paraId="76915C57" w14:textId="77777777" w:rsidR="00C5423F" w:rsidRPr="00497DB1" w:rsidRDefault="00C5423F" w:rsidP="00C5423F">
      <w:pPr>
        <w:ind w:left="709" w:hanging="709"/>
        <w:jc w:val="both"/>
        <w:rPr>
          <w:rFonts w:ascii="Calibri" w:hAnsi="Calibri"/>
          <w:sz w:val="22"/>
          <w:szCs w:val="22"/>
        </w:rPr>
      </w:pPr>
    </w:p>
    <w:p w14:paraId="5DAEC93C" w14:textId="6506C816" w:rsidR="00497DB1" w:rsidRPr="00497DB1" w:rsidRDefault="00C5423F" w:rsidP="00497DB1">
      <w:pPr>
        <w:ind w:left="709" w:hanging="709"/>
        <w:jc w:val="both"/>
        <w:rPr>
          <w:rFonts w:ascii="Calibri" w:hAnsi="Calibri"/>
          <w:sz w:val="22"/>
          <w:szCs w:val="22"/>
        </w:rPr>
      </w:pPr>
      <w:r w:rsidRPr="00497DB1">
        <w:rPr>
          <w:rFonts w:ascii="Calibri" w:hAnsi="Calibri"/>
          <w:sz w:val="22"/>
          <w:szCs w:val="22"/>
        </w:rPr>
        <w:t>8.5</w:t>
      </w:r>
      <w:r w:rsidRPr="00497DB1">
        <w:rPr>
          <w:rFonts w:ascii="Calibri" w:hAnsi="Calibri"/>
          <w:sz w:val="22"/>
          <w:szCs w:val="22"/>
        </w:rPr>
        <w:tab/>
        <w:t>In 20</w:t>
      </w:r>
      <w:r w:rsidR="00497DB1" w:rsidRPr="00497DB1">
        <w:rPr>
          <w:rFonts w:ascii="Calibri" w:hAnsi="Calibri"/>
          <w:sz w:val="22"/>
          <w:szCs w:val="22"/>
        </w:rPr>
        <w:t>20</w:t>
      </w:r>
      <w:r w:rsidRPr="00497DB1">
        <w:rPr>
          <w:rFonts w:ascii="Calibri" w:hAnsi="Calibri"/>
          <w:sz w:val="22"/>
          <w:szCs w:val="22"/>
        </w:rPr>
        <w:t>-2</w:t>
      </w:r>
      <w:r w:rsidR="00497DB1" w:rsidRPr="00497DB1">
        <w:rPr>
          <w:rFonts w:ascii="Calibri" w:hAnsi="Calibri"/>
          <w:sz w:val="22"/>
          <w:szCs w:val="22"/>
        </w:rPr>
        <w:t>1</w:t>
      </w:r>
      <w:r w:rsidRPr="00497DB1">
        <w:rPr>
          <w:rFonts w:ascii="Calibri" w:hAnsi="Calibri"/>
          <w:sz w:val="22"/>
          <w:szCs w:val="22"/>
        </w:rPr>
        <w:t xml:space="preserve"> the following Internal Audit reports were given an opinion of </w:t>
      </w:r>
      <w:r w:rsidR="00497DB1" w:rsidRPr="00497DB1">
        <w:rPr>
          <w:rFonts w:ascii="Calibri" w:hAnsi="Calibri"/>
          <w:sz w:val="22"/>
          <w:szCs w:val="22"/>
        </w:rPr>
        <w:t>substantial</w:t>
      </w:r>
      <w:r w:rsidRPr="00497DB1">
        <w:rPr>
          <w:rFonts w:ascii="Calibri" w:hAnsi="Calibri"/>
          <w:sz w:val="22"/>
          <w:szCs w:val="22"/>
        </w:rPr>
        <w:t xml:space="preserve"> assurance:</w:t>
      </w:r>
      <w:r w:rsidR="00497DB1" w:rsidRPr="00497DB1">
        <w:rPr>
          <w:rFonts w:ascii="Calibri" w:hAnsi="Calibri"/>
          <w:sz w:val="22"/>
          <w:szCs w:val="22"/>
        </w:rPr>
        <w:t xml:space="preserve"> </w:t>
      </w:r>
    </w:p>
    <w:p w14:paraId="156AE136" w14:textId="699BCF7A"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 xml:space="preserve">Data Classification and Data Governance 20/21 </w:t>
      </w:r>
      <w:r w:rsidR="00D34E94">
        <w:rPr>
          <w:rFonts w:ascii="Calibri" w:eastAsia="Times New Roman" w:hAnsi="Calibri" w:cs="Arial"/>
          <w:sz w:val="22"/>
          <w:szCs w:val="22"/>
          <w:lang w:val="en-GB" w:eastAsia="en-GB"/>
        </w:rPr>
        <w:t>(joint)</w:t>
      </w:r>
    </w:p>
    <w:p w14:paraId="404E8300" w14:textId="77777777"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Imprest 20/21</w:t>
      </w:r>
    </w:p>
    <w:p w14:paraId="1F045B30" w14:textId="77777777"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Independent Custody arrangements 20/21</w:t>
      </w:r>
    </w:p>
    <w:p w14:paraId="052AFF28" w14:textId="790F9222"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Governance of Collaborative Arrangements 20/21</w:t>
      </w:r>
      <w:r w:rsidR="00D34E94">
        <w:rPr>
          <w:rFonts w:ascii="Calibri" w:eastAsia="Times New Roman" w:hAnsi="Calibri" w:cs="Arial"/>
          <w:sz w:val="22"/>
          <w:szCs w:val="22"/>
          <w:lang w:val="en-GB" w:eastAsia="en-GB"/>
        </w:rPr>
        <w:t xml:space="preserve"> (joint)</w:t>
      </w:r>
    </w:p>
    <w:p w14:paraId="5D8B5647" w14:textId="77777777"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Payroll 20/21</w:t>
      </w:r>
    </w:p>
    <w:p w14:paraId="4579DD33" w14:textId="77777777"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Accounts Payable 20/21</w:t>
      </w:r>
    </w:p>
    <w:p w14:paraId="6F27CD95" w14:textId="77777777"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Accounts Receivable 20/21</w:t>
      </w:r>
    </w:p>
    <w:p w14:paraId="0D8B3B5B" w14:textId="77777777" w:rsidR="00012441" w:rsidRPr="00497DB1" w:rsidRDefault="00012441" w:rsidP="00012441">
      <w:pPr>
        <w:ind w:left="709" w:hanging="709"/>
        <w:jc w:val="both"/>
        <w:rPr>
          <w:rFonts w:ascii="Calibri" w:hAnsi="Calibri"/>
          <w:sz w:val="22"/>
          <w:szCs w:val="22"/>
        </w:rPr>
      </w:pPr>
    </w:p>
    <w:p w14:paraId="3170D558" w14:textId="655068A8" w:rsidR="00012441" w:rsidRPr="00497DB1" w:rsidRDefault="00012441" w:rsidP="00012441">
      <w:pPr>
        <w:ind w:left="709" w:hanging="709"/>
        <w:jc w:val="both"/>
        <w:rPr>
          <w:rFonts w:ascii="Calibri" w:hAnsi="Calibri"/>
          <w:sz w:val="22"/>
          <w:szCs w:val="22"/>
        </w:rPr>
      </w:pPr>
      <w:r w:rsidRPr="00497DB1">
        <w:rPr>
          <w:rFonts w:ascii="Calibri" w:hAnsi="Calibri"/>
          <w:sz w:val="22"/>
          <w:szCs w:val="22"/>
        </w:rPr>
        <w:t>8.</w:t>
      </w:r>
      <w:r>
        <w:rPr>
          <w:rFonts w:ascii="Calibri" w:hAnsi="Calibri"/>
          <w:sz w:val="22"/>
          <w:szCs w:val="22"/>
        </w:rPr>
        <w:t>6</w:t>
      </w:r>
      <w:r w:rsidRPr="00497DB1">
        <w:rPr>
          <w:rFonts w:ascii="Calibri" w:hAnsi="Calibri"/>
          <w:sz w:val="22"/>
          <w:szCs w:val="22"/>
        </w:rPr>
        <w:tab/>
        <w:t xml:space="preserve">In 2020-21 the following Internal Audit reports were given an opinion of </w:t>
      </w:r>
      <w:r>
        <w:rPr>
          <w:rFonts w:ascii="Calibri" w:hAnsi="Calibri"/>
          <w:sz w:val="22"/>
          <w:szCs w:val="22"/>
        </w:rPr>
        <w:t>reasonable</w:t>
      </w:r>
      <w:r w:rsidRPr="00497DB1">
        <w:rPr>
          <w:rFonts w:ascii="Calibri" w:hAnsi="Calibri"/>
          <w:sz w:val="22"/>
          <w:szCs w:val="22"/>
        </w:rPr>
        <w:t xml:space="preserve"> assurance: </w:t>
      </w:r>
    </w:p>
    <w:p w14:paraId="46A42439" w14:textId="3070C150" w:rsidR="00D34E94" w:rsidRPr="0073748E" w:rsidRDefault="00D34E94">
      <w:pPr>
        <w:numPr>
          <w:ilvl w:val="0"/>
          <w:numId w:val="20"/>
        </w:numPr>
        <w:contextualSpacing/>
        <w:jc w:val="both"/>
        <w:rPr>
          <w:rFonts w:ascii="Calibri" w:eastAsia="Times New Roman" w:hAnsi="Calibri" w:cs="Arial"/>
          <w:sz w:val="20"/>
          <w:szCs w:val="22"/>
          <w:lang w:val="en-GB" w:eastAsia="en-GB"/>
        </w:rPr>
      </w:pPr>
      <w:r>
        <w:rPr>
          <w:rFonts w:ascii="Calibri" w:eastAsia="Times New Roman" w:hAnsi="Calibri" w:cs="Arial"/>
          <w:sz w:val="20"/>
          <w:szCs w:val="22"/>
          <w:lang w:val="en-GB" w:eastAsia="en-GB"/>
        </w:rPr>
        <w:t>Cyber security – security monitoring 19/20 carry forward (Joint)</w:t>
      </w:r>
    </w:p>
    <w:p w14:paraId="50CA1BB1" w14:textId="11015E6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Main accounting system</w:t>
      </w:r>
    </w:p>
    <w:p w14:paraId="74953B5A" w14:textId="7777777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Business continuity (joint)</w:t>
      </w:r>
    </w:p>
    <w:p w14:paraId="1C12D4AC" w14:textId="7777777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Pension administration arrangements (joint)</w:t>
      </w:r>
    </w:p>
    <w:p w14:paraId="19759065" w14:textId="7777777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Recruitment (joint)</w:t>
      </w:r>
    </w:p>
    <w:p w14:paraId="4E313839" w14:textId="7777777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Procurement (joint)</w:t>
      </w:r>
    </w:p>
    <w:p w14:paraId="5146D220" w14:textId="7777777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Information governance – data sharing agreements (joint)</w:t>
      </w:r>
    </w:p>
    <w:p w14:paraId="24F7F34A" w14:textId="7777777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 xml:space="preserve">Security controls (joint) </w:t>
      </w:r>
    </w:p>
    <w:p w14:paraId="573D134E" w14:textId="77777777" w:rsidR="00012441" w:rsidRPr="00EA527A" w:rsidRDefault="00012441" w:rsidP="00012441">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Systems lifecycle support and planning (joint)</w:t>
      </w:r>
    </w:p>
    <w:p w14:paraId="4EB19418" w14:textId="273F77CD" w:rsidR="00012441" w:rsidRPr="0073748E" w:rsidRDefault="00012441" w:rsidP="0073748E">
      <w:pPr>
        <w:numPr>
          <w:ilvl w:val="0"/>
          <w:numId w:val="20"/>
        </w:numPr>
        <w:contextualSpacing/>
        <w:jc w:val="both"/>
        <w:rPr>
          <w:rFonts w:ascii="Calibri" w:eastAsia="Times New Roman" w:hAnsi="Calibri" w:cs="Arial"/>
          <w:sz w:val="20"/>
          <w:szCs w:val="22"/>
          <w:lang w:val="en-GB" w:eastAsia="en-GB"/>
        </w:rPr>
      </w:pPr>
      <w:r w:rsidRPr="00EA527A">
        <w:rPr>
          <w:rFonts w:ascii="Calibri" w:eastAsia="Times New Roman" w:hAnsi="Calibri" w:cs="Arial"/>
          <w:sz w:val="22"/>
          <w:szCs w:val="22"/>
          <w:lang w:val="en-GB" w:eastAsia="en-GB"/>
        </w:rPr>
        <w:t xml:space="preserve">Monitoring, assurance and compliance (joint) </w:t>
      </w:r>
    </w:p>
    <w:p w14:paraId="2AE92EB5" w14:textId="77777777" w:rsidR="00012441" w:rsidRPr="00497DB1" w:rsidRDefault="00012441" w:rsidP="00C5423F">
      <w:pPr>
        <w:ind w:left="709" w:hanging="709"/>
        <w:jc w:val="both"/>
        <w:rPr>
          <w:rFonts w:ascii="Calibri" w:hAnsi="Calibri"/>
          <w:sz w:val="22"/>
          <w:szCs w:val="22"/>
        </w:rPr>
      </w:pPr>
    </w:p>
    <w:p w14:paraId="7927B7EA" w14:textId="004B246C" w:rsidR="00497DB1" w:rsidRPr="00497DB1" w:rsidRDefault="00C5423F" w:rsidP="00497DB1">
      <w:pPr>
        <w:ind w:left="709" w:hanging="709"/>
        <w:jc w:val="both"/>
        <w:rPr>
          <w:rFonts w:ascii="Calibri" w:hAnsi="Calibri"/>
          <w:sz w:val="22"/>
          <w:szCs w:val="22"/>
        </w:rPr>
      </w:pPr>
      <w:r w:rsidRPr="00497DB1">
        <w:rPr>
          <w:rFonts w:ascii="Calibri" w:hAnsi="Calibri"/>
          <w:sz w:val="22"/>
          <w:szCs w:val="22"/>
        </w:rPr>
        <w:t>8.</w:t>
      </w:r>
      <w:r w:rsidR="000029AE">
        <w:rPr>
          <w:rFonts w:ascii="Calibri" w:hAnsi="Calibri"/>
          <w:sz w:val="22"/>
          <w:szCs w:val="22"/>
        </w:rPr>
        <w:t>7</w:t>
      </w:r>
      <w:r w:rsidRPr="00497DB1">
        <w:rPr>
          <w:rFonts w:ascii="Calibri" w:hAnsi="Calibri"/>
          <w:sz w:val="22"/>
          <w:szCs w:val="22"/>
        </w:rPr>
        <w:tab/>
      </w:r>
      <w:r w:rsidR="00497DB1" w:rsidRPr="00497DB1">
        <w:rPr>
          <w:rFonts w:ascii="Calibri" w:hAnsi="Calibri"/>
          <w:sz w:val="22"/>
          <w:szCs w:val="22"/>
        </w:rPr>
        <w:t>In 2020-21 the following Internal Audit reports were given an opinion of limited assurance, however the issues raised in these reviews were not considered by SIAP to be significant in the context of the overall governance, risk management and control system:</w:t>
      </w:r>
    </w:p>
    <w:p w14:paraId="03C775F6" w14:textId="77777777"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Estates Management 20/21</w:t>
      </w:r>
    </w:p>
    <w:p w14:paraId="16050BDA" w14:textId="77777777" w:rsidR="00497DB1" w:rsidRP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Organisational Risk Management Framework 20/21</w:t>
      </w:r>
    </w:p>
    <w:p w14:paraId="5AA4677C" w14:textId="5DC0F0CA" w:rsidR="00497DB1" w:rsidRDefault="00497DB1" w:rsidP="00497DB1">
      <w:pPr>
        <w:numPr>
          <w:ilvl w:val="0"/>
          <w:numId w:val="20"/>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 xml:space="preserve">IT Business Continuity/Disaster Recovery Planning 19/20 </w:t>
      </w:r>
      <w:r w:rsidR="007C4BA6">
        <w:rPr>
          <w:rFonts w:ascii="Calibri" w:eastAsia="Times New Roman" w:hAnsi="Calibri" w:cs="Arial"/>
          <w:sz w:val="22"/>
          <w:szCs w:val="22"/>
          <w:lang w:val="en-GB" w:eastAsia="en-GB"/>
        </w:rPr>
        <w:t>(j</w:t>
      </w:r>
      <w:r w:rsidRPr="00497DB1">
        <w:rPr>
          <w:rFonts w:ascii="Calibri" w:eastAsia="Times New Roman" w:hAnsi="Calibri" w:cs="Arial"/>
          <w:sz w:val="22"/>
          <w:szCs w:val="22"/>
          <w:lang w:val="en-GB" w:eastAsia="en-GB"/>
        </w:rPr>
        <w:t>oint</w:t>
      </w:r>
      <w:r w:rsidR="007C4BA6">
        <w:rPr>
          <w:rFonts w:ascii="Calibri" w:eastAsia="Times New Roman" w:hAnsi="Calibri" w:cs="Arial"/>
          <w:sz w:val="22"/>
          <w:szCs w:val="22"/>
          <w:lang w:val="en-GB" w:eastAsia="en-GB"/>
        </w:rPr>
        <w:t>)</w:t>
      </w:r>
    </w:p>
    <w:p w14:paraId="541096E4" w14:textId="77777777" w:rsidR="007C4BA6" w:rsidRDefault="007C4BA6" w:rsidP="007C4BA6">
      <w:pPr>
        <w:pStyle w:val="ListParagraph"/>
        <w:numPr>
          <w:ilvl w:val="0"/>
          <w:numId w:val="20"/>
        </w:numPr>
        <w:jc w:val="both"/>
        <w:rPr>
          <w:rFonts w:ascii="Calibri" w:hAnsi="Calibri"/>
          <w:sz w:val="22"/>
        </w:rPr>
      </w:pPr>
      <w:r>
        <w:rPr>
          <w:rFonts w:ascii="Calibri" w:hAnsi="Calibri"/>
          <w:sz w:val="22"/>
        </w:rPr>
        <w:t>Commercial Unit (19/20) carry forward (joint)</w:t>
      </w:r>
    </w:p>
    <w:p w14:paraId="1B797F13" w14:textId="77777777" w:rsidR="007C4BA6" w:rsidRDefault="007C4BA6" w:rsidP="007C4BA6">
      <w:pPr>
        <w:pStyle w:val="ListParagraph"/>
        <w:numPr>
          <w:ilvl w:val="0"/>
          <w:numId w:val="20"/>
        </w:numPr>
        <w:jc w:val="both"/>
        <w:rPr>
          <w:rFonts w:ascii="Calibri" w:hAnsi="Calibri"/>
          <w:sz w:val="22"/>
        </w:rPr>
      </w:pPr>
      <w:r>
        <w:rPr>
          <w:rFonts w:ascii="Calibri" w:hAnsi="Calibri"/>
          <w:sz w:val="22"/>
        </w:rPr>
        <w:t>Cyber security 3</w:t>
      </w:r>
      <w:r w:rsidRPr="004527AB">
        <w:rPr>
          <w:rFonts w:ascii="Calibri" w:hAnsi="Calibri"/>
          <w:sz w:val="22"/>
          <w:vertAlign w:val="superscript"/>
        </w:rPr>
        <w:t>rd</w:t>
      </w:r>
      <w:r>
        <w:rPr>
          <w:rFonts w:ascii="Calibri" w:hAnsi="Calibri"/>
          <w:sz w:val="22"/>
        </w:rPr>
        <w:t xml:space="preserve"> party management 19-20 carry forward (joint)</w:t>
      </w:r>
    </w:p>
    <w:p w14:paraId="1F0CB201" w14:textId="77777777" w:rsidR="007C4BA6" w:rsidRDefault="007C4BA6" w:rsidP="007C4BA6">
      <w:pPr>
        <w:pStyle w:val="ListParagraph"/>
        <w:numPr>
          <w:ilvl w:val="0"/>
          <w:numId w:val="20"/>
        </w:numPr>
        <w:jc w:val="both"/>
        <w:rPr>
          <w:rFonts w:ascii="Calibri" w:hAnsi="Calibri"/>
          <w:sz w:val="22"/>
        </w:rPr>
      </w:pPr>
      <w:r>
        <w:rPr>
          <w:rFonts w:ascii="Calibri" w:hAnsi="Calibri"/>
          <w:sz w:val="22"/>
        </w:rPr>
        <w:t>Application Management 19/20 carry forward (joint)</w:t>
      </w:r>
    </w:p>
    <w:p w14:paraId="65660E79" w14:textId="35EA94BF" w:rsidR="00D34E94" w:rsidRPr="00497DB1" w:rsidRDefault="00D34E94" w:rsidP="00497DB1">
      <w:pPr>
        <w:numPr>
          <w:ilvl w:val="0"/>
          <w:numId w:val="20"/>
        </w:numPr>
        <w:contextualSpacing/>
        <w:jc w:val="both"/>
        <w:rPr>
          <w:rFonts w:ascii="Calibri" w:eastAsia="Times New Roman" w:hAnsi="Calibri" w:cs="Arial"/>
          <w:sz w:val="22"/>
          <w:szCs w:val="22"/>
          <w:lang w:val="en-GB" w:eastAsia="en-GB"/>
        </w:rPr>
      </w:pPr>
      <w:r>
        <w:rPr>
          <w:rFonts w:ascii="Calibri" w:eastAsia="Times New Roman" w:hAnsi="Calibri" w:cs="Arial"/>
          <w:sz w:val="22"/>
          <w:szCs w:val="22"/>
          <w:lang w:val="en-GB" w:eastAsia="en-GB"/>
        </w:rPr>
        <w:t>IT Asse</w:t>
      </w:r>
      <w:r w:rsidR="007C4BA6">
        <w:rPr>
          <w:rFonts w:ascii="Calibri" w:eastAsia="Times New Roman" w:hAnsi="Calibri" w:cs="Arial"/>
          <w:sz w:val="22"/>
          <w:szCs w:val="22"/>
          <w:lang w:val="en-GB" w:eastAsia="en-GB"/>
        </w:rPr>
        <w:t xml:space="preserve">t Management </w:t>
      </w:r>
      <w:r w:rsidR="00EA7E62">
        <w:rPr>
          <w:rFonts w:ascii="Calibri" w:eastAsia="Times New Roman" w:hAnsi="Calibri" w:cs="Arial"/>
          <w:sz w:val="22"/>
          <w:szCs w:val="22"/>
          <w:lang w:val="en-GB" w:eastAsia="en-GB"/>
        </w:rPr>
        <w:t xml:space="preserve">and Software Licensing 20/21 </w:t>
      </w:r>
      <w:r w:rsidR="007C4BA6">
        <w:rPr>
          <w:rFonts w:ascii="Calibri" w:eastAsia="Times New Roman" w:hAnsi="Calibri" w:cs="Arial"/>
          <w:sz w:val="22"/>
          <w:szCs w:val="22"/>
          <w:lang w:val="en-GB" w:eastAsia="en-GB"/>
        </w:rPr>
        <w:t>(j</w:t>
      </w:r>
      <w:r>
        <w:rPr>
          <w:rFonts w:ascii="Calibri" w:eastAsia="Times New Roman" w:hAnsi="Calibri" w:cs="Arial"/>
          <w:sz w:val="22"/>
          <w:szCs w:val="22"/>
          <w:lang w:val="en-GB" w:eastAsia="en-GB"/>
        </w:rPr>
        <w:t>oint)</w:t>
      </w:r>
    </w:p>
    <w:p w14:paraId="679D3327" w14:textId="77777777" w:rsidR="00C5423F" w:rsidRPr="00497DB1" w:rsidRDefault="00C5423F" w:rsidP="00C5423F">
      <w:pPr>
        <w:ind w:left="709" w:hanging="709"/>
        <w:jc w:val="both"/>
        <w:rPr>
          <w:rFonts w:ascii="Calibri" w:hAnsi="Calibri"/>
          <w:sz w:val="22"/>
          <w:szCs w:val="22"/>
          <w:lang w:eastAsia="en-GB"/>
        </w:rPr>
      </w:pPr>
    </w:p>
    <w:p w14:paraId="14C05D0D" w14:textId="494D644E" w:rsidR="00C5423F" w:rsidRPr="00DC1077" w:rsidRDefault="00497DB1" w:rsidP="00C5423F">
      <w:pPr>
        <w:ind w:left="709" w:hanging="709"/>
        <w:jc w:val="both"/>
        <w:rPr>
          <w:rFonts w:ascii="Calibri" w:hAnsi="Calibri"/>
          <w:sz w:val="22"/>
          <w:szCs w:val="22"/>
          <w:highlight w:val="yellow"/>
          <w:lang w:eastAsia="en-GB"/>
        </w:rPr>
      </w:pPr>
      <w:r w:rsidRPr="00497DB1">
        <w:rPr>
          <w:rFonts w:ascii="Calibri" w:hAnsi="Calibri"/>
          <w:sz w:val="22"/>
          <w:szCs w:val="22"/>
          <w:lang w:eastAsia="en-GB"/>
        </w:rPr>
        <w:t>8.</w:t>
      </w:r>
      <w:r w:rsidR="000029AE">
        <w:rPr>
          <w:rFonts w:ascii="Calibri" w:hAnsi="Calibri"/>
          <w:sz w:val="22"/>
          <w:szCs w:val="22"/>
          <w:lang w:eastAsia="en-GB"/>
        </w:rPr>
        <w:t>8</w:t>
      </w:r>
      <w:r w:rsidRPr="00497DB1">
        <w:rPr>
          <w:rFonts w:ascii="Calibri" w:hAnsi="Calibri"/>
          <w:sz w:val="22"/>
          <w:szCs w:val="22"/>
          <w:lang w:eastAsia="en-GB"/>
        </w:rPr>
        <w:tab/>
        <w:t>K</w:t>
      </w:r>
      <w:r w:rsidR="00C5423F" w:rsidRPr="00497DB1">
        <w:rPr>
          <w:rFonts w:ascii="Calibri" w:hAnsi="Calibri"/>
          <w:sz w:val="22"/>
          <w:szCs w:val="22"/>
          <w:lang w:eastAsia="en-GB"/>
        </w:rPr>
        <w:t>ey areas of weakness</w:t>
      </w:r>
      <w:r w:rsidRPr="00497DB1">
        <w:rPr>
          <w:rFonts w:ascii="Calibri" w:hAnsi="Calibri"/>
          <w:sz w:val="22"/>
          <w:szCs w:val="22"/>
          <w:lang w:eastAsia="en-GB"/>
        </w:rPr>
        <w:t xml:space="preserve"> identified by SIAP within the collaborative area of IT which had not been subject to internal audit for several years have been closely monitored during the year for progress.</w:t>
      </w:r>
      <w:r w:rsidR="000029AE">
        <w:rPr>
          <w:rFonts w:ascii="Calibri" w:hAnsi="Calibri"/>
          <w:sz w:val="22"/>
          <w:szCs w:val="22"/>
          <w:lang w:eastAsia="en-GB"/>
        </w:rPr>
        <w:t xml:space="preserve"> </w:t>
      </w:r>
      <w:r w:rsidR="000029AE">
        <w:rPr>
          <w:rFonts w:ascii="Calibri" w:hAnsi="Calibri"/>
          <w:lang w:eastAsia="en-GB"/>
        </w:rPr>
        <w:t xml:space="preserve">This indicated </w:t>
      </w:r>
      <w:r w:rsidR="000029AE" w:rsidRPr="004527AB">
        <w:rPr>
          <w:rFonts w:ascii="Calibri" w:hAnsi="Calibri"/>
          <w:sz w:val="22"/>
          <w:szCs w:val="22"/>
          <w:lang w:eastAsia="en-GB"/>
        </w:rPr>
        <w:t xml:space="preserve">that significant progress had been made and where actions remain outstanding they are being actively monitored and challenged through the Organisational Reassurance Board.  Whilst there remains work to be done in some areas, the direction of travel is positive and working relations between IT and internal audit staff have strengthened through regular liaison meetings, resulting in improved understanding of the process as well as improvements in the timeliness of response to internal audit requests for information and as a result, the completion of reviews. </w:t>
      </w:r>
    </w:p>
    <w:p w14:paraId="32BE7532" w14:textId="77777777" w:rsidR="00C5423F" w:rsidRPr="003C74C4" w:rsidRDefault="00C5423F" w:rsidP="00C5423F">
      <w:pPr>
        <w:ind w:left="709" w:hanging="709"/>
        <w:jc w:val="both"/>
        <w:rPr>
          <w:rFonts w:ascii="Calibri" w:hAnsi="Calibri"/>
          <w:sz w:val="22"/>
          <w:szCs w:val="22"/>
          <w:lang w:eastAsia="en-GB"/>
        </w:rPr>
      </w:pPr>
    </w:p>
    <w:p w14:paraId="4FA2BEDA" w14:textId="390DE824" w:rsidR="00C5423F" w:rsidRPr="003C74C4" w:rsidRDefault="00C5423F" w:rsidP="00C5423F">
      <w:pPr>
        <w:ind w:left="709" w:hanging="709"/>
        <w:jc w:val="both"/>
        <w:rPr>
          <w:rFonts w:ascii="Calibri" w:hAnsi="Calibri"/>
          <w:sz w:val="22"/>
          <w:szCs w:val="22"/>
          <w:lang w:eastAsia="en-GB"/>
        </w:rPr>
      </w:pPr>
      <w:r w:rsidRPr="003C74C4">
        <w:rPr>
          <w:rFonts w:ascii="Calibri" w:hAnsi="Calibri"/>
          <w:sz w:val="22"/>
          <w:szCs w:val="22"/>
          <w:lang w:eastAsia="en-GB"/>
        </w:rPr>
        <w:t>8.</w:t>
      </w:r>
      <w:r w:rsidR="000029AE">
        <w:rPr>
          <w:rFonts w:ascii="Calibri" w:hAnsi="Calibri"/>
          <w:sz w:val="22"/>
          <w:szCs w:val="22"/>
          <w:lang w:eastAsia="en-GB"/>
        </w:rPr>
        <w:t>9</w:t>
      </w:r>
      <w:r w:rsidRPr="003C74C4">
        <w:rPr>
          <w:rFonts w:ascii="Calibri" w:hAnsi="Calibri"/>
          <w:sz w:val="22"/>
          <w:szCs w:val="22"/>
          <w:lang w:eastAsia="en-GB"/>
        </w:rPr>
        <w:tab/>
        <w:t xml:space="preserve">The Chief Digital &amp; Information Officer heading up the ICT department put in place a monthly review process to assess progress of agreed actions and provide regular updates to the </w:t>
      </w:r>
      <w:r w:rsidR="00AE7D24" w:rsidRPr="003C74C4">
        <w:rPr>
          <w:rFonts w:ascii="Calibri" w:hAnsi="Calibri"/>
          <w:sz w:val="22"/>
          <w:szCs w:val="22"/>
          <w:lang w:eastAsia="en-GB"/>
        </w:rPr>
        <w:t xml:space="preserve">Deputy Chief Constables, </w:t>
      </w:r>
      <w:r w:rsidRPr="003C74C4">
        <w:rPr>
          <w:rFonts w:ascii="Calibri" w:hAnsi="Calibri"/>
          <w:sz w:val="22"/>
          <w:szCs w:val="22"/>
          <w:lang w:eastAsia="en-GB"/>
        </w:rPr>
        <w:t xml:space="preserve">Chief Finance Officers, Joint Audit Committee, Internal Auditors and External Auditors of both Surrey Police and Sussex Police forces and PCC’s. This is in addition to the general governance framework detailed above and provides a strong and continual framework to address the audit findings and weaknesses in these areas of ICT. </w:t>
      </w:r>
    </w:p>
    <w:p w14:paraId="31809A2C" w14:textId="77777777" w:rsidR="00C5423F" w:rsidRPr="003C74C4" w:rsidRDefault="00C5423F" w:rsidP="00C5423F">
      <w:pPr>
        <w:ind w:left="709" w:hanging="709"/>
        <w:jc w:val="both"/>
        <w:rPr>
          <w:rFonts w:ascii="Calibri" w:hAnsi="Calibri"/>
          <w:sz w:val="22"/>
          <w:szCs w:val="22"/>
          <w:lang w:eastAsia="en-GB"/>
        </w:rPr>
      </w:pPr>
    </w:p>
    <w:p w14:paraId="2DA74FD2" w14:textId="658F9048" w:rsidR="00C5423F" w:rsidRDefault="00C5423F" w:rsidP="00C5423F">
      <w:pPr>
        <w:ind w:left="709" w:hanging="709"/>
        <w:jc w:val="both"/>
        <w:rPr>
          <w:rFonts w:ascii="Calibri" w:hAnsi="Calibri"/>
          <w:sz w:val="22"/>
          <w:szCs w:val="22"/>
          <w:lang w:eastAsia="en-GB"/>
        </w:rPr>
      </w:pPr>
      <w:r w:rsidRPr="003C74C4">
        <w:rPr>
          <w:rFonts w:ascii="Calibri" w:hAnsi="Calibri"/>
          <w:sz w:val="22"/>
          <w:szCs w:val="22"/>
          <w:lang w:eastAsia="en-GB"/>
        </w:rPr>
        <w:t>8.</w:t>
      </w:r>
      <w:r w:rsidR="000029AE">
        <w:rPr>
          <w:rFonts w:ascii="Calibri" w:hAnsi="Calibri"/>
          <w:sz w:val="22"/>
          <w:szCs w:val="22"/>
          <w:lang w:eastAsia="en-GB"/>
        </w:rPr>
        <w:t>10</w:t>
      </w:r>
      <w:r w:rsidRPr="003C74C4">
        <w:rPr>
          <w:rFonts w:ascii="Calibri" w:hAnsi="Calibri"/>
          <w:sz w:val="22"/>
          <w:szCs w:val="22"/>
          <w:lang w:eastAsia="en-GB"/>
        </w:rPr>
        <w:tab/>
        <w:t>Management have agreed recommendations to address all the findings reported by the internal audit service during 20</w:t>
      </w:r>
      <w:r w:rsidR="003C74C4">
        <w:rPr>
          <w:rFonts w:ascii="Calibri" w:hAnsi="Calibri"/>
          <w:sz w:val="22"/>
          <w:szCs w:val="22"/>
          <w:lang w:eastAsia="en-GB"/>
        </w:rPr>
        <w:t>20</w:t>
      </w:r>
      <w:r w:rsidRPr="003C74C4">
        <w:rPr>
          <w:rFonts w:ascii="Calibri" w:hAnsi="Calibri"/>
          <w:sz w:val="22"/>
          <w:szCs w:val="22"/>
          <w:lang w:eastAsia="en-GB"/>
        </w:rPr>
        <w:t>/2</w:t>
      </w:r>
      <w:r w:rsidR="003C74C4">
        <w:rPr>
          <w:rFonts w:ascii="Calibri" w:hAnsi="Calibri"/>
          <w:sz w:val="22"/>
          <w:szCs w:val="22"/>
          <w:lang w:eastAsia="en-GB"/>
        </w:rPr>
        <w:t>1</w:t>
      </w:r>
      <w:r w:rsidRPr="003C74C4">
        <w:rPr>
          <w:rFonts w:ascii="Calibri" w:hAnsi="Calibri"/>
          <w:sz w:val="22"/>
          <w:szCs w:val="22"/>
          <w:lang w:eastAsia="en-GB"/>
        </w:rPr>
        <w:t>.</w:t>
      </w:r>
    </w:p>
    <w:p w14:paraId="0CE31858" w14:textId="77777777" w:rsidR="003C74C4" w:rsidRDefault="003C74C4" w:rsidP="00C5423F">
      <w:pPr>
        <w:ind w:left="709" w:hanging="709"/>
        <w:jc w:val="both"/>
        <w:rPr>
          <w:rFonts w:ascii="Calibri" w:hAnsi="Calibri"/>
          <w:sz w:val="22"/>
          <w:szCs w:val="22"/>
          <w:lang w:eastAsia="en-GB"/>
        </w:rPr>
      </w:pPr>
    </w:p>
    <w:p w14:paraId="3F360452" w14:textId="2D79A5CA" w:rsidR="003C74C4" w:rsidRPr="003C74C4" w:rsidRDefault="003C74C4" w:rsidP="00C5423F">
      <w:pPr>
        <w:ind w:left="709" w:hanging="709"/>
        <w:jc w:val="both"/>
        <w:rPr>
          <w:rFonts w:ascii="Calibri" w:hAnsi="Calibri"/>
          <w:b/>
          <w:sz w:val="22"/>
          <w:szCs w:val="22"/>
          <w:lang w:eastAsia="en-GB"/>
        </w:rPr>
      </w:pPr>
      <w:r>
        <w:rPr>
          <w:rFonts w:ascii="Calibri" w:hAnsi="Calibri"/>
          <w:sz w:val="22"/>
          <w:szCs w:val="22"/>
          <w:lang w:eastAsia="en-GB"/>
        </w:rPr>
        <w:tab/>
      </w:r>
      <w:r w:rsidRPr="003C74C4">
        <w:rPr>
          <w:rFonts w:ascii="Calibri" w:hAnsi="Calibri"/>
          <w:b/>
          <w:sz w:val="22"/>
          <w:szCs w:val="22"/>
          <w:lang w:eastAsia="en-GB"/>
        </w:rPr>
        <w:t>Equip Project</w:t>
      </w:r>
    </w:p>
    <w:p w14:paraId="295F11AE" w14:textId="77777777" w:rsidR="003C74C4" w:rsidRDefault="003C74C4" w:rsidP="00C5423F">
      <w:pPr>
        <w:ind w:left="709" w:hanging="709"/>
        <w:jc w:val="both"/>
        <w:rPr>
          <w:rFonts w:ascii="Calibri" w:hAnsi="Calibri"/>
          <w:sz w:val="22"/>
          <w:szCs w:val="22"/>
          <w:lang w:eastAsia="en-GB"/>
        </w:rPr>
      </w:pPr>
    </w:p>
    <w:p w14:paraId="34DEC19F" w14:textId="4F9F06E0" w:rsidR="003C74C4" w:rsidRPr="003C74C4" w:rsidRDefault="003C74C4" w:rsidP="003C74C4">
      <w:pPr>
        <w:ind w:left="709" w:hanging="709"/>
        <w:jc w:val="both"/>
        <w:rPr>
          <w:rFonts w:ascii="Calibri" w:hAnsi="Calibri"/>
          <w:sz w:val="22"/>
          <w:szCs w:val="22"/>
          <w:lang w:eastAsia="en-GB"/>
        </w:rPr>
      </w:pPr>
      <w:r>
        <w:rPr>
          <w:rFonts w:ascii="Calibri" w:hAnsi="Calibri"/>
          <w:sz w:val="22"/>
          <w:szCs w:val="22"/>
          <w:lang w:eastAsia="en-GB"/>
        </w:rPr>
        <w:t>8.1</w:t>
      </w:r>
      <w:r w:rsidR="000029AE">
        <w:rPr>
          <w:rFonts w:ascii="Calibri" w:hAnsi="Calibri"/>
          <w:sz w:val="22"/>
          <w:szCs w:val="22"/>
          <w:lang w:eastAsia="en-GB"/>
        </w:rPr>
        <w:t>1</w:t>
      </w:r>
      <w:r>
        <w:rPr>
          <w:rFonts w:ascii="Calibri" w:hAnsi="Calibri"/>
          <w:sz w:val="22"/>
          <w:szCs w:val="22"/>
          <w:lang w:eastAsia="en-GB"/>
        </w:rPr>
        <w:tab/>
      </w:r>
      <w:r w:rsidRPr="003C74C4">
        <w:rPr>
          <w:rFonts w:ascii="Calibri" w:hAnsi="Calibri"/>
          <w:sz w:val="22"/>
          <w:szCs w:val="22"/>
          <w:lang w:eastAsia="en-GB"/>
        </w:rPr>
        <w:t xml:space="preserve">The Equip Programme was the proposed tri-force Enterprise Resource Planning (ERP) Solution for Surrey, Sussex and Thames Valley Police. The solution was intended to bring improvements to all three forces and enable consistency, better information for managing and decision making – for teams and individuals. The programme approach, initially comprised of an external implementation partner and an in-house team of staff and contractors, supplied by the three forces. </w:t>
      </w:r>
    </w:p>
    <w:p w14:paraId="60B6BA6A" w14:textId="77777777" w:rsidR="003C74C4" w:rsidRPr="003C74C4" w:rsidRDefault="003C74C4" w:rsidP="003C74C4">
      <w:pPr>
        <w:ind w:left="709" w:hanging="709"/>
        <w:jc w:val="both"/>
        <w:rPr>
          <w:rFonts w:ascii="Calibri" w:hAnsi="Calibri"/>
          <w:sz w:val="22"/>
          <w:szCs w:val="22"/>
          <w:lang w:eastAsia="en-GB"/>
        </w:rPr>
      </w:pPr>
    </w:p>
    <w:p w14:paraId="5D1A638D" w14:textId="22D7AEB8" w:rsidR="003C74C4" w:rsidRPr="003C74C4" w:rsidRDefault="003C74C4" w:rsidP="003C74C4">
      <w:pPr>
        <w:ind w:left="709" w:hanging="709"/>
        <w:jc w:val="both"/>
        <w:rPr>
          <w:rFonts w:ascii="Calibri" w:hAnsi="Calibri"/>
          <w:sz w:val="22"/>
          <w:szCs w:val="22"/>
          <w:lang w:eastAsia="en-GB"/>
        </w:rPr>
      </w:pPr>
      <w:r w:rsidRPr="003C74C4">
        <w:rPr>
          <w:rFonts w:ascii="Calibri" w:hAnsi="Calibri"/>
          <w:sz w:val="22"/>
          <w:szCs w:val="22"/>
          <w:lang w:eastAsia="en-GB"/>
        </w:rPr>
        <w:t>8.1</w:t>
      </w:r>
      <w:r w:rsidR="000029AE">
        <w:rPr>
          <w:rFonts w:ascii="Calibri" w:hAnsi="Calibri"/>
          <w:sz w:val="22"/>
          <w:szCs w:val="22"/>
          <w:lang w:eastAsia="en-GB"/>
        </w:rPr>
        <w:t>2</w:t>
      </w:r>
      <w:r w:rsidRPr="003C74C4">
        <w:rPr>
          <w:rFonts w:ascii="Calibri" w:hAnsi="Calibri"/>
          <w:sz w:val="22"/>
          <w:szCs w:val="22"/>
          <w:lang w:eastAsia="en-GB"/>
        </w:rPr>
        <w:tab/>
        <w:t>Delays in implementation of the solution had been identified as a key risk both within the forces’ risk management arrangements and by the external auditor in terms of their Value For Money review work. A number of progress and independent advisory reviews were undertaken.</w:t>
      </w:r>
    </w:p>
    <w:p w14:paraId="5869F967" w14:textId="77777777" w:rsidR="003C74C4" w:rsidRPr="003C74C4" w:rsidRDefault="003C74C4" w:rsidP="003C74C4">
      <w:pPr>
        <w:ind w:left="709" w:hanging="709"/>
        <w:jc w:val="both"/>
        <w:rPr>
          <w:rFonts w:ascii="Calibri" w:hAnsi="Calibri"/>
          <w:sz w:val="22"/>
          <w:szCs w:val="22"/>
          <w:lang w:eastAsia="en-GB"/>
        </w:rPr>
      </w:pPr>
    </w:p>
    <w:p w14:paraId="7491D4CF" w14:textId="47569F89" w:rsidR="003C74C4" w:rsidRPr="003C74C4" w:rsidRDefault="003C74C4" w:rsidP="003C74C4">
      <w:pPr>
        <w:ind w:left="709" w:hanging="709"/>
        <w:jc w:val="both"/>
        <w:rPr>
          <w:rFonts w:ascii="Calibri" w:hAnsi="Calibri"/>
          <w:sz w:val="22"/>
          <w:szCs w:val="22"/>
          <w:lang w:eastAsia="en-GB"/>
        </w:rPr>
      </w:pPr>
      <w:r w:rsidRPr="003C74C4">
        <w:rPr>
          <w:rFonts w:ascii="Calibri" w:hAnsi="Calibri"/>
          <w:sz w:val="22"/>
          <w:szCs w:val="22"/>
          <w:lang w:eastAsia="en-GB"/>
        </w:rPr>
        <w:t>8.1</w:t>
      </w:r>
      <w:r w:rsidR="000029AE">
        <w:rPr>
          <w:rFonts w:ascii="Calibri" w:hAnsi="Calibri"/>
          <w:sz w:val="22"/>
          <w:szCs w:val="22"/>
          <w:lang w:eastAsia="en-GB"/>
        </w:rPr>
        <w:t>3</w:t>
      </w:r>
      <w:r w:rsidRPr="003C74C4">
        <w:rPr>
          <w:rFonts w:ascii="Calibri" w:hAnsi="Calibri"/>
          <w:sz w:val="22"/>
          <w:szCs w:val="22"/>
          <w:lang w:eastAsia="en-GB"/>
        </w:rPr>
        <w:tab/>
        <w:t>In December 2020 the Chief Constables agreed that the ERP product developed by KPMG should be transferred to the three forces to mitigate against future financial risk. Following recommendation by the three force Chief Constables, approval was granted by the three PCCs. The forces have worked closely with KPMG to achieve the transfer of the ERP Software, Documentation and Licenced assets.</w:t>
      </w:r>
    </w:p>
    <w:p w14:paraId="199DF4B9" w14:textId="77777777" w:rsidR="003C74C4" w:rsidRPr="003C74C4" w:rsidRDefault="003C74C4" w:rsidP="003C74C4">
      <w:pPr>
        <w:ind w:left="709" w:hanging="709"/>
        <w:jc w:val="both"/>
        <w:rPr>
          <w:rFonts w:ascii="Calibri" w:hAnsi="Calibri"/>
          <w:sz w:val="22"/>
          <w:szCs w:val="22"/>
          <w:lang w:eastAsia="en-GB"/>
        </w:rPr>
      </w:pPr>
    </w:p>
    <w:p w14:paraId="5BC229DB" w14:textId="61332AAD" w:rsidR="003C74C4" w:rsidRPr="003C74C4" w:rsidRDefault="003C74C4" w:rsidP="003C74C4">
      <w:pPr>
        <w:ind w:left="709" w:hanging="709"/>
        <w:jc w:val="both"/>
        <w:rPr>
          <w:rFonts w:ascii="Calibri" w:hAnsi="Calibri"/>
          <w:sz w:val="22"/>
          <w:szCs w:val="22"/>
          <w:lang w:eastAsia="en-GB"/>
        </w:rPr>
      </w:pPr>
      <w:r w:rsidRPr="003C74C4">
        <w:rPr>
          <w:rFonts w:ascii="Calibri" w:hAnsi="Calibri"/>
          <w:sz w:val="22"/>
          <w:szCs w:val="22"/>
          <w:lang w:eastAsia="en-GB"/>
        </w:rPr>
        <w:t>8.1</w:t>
      </w:r>
      <w:r w:rsidR="000029AE">
        <w:rPr>
          <w:rFonts w:ascii="Calibri" w:hAnsi="Calibri"/>
          <w:sz w:val="22"/>
          <w:szCs w:val="22"/>
          <w:lang w:eastAsia="en-GB"/>
        </w:rPr>
        <w:t>4</w:t>
      </w:r>
      <w:r w:rsidRPr="003C74C4">
        <w:rPr>
          <w:rFonts w:ascii="Calibri" w:hAnsi="Calibri"/>
          <w:sz w:val="22"/>
          <w:szCs w:val="22"/>
          <w:lang w:eastAsia="en-GB"/>
        </w:rPr>
        <w:tab/>
        <w:t xml:space="preserve">Following closure of the tri-force Equip programme, a new Surrey &amp; Sussex ERP Programme has been set up to look at future ERP work. In Sussex and Surrey Police the respective Chief Constable’s and PCC’s are considering a range of options for use, development of the Equip assets and/or additional ERP solutions for enhanced functionality. Surrey Police bears 22% of the total partnership project costs.  </w:t>
      </w:r>
    </w:p>
    <w:p w14:paraId="42CCAFCB" w14:textId="77777777" w:rsidR="003C74C4" w:rsidRPr="003C74C4" w:rsidRDefault="003C74C4" w:rsidP="003C74C4">
      <w:pPr>
        <w:ind w:left="709" w:hanging="709"/>
        <w:jc w:val="both"/>
        <w:rPr>
          <w:rFonts w:ascii="Calibri" w:hAnsi="Calibri"/>
          <w:sz w:val="22"/>
          <w:szCs w:val="22"/>
          <w:lang w:eastAsia="en-GB"/>
        </w:rPr>
      </w:pPr>
    </w:p>
    <w:p w14:paraId="4180D48A" w14:textId="02F91BDF" w:rsidR="003C74C4" w:rsidRPr="003C74C4" w:rsidRDefault="003C74C4" w:rsidP="003C74C4">
      <w:pPr>
        <w:ind w:left="709" w:hanging="709"/>
        <w:jc w:val="both"/>
        <w:rPr>
          <w:rFonts w:ascii="Calibri" w:hAnsi="Calibri"/>
          <w:sz w:val="22"/>
          <w:szCs w:val="22"/>
          <w:lang w:eastAsia="en-GB"/>
        </w:rPr>
      </w:pPr>
      <w:r w:rsidRPr="003C74C4">
        <w:rPr>
          <w:rFonts w:ascii="Calibri" w:hAnsi="Calibri"/>
          <w:sz w:val="22"/>
          <w:szCs w:val="22"/>
          <w:lang w:eastAsia="en-GB"/>
        </w:rPr>
        <w:t>8.1</w:t>
      </w:r>
      <w:r w:rsidR="000029AE">
        <w:rPr>
          <w:rFonts w:ascii="Calibri" w:hAnsi="Calibri"/>
          <w:sz w:val="22"/>
          <w:szCs w:val="22"/>
          <w:lang w:eastAsia="en-GB"/>
        </w:rPr>
        <w:t>5</w:t>
      </w:r>
      <w:r w:rsidRPr="003C74C4">
        <w:rPr>
          <w:rFonts w:ascii="Calibri" w:hAnsi="Calibri"/>
          <w:sz w:val="22"/>
          <w:szCs w:val="22"/>
          <w:lang w:eastAsia="en-GB"/>
        </w:rPr>
        <w:tab/>
        <w:t>Prior to 2020/21 Sussex Police and Surrey Police had spent £7.276m and £5.723m respectively on the Equip programme and this had been fully released to revenue on the basis that the end asset platform providing the software as a service to Sussex and Surrey would not be owned by Sussex Police or Surrey Police.</w:t>
      </w:r>
    </w:p>
    <w:p w14:paraId="06668B27" w14:textId="77777777" w:rsidR="003C74C4" w:rsidRPr="003C74C4" w:rsidRDefault="003C74C4" w:rsidP="003C74C4">
      <w:pPr>
        <w:ind w:left="709" w:hanging="709"/>
        <w:jc w:val="both"/>
        <w:rPr>
          <w:rFonts w:ascii="Calibri" w:hAnsi="Calibri"/>
          <w:sz w:val="22"/>
          <w:szCs w:val="22"/>
          <w:lang w:eastAsia="en-GB"/>
        </w:rPr>
      </w:pPr>
    </w:p>
    <w:p w14:paraId="26F5028E" w14:textId="29AEF881" w:rsidR="003C74C4" w:rsidRPr="003C74C4" w:rsidRDefault="003C74C4" w:rsidP="003C74C4">
      <w:pPr>
        <w:ind w:left="709" w:hanging="709"/>
        <w:jc w:val="both"/>
        <w:rPr>
          <w:rFonts w:ascii="Calibri" w:hAnsi="Calibri"/>
          <w:sz w:val="22"/>
          <w:szCs w:val="22"/>
          <w:lang w:eastAsia="en-GB"/>
        </w:rPr>
      </w:pPr>
      <w:r w:rsidRPr="003C74C4">
        <w:rPr>
          <w:rFonts w:ascii="Calibri" w:hAnsi="Calibri"/>
          <w:sz w:val="22"/>
          <w:szCs w:val="22"/>
          <w:lang w:eastAsia="en-GB"/>
        </w:rPr>
        <w:t>8.1</w:t>
      </w:r>
      <w:r w:rsidR="000029AE">
        <w:rPr>
          <w:rFonts w:ascii="Calibri" w:hAnsi="Calibri"/>
          <w:sz w:val="22"/>
          <w:szCs w:val="22"/>
          <w:lang w:eastAsia="en-GB"/>
        </w:rPr>
        <w:t>6</w:t>
      </w:r>
      <w:r w:rsidRPr="003C74C4">
        <w:rPr>
          <w:rFonts w:ascii="Calibri" w:hAnsi="Calibri"/>
          <w:sz w:val="22"/>
          <w:szCs w:val="22"/>
          <w:lang w:eastAsia="en-GB"/>
        </w:rPr>
        <w:tab/>
        <w:t>During 2020/21 Sussex Police spent a further £5.385m and Surrey Police spent a further £3.791m on the Equip programme. Sussex Police spent £2.752m of that amount on the capital asset purchase from KPMG whilst Surrey Police spent £1.918m of the total on the capital asset purchase from KPMG. All remaining amounts were revenue charges for the Equip team and related running costs during the year. No further sums will be spent on the Equip programme in 2021/22 or later years.</w:t>
      </w:r>
    </w:p>
    <w:p w14:paraId="206FBB95" w14:textId="77777777" w:rsidR="003C74C4" w:rsidRPr="003C74C4" w:rsidRDefault="003C74C4" w:rsidP="003C74C4">
      <w:pPr>
        <w:ind w:left="709" w:hanging="709"/>
        <w:jc w:val="both"/>
        <w:rPr>
          <w:rFonts w:ascii="Calibri" w:hAnsi="Calibri"/>
          <w:sz w:val="22"/>
          <w:szCs w:val="22"/>
          <w:lang w:eastAsia="en-GB"/>
        </w:rPr>
      </w:pPr>
    </w:p>
    <w:p w14:paraId="797C0D3B" w14:textId="77777777" w:rsidR="003C74C4" w:rsidRPr="003C74C4" w:rsidRDefault="003C74C4" w:rsidP="003C74C4">
      <w:pPr>
        <w:ind w:left="709" w:hanging="709"/>
        <w:jc w:val="both"/>
        <w:rPr>
          <w:rFonts w:ascii="Calibri" w:hAnsi="Calibri"/>
          <w:b/>
          <w:bCs/>
          <w:sz w:val="22"/>
          <w:szCs w:val="22"/>
        </w:rPr>
      </w:pPr>
      <w:r w:rsidRPr="003C74C4">
        <w:rPr>
          <w:rFonts w:ascii="Calibri" w:hAnsi="Calibri"/>
          <w:bCs/>
          <w:sz w:val="22"/>
          <w:szCs w:val="22"/>
        </w:rPr>
        <w:tab/>
      </w:r>
      <w:r w:rsidRPr="003C74C4">
        <w:rPr>
          <w:rFonts w:ascii="Calibri" w:hAnsi="Calibri"/>
          <w:b/>
          <w:bCs/>
          <w:sz w:val="22"/>
          <w:szCs w:val="22"/>
        </w:rPr>
        <w:t xml:space="preserve">Covid-19 </w:t>
      </w:r>
    </w:p>
    <w:p w14:paraId="271482ED" w14:textId="77777777" w:rsidR="003C74C4" w:rsidRPr="003C74C4" w:rsidRDefault="003C74C4" w:rsidP="003C74C4">
      <w:pPr>
        <w:ind w:left="709" w:hanging="709"/>
        <w:jc w:val="both"/>
        <w:rPr>
          <w:rFonts w:ascii="Calibri" w:hAnsi="Calibri"/>
          <w:sz w:val="22"/>
          <w:szCs w:val="22"/>
        </w:rPr>
      </w:pPr>
    </w:p>
    <w:p w14:paraId="4BFD8D3D" w14:textId="38803313" w:rsidR="003C74C4" w:rsidRPr="003C74C4" w:rsidRDefault="003C74C4" w:rsidP="003C74C4">
      <w:pPr>
        <w:ind w:left="709" w:hanging="709"/>
        <w:jc w:val="both"/>
        <w:rPr>
          <w:rFonts w:ascii="Calibri" w:hAnsi="Calibri"/>
          <w:sz w:val="22"/>
          <w:szCs w:val="22"/>
          <w:lang w:eastAsia="en-GB"/>
        </w:rPr>
      </w:pPr>
      <w:r w:rsidRPr="003C74C4">
        <w:rPr>
          <w:rFonts w:ascii="Calibri" w:hAnsi="Calibri"/>
          <w:sz w:val="22"/>
          <w:szCs w:val="22"/>
        </w:rPr>
        <w:t>8.1</w:t>
      </w:r>
      <w:r w:rsidR="000029AE">
        <w:rPr>
          <w:rFonts w:ascii="Calibri" w:hAnsi="Calibri"/>
          <w:sz w:val="22"/>
          <w:szCs w:val="22"/>
        </w:rPr>
        <w:t>7</w:t>
      </w:r>
      <w:r w:rsidRPr="003C74C4">
        <w:rPr>
          <w:rFonts w:ascii="Calibri" w:hAnsi="Calibri"/>
          <w:sz w:val="22"/>
          <w:szCs w:val="22"/>
        </w:rPr>
        <w:tab/>
      </w:r>
      <w:r w:rsidRPr="003C74C4">
        <w:rPr>
          <w:rFonts w:ascii="Calibri" w:hAnsi="Calibri"/>
          <w:sz w:val="22"/>
          <w:szCs w:val="22"/>
          <w:lang w:eastAsia="en-GB"/>
        </w:rPr>
        <w:t>Although Covid-19 slowed progress, SIAP continued to work remotely to complete the 2019/20 review, however Covid-19 had a significant impact on SIAP’s ability to commence work on the 2020/21 plan, due to the request to delay any work impacting on operational staff. Regular discussions took place between SIAP and Chief Finance Officers to review the plan and ensure it remained appropriate and relevant and to consider any changes needed to incorporate new risk areas arising from the challenges presented by Covid-19.</w:t>
      </w:r>
    </w:p>
    <w:p w14:paraId="2DAEEFF8" w14:textId="7DE6D54D" w:rsidR="00C5423F" w:rsidRPr="003B2596" w:rsidRDefault="00C5423F" w:rsidP="00C5423F">
      <w:pPr>
        <w:ind w:left="709" w:hanging="709"/>
        <w:jc w:val="both"/>
        <w:rPr>
          <w:rFonts w:ascii="Calibri" w:hAnsi="Calibri"/>
          <w:sz w:val="22"/>
          <w:szCs w:val="22"/>
        </w:rPr>
      </w:pPr>
    </w:p>
    <w:p w14:paraId="2B38B8F7" w14:textId="77777777" w:rsidR="00D835CC" w:rsidRPr="003B2596" w:rsidRDefault="00D835CC" w:rsidP="00D835CC">
      <w:pPr>
        <w:ind w:firstLine="720"/>
        <w:jc w:val="both"/>
        <w:outlineLvl w:val="0"/>
        <w:rPr>
          <w:b/>
          <w:sz w:val="22"/>
          <w:szCs w:val="22"/>
        </w:rPr>
      </w:pPr>
    </w:p>
    <w:p w14:paraId="3A1C943A" w14:textId="77777777" w:rsidR="00D835CC" w:rsidRPr="003B2596" w:rsidRDefault="007A7597" w:rsidP="00D835CC">
      <w:pPr>
        <w:shd w:val="clear" w:color="auto" w:fill="0070C0"/>
        <w:tabs>
          <w:tab w:val="left" w:pos="709"/>
        </w:tabs>
        <w:jc w:val="both"/>
        <w:rPr>
          <w:rFonts w:ascii="Calibri" w:hAnsi="Calibri"/>
          <w:b/>
          <w:color w:val="FFFFFF"/>
          <w:sz w:val="22"/>
          <w:szCs w:val="22"/>
        </w:rPr>
      </w:pPr>
      <w:r w:rsidRPr="003B2596">
        <w:rPr>
          <w:rFonts w:ascii="Calibri" w:hAnsi="Calibri"/>
          <w:b/>
          <w:color w:val="FFFFFF"/>
          <w:sz w:val="22"/>
          <w:szCs w:val="22"/>
        </w:rPr>
        <w:t>9</w:t>
      </w:r>
      <w:r w:rsidR="00D835CC" w:rsidRPr="003B2596">
        <w:rPr>
          <w:rFonts w:ascii="Calibri" w:hAnsi="Calibri"/>
          <w:b/>
          <w:color w:val="FFFFFF"/>
          <w:sz w:val="22"/>
          <w:szCs w:val="22"/>
        </w:rPr>
        <w:t xml:space="preserve"> </w:t>
      </w:r>
      <w:r w:rsidR="00D835CC" w:rsidRPr="003B2596">
        <w:rPr>
          <w:rFonts w:ascii="Calibri" w:hAnsi="Calibri"/>
          <w:b/>
          <w:color w:val="FFFFFF"/>
          <w:sz w:val="22"/>
          <w:szCs w:val="22"/>
        </w:rPr>
        <w:tab/>
        <w:t>Certification</w:t>
      </w:r>
    </w:p>
    <w:p w14:paraId="756F4D42" w14:textId="77777777" w:rsidR="00D835CC" w:rsidRPr="003B2596" w:rsidRDefault="00D835CC" w:rsidP="00D835CC">
      <w:pPr>
        <w:jc w:val="both"/>
        <w:rPr>
          <w:rFonts w:ascii="Calibri" w:hAnsi="Calibri"/>
          <w:sz w:val="22"/>
          <w:szCs w:val="22"/>
        </w:rPr>
      </w:pPr>
    </w:p>
    <w:p w14:paraId="49F3D529" w14:textId="77777777" w:rsidR="008A6FEA" w:rsidRPr="003B2596" w:rsidRDefault="00D835CC" w:rsidP="00D835CC">
      <w:pPr>
        <w:jc w:val="both"/>
        <w:rPr>
          <w:rFonts w:ascii="Calibri" w:hAnsi="Calibri"/>
          <w:sz w:val="22"/>
          <w:szCs w:val="22"/>
        </w:rPr>
      </w:pPr>
      <w:r w:rsidRPr="003B2596">
        <w:rPr>
          <w:rFonts w:ascii="Calibri" w:hAnsi="Calibri"/>
          <w:sz w:val="22"/>
          <w:szCs w:val="22"/>
        </w:rPr>
        <w:t>This statement has been prepared on the basis of the review of effectiveness of governance arrangements. Advice and recommendations on the annual governance statement have been received from internal and external auditors and the JAC. It represents a fair and reasonable assessment of current arrangements and plans for improvement within Surrey Police.</w:t>
      </w:r>
      <w:r w:rsidR="00DA4E8D" w:rsidRPr="003B2596">
        <w:rPr>
          <w:rFonts w:ascii="Calibri" w:hAnsi="Calibri"/>
          <w:sz w:val="22"/>
          <w:szCs w:val="22"/>
        </w:rPr>
        <w:t xml:space="preserve"> </w:t>
      </w:r>
      <w:r w:rsidR="008A6FEA" w:rsidRPr="003B2596">
        <w:rPr>
          <w:rFonts w:ascii="Calibri" w:hAnsi="Calibri"/>
          <w:sz w:val="22"/>
          <w:szCs w:val="22"/>
        </w:rPr>
        <w:t>The arrangements continue to be regarded as fit for purpose in accordance with the governance framework.</w:t>
      </w:r>
    </w:p>
    <w:p w14:paraId="2A456D39" w14:textId="77777777" w:rsidR="008A6FEA" w:rsidRPr="003B2596" w:rsidRDefault="008A6FEA" w:rsidP="00D835CC">
      <w:pPr>
        <w:jc w:val="both"/>
        <w:rPr>
          <w:rFonts w:ascii="Calibri" w:hAnsi="Calibri"/>
          <w:sz w:val="22"/>
          <w:szCs w:val="22"/>
        </w:rPr>
      </w:pPr>
    </w:p>
    <w:p w14:paraId="447BE9B1" w14:textId="77777777" w:rsidR="00C5423F" w:rsidRPr="003B2596" w:rsidRDefault="00C5423F" w:rsidP="00D835CC">
      <w:pPr>
        <w:jc w:val="both"/>
        <w:rPr>
          <w:rFonts w:ascii="Calibri" w:hAnsi="Calibri"/>
          <w:sz w:val="22"/>
          <w:szCs w:val="22"/>
        </w:rPr>
      </w:pPr>
    </w:p>
    <w:p w14:paraId="60C0F7CD" w14:textId="34215FBA" w:rsidR="008512CC" w:rsidRPr="003B2596" w:rsidRDefault="008512CC" w:rsidP="00D835CC">
      <w:pPr>
        <w:jc w:val="both"/>
        <w:rPr>
          <w:rFonts w:ascii="Verdana" w:hAnsi="Verdana"/>
          <w:noProof/>
          <w:szCs w:val="20"/>
          <w:lang w:val="en-GB" w:eastAsia="en-GB"/>
        </w:rPr>
      </w:pPr>
    </w:p>
    <w:p w14:paraId="7F62331D" w14:textId="77777777" w:rsidR="003B2596" w:rsidRPr="003B2596" w:rsidRDefault="003B2596" w:rsidP="00D835CC">
      <w:pPr>
        <w:jc w:val="both"/>
        <w:rPr>
          <w:rFonts w:ascii="Verdana" w:hAnsi="Verdana"/>
          <w:noProof/>
          <w:szCs w:val="20"/>
          <w:lang w:val="en-GB" w:eastAsia="en-GB"/>
        </w:rPr>
      </w:pPr>
    </w:p>
    <w:p w14:paraId="2FE45853" w14:textId="77777777" w:rsidR="003B2596" w:rsidRPr="003C74C4" w:rsidRDefault="003B2596" w:rsidP="00D835CC">
      <w:pPr>
        <w:jc w:val="both"/>
        <w:rPr>
          <w:rFonts w:ascii="Calibri" w:hAnsi="Calibri"/>
          <w:sz w:val="22"/>
          <w:szCs w:val="22"/>
        </w:rPr>
      </w:pPr>
    </w:p>
    <w:p w14:paraId="65EF5EC5" w14:textId="77777777" w:rsidR="008A6FEA" w:rsidRPr="003C74C4" w:rsidRDefault="008A6FEA" w:rsidP="00D835CC">
      <w:pPr>
        <w:jc w:val="both"/>
        <w:rPr>
          <w:rFonts w:ascii="Calibri" w:hAnsi="Calibri"/>
          <w:sz w:val="22"/>
          <w:szCs w:val="22"/>
        </w:rPr>
      </w:pPr>
      <w:r w:rsidRPr="003C74C4">
        <w:rPr>
          <w:rFonts w:ascii="Calibri" w:hAnsi="Calibri"/>
          <w:b/>
          <w:sz w:val="22"/>
          <w:szCs w:val="22"/>
        </w:rPr>
        <w:t>Gavin Stephens</w:t>
      </w:r>
      <w:r w:rsidRPr="003C74C4">
        <w:rPr>
          <w:rFonts w:ascii="Calibri" w:hAnsi="Calibri"/>
          <w:sz w:val="22"/>
          <w:szCs w:val="22"/>
        </w:rPr>
        <w:t>, Chief Constable of Surrey</w:t>
      </w:r>
    </w:p>
    <w:p w14:paraId="2B13899A" w14:textId="77777777" w:rsidR="00F742F5" w:rsidRPr="00DC1077" w:rsidRDefault="00F742F5" w:rsidP="00D835CC">
      <w:pPr>
        <w:jc w:val="both"/>
        <w:rPr>
          <w:rFonts w:ascii="Calibri" w:hAnsi="Calibri"/>
          <w:sz w:val="22"/>
          <w:szCs w:val="22"/>
          <w:highlight w:val="yellow"/>
        </w:rPr>
      </w:pPr>
    </w:p>
    <w:p w14:paraId="2792B136" w14:textId="6E46FB3E" w:rsidR="008A6FEA" w:rsidRPr="00DC1077" w:rsidRDefault="00435DBD" w:rsidP="00D835CC">
      <w:pPr>
        <w:jc w:val="both"/>
        <w:rPr>
          <w:rFonts w:ascii="Calibri" w:hAnsi="Calibri"/>
          <w:sz w:val="22"/>
          <w:szCs w:val="22"/>
          <w:highlight w:val="yellow"/>
        </w:rPr>
      </w:pPr>
      <w:r w:rsidRPr="00DC1077">
        <w:rPr>
          <w:rFonts w:ascii="Calibri" w:hAnsi="Calibri"/>
          <w:sz w:val="22"/>
          <w:szCs w:val="22"/>
          <w:highlight w:val="yellow"/>
        </w:rPr>
        <w:t>Date:</w:t>
      </w:r>
      <w:r w:rsidR="00A17307" w:rsidRPr="00DC1077">
        <w:rPr>
          <w:rFonts w:ascii="Calibri" w:hAnsi="Calibri"/>
          <w:sz w:val="22"/>
          <w:szCs w:val="22"/>
          <w:highlight w:val="yellow"/>
        </w:rPr>
        <w:t xml:space="preserve"> 202</w:t>
      </w:r>
      <w:r w:rsidR="003B2596">
        <w:rPr>
          <w:rFonts w:ascii="Calibri" w:hAnsi="Calibri"/>
          <w:sz w:val="22"/>
          <w:szCs w:val="22"/>
          <w:highlight w:val="yellow"/>
        </w:rPr>
        <w:t>1</w:t>
      </w:r>
    </w:p>
    <w:p w14:paraId="41A53D68" w14:textId="77777777" w:rsidR="00DA4E8D" w:rsidRPr="00DC1077" w:rsidRDefault="00DA4E8D" w:rsidP="00D835CC">
      <w:pPr>
        <w:jc w:val="both"/>
        <w:rPr>
          <w:rFonts w:ascii="Calibri" w:hAnsi="Calibri"/>
          <w:sz w:val="22"/>
          <w:szCs w:val="22"/>
          <w:highlight w:val="yellow"/>
        </w:rPr>
      </w:pPr>
    </w:p>
    <w:p w14:paraId="7B31A1FC" w14:textId="77777777" w:rsidR="00C5423F" w:rsidRPr="00DC1077" w:rsidRDefault="00C5423F" w:rsidP="00D835CC">
      <w:pPr>
        <w:jc w:val="both"/>
        <w:rPr>
          <w:rFonts w:ascii="Calibri" w:hAnsi="Calibri"/>
          <w:sz w:val="22"/>
          <w:szCs w:val="22"/>
          <w:highlight w:val="yellow"/>
        </w:rPr>
      </w:pPr>
    </w:p>
    <w:p w14:paraId="3A202D45" w14:textId="77777777" w:rsidR="007A7597" w:rsidRPr="00DC1077" w:rsidRDefault="007A7597" w:rsidP="00D835CC">
      <w:pPr>
        <w:jc w:val="both"/>
        <w:rPr>
          <w:rFonts w:ascii="Calibri" w:hAnsi="Calibri"/>
          <w:sz w:val="22"/>
          <w:szCs w:val="22"/>
          <w:highlight w:val="yellow"/>
        </w:rPr>
      </w:pPr>
    </w:p>
    <w:p w14:paraId="7F75791E" w14:textId="77777777" w:rsidR="00C5423F" w:rsidRPr="00DC1077" w:rsidRDefault="00C5423F" w:rsidP="00D835CC">
      <w:pPr>
        <w:jc w:val="both"/>
        <w:rPr>
          <w:rFonts w:ascii="Calibri" w:hAnsi="Calibri"/>
          <w:sz w:val="22"/>
          <w:szCs w:val="22"/>
          <w:highlight w:val="yellow"/>
        </w:rPr>
      </w:pPr>
    </w:p>
    <w:p w14:paraId="58B477EC" w14:textId="77777777" w:rsidR="00C5423F" w:rsidRPr="00DC1077" w:rsidRDefault="00C5423F" w:rsidP="00D835CC">
      <w:pPr>
        <w:jc w:val="both"/>
        <w:rPr>
          <w:rFonts w:ascii="Calibri" w:hAnsi="Calibri"/>
          <w:sz w:val="22"/>
          <w:szCs w:val="22"/>
          <w:highlight w:val="yellow"/>
        </w:rPr>
      </w:pPr>
    </w:p>
    <w:p w14:paraId="1E6974AC" w14:textId="77777777" w:rsidR="00DA4E8D" w:rsidRPr="00DC1077" w:rsidRDefault="00DA4E8D" w:rsidP="00D835CC">
      <w:pPr>
        <w:jc w:val="both"/>
        <w:rPr>
          <w:rFonts w:ascii="Calibri" w:hAnsi="Calibri"/>
          <w:b/>
          <w:sz w:val="22"/>
          <w:szCs w:val="22"/>
          <w:highlight w:val="yellow"/>
        </w:rPr>
      </w:pPr>
    </w:p>
    <w:p w14:paraId="4EADBF74" w14:textId="77777777" w:rsidR="00DA4E8D" w:rsidRPr="00DC1077" w:rsidRDefault="00DA4E8D" w:rsidP="00D835CC">
      <w:pPr>
        <w:jc w:val="both"/>
        <w:rPr>
          <w:rFonts w:ascii="Calibri" w:hAnsi="Calibri"/>
          <w:sz w:val="22"/>
          <w:szCs w:val="22"/>
          <w:highlight w:val="yellow"/>
        </w:rPr>
      </w:pPr>
    </w:p>
    <w:p w14:paraId="7A969E3A" w14:textId="77777777" w:rsidR="00C5423F" w:rsidRPr="00DC1077" w:rsidRDefault="00C5423F" w:rsidP="00D835CC">
      <w:pPr>
        <w:jc w:val="both"/>
        <w:rPr>
          <w:rFonts w:ascii="Calibri" w:hAnsi="Calibri"/>
          <w:sz w:val="22"/>
          <w:szCs w:val="22"/>
          <w:highlight w:val="yellow"/>
        </w:rPr>
      </w:pPr>
    </w:p>
    <w:p w14:paraId="7F411625" w14:textId="77777777" w:rsidR="00C5423F" w:rsidRPr="00DC1077" w:rsidRDefault="00C5423F" w:rsidP="00D835CC">
      <w:pPr>
        <w:jc w:val="both"/>
        <w:rPr>
          <w:rFonts w:ascii="Calibri" w:hAnsi="Calibri"/>
          <w:sz w:val="22"/>
          <w:szCs w:val="22"/>
          <w:highlight w:val="yellow"/>
        </w:rPr>
      </w:pPr>
    </w:p>
    <w:p w14:paraId="7EFB8C0A" w14:textId="77777777" w:rsidR="007A7597" w:rsidRPr="00DC1077" w:rsidRDefault="007A7597" w:rsidP="00D835CC">
      <w:pPr>
        <w:jc w:val="both"/>
        <w:rPr>
          <w:rFonts w:ascii="Calibri" w:hAnsi="Calibri"/>
          <w:sz w:val="22"/>
          <w:szCs w:val="22"/>
          <w:highlight w:val="yellow"/>
        </w:rPr>
      </w:pPr>
    </w:p>
    <w:p w14:paraId="13384C8E" w14:textId="2309B772" w:rsidR="00C5423F" w:rsidRDefault="00C5423F" w:rsidP="00D835CC">
      <w:pPr>
        <w:jc w:val="both"/>
        <w:rPr>
          <w:noProof/>
          <w:highlight w:val="yellow"/>
          <w:lang w:val="en-GB" w:eastAsia="en-GB"/>
        </w:rPr>
      </w:pPr>
    </w:p>
    <w:p w14:paraId="46CF5E31" w14:textId="77777777" w:rsidR="003B2596" w:rsidRPr="00DC1077" w:rsidRDefault="003B2596" w:rsidP="00D835CC">
      <w:pPr>
        <w:jc w:val="both"/>
        <w:rPr>
          <w:rFonts w:ascii="Calibri" w:hAnsi="Calibri"/>
          <w:sz w:val="22"/>
          <w:szCs w:val="22"/>
          <w:highlight w:val="yellow"/>
        </w:rPr>
      </w:pPr>
    </w:p>
    <w:p w14:paraId="71DD8CDE" w14:textId="77777777" w:rsidR="00DA4E8D" w:rsidRPr="00DC1077" w:rsidRDefault="00DA4E8D" w:rsidP="00D835CC">
      <w:pPr>
        <w:jc w:val="both"/>
        <w:rPr>
          <w:rFonts w:ascii="Calibri" w:hAnsi="Calibri"/>
          <w:b/>
          <w:sz w:val="22"/>
          <w:szCs w:val="22"/>
          <w:highlight w:val="yellow"/>
        </w:rPr>
      </w:pPr>
    </w:p>
    <w:p w14:paraId="5B722412" w14:textId="77777777" w:rsidR="008A6FEA" w:rsidRPr="003C74C4" w:rsidRDefault="008A6FEA" w:rsidP="00D835CC">
      <w:pPr>
        <w:jc w:val="both"/>
        <w:rPr>
          <w:rFonts w:ascii="Calibri" w:hAnsi="Calibri"/>
          <w:sz w:val="22"/>
          <w:szCs w:val="22"/>
        </w:rPr>
      </w:pPr>
      <w:r w:rsidRPr="003C74C4">
        <w:rPr>
          <w:rFonts w:ascii="Calibri" w:hAnsi="Calibri"/>
          <w:b/>
          <w:sz w:val="22"/>
          <w:szCs w:val="22"/>
        </w:rPr>
        <w:t>Peter Gillett</w:t>
      </w:r>
      <w:r w:rsidRPr="003C74C4">
        <w:rPr>
          <w:rFonts w:ascii="Calibri" w:hAnsi="Calibri"/>
          <w:sz w:val="22"/>
          <w:szCs w:val="22"/>
        </w:rPr>
        <w:t>, Executive Director of Commercial and Finance Services,</w:t>
      </w:r>
      <w:r w:rsidR="00B60B19" w:rsidRPr="003C74C4">
        <w:rPr>
          <w:rFonts w:ascii="Calibri" w:hAnsi="Calibri"/>
          <w:sz w:val="22"/>
          <w:szCs w:val="22"/>
        </w:rPr>
        <w:t xml:space="preserve"> Chief Finance Officer to</w:t>
      </w:r>
      <w:r w:rsidRPr="003C74C4">
        <w:rPr>
          <w:rFonts w:ascii="Calibri" w:hAnsi="Calibri"/>
          <w:sz w:val="22"/>
          <w:szCs w:val="22"/>
        </w:rPr>
        <w:t xml:space="preserve"> The Chief Constable of Surrey</w:t>
      </w:r>
    </w:p>
    <w:p w14:paraId="44DEB775" w14:textId="77777777" w:rsidR="00F742F5" w:rsidRPr="003C74C4" w:rsidRDefault="00F742F5" w:rsidP="00D835CC">
      <w:pPr>
        <w:jc w:val="both"/>
        <w:rPr>
          <w:rFonts w:ascii="Calibri" w:hAnsi="Calibri"/>
          <w:sz w:val="22"/>
          <w:szCs w:val="22"/>
        </w:rPr>
      </w:pPr>
    </w:p>
    <w:p w14:paraId="2F30D314" w14:textId="5204F3CC" w:rsidR="008A6FEA" w:rsidRPr="00DC1077" w:rsidRDefault="00435DBD" w:rsidP="00D835CC">
      <w:pPr>
        <w:jc w:val="both"/>
        <w:rPr>
          <w:rFonts w:ascii="Calibri" w:hAnsi="Calibri"/>
          <w:sz w:val="22"/>
          <w:szCs w:val="22"/>
          <w:highlight w:val="yellow"/>
        </w:rPr>
      </w:pPr>
      <w:r w:rsidRPr="00DC1077">
        <w:rPr>
          <w:rFonts w:ascii="Calibri" w:hAnsi="Calibri"/>
          <w:sz w:val="22"/>
          <w:szCs w:val="22"/>
          <w:highlight w:val="yellow"/>
        </w:rPr>
        <w:t>Date:</w:t>
      </w:r>
      <w:r w:rsidR="00A17307" w:rsidRPr="00DC1077">
        <w:rPr>
          <w:rFonts w:ascii="Calibri" w:hAnsi="Calibri"/>
          <w:sz w:val="22"/>
          <w:szCs w:val="22"/>
          <w:highlight w:val="yellow"/>
        </w:rPr>
        <w:t xml:space="preserve"> 202</w:t>
      </w:r>
      <w:r w:rsidR="003B2596">
        <w:rPr>
          <w:rFonts w:ascii="Calibri" w:hAnsi="Calibri"/>
          <w:sz w:val="22"/>
          <w:szCs w:val="22"/>
          <w:highlight w:val="yellow"/>
        </w:rPr>
        <w:t>1</w:t>
      </w:r>
    </w:p>
    <w:p w14:paraId="7F1E7C5B" w14:textId="77777777" w:rsidR="00435DBD" w:rsidRPr="00DC1077" w:rsidRDefault="00435DBD" w:rsidP="00D835CC">
      <w:pPr>
        <w:jc w:val="both"/>
        <w:rPr>
          <w:rFonts w:ascii="Calibri" w:hAnsi="Calibri"/>
          <w:sz w:val="22"/>
          <w:szCs w:val="22"/>
          <w:highlight w:val="yellow"/>
        </w:rPr>
      </w:pPr>
    </w:p>
    <w:p w14:paraId="4F95A3F2" w14:textId="77777777" w:rsidR="00435DBD" w:rsidRPr="00DC1077" w:rsidRDefault="00435DBD" w:rsidP="00D835CC">
      <w:pPr>
        <w:jc w:val="both"/>
        <w:rPr>
          <w:rFonts w:ascii="Calibri" w:hAnsi="Calibri"/>
          <w:sz w:val="22"/>
          <w:szCs w:val="22"/>
          <w:highlight w:val="yellow"/>
        </w:rPr>
      </w:pPr>
    </w:p>
    <w:p w14:paraId="3ABF628A" w14:textId="77777777" w:rsidR="00435DBD" w:rsidRPr="003C74C4" w:rsidRDefault="00435DBD" w:rsidP="00D835CC">
      <w:pPr>
        <w:jc w:val="both"/>
        <w:rPr>
          <w:rFonts w:ascii="Calibri" w:hAnsi="Calibri"/>
          <w:sz w:val="22"/>
          <w:szCs w:val="22"/>
        </w:rPr>
      </w:pPr>
    </w:p>
    <w:p w14:paraId="5B3429FD" w14:textId="77777777" w:rsidR="008A6FEA" w:rsidRPr="003C74C4" w:rsidRDefault="008A6FEA" w:rsidP="00D835CC">
      <w:pPr>
        <w:jc w:val="both"/>
        <w:rPr>
          <w:rFonts w:ascii="Calibri" w:hAnsi="Calibri"/>
          <w:sz w:val="22"/>
          <w:szCs w:val="22"/>
        </w:rPr>
      </w:pPr>
      <w:r w:rsidRPr="003C74C4">
        <w:rPr>
          <w:rFonts w:ascii="Calibri" w:hAnsi="Calibri"/>
          <w:sz w:val="22"/>
          <w:szCs w:val="22"/>
        </w:rPr>
        <w:t xml:space="preserve">Contact details: </w:t>
      </w:r>
    </w:p>
    <w:p w14:paraId="7B3BB14A" w14:textId="77777777" w:rsidR="008A6FEA" w:rsidRPr="003C74C4" w:rsidRDefault="008A6FEA" w:rsidP="00D835CC">
      <w:pPr>
        <w:jc w:val="both"/>
        <w:rPr>
          <w:rFonts w:ascii="Calibri" w:hAnsi="Calibri"/>
          <w:sz w:val="22"/>
          <w:szCs w:val="22"/>
        </w:rPr>
      </w:pPr>
      <w:r w:rsidRPr="003C74C4">
        <w:rPr>
          <w:rFonts w:ascii="Calibri" w:hAnsi="Calibri"/>
          <w:sz w:val="22"/>
          <w:szCs w:val="22"/>
        </w:rPr>
        <w:t>Peter Gillett, Executive Director of Commercial and Finance Services</w:t>
      </w:r>
      <w:r w:rsidR="008C239A" w:rsidRPr="003C74C4">
        <w:rPr>
          <w:rFonts w:ascii="Calibri" w:hAnsi="Calibri"/>
          <w:sz w:val="22"/>
          <w:szCs w:val="22"/>
        </w:rPr>
        <w:t xml:space="preserve"> and Chief Finance Officer to the Chief Constable of Surrey</w:t>
      </w:r>
    </w:p>
    <w:p w14:paraId="3C0D50AE" w14:textId="77777777" w:rsidR="008A6FEA" w:rsidRPr="003C74C4" w:rsidRDefault="0073748E" w:rsidP="00D835CC">
      <w:pPr>
        <w:jc w:val="both"/>
        <w:rPr>
          <w:rFonts w:ascii="Calibri" w:hAnsi="Calibri"/>
          <w:sz w:val="22"/>
          <w:szCs w:val="22"/>
        </w:rPr>
      </w:pPr>
      <w:hyperlink r:id="rId18" w:history="1">
        <w:r w:rsidR="008A6FEA" w:rsidRPr="003C74C4">
          <w:rPr>
            <w:rStyle w:val="Hyperlink"/>
            <w:rFonts w:ascii="Calibri" w:hAnsi="Calibri"/>
            <w:sz w:val="22"/>
            <w:szCs w:val="22"/>
          </w:rPr>
          <w:t>Peter.Gillett@Surrey.pnn.police.uk</w:t>
        </w:r>
      </w:hyperlink>
    </w:p>
    <w:p w14:paraId="65DCF328" w14:textId="5A38C60C" w:rsidR="00D835CC" w:rsidRDefault="00D835CC" w:rsidP="00D835CC">
      <w:pPr>
        <w:pStyle w:val="NormalWeb1"/>
        <w:rPr>
          <w:rFonts w:ascii="Calibri" w:hAnsi="Calibri" w:cs="Arial"/>
          <w:b/>
          <w:sz w:val="22"/>
          <w:szCs w:val="22"/>
        </w:rPr>
      </w:pPr>
      <w:r w:rsidRPr="003C74C4">
        <w:rPr>
          <w:rFonts w:ascii="Calibri" w:hAnsi="Calibri" w:cs="Arial"/>
          <w:sz w:val="22"/>
          <w:szCs w:val="22"/>
        </w:rPr>
        <w:br w:type="page"/>
      </w:r>
      <w:r w:rsidRPr="00A324B5">
        <w:rPr>
          <w:rFonts w:ascii="Calibri" w:hAnsi="Calibri" w:cs="Arial"/>
          <w:b/>
          <w:sz w:val="22"/>
          <w:szCs w:val="22"/>
        </w:rPr>
        <w:t>Appendix A:  Areas for Improvement - Action Plan 202</w:t>
      </w:r>
      <w:r w:rsidR="00A324B5" w:rsidRPr="00A324B5">
        <w:rPr>
          <w:rFonts w:ascii="Calibri" w:hAnsi="Calibri" w:cs="Arial"/>
          <w:b/>
          <w:sz w:val="22"/>
          <w:szCs w:val="22"/>
        </w:rPr>
        <w:t>1</w:t>
      </w:r>
      <w:r w:rsidRPr="00A324B5">
        <w:rPr>
          <w:rFonts w:ascii="Calibri" w:hAnsi="Calibri" w:cs="Arial"/>
          <w:b/>
          <w:sz w:val="22"/>
          <w:szCs w:val="22"/>
        </w:rPr>
        <w:t>-202</w:t>
      </w:r>
      <w:r w:rsidR="00A324B5" w:rsidRPr="00A324B5">
        <w:rPr>
          <w:rFonts w:ascii="Calibri" w:hAnsi="Calibri" w:cs="Arial"/>
          <w:b/>
          <w:sz w:val="22"/>
          <w:szCs w:val="22"/>
        </w:rPr>
        <w:t>2</w:t>
      </w:r>
    </w:p>
    <w:p w14:paraId="75BF60AB" w14:textId="77777777" w:rsidR="00E73C9B" w:rsidRDefault="00E73C9B" w:rsidP="00D835CC">
      <w:pPr>
        <w:pStyle w:val="NormalWeb1"/>
        <w:rPr>
          <w:rFonts w:ascii="Calibri" w:hAnsi="Calibri" w:cs="Arial"/>
          <w:b/>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
        <w:gridCol w:w="6064"/>
        <w:gridCol w:w="1823"/>
        <w:gridCol w:w="2319"/>
      </w:tblGrid>
      <w:tr w:rsidR="004F65BF" w:rsidRPr="007679A9" w14:paraId="2199B6C6" w14:textId="77777777" w:rsidTr="00F5442C">
        <w:trPr>
          <w:jc w:val="center"/>
        </w:trPr>
        <w:tc>
          <w:tcPr>
            <w:tcW w:w="691" w:type="dxa"/>
            <w:shd w:val="clear" w:color="auto" w:fill="F2F2F2"/>
          </w:tcPr>
          <w:p w14:paraId="3DC4BE0A" w14:textId="77777777" w:rsidR="004F65BF" w:rsidRPr="007679A9" w:rsidRDefault="004F65BF" w:rsidP="00F5442C">
            <w:pPr>
              <w:spacing w:before="40" w:after="40" w:line="259" w:lineRule="auto"/>
              <w:jc w:val="center"/>
              <w:rPr>
                <w:rFonts w:ascii="Calibri" w:eastAsia="Calibri" w:hAnsi="Calibri"/>
                <w:b/>
                <w:i/>
                <w:color w:val="333333"/>
                <w:sz w:val="18"/>
                <w:szCs w:val="18"/>
              </w:rPr>
            </w:pPr>
            <w:r w:rsidRPr="007679A9">
              <w:rPr>
                <w:rFonts w:ascii="Calibri" w:eastAsia="Calibri" w:hAnsi="Calibri"/>
                <w:b/>
                <w:i/>
                <w:color w:val="333333"/>
                <w:sz w:val="18"/>
                <w:szCs w:val="18"/>
              </w:rPr>
              <w:t>Ref</w:t>
            </w:r>
          </w:p>
        </w:tc>
        <w:tc>
          <w:tcPr>
            <w:tcW w:w="6082" w:type="dxa"/>
            <w:gridSpan w:val="2"/>
            <w:shd w:val="clear" w:color="auto" w:fill="F2F2F2"/>
          </w:tcPr>
          <w:p w14:paraId="3FBB49F8" w14:textId="77777777" w:rsidR="004F65BF" w:rsidRPr="007679A9" w:rsidRDefault="004F65BF" w:rsidP="00F5442C">
            <w:pPr>
              <w:spacing w:before="40" w:after="40" w:line="259" w:lineRule="auto"/>
              <w:jc w:val="center"/>
              <w:rPr>
                <w:rFonts w:ascii="Calibri" w:eastAsia="Calibri" w:hAnsi="Calibri"/>
                <w:b/>
                <w:i/>
                <w:color w:val="333333"/>
              </w:rPr>
            </w:pPr>
            <w:r w:rsidRPr="007679A9">
              <w:rPr>
                <w:rFonts w:ascii="Calibri" w:eastAsia="Calibri" w:hAnsi="Calibri"/>
                <w:b/>
                <w:i/>
                <w:color w:val="333333"/>
              </w:rPr>
              <w:t>Area for improvement</w:t>
            </w:r>
          </w:p>
        </w:tc>
        <w:tc>
          <w:tcPr>
            <w:tcW w:w="1823" w:type="dxa"/>
            <w:shd w:val="clear" w:color="auto" w:fill="F2F2F2"/>
          </w:tcPr>
          <w:p w14:paraId="0F117BC0" w14:textId="77777777" w:rsidR="004F65BF" w:rsidRPr="007679A9" w:rsidRDefault="004F65BF" w:rsidP="00F5442C">
            <w:pPr>
              <w:spacing w:before="40" w:after="40" w:line="259" w:lineRule="auto"/>
              <w:jc w:val="center"/>
              <w:rPr>
                <w:rFonts w:ascii="Calibri" w:eastAsia="Calibri" w:hAnsi="Calibri"/>
                <w:b/>
                <w:i/>
                <w:color w:val="333333"/>
              </w:rPr>
            </w:pPr>
            <w:r w:rsidRPr="007679A9">
              <w:rPr>
                <w:rFonts w:ascii="Calibri" w:eastAsia="Calibri" w:hAnsi="Calibri"/>
                <w:b/>
                <w:i/>
                <w:color w:val="333333"/>
              </w:rPr>
              <w:t>Owner</w:t>
            </w:r>
          </w:p>
        </w:tc>
        <w:tc>
          <w:tcPr>
            <w:tcW w:w="2319" w:type="dxa"/>
            <w:shd w:val="clear" w:color="auto" w:fill="F2F2F2"/>
          </w:tcPr>
          <w:p w14:paraId="2CC52142" w14:textId="77777777" w:rsidR="004F65BF" w:rsidRPr="007679A9" w:rsidRDefault="004F65BF" w:rsidP="00F5442C">
            <w:pPr>
              <w:spacing w:before="40" w:after="40" w:line="259" w:lineRule="auto"/>
              <w:jc w:val="center"/>
              <w:rPr>
                <w:rFonts w:ascii="Calibri" w:eastAsia="Calibri" w:hAnsi="Calibri"/>
                <w:b/>
                <w:i/>
                <w:color w:val="333333"/>
              </w:rPr>
            </w:pPr>
            <w:r w:rsidRPr="007679A9">
              <w:rPr>
                <w:rFonts w:ascii="Calibri" w:eastAsia="Calibri" w:hAnsi="Calibri"/>
                <w:b/>
                <w:i/>
                <w:color w:val="333333"/>
              </w:rPr>
              <w:t>Completion Target dates</w:t>
            </w:r>
          </w:p>
        </w:tc>
      </w:tr>
      <w:tr w:rsidR="004F65BF" w:rsidRPr="003516A4" w14:paraId="6A8931E0" w14:textId="77777777" w:rsidTr="00F5442C">
        <w:trPr>
          <w:jc w:val="center"/>
        </w:trPr>
        <w:tc>
          <w:tcPr>
            <w:tcW w:w="10915" w:type="dxa"/>
            <w:gridSpan w:val="5"/>
            <w:shd w:val="clear" w:color="auto" w:fill="auto"/>
          </w:tcPr>
          <w:p w14:paraId="21057C95" w14:textId="77777777" w:rsidR="004F65BF" w:rsidRPr="007679A9" w:rsidRDefault="004F65BF" w:rsidP="00F5442C">
            <w:pPr>
              <w:spacing w:before="60" w:after="60"/>
              <w:rPr>
                <w:rFonts w:ascii="Calibri" w:eastAsia="Calibri" w:hAnsi="Calibri"/>
                <w:b/>
                <w:caps/>
              </w:rPr>
            </w:pPr>
            <w:r w:rsidRPr="007679A9">
              <w:rPr>
                <w:rFonts w:ascii="Calibri" w:eastAsia="Calibri" w:hAnsi="Calibri"/>
                <w:b/>
                <w:caps/>
              </w:rPr>
              <w:t>Issues carried over from 201</w:t>
            </w:r>
            <w:r>
              <w:rPr>
                <w:rFonts w:ascii="Calibri" w:eastAsia="Calibri" w:hAnsi="Calibri"/>
                <w:b/>
                <w:caps/>
              </w:rPr>
              <w:t>9</w:t>
            </w:r>
            <w:r w:rsidRPr="007679A9">
              <w:rPr>
                <w:rFonts w:ascii="Calibri" w:eastAsia="Calibri" w:hAnsi="Calibri"/>
                <w:b/>
                <w:caps/>
              </w:rPr>
              <w:t>-</w:t>
            </w:r>
            <w:r>
              <w:rPr>
                <w:rFonts w:ascii="Calibri" w:eastAsia="Calibri" w:hAnsi="Calibri"/>
                <w:b/>
                <w:caps/>
              </w:rPr>
              <w:t>20</w:t>
            </w:r>
            <w:r w:rsidRPr="007679A9">
              <w:rPr>
                <w:rFonts w:ascii="Calibri" w:eastAsia="Calibri" w:hAnsi="Calibri"/>
                <w:b/>
                <w:caps/>
              </w:rPr>
              <w:t xml:space="preserve"> AGS action plan</w:t>
            </w:r>
          </w:p>
        </w:tc>
      </w:tr>
      <w:tr w:rsidR="004F65BF" w:rsidRPr="003516A4" w14:paraId="797E42CB" w14:textId="77777777" w:rsidTr="00F5442C">
        <w:trPr>
          <w:trHeight w:val="1248"/>
          <w:jc w:val="center"/>
        </w:trPr>
        <w:tc>
          <w:tcPr>
            <w:tcW w:w="691" w:type="dxa"/>
            <w:shd w:val="clear" w:color="auto" w:fill="auto"/>
          </w:tcPr>
          <w:p w14:paraId="2C4B3EBC" w14:textId="77777777" w:rsidR="004F65BF" w:rsidRPr="007679A9" w:rsidRDefault="004F65BF" w:rsidP="00F5442C">
            <w:pPr>
              <w:spacing w:before="40" w:after="40"/>
              <w:jc w:val="center"/>
              <w:rPr>
                <w:rFonts w:ascii="Calibri" w:eastAsia="Calibri" w:hAnsi="Calibri"/>
                <w:sz w:val="18"/>
                <w:szCs w:val="18"/>
              </w:rPr>
            </w:pPr>
            <w:r w:rsidRPr="007679A9">
              <w:rPr>
                <w:rFonts w:ascii="Calibri" w:eastAsia="Calibri" w:hAnsi="Calibri"/>
                <w:sz w:val="18"/>
                <w:szCs w:val="18"/>
              </w:rPr>
              <w:t>1</w:t>
            </w:r>
          </w:p>
        </w:tc>
        <w:tc>
          <w:tcPr>
            <w:tcW w:w="6082" w:type="dxa"/>
            <w:gridSpan w:val="2"/>
            <w:shd w:val="clear" w:color="auto" w:fill="auto"/>
          </w:tcPr>
          <w:p w14:paraId="5DB27C66" w14:textId="77777777" w:rsidR="004F65BF" w:rsidRDefault="004F65BF" w:rsidP="00F5442C">
            <w:pPr>
              <w:spacing w:before="40" w:after="40"/>
              <w:rPr>
                <w:rFonts w:ascii="Calibri" w:hAnsi="Calibri"/>
                <w:sz w:val="18"/>
                <w:szCs w:val="18"/>
                <w:lang w:eastAsia="en-GB"/>
              </w:rPr>
            </w:pPr>
            <w:r w:rsidRPr="007679A9">
              <w:rPr>
                <w:rFonts w:ascii="Calibri" w:hAnsi="Calibri"/>
                <w:b/>
                <w:color w:val="002060"/>
                <w:sz w:val="18"/>
                <w:szCs w:val="18"/>
              </w:rPr>
              <w:t>Further improvements to financial reporting identified by the Executive Director Finance Commercial Services</w:t>
            </w:r>
            <w:r w:rsidRPr="007679A9">
              <w:rPr>
                <w:rFonts w:ascii="Calibri" w:hAnsi="Calibri"/>
                <w:color w:val="000000"/>
                <w:sz w:val="18"/>
                <w:szCs w:val="18"/>
              </w:rPr>
              <w:t xml:space="preserve"> – including improvements required in processes used by the joint Surrey/Sussex Management Accounting team, and enhanced frequency/content of external financial reporting agreed with the OSPCC CFO</w:t>
            </w:r>
            <w:r w:rsidRPr="007679A9">
              <w:rPr>
                <w:rFonts w:ascii="Calibri" w:hAnsi="Calibri"/>
                <w:sz w:val="18"/>
                <w:szCs w:val="18"/>
                <w:lang w:eastAsia="en-GB"/>
              </w:rPr>
              <w:t>.</w:t>
            </w:r>
          </w:p>
          <w:p w14:paraId="235B478C" w14:textId="77777777" w:rsidR="004F65BF" w:rsidRPr="007679A9" w:rsidRDefault="004F65BF" w:rsidP="00F5442C">
            <w:pPr>
              <w:spacing w:before="40" w:after="40"/>
              <w:rPr>
                <w:rFonts w:ascii="Calibri" w:hAnsi="Calibri"/>
                <w:sz w:val="18"/>
                <w:szCs w:val="18"/>
                <w:lang w:eastAsia="en-GB"/>
              </w:rPr>
            </w:pPr>
            <w:r>
              <w:rPr>
                <w:rFonts w:ascii="Calibri" w:hAnsi="Calibri"/>
                <w:sz w:val="18"/>
                <w:szCs w:val="18"/>
                <w:lang w:eastAsia="en-GB"/>
              </w:rPr>
              <w:t>The Finance collaboration restructure has been implemented with some redundancies due to professional qualification requirements which will in time increase service capability. This approach was endorsed by CIPFA as part of the new model and progression towards the 5* service and Achieving Finance Excellence in Policing (AEFP).</w:t>
            </w:r>
          </w:p>
        </w:tc>
        <w:tc>
          <w:tcPr>
            <w:tcW w:w="1823" w:type="dxa"/>
            <w:shd w:val="clear" w:color="auto" w:fill="auto"/>
          </w:tcPr>
          <w:p w14:paraId="7FD48E50" w14:textId="77777777" w:rsidR="004F65BF" w:rsidRPr="00063AD2" w:rsidRDefault="004F65BF" w:rsidP="00F5442C">
            <w:pPr>
              <w:spacing w:before="40" w:after="40"/>
              <w:rPr>
                <w:rFonts w:ascii="Calibri" w:eastAsia="Calibri" w:hAnsi="Calibri"/>
                <w:color w:val="333333"/>
                <w:sz w:val="18"/>
                <w:szCs w:val="18"/>
              </w:rPr>
            </w:pPr>
            <w:r w:rsidRPr="00063AD2">
              <w:rPr>
                <w:rFonts w:ascii="Calibri" w:hAnsi="Calibri"/>
                <w:sz w:val="18"/>
                <w:szCs w:val="18"/>
                <w:lang w:eastAsia="en-GB"/>
              </w:rPr>
              <w:t>Executive Director of Commercial and Finance</w:t>
            </w:r>
          </w:p>
          <w:p w14:paraId="186485B5" w14:textId="77777777" w:rsidR="004F65BF" w:rsidRPr="00063AD2" w:rsidRDefault="004F65BF" w:rsidP="00F5442C">
            <w:pPr>
              <w:spacing w:before="40" w:after="40"/>
              <w:rPr>
                <w:rFonts w:ascii="Calibri" w:eastAsia="Calibri" w:hAnsi="Calibri"/>
                <w:color w:val="333333"/>
                <w:sz w:val="18"/>
                <w:szCs w:val="18"/>
              </w:rPr>
            </w:pPr>
          </w:p>
        </w:tc>
        <w:tc>
          <w:tcPr>
            <w:tcW w:w="2319" w:type="dxa"/>
          </w:tcPr>
          <w:p w14:paraId="636A20EE" w14:textId="77777777" w:rsidR="004F65BF" w:rsidRPr="00063AD2" w:rsidRDefault="004F65BF" w:rsidP="00F5442C">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063AD2">
              <w:rPr>
                <w:rFonts w:ascii="Calibri" w:eastAsia="Calibri" w:hAnsi="Calibri"/>
                <w:sz w:val="18"/>
                <w:szCs w:val="18"/>
              </w:rPr>
              <w:t>31.03.22 ongoing as part of continuous improvement throughout 2021-22</w:t>
            </w:r>
          </w:p>
        </w:tc>
      </w:tr>
      <w:tr w:rsidR="004F65BF" w:rsidRPr="003516A4" w14:paraId="768ECA46" w14:textId="77777777" w:rsidTr="00F5442C">
        <w:trPr>
          <w:jc w:val="center"/>
        </w:trPr>
        <w:tc>
          <w:tcPr>
            <w:tcW w:w="691" w:type="dxa"/>
            <w:shd w:val="clear" w:color="auto" w:fill="auto"/>
          </w:tcPr>
          <w:p w14:paraId="7BD55B01" w14:textId="77777777" w:rsidR="004F65BF" w:rsidRPr="00887212" w:rsidRDefault="004F65BF" w:rsidP="00F5442C">
            <w:pPr>
              <w:spacing w:before="40" w:after="40"/>
              <w:jc w:val="center"/>
              <w:rPr>
                <w:rFonts w:ascii="Calibri" w:eastAsia="Calibri" w:hAnsi="Calibri"/>
                <w:sz w:val="18"/>
                <w:szCs w:val="18"/>
              </w:rPr>
            </w:pPr>
            <w:r w:rsidRPr="00887212">
              <w:rPr>
                <w:rFonts w:ascii="Calibri" w:eastAsia="Calibri" w:hAnsi="Calibri"/>
                <w:sz w:val="18"/>
                <w:szCs w:val="18"/>
              </w:rPr>
              <w:t>2</w:t>
            </w:r>
          </w:p>
        </w:tc>
        <w:tc>
          <w:tcPr>
            <w:tcW w:w="6082" w:type="dxa"/>
            <w:gridSpan w:val="2"/>
            <w:shd w:val="clear" w:color="auto" w:fill="auto"/>
          </w:tcPr>
          <w:p w14:paraId="43113FE8" w14:textId="77777777" w:rsidR="004F65BF" w:rsidRPr="00887212" w:rsidRDefault="004F65BF" w:rsidP="00F5442C">
            <w:pPr>
              <w:spacing w:before="40" w:after="40"/>
              <w:rPr>
                <w:rFonts w:ascii="Calibri" w:hAnsi="Calibri"/>
                <w:b/>
                <w:color w:val="002060"/>
                <w:sz w:val="18"/>
                <w:szCs w:val="18"/>
              </w:rPr>
            </w:pPr>
            <w:r w:rsidRPr="00887212">
              <w:rPr>
                <w:rFonts w:ascii="Calibri" w:hAnsi="Calibri"/>
                <w:b/>
                <w:color w:val="002060"/>
                <w:sz w:val="18"/>
                <w:szCs w:val="18"/>
              </w:rPr>
              <w:t>ERP Payroll Extra Costs – limited assurance internal audit opinion</w:t>
            </w:r>
          </w:p>
          <w:p w14:paraId="238D4B25" w14:textId="77777777" w:rsidR="004F65BF" w:rsidRPr="00887212" w:rsidRDefault="004F65BF" w:rsidP="00F5442C">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Lack of detailed definition and agreement of the costs to be included in any recharges could lead to dispute. Costs are not captured and recharged completely and accurately. Actions as set out in the report.</w:t>
            </w:r>
          </w:p>
          <w:p w14:paraId="2AC96A0F" w14:textId="77777777" w:rsidR="00CF527C" w:rsidRPr="00887212" w:rsidRDefault="00CF527C" w:rsidP="00F5442C">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p w14:paraId="07CD7B94" w14:textId="6D47020D" w:rsidR="00CF527C" w:rsidRPr="00887212" w:rsidRDefault="00CF527C" w:rsidP="00887212">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 xml:space="preserve">This </w:t>
            </w:r>
            <w:r w:rsidR="00887212" w:rsidRPr="00887212">
              <w:rPr>
                <w:rFonts w:ascii="Calibri" w:hAnsi="Calibri" w:cs="Times New Roman"/>
                <w:bCs/>
                <w:color w:val="000000"/>
                <w:sz w:val="18"/>
                <w:szCs w:val="18"/>
                <w:lang w:eastAsia="en-GB"/>
              </w:rPr>
              <w:t>internal audit action</w:t>
            </w:r>
            <w:r w:rsidRPr="00887212">
              <w:rPr>
                <w:rFonts w:ascii="Calibri" w:hAnsi="Calibri" w:cs="Times New Roman"/>
                <w:bCs/>
                <w:color w:val="000000"/>
                <w:sz w:val="18"/>
                <w:szCs w:val="18"/>
                <w:lang w:eastAsia="en-GB"/>
              </w:rPr>
              <w:t xml:space="preserve"> was therefore approved for retirement at Force ORB meetings in May 2021.</w:t>
            </w:r>
          </w:p>
        </w:tc>
        <w:tc>
          <w:tcPr>
            <w:tcW w:w="1823" w:type="dxa"/>
            <w:shd w:val="clear" w:color="auto" w:fill="auto"/>
          </w:tcPr>
          <w:p w14:paraId="710A9D80" w14:textId="77777777" w:rsidR="004F65BF" w:rsidRPr="00887212" w:rsidRDefault="004F65BF" w:rsidP="00F5442C">
            <w:pPr>
              <w:spacing w:before="40" w:after="40"/>
              <w:rPr>
                <w:rFonts w:ascii="Calibri" w:eastAsia="Calibri" w:hAnsi="Calibri"/>
                <w:sz w:val="18"/>
                <w:szCs w:val="18"/>
              </w:rPr>
            </w:pPr>
            <w:r w:rsidRPr="00887212">
              <w:rPr>
                <w:rFonts w:ascii="Calibri" w:eastAsia="Calibri" w:hAnsi="Calibri"/>
                <w:sz w:val="18"/>
                <w:szCs w:val="18"/>
              </w:rPr>
              <w:t xml:space="preserve"> Chief Digital and Information Officer</w:t>
            </w:r>
          </w:p>
        </w:tc>
        <w:tc>
          <w:tcPr>
            <w:tcW w:w="2319" w:type="dxa"/>
          </w:tcPr>
          <w:p w14:paraId="3F49354E" w14:textId="6B989466" w:rsidR="004F65BF" w:rsidRPr="00887212" w:rsidRDefault="00CF527C" w:rsidP="00CF527C">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887212">
              <w:rPr>
                <w:rFonts w:ascii="Calibri" w:eastAsia="Calibri" w:hAnsi="Calibri" w:cs="Calibri"/>
                <w:sz w:val="18"/>
                <w:szCs w:val="18"/>
              </w:rPr>
              <w:t>Action Retired</w:t>
            </w:r>
          </w:p>
        </w:tc>
      </w:tr>
      <w:tr w:rsidR="004F65BF" w:rsidRPr="003516A4" w14:paraId="77831C86" w14:textId="77777777" w:rsidTr="00F5442C">
        <w:trPr>
          <w:jc w:val="center"/>
        </w:trPr>
        <w:tc>
          <w:tcPr>
            <w:tcW w:w="691" w:type="dxa"/>
            <w:shd w:val="clear" w:color="auto" w:fill="auto"/>
          </w:tcPr>
          <w:p w14:paraId="5EF2D092" w14:textId="77777777" w:rsidR="004F65BF" w:rsidRPr="00887212" w:rsidRDefault="004F65BF" w:rsidP="00F5442C">
            <w:pPr>
              <w:spacing w:before="40" w:after="40"/>
              <w:jc w:val="center"/>
              <w:rPr>
                <w:rFonts w:ascii="Calibri" w:eastAsia="Calibri" w:hAnsi="Calibri"/>
                <w:sz w:val="18"/>
                <w:szCs w:val="18"/>
              </w:rPr>
            </w:pPr>
            <w:r w:rsidRPr="00887212">
              <w:rPr>
                <w:rFonts w:ascii="Calibri" w:eastAsia="Calibri" w:hAnsi="Calibri"/>
                <w:sz w:val="18"/>
                <w:szCs w:val="18"/>
              </w:rPr>
              <w:t>3</w:t>
            </w:r>
          </w:p>
        </w:tc>
        <w:tc>
          <w:tcPr>
            <w:tcW w:w="6082" w:type="dxa"/>
            <w:gridSpan w:val="2"/>
            <w:shd w:val="clear" w:color="auto" w:fill="auto"/>
          </w:tcPr>
          <w:p w14:paraId="243855AB" w14:textId="77777777" w:rsidR="004F65BF" w:rsidRPr="00887212" w:rsidRDefault="004F65BF" w:rsidP="00F5442C">
            <w:pPr>
              <w:spacing w:before="40" w:after="40"/>
              <w:rPr>
                <w:rFonts w:ascii="Calibri" w:eastAsia="Calibri" w:hAnsi="Calibri" w:cs="Times New Roman"/>
                <w:b/>
                <w:color w:val="1F3864"/>
                <w:sz w:val="18"/>
                <w:szCs w:val="18"/>
              </w:rPr>
            </w:pPr>
            <w:r w:rsidRPr="00887212">
              <w:rPr>
                <w:rFonts w:ascii="Calibri" w:eastAsia="Calibri" w:hAnsi="Calibri" w:cs="Times New Roman"/>
                <w:b/>
                <w:color w:val="1F3864"/>
                <w:sz w:val="18"/>
                <w:szCs w:val="18"/>
              </w:rPr>
              <w:t>ERP/EQUIP Programme</w:t>
            </w:r>
          </w:p>
          <w:p w14:paraId="7F0C420B" w14:textId="77777777" w:rsidR="004F65BF" w:rsidRPr="00887212" w:rsidRDefault="004F65BF" w:rsidP="00F5442C">
            <w:pPr>
              <w:spacing w:before="40" w:after="40"/>
              <w:rPr>
                <w:rFonts w:ascii="Calibri" w:eastAsia="Calibri" w:hAnsi="Calibri" w:cs="Times New Roman"/>
                <w:sz w:val="18"/>
                <w:szCs w:val="18"/>
              </w:rPr>
            </w:pPr>
            <w:r w:rsidRPr="00887212">
              <w:rPr>
                <w:rFonts w:ascii="Calibri" w:eastAsia="Calibri" w:hAnsi="Calibri" w:cs="Times New Roman"/>
                <w:sz w:val="18"/>
                <w:szCs w:val="18"/>
              </w:rPr>
              <w:t>The Equip Programme will proactively clear the outstanding actions from all previous audit/Gateway reviews and initiate further reviews at strategic points prior to go-live.</w:t>
            </w:r>
          </w:p>
          <w:p w14:paraId="203B58CA" w14:textId="582697F2" w:rsidR="00887212" w:rsidRPr="00887212" w:rsidRDefault="00887212" w:rsidP="00F5442C">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tc>
        <w:tc>
          <w:tcPr>
            <w:tcW w:w="1823" w:type="dxa"/>
            <w:shd w:val="clear" w:color="auto" w:fill="auto"/>
          </w:tcPr>
          <w:p w14:paraId="1FCA04CB" w14:textId="77777777" w:rsidR="004F65BF" w:rsidRPr="00887212" w:rsidRDefault="004F65BF" w:rsidP="00F5442C">
            <w:pPr>
              <w:spacing w:before="40" w:after="40"/>
              <w:rPr>
                <w:rFonts w:ascii="Calibri" w:eastAsia="Calibri" w:hAnsi="Calibri"/>
                <w:sz w:val="18"/>
                <w:szCs w:val="18"/>
              </w:rPr>
            </w:pPr>
            <w:r w:rsidRPr="00887212">
              <w:rPr>
                <w:rFonts w:ascii="Calibri" w:eastAsia="Calibri" w:hAnsi="Calibri"/>
                <w:sz w:val="18"/>
                <w:szCs w:val="18"/>
              </w:rPr>
              <w:t>Chief Digital and Information Officer</w:t>
            </w:r>
          </w:p>
        </w:tc>
        <w:tc>
          <w:tcPr>
            <w:tcW w:w="2319" w:type="dxa"/>
          </w:tcPr>
          <w:p w14:paraId="24269732" w14:textId="24878BD5" w:rsidR="004F65BF" w:rsidRPr="00887212" w:rsidRDefault="00887212" w:rsidP="00887212">
            <w:pPr>
              <w:spacing w:before="40" w:after="40"/>
              <w:jc w:val="center"/>
              <w:rPr>
                <w:rFonts w:ascii="Calibri" w:eastAsia="Calibri" w:hAnsi="Calibri"/>
                <w:sz w:val="18"/>
                <w:szCs w:val="18"/>
              </w:rPr>
            </w:pPr>
            <w:r w:rsidRPr="00887212">
              <w:rPr>
                <w:rFonts w:ascii="Calibri" w:eastAsia="Calibri" w:hAnsi="Calibri" w:cs="Calibri"/>
                <w:sz w:val="18"/>
                <w:szCs w:val="18"/>
              </w:rPr>
              <w:t>Action Retired</w:t>
            </w:r>
          </w:p>
        </w:tc>
      </w:tr>
      <w:tr w:rsidR="004F65BF" w:rsidRPr="003516A4" w14:paraId="10D5A3F3" w14:textId="77777777" w:rsidTr="00F5442C">
        <w:trPr>
          <w:jc w:val="center"/>
        </w:trPr>
        <w:tc>
          <w:tcPr>
            <w:tcW w:w="691" w:type="dxa"/>
            <w:shd w:val="clear" w:color="auto" w:fill="auto"/>
          </w:tcPr>
          <w:p w14:paraId="7BEA25D4" w14:textId="77777777" w:rsidR="004F65BF" w:rsidRPr="003516A4" w:rsidRDefault="004F65BF" w:rsidP="00F5442C">
            <w:pPr>
              <w:spacing w:before="40" w:after="40"/>
              <w:jc w:val="center"/>
              <w:rPr>
                <w:rFonts w:ascii="Calibri" w:eastAsia="Calibri" w:hAnsi="Calibri"/>
                <w:sz w:val="18"/>
                <w:szCs w:val="18"/>
                <w:highlight w:val="yellow"/>
              </w:rPr>
            </w:pPr>
          </w:p>
        </w:tc>
        <w:tc>
          <w:tcPr>
            <w:tcW w:w="6082" w:type="dxa"/>
            <w:gridSpan w:val="2"/>
            <w:shd w:val="clear" w:color="auto" w:fill="auto"/>
          </w:tcPr>
          <w:p w14:paraId="60BA3E9C" w14:textId="77777777" w:rsidR="004F65BF" w:rsidRPr="001D1CA8" w:rsidRDefault="004F65BF" w:rsidP="00F5442C">
            <w:pPr>
              <w:spacing w:before="40" w:after="40"/>
              <w:rPr>
                <w:rFonts w:ascii="Calibri" w:eastAsia="Calibri" w:hAnsi="Calibri" w:cs="Times New Roman"/>
                <w:sz w:val="18"/>
                <w:szCs w:val="18"/>
              </w:rPr>
            </w:pPr>
            <w:r w:rsidRPr="001D1CA8">
              <w:rPr>
                <w:rFonts w:ascii="Calibri" w:eastAsia="Calibri" w:hAnsi="Calibri" w:cs="Times New Roman"/>
                <w:b/>
                <w:color w:val="1F3864" w:themeColor="accent5" w:themeShade="80"/>
                <w:sz w:val="18"/>
                <w:szCs w:val="18"/>
              </w:rPr>
              <w:t>Uniform  and Small Assets</w:t>
            </w:r>
            <w:r w:rsidRPr="001D1CA8">
              <w:rPr>
                <w:rFonts w:ascii="Calibri" w:eastAsia="Calibri" w:hAnsi="Calibri" w:cs="Times New Roman"/>
                <w:color w:val="1F3864" w:themeColor="accent5" w:themeShade="80"/>
                <w:sz w:val="18"/>
                <w:szCs w:val="18"/>
              </w:rPr>
              <w:t xml:space="preserve"> </w:t>
            </w:r>
            <w:r w:rsidRPr="001D1CA8">
              <w:rPr>
                <w:rFonts w:ascii="Calibri" w:eastAsia="Calibri" w:hAnsi="Calibri" w:cs="Times New Roman"/>
                <w:sz w:val="18"/>
                <w:szCs w:val="18"/>
              </w:rPr>
              <w:t>– No assurance internal audit opinion (2018-19)</w:t>
            </w:r>
          </w:p>
          <w:p w14:paraId="6400C59B" w14:textId="77777777" w:rsidR="004F65BF" w:rsidRPr="001D1CA8" w:rsidRDefault="004F65BF" w:rsidP="00F5442C">
            <w:pPr>
              <w:spacing w:before="40" w:after="40"/>
              <w:rPr>
                <w:rFonts w:ascii="Calibri" w:eastAsia="Calibri" w:hAnsi="Calibri" w:cs="Times New Roman"/>
                <w:sz w:val="18"/>
                <w:szCs w:val="18"/>
              </w:rPr>
            </w:pPr>
            <w:r w:rsidRPr="001D1CA8">
              <w:rPr>
                <w:rFonts w:ascii="Calibri" w:eastAsia="Calibri" w:hAnsi="Calibri" w:cs="Times New Roman"/>
                <w:sz w:val="18"/>
                <w:szCs w:val="18"/>
              </w:rPr>
              <w:t>2 high, 3 medium management actions</w:t>
            </w:r>
          </w:p>
        </w:tc>
        <w:tc>
          <w:tcPr>
            <w:tcW w:w="1823" w:type="dxa"/>
            <w:shd w:val="clear" w:color="auto" w:fill="auto"/>
          </w:tcPr>
          <w:p w14:paraId="0CA9AA79" w14:textId="77777777" w:rsidR="004F65BF" w:rsidRPr="001D1CA8" w:rsidRDefault="004F65BF" w:rsidP="00F5442C">
            <w:pPr>
              <w:spacing w:before="40" w:after="40"/>
              <w:rPr>
                <w:rFonts w:ascii="Calibri" w:eastAsia="Calibri" w:hAnsi="Calibri"/>
                <w:sz w:val="18"/>
                <w:szCs w:val="18"/>
                <w:lang w:eastAsia="en-GB"/>
              </w:rPr>
            </w:pPr>
            <w:r w:rsidRPr="001D1CA8">
              <w:rPr>
                <w:rFonts w:ascii="Calibri" w:eastAsia="Calibri" w:hAnsi="Calibri"/>
                <w:sz w:val="18"/>
                <w:szCs w:val="18"/>
                <w:lang w:eastAsia="en-GB"/>
              </w:rPr>
              <w:t>Service Director, Estates &amp; Facilities</w:t>
            </w:r>
          </w:p>
        </w:tc>
        <w:tc>
          <w:tcPr>
            <w:tcW w:w="2319" w:type="dxa"/>
          </w:tcPr>
          <w:p w14:paraId="63FD8B4B" w14:textId="613C1AAF" w:rsidR="004F65BF" w:rsidRPr="001D1CA8" w:rsidRDefault="00887212" w:rsidP="00F5442C">
            <w:pPr>
              <w:spacing w:before="40" w:after="40"/>
              <w:jc w:val="center"/>
              <w:rPr>
                <w:rFonts w:ascii="Calibri" w:eastAsia="Calibri" w:hAnsi="Calibri" w:cs="Times New Roman"/>
                <w:sz w:val="18"/>
                <w:szCs w:val="18"/>
              </w:rPr>
            </w:pPr>
            <w:r w:rsidRPr="001D1CA8">
              <w:rPr>
                <w:rFonts w:ascii="Calibri" w:eastAsia="Calibri" w:hAnsi="Calibri"/>
                <w:sz w:val="18"/>
                <w:szCs w:val="18"/>
              </w:rPr>
              <w:t>Complete</w:t>
            </w:r>
          </w:p>
        </w:tc>
      </w:tr>
      <w:tr w:rsidR="004F65BF" w:rsidRPr="003516A4" w14:paraId="56A227EB" w14:textId="77777777" w:rsidTr="00F5442C">
        <w:trPr>
          <w:jc w:val="center"/>
        </w:trPr>
        <w:tc>
          <w:tcPr>
            <w:tcW w:w="10915" w:type="dxa"/>
            <w:gridSpan w:val="5"/>
            <w:shd w:val="clear" w:color="auto" w:fill="BDD6EE"/>
          </w:tcPr>
          <w:p w14:paraId="6EFF63BC" w14:textId="77777777" w:rsidR="004F65BF" w:rsidRPr="003516A4" w:rsidRDefault="004F65BF" w:rsidP="00F5442C">
            <w:pPr>
              <w:spacing w:before="40" w:after="40" w:line="252" w:lineRule="auto"/>
              <w:rPr>
                <w:rFonts w:ascii="Calibri" w:hAnsi="Calibri"/>
                <w:caps/>
                <w:sz w:val="18"/>
                <w:szCs w:val="18"/>
                <w:highlight w:val="yellow"/>
              </w:rPr>
            </w:pPr>
            <w:r w:rsidRPr="00267E2F">
              <w:rPr>
                <w:rFonts w:ascii="Calibri" w:eastAsia="Calibri" w:hAnsi="Calibri"/>
                <w:b/>
                <w:caps/>
              </w:rPr>
              <w:t xml:space="preserve">Issues </w:t>
            </w:r>
            <w:r>
              <w:rPr>
                <w:rFonts w:ascii="Calibri" w:eastAsia="Calibri" w:hAnsi="Calibri"/>
                <w:b/>
                <w:caps/>
              </w:rPr>
              <w:t>carried over</w:t>
            </w:r>
            <w:r w:rsidRPr="00267E2F">
              <w:rPr>
                <w:rFonts w:ascii="Calibri" w:eastAsia="Calibri" w:hAnsi="Calibri"/>
                <w:b/>
                <w:caps/>
              </w:rPr>
              <w:t xml:space="preserve"> from internal audit 2019-20</w:t>
            </w:r>
          </w:p>
        </w:tc>
      </w:tr>
      <w:tr w:rsidR="004F65BF" w:rsidRPr="003516A4" w14:paraId="044441E3" w14:textId="77777777" w:rsidTr="00F5442C">
        <w:trPr>
          <w:jc w:val="center"/>
        </w:trPr>
        <w:tc>
          <w:tcPr>
            <w:tcW w:w="709" w:type="dxa"/>
            <w:gridSpan w:val="2"/>
            <w:shd w:val="clear" w:color="auto" w:fill="auto"/>
          </w:tcPr>
          <w:p w14:paraId="25E24FB2" w14:textId="77777777" w:rsidR="004F65BF" w:rsidRPr="003516A4" w:rsidRDefault="004F65BF" w:rsidP="00F5442C">
            <w:pPr>
              <w:spacing w:before="40" w:after="40" w:line="259" w:lineRule="auto"/>
              <w:jc w:val="center"/>
              <w:rPr>
                <w:rFonts w:ascii="Calibri" w:eastAsia="Calibri" w:hAnsi="Calibri"/>
                <w:sz w:val="18"/>
                <w:szCs w:val="18"/>
                <w:highlight w:val="yellow"/>
              </w:rPr>
            </w:pPr>
          </w:p>
        </w:tc>
        <w:tc>
          <w:tcPr>
            <w:tcW w:w="6064" w:type="dxa"/>
            <w:shd w:val="clear" w:color="auto" w:fill="auto"/>
          </w:tcPr>
          <w:p w14:paraId="761813A9" w14:textId="77777777" w:rsidR="004F65BF" w:rsidRPr="00267E2F" w:rsidRDefault="004F65BF" w:rsidP="00F5442C">
            <w:pPr>
              <w:spacing w:before="40" w:after="40"/>
              <w:rPr>
                <w:rFonts w:ascii="Calibri" w:hAnsi="Calibri"/>
                <w:sz w:val="18"/>
                <w:szCs w:val="18"/>
              </w:rPr>
            </w:pPr>
            <w:r w:rsidRPr="00267E2F">
              <w:rPr>
                <w:rFonts w:ascii="Calibri" w:hAnsi="Calibri"/>
                <w:b/>
                <w:color w:val="002060"/>
                <w:sz w:val="18"/>
                <w:szCs w:val="18"/>
              </w:rPr>
              <w:t>IT – Resource Management – Limited Assurance</w:t>
            </w:r>
          </w:p>
          <w:p w14:paraId="14B73CD9" w14:textId="77777777" w:rsidR="004F65BF" w:rsidRPr="00267E2F" w:rsidRDefault="004F65BF" w:rsidP="00F5442C">
            <w:pPr>
              <w:spacing w:before="40" w:after="40"/>
              <w:rPr>
                <w:rFonts w:ascii="Calibri" w:hAnsi="Calibri"/>
                <w:sz w:val="18"/>
                <w:szCs w:val="18"/>
              </w:rPr>
            </w:pPr>
            <w:r w:rsidRPr="00267E2F">
              <w:rPr>
                <w:rFonts w:ascii="Calibri" w:hAnsi="Calibri"/>
                <w:sz w:val="18"/>
                <w:szCs w:val="18"/>
              </w:rPr>
              <w:t>15 high, 1 medium level management actions</w:t>
            </w:r>
          </w:p>
          <w:p w14:paraId="54A60D73" w14:textId="77777777" w:rsidR="004F65BF" w:rsidRPr="00267E2F" w:rsidRDefault="004F65BF" w:rsidP="00F5442C">
            <w:pPr>
              <w:spacing w:before="40" w:after="40"/>
              <w:rPr>
                <w:rFonts w:ascii="Calibri" w:hAnsi="Calibri"/>
                <w:b/>
                <w:color w:val="002060"/>
                <w:sz w:val="18"/>
                <w:szCs w:val="18"/>
              </w:rPr>
            </w:pPr>
            <w:r w:rsidRPr="00267E2F">
              <w:rPr>
                <w:rFonts w:ascii="Calibri" w:eastAsia="Calibri" w:hAnsi="Calibri" w:cs="Times New Roman"/>
                <w:sz w:val="18"/>
                <w:szCs w:val="18"/>
              </w:rPr>
              <w:t>Update May-21: 4 overdue actions remain open</w:t>
            </w:r>
          </w:p>
        </w:tc>
        <w:tc>
          <w:tcPr>
            <w:tcW w:w="1823" w:type="dxa"/>
            <w:shd w:val="clear" w:color="auto" w:fill="auto"/>
          </w:tcPr>
          <w:p w14:paraId="015ECC99" w14:textId="77777777" w:rsidR="004F65BF" w:rsidRPr="00267E2F"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p>
        </w:tc>
        <w:tc>
          <w:tcPr>
            <w:tcW w:w="2319" w:type="dxa"/>
          </w:tcPr>
          <w:p w14:paraId="2CDBB890" w14:textId="77777777" w:rsidR="004F65BF" w:rsidRPr="003516A4" w:rsidRDefault="004F65BF" w:rsidP="00F5442C">
            <w:pPr>
              <w:spacing w:before="40" w:after="40"/>
              <w:jc w:val="center"/>
              <w:rPr>
                <w:rFonts w:ascii="Calibri" w:hAnsi="Calibri"/>
                <w:sz w:val="18"/>
                <w:szCs w:val="18"/>
                <w:highlight w:val="yellow"/>
              </w:rPr>
            </w:pPr>
            <w:r>
              <w:rPr>
                <w:rFonts w:ascii="Calibri" w:hAnsi="Calibri"/>
                <w:sz w:val="18"/>
                <w:szCs w:val="18"/>
              </w:rPr>
              <w:t>Anticipated completion date: 30.06.21</w:t>
            </w:r>
          </w:p>
        </w:tc>
      </w:tr>
      <w:tr w:rsidR="004F65BF" w:rsidRPr="003516A4" w14:paraId="2AD34304" w14:textId="77777777" w:rsidTr="00F5442C">
        <w:trPr>
          <w:jc w:val="center"/>
        </w:trPr>
        <w:tc>
          <w:tcPr>
            <w:tcW w:w="709" w:type="dxa"/>
            <w:gridSpan w:val="2"/>
            <w:shd w:val="clear" w:color="auto" w:fill="auto"/>
          </w:tcPr>
          <w:p w14:paraId="49A04AB6" w14:textId="77777777" w:rsidR="004F65BF" w:rsidRPr="003516A4" w:rsidRDefault="004F65BF" w:rsidP="00F5442C">
            <w:pPr>
              <w:spacing w:before="40" w:after="40" w:line="259" w:lineRule="auto"/>
              <w:jc w:val="center"/>
              <w:rPr>
                <w:rFonts w:ascii="Calibri" w:eastAsia="Calibri" w:hAnsi="Calibri"/>
                <w:sz w:val="18"/>
                <w:szCs w:val="18"/>
                <w:highlight w:val="yellow"/>
              </w:rPr>
            </w:pPr>
          </w:p>
        </w:tc>
        <w:tc>
          <w:tcPr>
            <w:tcW w:w="6064" w:type="dxa"/>
            <w:shd w:val="clear" w:color="auto" w:fill="auto"/>
          </w:tcPr>
          <w:p w14:paraId="255F14E1" w14:textId="77777777" w:rsidR="004F65BF" w:rsidRPr="00267E2F" w:rsidRDefault="004F65BF" w:rsidP="00F5442C">
            <w:pPr>
              <w:spacing w:before="40" w:after="40"/>
              <w:rPr>
                <w:rFonts w:ascii="Calibri" w:hAnsi="Calibri"/>
                <w:sz w:val="18"/>
                <w:szCs w:val="18"/>
              </w:rPr>
            </w:pPr>
            <w:r w:rsidRPr="00267E2F">
              <w:rPr>
                <w:rFonts w:ascii="Calibri" w:hAnsi="Calibri"/>
                <w:b/>
                <w:color w:val="002060"/>
                <w:sz w:val="18"/>
                <w:szCs w:val="18"/>
              </w:rPr>
              <w:t>IT – Data Centre Facilities &amp; Security – Limited Assurance</w:t>
            </w:r>
          </w:p>
          <w:p w14:paraId="4BB0B4FC" w14:textId="77777777" w:rsidR="004F65BF" w:rsidRPr="00267E2F" w:rsidRDefault="004F65BF" w:rsidP="00F5442C">
            <w:pPr>
              <w:spacing w:before="40" w:after="40"/>
              <w:rPr>
                <w:rFonts w:ascii="Calibri" w:eastAsia="Calibri" w:hAnsi="Calibri" w:cs="Times New Roman"/>
                <w:sz w:val="18"/>
                <w:szCs w:val="18"/>
              </w:rPr>
            </w:pPr>
            <w:r w:rsidRPr="00267E2F">
              <w:rPr>
                <w:rFonts w:ascii="Calibri" w:eastAsia="Calibri" w:hAnsi="Calibri" w:cs="Times New Roman"/>
                <w:sz w:val="18"/>
                <w:szCs w:val="18"/>
              </w:rPr>
              <w:t>2 high, 2 medium, 4 low level management actions</w:t>
            </w:r>
          </w:p>
          <w:p w14:paraId="551BF8B1" w14:textId="77777777" w:rsidR="004F65BF" w:rsidRPr="00267E2F" w:rsidRDefault="004F65BF" w:rsidP="00F5442C">
            <w:pPr>
              <w:spacing w:before="40" w:after="40"/>
              <w:rPr>
                <w:rFonts w:ascii="Calibri" w:eastAsia="Calibri" w:hAnsi="Calibri" w:cs="Times New Roman"/>
                <w:sz w:val="18"/>
                <w:szCs w:val="18"/>
              </w:rPr>
            </w:pPr>
            <w:r>
              <w:rPr>
                <w:rFonts w:ascii="Calibri" w:eastAsia="Calibri" w:hAnsi="Calibri" w:cs="Times New Roman"/>
                <w:sz w:val="18"/>
                <w:szCs w:val="18"/>
              </w:rPr>
              <w:t>Update May-21: 1 overdue action remains open</w:t>
            </w:r>
          </w:p>
        </w:tc>
        <w:tc>
          <w:tcPr>
            <w:tcW w:w="1823" w:type="dxa"/>
            <w:shd w:val="clear" w:color="auto" w:fill="auto"/>
          </w:tcPr>
          <w:p w14:paraId="2D2093A4" w14:textId="77777777" w:rsidR="004F65BF" w:rsidRPr="00267E2F"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14:paraId="55CCBF49" w14:textId="77777777" w:rsidR="004F65BF" w:rsidRPr="003516A4" w:rsidRDefault="004F65BF" w:rsidP="00F5442C">
            <w:pPr>
              <w:spacing w:before="40" w:after="40"/>
              <w:jc w:val="center"/>
              <w:rPr>
                <w:rFonts w:ascii="Calibri" w:hAnsi="Calibri"/>
                <w:sz w:val="18"/>
                <w:szCs w:val="18"/>
                <w:highlight w:val="yellow"/>
              </w:rPr>
            </w:pPr>
            <w:r>
              <w:rPr>
                <w:rFonts w:ascii="Calibri" w:hAnsi="Calibri"/>
                <w:sz w:val="18"/>
                <w:szCs w:val="18"/>
              </w:rPr>
              <w:t>Anticipated completion date: 30.06.21</w:t>
            </w:r>
          </w:p>
        </w:tc>
      </w:tr>
      <w:tr w:rsidR="004F65BF" w:rsidRPr="003516A4" w14:paraId="3240E7ED" w14:textId="77777777" w:rsidTr="00F5442C">
        <w:trPr>
          <w:jc w:val="center"/>
        </w:trPr>
        <w:tc>
          <w:tcPr>
            <w:tcW w:w="709" w:type="dxa"/>
            <w:gridSpan w:val="2"/>
            <w:shd w:val="clear" w:color="auto" w:fill="auto"/>
          </w:tcPr>
          <w:p w14:paraId="05BEAEB9" w14:textId="77777777" w:rsidR="004F65BF" w:rsidRPr="003516A4" w:rsidRDefault="004F65BF" w:rsidP="00F5442C">
            <w:pPr>
              <w:spacing w:before="40" w:after="40" w:line="259" w:lineRule="auto"/>
              <w:jc w:val="center"/>
              <w:rPr>
                <w:rFonts w:ascii="Calibri" w:eastAsia="Calibri" w:hAnsi="Calibri"/>
                <w:sz w:val="18"/>
                <w:szCs w:val="18"/>
                <w:highlight w:val="yellow"/>
              </w:rPr>
            </w:pPr>
          </w:p>
        </w:tc>
        <w:tc>
          <w:tcPr>
            <w:tcW w:w="6064" w:type="dxa"/>
            <w:shd w:val="clear" w:color="auto" w:fill="auto"/>
          </w:tcPr>
          <w:p w14:paraId="7F41A082" w14:textId="77777777" w:rsidR="004F65BF" w:rsidRPr="00267E2F" w:rsidRDefault="004F65BF" w:rsidP="00F5442C">
            <w:pPr>
              <w:spacing w:before="40" w:after="40"/>
              <w:rPr>
                <w:rFonts w:ascii="Calibri" w:hAnsi="Calibri"/>
                <w:sz w:val="18"/>
                <w:szCs w:val="18"/>
              </w:rPr>
            </w:pPr>
            <w:r w:rsidRPr="00267E2F">
              <w:rPr>
                <w:rFonts w:ascii="Calibri" w:hAnsi="Calibri"/>
                <w:b/>
                <w:color w:val="002060"/>
                <w:sz w:val="18"/>
                <w:szCs w:val="18"/>
              </w:rPr>
              <w:t>IT – Data Storage and Backup – Limited Assurance</w:t>
            </w:r>
          </w:p>
          <w:p w14:paraId="13B78900" w14:textId="77777777" w:rsidR="004F65BF" w:rsidRPr="00267E2F" w:rsidRDefault="004F65BF" w:rsidP="00F5442C">
            <w:pPr>
              <w:spacing w:before="40" w:after="40"/>
              <w:rPr>
                <w:rFonts w:ascii="Calibri" w:eastAsia="Calibri" w:hAnsi="Calibri" w:cs="Times New Roman"/>
                <w:sz w:val="18"/>
                <w:szCs w:val="18"/>
              </w:rPr>
            </w:pPr>
            <w:r w:rsidRPr="00267E2F">
              <w:rPr>
                <w:rFonts w:ascii="Calibri" w:eastAsia="Calibri" w:hAnsi="Calibri" w:cs="Times New Roman"/>
                <w:sz w:val="18"/>
                <w:szCs w:val="18"/>
              </w:rPr>
              <w:t>5 high, 5 medium, 1 low level management actions</w:t>
            </w:r>
          </w:p>
          <w:p w14:paraId="030F7C87" w14:textId="77777777" w:rsidR="004F65BF" w:rsidRPr="00267E2F" w:rsidRDefault="004F65BF" w:rsidP="00F5442C">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shd w:val="clear" w:color="auto" w:fill="auto"/>
          </w:tcPr>
          <w:p w14:paraId="0428EB03" w14:textId="77777777" w:rsidR="004F65BF" w:rsidRPr="00267E2F"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14:paraId="30CC8CC3" w14:textId="77777777" w:rsidR="004F65BF" w:rsidRPr="00267E2F" w:rsidRDefault="004F65BF" w:rsidP="00F5442C">
            <w:pPr>
              <w:spacing w:before="40" w:after="40"/>
              <w:jc w:val="center"/>
              <w:rPr>
                <w:rFonts w:ascii="Calibri" w:hAnsi="Calibri"/>
                <w:sz w:val="18"/>
                <w:szCs w:val="18"/>
              </w:rPr>
            </w:pPr>
            <w:r>
              <w:rPr>
                <w:rFonts w:ascii="Calibri" w:hAnsi="Calibri"/>
                <w:sz w:val="18"/>
                <w:szCs w:val="18"/>
              </w:rPr>
              <w:t>Anticipated completion date: 30.06.21</w:t>
            </w:r>
          </w:p>
        </w:tc>
      </w:tr>
      <w:tr w:rsidR="004F65BF" w:rsidRPr="003516A4" w14:paraId="312C2F10" w14:textId="77777777" w:rsidTr="00F5442C">
        <w:trPr>
          <w:jc w:val="center"/>
        </w:trPr>
        <w:tc>
          <w:tcPr>
            <w:tcW w:w="709" w:type="dxa"/>
            <w:gridSpan w:val="2"/>
            <w:shd w:val="clear" w:color="auto" w:fill="auto"/>
          </w:tcPr>
          <w:p w14:paraId="7F0E4A8B" w14:textId="77777777" w:rsidR="004F65BF" w:rsidRPr="003516A4" w:rsidRDefault="004F65BF" w:rsidP="00F5442C">
            <w:pPr>
              <w:spacing w:before="40" w:after="40" w:line="259" w:lineRule="auto"/>
              <w:jc w:val="center"/>
              <w:rPr>
                <w:rFonts w:ascii="Calibri" w:eastAsia="Calibri" w:hAnsi="Calibri"/>
                <w:sz w:val="18"/>
                <w:szCs w:val="18"/>
                <w:highlight w:val="yellow"/>
              </w:rPr>
            </w:pPr>
          </w:p>
        </w:tc>
        <w:tc>
          <w:tcPr>
            <w:tcW w:w="6064" w:type="dxa"/>
            <w:shd w:val="clear" w:color="auto" w:fill="auto"/>
          </w:tcPr>
          <w:p w14:paraId="624EBE14" w14:textId="77777777" w:rsidR="004F65BF" w:rsidRPr="00267E2F" w:rsidRDefault="004F65BF" w:rsidP="00F5442C">
            <w:pPr>
              <w:spacing w:before="40" w:after="40"/>
              <w:rPr>
                <w:rFonts w:ascii="Calibri" w:hAnsi="Calibri"/>
                <w:sz w:val="18"/>
                <w:szCs w:val="18"/>
              </w:rPr>
            </w:pPr>
            <w:r w:rsidRPr="00267E2F">
              <w:rPr>
                <w:rFonts w:ascii="Calibri" w:hAnsi="Calibri"/>
                <w:b/>
                <w:color w:val="002060"/>
                <w:sz w:val="18"/>
                <w:szCs w:val="18"/>
              </w:rPr>
              <w:t>IT – Capacity and Performance Monitoring – Limited Assurance</w:t>
            </w:r>
          </w:p>
          <w:p w14:paraId="01DEE601" w14:textId="77777777" w:rsidR="004F65BF" w:rsidRPr="00267E2F" w:rsidRDefault="004F65BF" w:rsidP="00F5442C">
            <w:pPr>
              <w:spacing w:before="40" w:after="40"/>
              <w:rPr>
                <w:rFonts w:ascii="Calibri" w:eastAsia="Calibri" w:hAnsi="Calibri" w:cs="Times New Roman"/>
                <w:sz w:val="18"/>
                <w:szCs w:val="18"/>
              </w:rPr>
            </w:pPr>
            <w:r w:rsidRPr="00267E2F">
              <w:rPr>
                <w:rFonts w:ascii="Calibri" w:eastAsia="Calibri" w:hAnsi="Calibri" w:cs="Times New Roman"/>
                <w:sz w:val="18"/>
                <w:szCs w:val="18"/>
              </w:rPr>
              <w:t>1 high, 4 medium, 2 low level management actions</w:t>
            </w:r>
          </w:p>
          <w:p w14:paraId="5F2A5495" w14:textId="77777777" w:rsidR="004F65BF" w:rsidRPr="00267E2F" w:rsidRDefault="004F65BF" w:rsidP="00F5442C">
            <w:pPr>
              <w:spacing w:before="40" w:after="40"/>
              <w:rPr>
                <w:rFonts w:ascii="Calibri" w:eastAsia="Calibri" w:hAnsi="Calibri" w:cs="Times New Roman"/>
                <w:color w:val="FF0000"/>
                <w:sz w:val="18"/>
                <w:szCs w:val="18"/>
              </w:rPr>
            </w:pPr>
            <w:r w:rsidRPr="00267E2F">
              <w:rPr>
                <w:rFonts w:ascii="Calibri" w:eastAsia="Calibri" w:hAnsi="Calibri" w:cs="Times New Roman"/>
                <w:sz w:val="18"/>
                <w:szCs w:val="18"/>
              </w:rPr>
              <w:t>Update May-21</w:t>
            </w:r>
            <w:r>
              <w:rPr>
                <w:rFonts w:ascii="Calibri" w:eastAsia="Calibri" w:hAnsi="Calibri" w:cs="Times New Roman"/>
                <w:sz w:val="18"/>
                <w:szCs w:val="18"/>
              </w:rPr>
              <w:t>: 2 overdue actions plus 2 actions not yet due remain open</w:t>
            </w:r>
          </w:p>
        </w:tc>
        <w:tc>
          <w:tcPr>
            <w:tcW w:w="1823" w:type="dxa"/>
            <w:shd w:val="clear" w:color="auto" w:fill="auto"/>
          </w:tcPr>
          <w:p w14:paraId="75FBB603" w14:textId="77777777" w:rsidR="004F65BF" w:rsidRPr="00267E2F"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14:paraId="548298C9" w14:textId="77777777" w:rsidR="004F65BF" w:rsidRPr="00267E2F" w:rsidRDefault="004F65BF" w:rsidP="00F5442C">
            <w:pPr>
              <w:spacing w:before="40" w:after="40"/>
              <w:jc w:val="center"/>
              <w:rPr>
                <w:rFonts w:ascii="Calibri" w:hAnsi="Calibri"/>
                <w:sz w:val="18"/>
                <w:szCs w:val="18"/>
              </w:rPr>
            </w:pPr>
            <w:r>
              <w:rPr>
                <w:rFonts w:ascii="Calibri" w:hAnsi="Calibri"/>
                <w:sz w:val="18"/>
                <w:szCs w:val="18"/>
              </w:rPr>
              <w:t>Anticipated completion date: 31.12.21</w:t>
            </w:r>
          </w:p>
        </w:tc>
      </w:tr>
      <w:tr w:rsidR="004F65BF" w:rsidRPr="003516A4" w14:paraId="262BDD4D" w14:textId="77777777" w:rsidTr="00F5442C">
        <w:trPr>
          <w:jc w:val="center"/>
        </w:trPr>
        <w:tc>
          <w:tcPr>
            <w:tcW w:w="709" w:type="dxa"/>
            <w:gridSpan w:val="2"/>
            <w:shd w:val="clear" w:color="auto" w:fill="auto"/>
          </w:tcPr>
          <w:p w14:paraId="07163CB4" w14:textId="77777777" w:rsidR="004F65BF" w:rsidRPr="003516A4" w:rsidRDefault="004F65BF" w:rsidP="00F5442C">
            <w:pPr>
              <w:spacing w:before="40" w:after="40" w:line="259" w:lineRule="auto"/>
              <w:jc w:val="center"/>
              <w:rPr>
                <w:rFonts w:ascii="Calibri" w:eastAsia="Calibri" w:hAnsi="Calibri"/>
                <w:sz w:val="18"/>
                <w:szCs w:val="18"/>
                <w:highlight w:val="yellow"/>
              </w:rPr>
            </w:pPr>
          </w:p>
        </w:tc>
        <w:tc>
          <w:tcPr>
            <w:tcW w:w="6064" w:type="dxa"/>
            <w:shd w:val="clear" w:color="auto" w:fill="auto"/>
          </w:tcPr>
          <w:p w14:paraId="7B23683B" w14:textId="77777777" w:rsidR="004F65BF" w:rsidRPr="00567832" w:rsidRDefault="004F65BF" w:rsidP="00F5442C">
            <w:pPr>
              <w:spacing w:before="40" w:after="40"/>
              <w:rPr>
                <w:rFonts w:ascii="Calibri" w:hAnsi="Calibri"/>
                <w:sz w:val="18"/>
                <w:szCs w:val="18"/>
              </w:rPr>
            </w:pPr>
            <w:r w:rsidRPr="00567832">
              <w:rPr>
                <w:rFonts w:ascii="Calibri" w:hAnsi="Calibri"/>
                <w:b/>
                <w:color w:val="002060"/>
                <w:sz w:val="18"/>
                <w:szCs w:val="18"/>
              </w:rPr>
              <w:t>IT – Commercial Unit – Limited Assurance</w:t>
            </w:r>
          </w:p>
          <w:p w14:paraId="18628B09" w14:textId="77777777" w:rsidR="004F65BF" w:rsidRPr="00567832" w:rsidRDefault="004F65BF" w:rsidP="00F5442C">
            <w:pPr>
              <w:spacing w:before="40" w:after="40"/>
              <w:rPr>
                <w:rFonts w:ascii="Calibri" w:eastAsia="Calibri" w:hAnsi="Calibri" w:cs="Times New Roman"/>
                <w:sz w:val="18"/>
                <w:szCs w:val="18"/>
              </w:rPr>
            </w:pPr>
            <w:r w:rsidRPr="00567832">
              <w:rPr>
                <w:rFonts w:ascii="Calibri" w:eastAsia="Calibri" w:hAnsi="Calibri" w:cs="Times New Roman"/>
                <w:sz w:val="18"/>
                <w:szCs w:val="18"/>
              </w:rPr>
              <w:t>8 high, 6 medium level management actions</w:t>
            </w:r>
          </w:p>
          <w:p w14:paraId="177C8574" w14:textId="77777777" w:rsidR="004F65BF" w:rsidRPr="00567832" w:rsidRDefault="004F65BF" w:rsidP="00F5442C">
            <w:pPr>
              <w:spacing w:before="40" w:after="40"/>
              <w:rPr>
                <w:rFonts w:ascii="Calibri" w:hAnsi="Calibri"/>
                <w:b/>
                <w:color w:val="002060"/>
                <w:sz w:val="18"/>
                <w:szCs w:val="18"/>
              </w:rPr>
            </w:pPr>
            <w:r w:rsidRPr="00567832">
              <w:rPr>
                <w:rFonts w:ascii="Calibri" w:eastAsia="Calibri" w:hAnsi="Calibri" w:cs="Times New Roman"/>
                <w:sz w:val="18"/>
                <w:szCs w:val="18"/>
              </w:rPr>
              <w:t>Update May-21: 10 overdue actions remain open</w:t>
            </w:r>
          </w:p>
        </w:tc>
        <w:tc>
          <w:tcPr>
            <w:tcW w:w="1823" w:type="dxa"/>
            <w:shd w:val="clear" w:color="auto" w:fill="auto"/>
          </w:tcPr>
          <w:p w14:paraId="1F187AED" w14:textId="77777777" w:rsidR="004F65BF" w:rsidRPr="00567832"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67832">
              <w:rPr>
                <w:rFonts w:ascii="Calibri" w:eastAsia="Calibri" w:hAnsi="Calibri"/>
                <w:sz w:val="18"/>
                <w:szCs w:val="18"/>
              </w:rPr>
              <w:t>Chief Digital and Information Officer</w:t>
            </w:r>
            <w:r w:rsidRPr="00567832" w:rsidDel="0031071F">
              <w:rPr>
                <w:rFonts w:ascii="Calibri" w:eastAsia="Calibri" w:hAnsi="Calibri"/>
                <w:sz w:val="18"/>
                <w:szCs w:val="18"/>
              </w:rPr>
              <w:t xml:space="preserve"> </w:t>
            </w:r>
          </w:p>
        </w:tc>
        <w:tc>
          <w:tcPr>
            <w:tcW w:w="2319" w:type="dxa"/>
          </w:tcPr>
          <w:p w14:paraId="09308A07" w14:textId="77777777" w:rsidR="004F65BF" w:rsidRPr="00567832" w:rsidRDefault="004F65BF" w:rsidP="00F5442C">
            <w:pPr>
              <w:spacing w:before="40" w:after="40"/>
              <w:jc w:val="center"/>
              <w:rPr>
                <w:rFonts w:ascii="Calibri" w:hAnsi="Calibri"/>
                <w:sz w:val="18"/>
                <w:szCs w:val="18"/>
              </w:rPr>
            </w:pPr>
            <w:r w:rsidRPr="00567832">
              <w:rPr>
                <w:rFonts w:ascii="Calibri" w:hAnsi="Calibri"/>
                <w:sz w:val="18"/>
                <w:szCs w:val="18"/>
              </w:rPr>
              <w:t>Anticipated completion date: 30.06.21</w:t>
            </w:r>
          </w:p>
        </w:tc>
      </w:tr>
      <w:tr w:rsidR="004F65BF" w:rsidRPr="003516A4" w14:paraId="37051A1F" w14:textId="77777777" w:rsidTr="00F5442C">
        <w:trPr>
          <w:jc w:val="center"/>
        </w:trPr>
        <w:tc>
          <w:tcPr>
            <w:tcW w:w="709" w:type="dxa"/>
            <w:gridSpan w:val="2"/>
            <w:shd w:val="clear" w:color="auto" w:fill="auto"/>
          </w:tcPr>
          <w:p w14:paraId="7BD593A2" w14:textId="77777777" w:rsidR="004F65BF" w:rsidRPr="003516A4" w:rsidRDefault="004F65BF" w:rsidP="00F5442C">
            <w:pPr>
              <w:spacing w:before="40" w:after="40" w:line="259" w:lineRule="auto"/>
              <w:jc w:val="center"/>
              <w:rPr>
                <w:rFonts w:ascii="Calibri" w:eastAsia="Calibri" w:hAnsi="Calibri"/>
                <w:sz w:val="18"/>
                <w:szCs w:val="18"/>
                <w:highlight w:val="yellow"/>
              </w:rPr>
            </w:pPr>
          </w:p>
        </w:tc>
        <w:tc>
          <w:tcPr>
            <w:tcW w:w="6064" w:type="dxa"/>
            <w:shd w:val="clear" w:color="auto" w:fill="auto"/>
          </w:tcPr>
          <w:p w14:paraId="4B8DA4B0" w14:textId="77777777" w:rsidR="004F65BF" w:rsidRPr="00567832" w:rsidRDefault="004F65BF" w:rsidP="00F5442C">
            <w:pPr>
              <w:spacing w:before="40" w:after="40"/>
              <w:rPr>
                <w:rFonts w:ascii="Calibri" w:hAnsi="Calibri"/>
                <w:b/>
                <w:color w:val="002060"/>
                <w:sz w:val="18"/>
                <w:szCs w:val="18"/>
              </w:rPr>
            </w:pPr>
            <w:r w:rsidRPr="00567832">
              <w:rPr>
                <w:rFonts w:ascii="Calibri" w:hAnsi="Calibri"/>
                <w:b/>
                <w:color w:val="002060"/>
                <w:sz w:val="18"/>
                <w:szCs w:val="18"/>
              </w:rPr>
              <w:t>IT- Cyber Security – Limited Assurance</w:t>
            </w:r>
          </w:p>
          <w:p w14:paraId="13F3D114" w14:textId="77777777" w:rsidR="004F65BF" w:rsidRPr="00567832" w:rsidRDefault="004F65BF" w:rsidP="00F5442C">
            <w:pPr>
              <w:spacing w:before="40" w:after="40"/>
              <w:rPr>
                <w:rFonts w:ascii="Calibri" w:hAnsi="Calibri"/>
                <w:sz w:val="18"/>
                <w:szCs w:val="18"/>
              </w:rPr>
            </w:pPr>
            <w:r w:rsidRPr="00567832">
              <w:rPr>
                <w:rFonts w:ascii="Calibri" w:hAnsi="Calibri"/>
                <w:sz w:val="18"/>
                <w:szCs w:val="18"/>
              </w:rPr>
              <w:t xml:space="preserve">N.B.: Network Security &amp; Access Controls (Limited Assurance); Cyber Security (Adequate) </w:t>
            </w:r>
          </w:p>
          <w:p w14:paraId="0BA89747" w14:textId="77777777" w:rsidR="004F65BF" w:rsidRPr="00567832" w:rsidRDefault="004F65BF" w:rsidP="00F5442C">
            <w:pPr>
              <w:spacing w:before="40" w:after="40"/>
              <w:rPr>
                <w:rFonts w:ascii="Calibri" w:hAnsi="Calibri"/>
                <w:sz w:val="18"/>
                <w:szCs w:val="18"/>
              </w:rPr>
            </w:pPr>
            <w:r w:rsidRPr="00567832">
              <w:rPr>
                <w:rFonts w:ascii="Calibri" w:hAnsi="Calibri"/>
                <w:sz w:val="18"/>
                <w:szCs w:val="18"/>
              </w:rPr>
              <w:t>5 medium level management actions</w:t>
            </w:r>
          </w:p>
          <w:p w14:paraId="5DC03C4F" w14:textId="77777777" w:rsidR="004F65BF" w:rsidRPr="00567832" w:rsidRDefault="004F65BF" w:rsidP="00F5442C">
            <w:pPr>
              <w:spacing w:before="40" w:after="40"/>
              <w:rPr>
                <w:rFonts w:ascii="Calibri" w:hAnsi="Calibri"/>
                <w:b/>
                <w:color w:val="002060"/>
                <w:sz w:val="18"/>
                <w:szCs w:val="18"/>
              </w:rPr>
            </w:pPr>
            <w:r w:rsidRPr="00567832">
              <w:rPr>
                <w:rFonts w:ascii="Calibri" w:eastAsia="Calibri" w:hAnsi="Calibri" w:cs="Times New Roman"/>
                <w:sz w:val="18"/>
                <w:szCs w:val="18"/>
              </w:rPr>
              <w:t>Update May-21: 1 overdue action remains open</w:t>
            </w:r>
          </w:p>
        </w:tc>
        <w:tc>
          <w:tcPr>
            <w:tcW w:w="1823" w:type="dxa"/>
            <w:shd w:val="clear" w:color="auto" w:fill="auto"/>
          </w:tcPr>
          <w:p w14:paraId="32D68169" w14:textId="77777777" w:rsidR="004F65BF" w:rsidRPr="00567832"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67832">
              <w:rPr>
                <w:rFonts w:ascii="Calibri" w:eastAsia="Calibri" w:hAnsi="Calibri"/>
                <w:sz w:val="18"/>
                <w:szCs w:val="18"/>
              </w:rPr>
              <w:t>Chief Digital and Information Officer</w:t>
            </w:r>
            <w:r w:rsidRPr="00567832" w:rsidDel="0031071F">
              <w:rPr>
                <w:rFonts w:ascii="Calibri" w:eastAsia="Calibri" w:hAnsi="Calibri"/>
                <w:sz w:val="18"/>
                <w:szCs w:val="18"/>
              </w:rPr>
              <w:t xml:space="preserve"> </w:t>
            </w:r>
          </w:p>
        </w:tc>
        <w:tc>
          <w:tcPr>
            <w:tcW w:w="2319" w:type="dxa"/>
          </w:tcPr>
          <w:p w14:paraId="6A2F6365" w14:textId="77777777" w:rsidR="004F65BF" w:rsidRPr="00567832" w:rsidRDefault="004F65BF" w:rsidP="00F5442C">
            <w:pPr>
              <w:spacing w:before="40" w:after="40"/>
              <w:jc w:val="center"/>
              <w:rPr>
                <w:rFonts w:ascii="Calibri" w:hAnsi="Calibri"/>
                <w:sz w:val="18"/>
                <w:szCs w:val="18"/>
              </w:rPr>
            </w:pPr>
            <w:r w:rsidRPr="00567832">
              <w:rPr>
                <w:rFonts w:ascii="Calibri" w:hAnsi="Calibri"/>
                <w:sz w:val="18"/>
                <w:szCs w:val="18"/>
              </w:rPr>
              <w:t>Anticipated completion date: 30.06.21</w:t>
            </w:r>
          </w:p>
        </w:tc>
      </w:tr>
      <w:tr w:rsidR="004F65BF" w:rsidRPr="003516A4" w14:paraId="62A23058" w14:textId="77777777" w:rsidTr="00F5442C">
        <w:trPr>
          <w:jc w:val="center"/>
        </w:trPr>
        <w:tc>
          <w:tcPr>
            <w:tcW w:w="10915" w:type="dxa"/>
            <w:gridSpan w:val="5"/>
            <w:shd w:val="clear" w:color="auto" w:fill="BDD6EE"/>
          </w:tcPr>
          <w:p w14:paraId="59C7D779" w14:textId="77777777" w:rsidR="004F65BF" w:rsidRPr="003516A4" w:rsidRDefault="004F65BF" w:rsidP="00F5442C">
            <w:pPr>
              <w:spacing w:before="40" w:after="40"/>
              <w:rPr>
                <w:rFonts w:ascii="Calibri" w:eastAsia="Calibri" w:hAnsi="Calibri"/>
                <w:b/>
                <w:highlight w:val="yellow"/>
              </w:rPr>
            </w:pPr>
            <w:r w:rsidRPr="000B4470">
              <w:rPr>
                <w:rFonts w:ascii="Calibri" w:eastAsia="Calibri" w:hAnsi="Calibri"/>
                <w:b/>
                <w:caps/>
              </w:rPr>
              <w:t>ISSUES CARRIED OVER FROM 2019-20 AGS action plan</w:t>
            </w:r>
          </w:p>
        </w:tc>
      </w:tr>
      <w:tr w:rsidR="004F65BF" w:rsidRPr="003516A4" w14:paraId="40C679EF" w14:textId="77777777" w:rsidTr="00F5442C">
        <w:trPr>
          <w:jc w:val="center"/>
        </w:trPr>
        <w:tc>
          <w:tcPr>
            <w:tcW w:w="709" w:type="dxa"/>
            <w:gridSpan w:val="2"/>
            <w:shd w:val="clear" w:color="auto" w:fill="auto"/>
          </w:tcPr>
          <w:p w14:paraId="032595AF" w14:textId="77777777" w:rsidR="004F65BF" w:rsidRPr="003516A4" w:rsidRDefault="004F65BF" w:rsidP="00F5442C">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53EC1BC3" w14:textId="77777777" w:rsidR="004F65BF" w:rsidRPr="000B4470" w:rsidRDefault="004F65BF" w:rsidP="00F5442C">
            <w:pPr>
              <w:spacing w:before="40" w:after="40"/>
              <w:rPr>
                <w:rFonts w:ascii="Calibri" w:eastAsia="Calibri" w:hAnsi="Calibri" w:cs="Times New Roman"/>
                <w:b/>
                <w:color w:val="002060"/>
                <w:sz w:val="18"/>
                <w:szCs w:val="18"/>
              </w:rPr>
            </w:pPr>
            <w:r w:rsidRPr="000B4470">
              <w:rPr>
                <w:rFonts w:ascii="Calibri" w:eastAsia="Calibri" w:hAnsi="Calibri" w:cs="Times New Roman"/>
                <w:b/>
                <w:color w:val="002060"/>
                <w:sz w:val="18"/>
                <w:szCs w:val="18"/>
              </w:rPr>
              <w:t>Information Commissioner’s Office guidance regarding publication of information</w:t>
            </w:r>
          </w:p>
          <w:p w14:paraId="23F1E2BB" w14:textId="77777777" w:rsidR="004F65BF" w:rsidRDefault="004F65BF" w:rsidP="00F5442C">
            <w:pPr>
              <w:autoSpaceDE w:val="0"/>
              <w:autoSpaceDN w:val="0"/>
              <w:adjustRightInd w:val="0"/>
              <w:spacing w:before="40" w:after="40"/>
              <w:rPr>
                <w:rFonts w:ascii="Calibri" w:eastAsia="Calibri" w:hAnsi="Calibri" w:cs="Times New Roman"/>
                <w:sz w:val="18"/>
                <w:szCs w:val="18"/>
              </w:rPr>
            </w:pPr>
            <w:r w:rsidRPr="000B4470">
              <w:rPr>
                <w:rFonts w:ascii="Calibri" w:eastAsia="Calibri" w:hAnsi="Calibri" w:cs="Times New Roman"/>
                <w:sz w:val="18"/>
                <w:szCs w:val="18"/>
              </w:rPr>
              <w:t>Ensure force information published on Single On-line Home is compliant with ICO requirements</w:t>
            </w:r>
          </w:p>
          <w:p w14:paraId="1193F714" w14:textId="77777777" w:rsidR="004F65BF" w:rsidRPr="000B4470" w:rsidRDefault="004F65BF" w:rsidP="00F5442C">
            <w:pPr>
              <w:autoSpaceDE w:val="0"/>
              <w:autoSpaceDN w:val="0"/>
              <w:adjustRightInd w:val="0"/>
              <w:spacing w:before="40" w:after="40"/>
              <w:rPr>
                <w:rFonts w:ascii="Calibri" w:eastAsia="Calibri" w:hAnsi="Calibri"/>
                <w:b/>
                <w:sz w:val="18"/>
                <w:szCs w:val="18"/>
                <w:lang w:eastAsia="en-GB"/>
              </w:rPr>
            </w:pPr>
            <w:r>
              <w:rPr>
                <w:rFonts w:ascii="Calibri" w:eastAsia="Calibri" w:hAnsi="Calibri" w:cs="Times New Roman"/>
                <w:sz w:val="18"/>
                <w:szCs w:val="18"/>
              </w:rPr>
              <w:t>Review of information published by the force was compliant in all areas except in relation to publication of minutes for senior decision making committees.</w:t>
            </w:r>
          </w:p>
        </w:tc>
        <w:tc>
          <w:tcPr>
            <w:tcW w:w="1823" w:type="dxa"/>
            <w:shd w:val="clear" w:color="auto" w:fill="auto"/>
          </w:tcPr>
          <w:p w14:paraId="747A7741" w14:textId="77777777" w:rsidR="004F65BF" w:rsidRPr="000B4470"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0B4470">
              <w:rPr>
                <w:rFonts w:ascii="Calibri" w:eastAsia="Calibri" w:hAnsi="Calibri"/>
                <w:sz w:val="18"/>
                <w:szCs w:val="18"/>
              </w:rPr>
              <w:t>Chief Digital and Information Officer</w:t>
            </w:r>
            <w:r w:rsidRPr="000B4470" w:rsidDel="0031071F">
              <w:rPr>
                <w:rFonts w:ascii="Calibri" w:eastAsia="Calibri" w:hAnsi="Calibri"/>
                <w:sz w:val="18"/>
                <w:szCs w:val="18"/>
              </w:rPr>
              <w:t xml:space="preserve"> </w:t>
            </w:r>
            <w:r w:rsidRPr="000B4470">
              <w:rPr>
                <w:rFonts w:ascii="Calibri" w:eastAsia="Calibri" w:hAnsi="Calibri"/>
                <w:sz w:val="18"/>
                <w:szCs w:val="18"/>
              </w:rPr>
              <w:t>/</w:t>
            </w:r>
          </w:p>
          <w:p w14:paraId="193DF346" w14:textId="77777777" w:rsidR="004F65BF" w:rsidRPr="000B4470" w:rsidRDefault="004F65BF" w:rsidP="00F5442C">
            <w:pPr>
              <w:spacing w:before="40" w:after="40"/>
              <w:rPr>
                <w:rFonts w:ascii="Calibri" w:eastAsia="Calibri" w:hAnsi="Calibri"/>
                <w:color w:val="000000"/>
                <w:sz w:val="18"/>
                <w:szCs w:val="18"/>
              </w:rPr>
            </w:pPr>
            <w:r w:rsidRPr="000B4470">
              <w:rPr>
                <w:rFonts w:ascii="Calibri" w:eastAsia="Calibri" w:hAnsi="Calibri"/>
                <w:sz w:val="18"/>
                <w:szCs w:val="18"/>
              </w:rPr>
              <w:t>Force Information Manager</w:t>
            </w:r>
          </w:p>
        </w:tc>
        <w:tc>
          <w:tcPr>
            <w:tcW w:w="2319" w:type="dxa"/>
          </w:tcPr>
          <w:p w14:paraId="78AA853D" w14:textId="77777777" w:rsidR="004F65BF" w:rsidRPr="000B4470" w:rsidRDefault="004F65BF" w:rsidP="00F5442C">
            <w:pPr>
              <w:spacing w:before="40" w:after="40" w:line="254" w:lineRule="auto"/>
              <w:jc w:val="center"/>
              <w:rPr>
                <w:rFonts w:ascii="Calibri" w:hAnsi="Calibri"/>
                <w:sz w:val="18"/>
                <w:szCs w:val="18"/>
              </w:rPr>
            </w:pPr>
            <w:r>
              <w:rPr>
                <w:rFonts w:ascii="Calibri" w:hAnsi="Calibri"/>
                <w:sz w:val="18"/>
                <w:szCs w:val="18"/>
              </w:rPr>
              <w:t>Complete</w:t>
            </w:r>
          </w:p>
        </w:tc>
      </w:tr>
      <w:tr w:rsidR="004F65BF" w:rsidRPr="003516A4" w14:paraId="6BE7872B" w14:textId="77777777" w:rsidTr="00F5442C">
        <w:trPr>
          <w:jc w:val="center"/>
        </w:trPr>
        <w:tc>
          <w:tcPr>
            <w:tcW w:w="709" w:type="dxa"/>
            <w:gridSpan w:val="2"/>
            <w:shd w:val="clear" w:color="auto" w:fill="auto"/>
          </w:tcPr>
          <w:p w14:paraId="19409A92" w14:textId="77777777" w:rsidR="004F65BF" w:rsidRPr="003516A4" w:rsidRDefault="004F65BF" w:rsidP="00F5442C">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5E769739" w14:textId="77777777" w:rsidR="004F65BF" w:rsidRPr="000B4470" w:rsidRDefault="004F65BF" w:rsidP="00F5442C">
            <w:pPr>
              <w:spacing w:before="60" w:after="60" w:line="259" w:lineRule="auto"/>
              <w:rPr>
                <w:rFonts w:ascii="Calibri" w:eastAsia="Calibri" w:hAnsi="Calibri" w:cs="Times New Roman"/>
                <w:b/>
                <w:color w:val="002060"/>
                <w:sz w:val="18"/>
                <w:szCs w:val="18"/>
              </w:rPr>
            </w:pPr>
            <w:r w:rsidRPr="000B4470">
              <w:rPr>
                <w:rFonts w:ascii="Calibri" w:eastAsia="Calibri" w:hAnsi="Calibri" w:cs="Times New Roman"/>
                <w:b/>
                <w:color w:val="002060"/>
                <w:sz w:val="18"/>
                <w:szCs w:val="18"/>
              </w:rPr>
              <w:t>Information Sharing Agreements</w:t>
            </w:r>
          </w:p>
          <w:p w14:paraId="06944ACA" w14:textId="77777777" w:rsidR="004F65BF" w:rsidRDefault="004F65BF" w:rsidP="00F5442C">
            <w:pPr>
              <w:autoSpaceDE w:val="0"/>
              <w:autoSpaceDN w:val="0"/>
              <w:adjustRightInd w:val="0"/>
              <w:spacing w:before="40" w:after="40"/>
              <w:rPr>
                <w:rFonts w:ascii="Calibri" w:eastAsia="Calibri" w:hAnsi="Calibri" w:cs="FS Lola"/>
                <w:sz w:val="18"/>
                <w:szCs w:val="18"/>
                <w:lang w:eastAsia="en-GB"/>
              </w:rPr>
            </w:pPr>
            <w:r w:rsidRPr="000B4470">
              <w:rPr>
                <w:rFonts w:ascii="Calibri" w:eastAsia="Calibri" w:hAnsi="Calibri" w:cs="Times New Roman"/>
                <w:sz w:val="18"/>
                <w:szCs w:val="18"/>
              </w:rPr>
              <w:t>Process to be introduced to ensure ISAs are kept up to date</w:t>
            </w:r>
            <w:r w:rsidRPr="000B4470">
              <w:rPr>
                <w:rFonts w:ascii="Calibri" w:eastAsia="Calibri" w:hAnsi="Calibri" w:cs="FS Lola"/>
                <w:sz w:val="18"/>
                <w:szCs w:val="18"/>
                <w:lang w:eastAsia="en-GB"/>
              </w:rPr>
              <w:t xml:space="preserve"> within the resource envelope of the Information Management department.</w:t>
            </w:r>
          </w:p>
          <w:p w14:paraId="0205DC23" w14:textId="77777777" w:rsidR="004F65BF" w:rsidRDefault="004F65BF" w:rsidP="00F5442C">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Update May 2021 from Head of Information Management:</w:t>
            </w:r>
          </w:p>
          <w:p w14:paraId="35DAD965" w14:textId="77777777" w:rsidR="004F65BF" w:rsidRDefault="004F65BF" w:rsidP="00F5442C">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ISAs are still regularly reviewed but the process has been changed to reduce delays caused by waiting for partners to respond to review requirements. Reviewing the reporting spreadsheet also highlighted a potential misunderstanding by showing all ISAs that were both due for renewal and also in the process of being created. A change was made so they meet the criteria for 6 month review / Year 1 Police Signatory review / Year 2 Police Signatory review noting any changes in process / Year 3 Full Police and Agency review.</w:t>
            </w:r>
          </w:p>
          <w:p w14:paraId="27D2D7C1" w14:textId="77777777" w:rsidR="004F65BF" w:rsidRPr="000B4470" w:rsidRDefault="004F65BF" w:rsidP="00F5442C">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Actions to improve process have been completed but the action will continue to be tracked in 2021-22.</w:t>
            </w:r>
          </w:p>
        </w:tc>
        <w:tc>
          <w:tcPr>
            <w:tcW w:w="1823" w:type="dxa"/>
            <w:shd w:val="clear" w:color="auto" w:fill="auto"/>
          </w:tcPr>
          <w:p w14:paraId="5EABCC58" w14:textId="77777777" w:rsidR="004F65BF" w:rsidRPr="000B4470"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0B4470">
              <w:rPr>
                <w:rFonts w:ascii="Calibri" w:eastAsia="Calibri" w:hAnsi="Calibri"/>
                <w:sz w:val="18"/>
                <w:szCs w:val="18"/>
              </w:rPr>
              <w:t>Chief Digital and Information Officer</w:t>
            </w:r>
            <w:r w:rsidRPr="000B4470" w:rsidDel="0031071F">
              <w:rPr>
                <w:rFonts w:ascii="Calibri" w:eastAsia="Calibri" w:hAnsi="Calibri"/>
                <w:sz w:val="18"/>
                <w:szCs w:val="18"/>
              </w:rPr>
              <w:t xml:space="preserve"> </w:t>
            </w:r>
            <w:r w:rsidRPr="000B4470">
              <w:rPr>
                <w:rFonts w:ascii="Calibri" w:eastAsia="Calibri" w:hAnsi="Calibri"/>
                <w:sz w:val="18"/>
                <w:szCs w:val="18"/>
              </w:rPr>
              <w:t>/</w:t>
            </w:r>
          </w:p>
          <w:p w14:paraId="7FCB45E0" w14:textId="77777777" w:rsidR="004F65BF" w:rsidRPr="000B4470" w:rsidRDefault="004F65BF" w:rsidP="00F5442C">
            <w:pPr>
              <w:spacing w:before="40" w:after="40"/>
              <w:rPr>
                <w:rFonts w:ascii="Calibri" w:eastAsia="Calibri" w:hAnsi="Calibri"/>
                <w:color w:val="000000"/>
                <w:sz w:val="18"/>
                <w:szCs w:val="18"/>
              </w:rPr>
            </w:pPr>
            <w:r w:rsidRPr="000B4470">
              <w:rPr>
                <w:rFonts w:ascii="Calibri" w:eastAsia="Calibri" w:hAnsi="Calibri"/>
                <w:sz w:val="18"/>
                <w:szCs w:val="18"/>
              </w:rPr>
              <w:t>Force Information Manager</w:t>
            </w:r>
          </w:p>
        </w:tc>
        <w:tc>
          <w:tcPr>
            <w:tcW w:w="2319" w:type="dxa"/>
          </w:tcPr>
          <w:p w14:paraId="34449085" w14:textId="77777777" w:rsidR="004F65BF" w:rsidRDefault="004F65BF" w:rsidP="00F5442C">
            <w:pPr>
              <w:spacing w:before="40" w:after="40"/>
              <w:jc w:val="center"/>
              <w:rPr>
                <w:rFonts w:ascii="Calibri" w:eastAsia="Calibri" w:hAnsi="Calibri"/>
                <w:sz w:val="18"/>
                <w:szCs w:val="18"/>
              </w:rPr>
            </w:pPr>
            <w:r>
              <w:rPr>
                <w:rFonts w:ascii="Calibri" w:eastAsia="Calibri" w:hAnsi="Calibri"/>
                <w:sz w:val="18"/>
                <w:szCs w:val="18"/>
              </w:rPr>
              <w:t>31.12.22</w:t>
            </w:r>
          </w:p>
          <w:p w14:paraId="456918C1" w14:textId="77777777" w:rsidR="004F65BF" w:rsidRPr="000B4470" w:rsidRDefault="004F65BF" w:rsidP="00F5442C">
            <w:pPr>
              <w:spacing w:before="40" w:after="40"/>
              <w:jc w:val="center"/>
              <w:rPr>
                <w:rFonts w:ascii="Calibri" w:eastAsia="Calibri" w:hAnsi="Calibri"/>
                <w:sz w:val="18"/>
                <w:szCs w:val="18"/>
              </w:rPr>
            </w:pPr>
          </w:p>
        </w:tc>
      </w:tr>
      <w:tr w:rsidR="004F65BF" w:rsidRPr="003516A4" w14:paraId="0ABA26E0" w14:textId="77777777" w:rsidTr="00F5442C">
        <w:trPr>
          <w:jc w:val="center"/>
        </w:trPr>
        <w:tc>
          <w:tcPr>
            <w:tcW w:w="709" w:type="dxa"/>
            <w:gridSpan w:val="2"/>
            <w:shd w:val="clear" w:color="auto" w:fill="auto"/>
          </w:tcPr>
          <w:p w14:paraId="2C395B68" w14:textId="77777777" w:rsidR="004F65BF" w:rsidRPr="003516A4" w:rsidRDefault="004F65BF" w:rsidP="00F5442C">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2F747614" w14:textId="77777777" w:rsidR="004F65BF" w:rsidRPr="003516A4" w:rsidRDefault="004F65BF" w:rsidP="00F5442C">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Risk assurance mapping:</w:t>
            </w:r>
          </w:p>
          <w:p w14:paraId="21E2BA2E" w14:textId="77777777" w:rsidR="004F65BF" w:rsidRPr="003516A4" w:rsidRDefault="004F65BF" w:rsidP="00F5442C">
            <w:pPr>
              <w:spacing w:before="40" w:after="40"/>
              <w:rPr>
                <w:rFonts w:ascii="Calibri" w:eastAsia="Calibri" w:hAnsi="Calibri" w:cs="Times New Roman"/>
                <w:sz w:val="18"/>
                <w:szCs w:val="18"/>
                <w:highlight w:val="yellow"/>
              </w:rPr>
            </w:pPr>
            <w:r w:rsidRPr="003516A4">
              <w:rPr>
                <w:rFonts w:ascii="Calibri" w:eastAsia="Calibri" w:hAnsi="Calibri" w:cs="Times New Roman"/>
                <w:sz w:val="18"/>
                <w:szCs w:val="18"/>
                <w:highlight w:val="yellow"/>
              </w:rPr>
              <w:t>As proposed by Karen Shaw, Deputy Head of Southern Internal Audit Partnership – risk assurance mapping exercise to be undertaken in relation to strategic force risks building on from work undertaken re action 14 above in relation to mapping corporate governance arrangements.</w:t>
            </w:r>
          </w:p>
        </w:tc>
        <w:tc>
          <w:tcPr>
            <w:tcW w:w="1823" w:type="dxa"/>
            <w:shd w:val="clear" w:color="auto" w:fill="auto"/>
          </w:tcPr>
          <w:p w14:paraId="120D332E" w14:textId="77777777" w:rsidR="004F65BF" w:rsidRPr="003516A4"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Comme</w:t>
            </w:r>
            <w:r>
              <w:rPr>
                <w:rFonts w:ascii="Calibri" w:eastAsia="Calibri" w:hAnsi="Calibri"/>
                <w:sz w:val="18"/>
                <w:szCs w:val="18"/>
                <w:highlight w:val="yellow"/>
              </w:rPr>
              <w:t>rcial and Financial Services</w:t>
            </w:r>
          </w:p>
          <w:p w14:paraId="1F713598" w14:textId="77777777" w:rsidR="004F65BF" w:rsidRPr="003516A4" w:rsidRDefault="004F65BF" w:rsidP="00F5442C">
            <w:pPr>
              <w:spacing w:before="40" w:after="40"/>
              <w:rPr>
                <w:rFonts w:ascii="Calibri" w:eastAsia="Calibri" w:hAnsi="Calibri"/>
                <w:color w:val="000000"/>
                <w:sz w:val="18"/>
                <w:szCs w:val="18"/>
                <w:highlight w:val="yellow"/>
              </w:rPr>
            </w:pPr>
          </w:p>
        </w:tc>
        <w:tc>
          <w:tcPr>
            <w:tcW w:w="2319" w:type="dxa"/>
          </w:tcPr>
          <w:p w14:paraId="5521BF71" w14:textId="77777777" w:rsidR="004F65BF" w:rsidRPr="003516A4" w:rsidRDefault="004F65BF" w:rsidP="00F5442C">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02.09. 20 report to ORB</w:t>
            </w:r>
          </w:p>
        </w:tc>
      </w:tr>
      <w:tr w:rsidR="004F65BF" w:rsidRPr="003516A4" w14:paraId="7FA6E142" w14:textId="77777777" w:rsidTr="00F5442C">
        <w:trPr>
          <w:jc w:val="center"/>
        </w:trPr>
        <w:tc>
          <w:tcPr>
            <w:tcW w:w="709" w:type="dxa"/>
            <w:gridSpan w:val="2"/>
            <w:shd w:val="clear" w:color="auto" w:fill="auto"/>
          </w:tcPr>
          <w:p w14:paraId="2272042B" w14:textId="77777777" w:rsidR="004F65BF" w:rsidRPr="003516A4" w:rsidRDefault="004F65BF" w:rsidP="00F5442C">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0B16A038" w14:textId="77777777" w:rsidR="004F65BF" w:rsidRPr="003516A4" w:rsidRDefault="004F65BF" w:rsidP="00F5442C">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Covid-19</w:t>
            </w:r>
          </w:p>
          <w:p w14:paraId="7E0D3977" w14:textId="77777777" w:rsidR="004F65BF" w:rsidRPr="003516A4" w:rsidRDefault="004F65BF" w:rsidP="00F5442C">
            <w:pPr>
              <w:spacing w:before="40" w:after="40"/>
              <w:rPr>
                <w:rFonts w:ascii="Calibri" w:eastAsia="Calibri" w:hAnsi="Calibri" w:cs="Times New Roman"/>
                <w:sz w:val="18"/>
                <w:szCs w:val="18"/>
                <w:highlight w:val="yellow"/>
              </w:rPr>
            </w:pPr>
            <w:r w:rsidRPr="003516A4">
              <w:rPr>
                <w:rFonts w:ascii="Calibri" w:eastAsia="Calibri" w:hAnsi="Calibri" w:cs="Times New Roman"/>
                <w:sz w:val="18"/>
                <w:szCs w:val="18"/>
                <w:highlight w:val="yellow"/>
              </w:rPr>
              <w:t>Keep under review the impact of Covid-19 issues on Surrey Police and consider any governance issues arising.</w:t>
            </w:r>
          </w:p>
        </w:tc>
        <w:tc>
          <w:tcPr>
            <w:tcW w:w="1823" w:type="dxa"/>
            <w:shd w:val="clear" w:color="auto" w:fill="auto"/>
          </w:tcPr>
          <w:p w14:paraId="5C62821D" w14:textId="77777777" w:rsidR="004F65BF" w:rsidRPr="003516A4"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 xml:space="preserve">Deputy Chief Constable / </w:t>
            </w:r>
          </w:p>
          <w:p w14:paraId="4A26845A" w14:textId="77777777" w:rsidR="004F65BF" w:rsidRPr="003516A4"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of Commercial and Finance Services</w:t>
            </w:r>
          </w:p>
        </w:tc>
        <w:tc>
          <w:tcPr>
            <w:tcW w:w="2319" w:type="dxa"/>
          </w:tcPr>
          <w:p w14:paraId="42B0472A" w14:textId="77777777" w:rsidR="004F65BF" w:rsidRPr="003516A4" w:rsidRDefault="004F65BF" w:rsidP="00F5442C">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31.03.21</w:t>
            </w:r>
          </w:p>
        </w:tc>
      </w:tr>
      <w:tr w:rsidR="004F65BF" w:rsidRPr="003516A4" w14:paraId="5619D7AE" w14:textId="77777777" w:rsidTr="00F5442C">
        <w:trPr>
          <w:jc w:val="center"/>
        </w:trPr>
        <w:tc>
          <w:tcPr>
            <w:tcW w:w="709" w:type="dxa"/>
            <w:gridSpan w:val="2"/>
            <w:shd w:val="clear" w:color="auto" w:fill="auto"/>
          </w:tcPr>
          <w:p w14:paraId="401C9A5C" w14:textId="77777777" w:rsidR="004F65BF" w:rsidRPr="003516A4" w:rsidRDefault="004F65BF" w:rsidP="00F5442C">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245A9F27" w14:textId="77777777" w:rsidR="004F65BF" w:rsidRPr="003516A4" w:rsidRDefault="004F65BF" w:rsidP="00F5442C">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Covid-19</w:t>
            </w:r>
          </w:p>
          <w:p w14:paraId="43986BF1" w14:textId="77777777" w:rsidR="004F65BF" w:rsidRPr="003516A4" w:rsidRDefault="004F65BF" w:rsidP="00F5442C">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sz w:val="18"/>
                <w:szCs w:val="18"/>
                <w:highlight w:val="yellow"/>
              </w:rPr>
              <w:t>Undertake a lessons learned review from the Covid-19 response.</w:t>
            </w:r>
          </w:p>
        </w:tc>
        <w:tc>
          <w:tcPr>
            <w:tcW w:w="1823" w:type="dxa"/>
            <w:shd w:val="clear" w:color="auto" w:fill="auto"/>
          </w:tcPr>
          <w:p w14:paraId="4971CF0C" w14:textId="77777777" w:rsidR="004F65BF" w:rsidRPr="003516A4"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 xml:space="preserve">Deputy Chief Constable / </w:t>
            </w:r>
          </w:p>
          <w:p w14:paraId="2E20D8AD" w14:textId="77777777" w:rsidR="004F65BF" w:rsidRPr="003516A4"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of Commercial and Finance Services</w:t>
            </w:r>
          </w:p>
        </w:tc>
        <w:tc>
          <w:tcPr>
            <w:tcW w:w="2319" w:type="dxa"/>
          </w:tcPr>
          <w:p w14:paraId="3D252C1B" w14:textId="77777777" w:rsidR="004F65BF" w:rsidRPr="003516A4" w:rsidRDefault="004F65BF" w:rsidP="00F5442C">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31.03.21</w:t>
            </w:r>
          </w:p>
        </w:tc>
      </w:tr>
      <w:tr w:rsidR="004F65BF" w:rsidRPr="003516A4" w14:paraId="5A0342C0" w14:textId="77777777" w:rsidTr="00F5442C">
        <w:trPr>
          <w:jc w:val="center"/>
        </w:trPr>
        <w:tc>
          <w:tcPr>
            <w:tcW w:w="10915" w:type="dxa"/>
            <w:gridSpan w:val="5"/>
            <w:shd w:val="clear" w:color="auto" w:fill="BDD6EE" w:themeFill="accent1" w:themeFillTint="66"/>
          </w:tcPr>
          <w:p w14:paraId="3874202D" w14:textId="77777777" w:rsidR="004F65BF" w:rsidRPr="00C5655A" w:rsidRDefault="004F65BF" w:rsidP="00F5442C">
            <w:pPr>
              <w:spacing w:before="40" w:after="40"/>
              <w:rPr>
                <w:rFonts w:ascii="Calibri" w:eastAsia="Calibri" w:hAnsi="Calibri"/>
                <w:sz w:val="18"/>
                <w:szCs w:val="18"/>
              </w:rPr>
            </w:pPr>
            <w:r w:rsidRPr="00C5655A">
              <w:rPr>
                <w:rFonts w:ascii="Calibri" w:eastAsia="Calibri" w:hAnsi="Calibri"/>
                <w:b/>
                <w:caps/>
              </w:rPr>
              <w:t>Issues identified from internal audit 2020-21</w:t>
            </w:r>
          </w:p>
        </w:tc>
      </w:tr>
      <w:tr w:rsidR="004F65BF" w:rsidRPr="003516A4" w14:paraId="4BBF9198" w14:textId="77777777" w:rsidTr="00F5442C">
        <w:trPr>
          <w:jc w:val="center"/>
        </w:trPr>
        <w:tc>
          <w:tcPr>
            <w:tcW w:w="709" w:type="dxa"/>
            <w:gridSpan w:val="2"/>
            <w:shd w:val="clear" w:color="auto" w:fill="auto"/>
          </w:tcPr>
          <w:p w14:paraId="4A24A8E0" w14:textId="77777777" w:rsidR="004F65BF" w:rsidRPr="00C5655A" w:rsidRDefault="004F65BF" w:rsidP="00F5442C">
            <w:pPr>
              <w:spacing w:before="40" w:after="40" w:line="259" w:lineRule="auto"/>
              <w:jc w:val="center"/>
              <w:rPr>
                <w:rFonts w:ascii="Calibri" w:eastAsia="Calibri" w:hAnsi="Calibri"/>
                <w:color w:val="333333"/>
                <w:sz w:val="18"/>
                <w:szCs w:val="18"/>
              </w:rPr>
            </w:pPr>
          </w:p>
        </w:tc>
        <w:tc>
          <w:tcPr>
            <w:tcW w:w="6064" w:type="dxa"/>
            <w:shd w:val="clear" w:color="auto" w:fill="auto"/>
          </w:tcPr>
          <w:p w14:paraId="7B6F6D24" w14:textId="77777777" w:rsidR="004F65BF" w:rsidRDefault="004F65BF" w:rsidP="00F5442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IT Business Continuity / Disaster Recovery Planning – Limited Assurance</w:t>
            </w:r>
          </w:p>
          <w:p w14:paraId="7CBB0120" w14:textId="77777777" w:rsidR="004F65BF" w:rsidRDefault="004F65BF" w:rsidP="00F5442C">
            <w:pPr>
              <w:spacing w:before="40" w:after="40"/>
              <w:rPr>
                <w:rFonts w:ascii="Calibri" w:hAnsi="Calibri"/>
                <w:sz w:val="18"/>
                <w:szCs w:val="18"/>
              </w:rPr>
            </w:pPr>
            <w:r w:rsidRPr="00267E2F">
              <w:rPr>
                <w:rFonts w:ascii="Calibri" w:hAnsi="Calibri"/>
                <w:sz w:val="18"/>
                <w:szCs w:val="18"/>
              </w:rPr>
              <w:t>1</w:t>
            </w:r>
            <w:r>
              <w:rPr>
                <w:rFonts w:ascii="Calibri" w:hAnsi="Calibri"/>
                <w:sz w:val="18"/>
                <w:szCs w:val="18"/>
              </w:rPr>
              <w:t>0</w:t>
            </w:r>
            <w:r w:rsidRPr="00267E2F">
              <w:rPr>
                <w:rFonts w:ascii="Calibri" w:hAnsi="Calibri"/>
                <w:sz w:val="18"/>
                <w:szCs w:val="18"/>
              </w:rPr>
              <w:t xml:space="preserve"> medium level management actions</w:t>
            </w:r>
          </w:p>
          <w:p w14:paraId="2D271CFD" w14:textId="77777777" w:rsidR="004F65BF" w:rsidRPr="00662C93" w:rsidRDefault="004F65BF" w:rsidP="00F5442C">
            <w:pPr>
              <w:spacing w:before="40" w:after="40"/>
              <w:rPr>
                <w:rFonts w:ascii="Calibri" w:eastAsia="Calibri" w:hAnsi="Calibri" w:cs="Times New Roman"/>
                <w:sz w:val="18"/>
                <w:szCs w:val="18"/>
              </w:rPr>
            </w:pPr>
            <w:r w:rsidRPr="00567832">
              <w:rPr>
                <w:rFonts w:ascii="Calibri" w:eastAsia="Calibri" w:hAnsi="Calibri" w:cs="Times New Roman"/>
                <w:sz w:val="18"/>
                <w:szCs w:val="18"/>
              </w:rPr>
              <w:t xml:space="preserve">Update May-21: </w:t>
            </w:r>
            <w:r>
              <w:rPr>
                <w:rFonts w:ascii="Calibri" w:eastAsia="Calibri" w:hAnsi="Calibri" w:cs="Times New Roman"/>
                <w:sz w:val="18"/>
                <w:szCs w:val="18"/>
              </w:rPr>
              <w:t>6</w:t>
            </w:r>
            <w:r w:rsidRPr="00567832">
              <w:rPr>
                <w:rFonts w:ascii="Calibri" w:eastAsia="Calibri" w:hAnsi="Calibri" w:cs="Times New Roman"/>
                <w:sz w:val="18"/>
                <w:szCs w:val="18"/>
              </w:rPr>
              <w:t xml:space="preserve"> overdue actions remain open</w:t>
            </w:r>
          </w:p>
        </w:tc>
        <w:tc>
          <w:tcPr>
            <w:tcW w:w="1823" w:type="dxa"/>
            <w:shd w:val="clear" w:color="auto" w:fill="auto"/>
          </w:tcPr>
          <w:p w14:paraId="508FF332" w14:textId="77777777" w:rsidR="004F65BF" w:rsidRPr="00C5655A"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14:paraId="3D71A479" w14:textId="77777777" w:rsidR="004F65BF" w:rsidRPr="00C5655A" w:rsidRDefault="004F65BF" w:rsidP="00F5442C">
            <w:pPr>
              <w:spacing w:before="40" w:after="40"/>
              <w:jc w:val="center"/>
              <w:rPr>
                <w:rFonts w:ascii="Calibri" w:eastAsia="Calibri" w:hAnsi="Calibri"/>
                <w:sz w:val="18"/>
                <w:szCs w:val="18"/>
              </w:rPr>
            </w:pPr>
            <w:r>
              <w:rPr>
                <w:rFonts w:ascii="Calibri" w:eastAsia="Calibri" w:hAnsi="Calibri"/>
                <w:sz w:val="18"/>
                <w:szCs w:val="18"/>
              </w:rPr>
              <w:t>30.04.21</w:t>
            </w:r>
          </w:p>
        </w:tc>
      </w:tr>
      <w:tr w:rsidR="004F65BF" w:rsidRPr="003516A4" w14:paraId="497F235F" w14:textId="77777777" w:rsidTr="00F5442C">
        <w:trPr>
          <w:jc w:val="center"/>
        </w:trPr>
        <w:tc>
          <w:tcPr>
            <w:tcW w:w="709" w:type="dxa"/>
            <w:gridSpan w:val="2"/>
            <w:shd w:val="clear" w:color="auto" w:fill="auto"/>
          </w:tcPr>
          <w:p w14:paraId="0F4153AE" w14:textId="77777777" w:rsidR="004F65BF" w:rsidRPr="00C5655A" w:rsidRDefault="004F65BF" w:rsidP="00F5442C">
            <w:pPr>
              <w:spacing w:before="40" w:after="40" w:line="259" w:lineRule="auto"/>
              <w:jc w:val="center"/>
              <w:rPr>
                <w:rFonts w:ascii="Calibri" w:eastAsia="Calibri" w:hAnsi="Calibri"/>
                <w:color w:val="333333"/>
                <w:sz w:val="18"/>
                <w:szCs w:val="18"/>
              </w:rPr>
            </w:pPr>
          </w:p>
        </w:tc>
        <w:tc>
          <w:tcPr>
            <w:tcW w:w="6064" w:type="dxa"/>
            <w:shd w:val="clear" w:color="auto" w:fill="auto"/>
          </w:tcPr>
          <w:p w14:paraId="5833FD6C" w14:textId="77777777" w:rsidR="004F65BF" w:rsidRDefault="004F65BF" w:rsidP="00F5442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Estates Management 2020/21 – Limited Assurance</w:t>
            </w:r>
          </w:p>
          <w:p w14:paraId="5D8DEF73" w14:textId="77777777" w:rsidR="004F65BF" w:rsidRDefault="004F65BF" w:rsidP="00F5442C">
            <w:pPr>
              <w:spacing w:before="40" w:after="40"/>
              <w:rPr>
                <w:rFonts w:ascii="Calibri" w:eastAsia="Calibri" w:hAnsi="Calibri" w:cs="Times New Roman"/>
                <w:sz w:val="18"/>
                <w:szCs w:val="18"/>
              </w:rPr>
            </w:pPr>
            <w:r>
              <w:rPr>
                <w:rFonts w:ascii="Calibri" w:eastAsia="Calibri" w:hAnsi="Calibri" w:cs="Times New Roman"/>
                <w:sz w:val="18"/>
                <w:szCs w:val="18"/>
              </w:rPr>
              <w:t>5 High, 4 Medium level management actions</w:t>
            </w:r>
          </w:p>
          <w:p w14:paraId="2927F91A" w14:textId="77777777" w:rsidR="004F65BF" w:rsidRPr="001D1C33" w:rsidRDefault="004F65BF" w:rsidP="00F5442C">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shd w:val="clear" w:color="auto" w:fill="auto"/>
          </w:tcPr>
          <w:p w14:paraId="7D8C2A9D" w14:textId="77777777" w:rsidR="004F65BF" w:rsidRPr="00C5655A"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1D1C33">
              <w:rPr>
                <w:rFonts w:ascii="Calibri" w:eastAsia="Calibri" w:hAnsi="Calibri"/>
                <w:sz w:val="18"/>
                <w:szCs w:val="18"/>
              </w:rPr>
              <w:t>Executive Director of Commercial and Finance Services</w:t>
            </w:r>
          </w:p>
        </w:tc>
        <w:tc>
          <w:tcPr>
            <w:tcW w:w="2319" w:type="dxa"/>
          </w:tcPr>
          <w:p w14:paraId="054BD6E1" w14:textId="77777777" w:rsidR="004F65BF" w:rsidRPr="00C5655A" w:rsidRDefault="004F65BF" w:rsidP="00F5442C">
            <w:pPr>
              <w:spacing w:before="40" w:after="40"/>
              <w:jc w:val="center"/>
              <w:rPr>
                <w:rFonts w:ascii="Calibri" w:eastAsia="Calibri" w:hAnsi="Calibri"/>
                <w:sz w:val="18"/>
                <w:szCs w:val="18"/>
              </w:rPr>
            </w:pPr>
            <w:r>
              <w:rPr>
                <w:rFonts w:ascii="Calibri" w:eastAsia="Calibri" w:hAnsi="Calibri"/>
                <w:sz w:val="18"/>
                <w:szCs w:val="18"/>
              </w:rPr>
              <w:t>31.03.21</w:t>
            </w:r>
          </w:p>
        </w:tc>
      </w:tr>
      <w:tr w:rsidR="004F65BF" w:rsidRPr="003516A4" w14:paraId="67FB3291" w14:textId="77777777" w:rsidTr="00F5442C">
        <w:trPr>
          <w:jc w:val="center"/>
        </w:trPr>
        <w:tc>
          <w:tcPr>
            <w:tcW w:w="709" w:type="dxa"/>
            <w:gridSpan w:val="2"/>
            <w:shd w:val="clear" w:color="auto" w:fill="auto"/>
          </w:tcPr>
          <w:p w14:paraId="2D7CBEBE" w14:textId="77777777" w:rsidR="004F65BF" w:rsidRPr="00C5655A" w:rsidRDefault="004F65BF" w:rsidP="00F5442C">
            <w:pPr>
              <w:spacing w:before="40" w:after="40" w:line="259" w:lineRule="auto"/>
              <w:jc w:val="center"/>
              <w:rPr>
                <w:rFonts w:ascii="Calibri" w:eastAsia="Calibri" w:hAnsi="Calibri"/>
                <w:color w:val="333333"/>
                <w:sz w:val="18"/>
                <w:szCs w:val="18"/>
              </w:rPr>
            </w:pPr>
          </w:p>
        </w:tc>
        <w:tc>
          <w:tcPr>
            <w:tcW w:w="6064" w:type="dxa"/>
            <w:shd w:val="clear" w:color="auto" w:fill="auto"/>
          </w:tcPr>
          <w:p w14:paraId="25AE4096" w14:textId="77777777" w:rsidR="004F65BF" w:rsidRDefault="004F65BF" w:rsidP="00F5442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Organisational Risk Management Framework 2020/21 – Limited Assurance</w:t>
            </w:r>
          </w:p>
          <w:p w14:paraId="28F091DC" w14:textId="77777777" w:rsidR="004F65BF" w:rsidRPr="001A778B" w:rsidRDefault="004F65BF" w:rsidP="00F5442C">
            <w:pPr>
              <w:spacing w:before="40" w:after="40"/>
              <w:rPr>
                <w:rFonts w:ascii="Calibri" w:eastAsia="Calibri" w:hAnsi="Calibri" w:cs="Times New Roman"/>
                <w:sz w:val="18"/>
                <w:szCs w:val="18"/>
              </w:rPr>
            </w:pPr>
            <w:r>
              <w:rPr>
                <w:rFonts w:ascii="Calibri" w:eastAsia="Calibri" w:hAnsi="Calibri" w:cs="Times New Roman"/>
                <w:sz w:val="18"/>
                <w:szCs w:val="18"/>
              </w:rPr>
              <w:t xml:space="preserve">5 High, 8 Medium level management actions </w:t>
            </w:r>
          </w:p>
        </w:tc>
        <w:tc>
          <w:tcPr>
            <w:tcW w:w="1823" w:type="dxa"/>
            <w:shd w:val="clear" w:color="auto" w:fill="auto"/>
          </w:tcPr>
          <w:p w14:paraId="301876D2" w14:textId="77777777" w:rsidR="004F65BF" w:rsidRPr="00C5655A"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1D1C33">
              <w:rPr>
                <w:rFonts w:ascii="Calibri" w:eastAsia="Calibri" w:hAnsi="Calibri"/>
                <w:sz w:val="18"/>
                <w:szCs w:val="18"/>
              </w:rPr>
              <w:t>Executive Director of Commercial and Finance Services</w:t>
            </w:r>
          </w:p>
        </w:tc>
        <w:tc>
          <w:tcPr>
            <w:tcW w:w="2319" w:type="dxa"/>
          </w:tcPr>
          <w:p w14:paraId="35931E39" w14:textId="77777777" w:rsidR="004F65BF" w:rsidRPr="00C5655A" w:rsidRDefault="004F65BF" w:rsidP="00F5442C">
            <w:pPr>
              <w:spacing w:before="40" w:after="40"/>
              <w:jc w:val="center"/>
              <w:rPr>
                <w:rFonts w:ascii="Calibri" w:eastAsia="Calibri" w:hAnsi="Calibri"/>
                <w:sz w:val="18"/>
                <w:szCs w:val="18"/>
              </w:rPr>
            </w:pPr>
            <w:r>
              <w:rPr>
                <w:rFonts w:ascii="Calibri" w:eastAsia="Calibri" w:hAnsi="Calibri"/>
                <w:sz w:val="18"/>
                <w:szCs w:val="18"/>
              </w:rPr>
              <w:t>Complete</w:t>
            </w:r>
          </w:p>
        </w:tc>
      </w:tr>
      <w:tr w:rsidR="00EA7E62" w:rsidRPr="003516A4" w14:paraId="5F564772" w14:textId="77777777" w:rsidTr="00F5442C">
        <w:trPr>
          <w:jc w:val="center"/>
        </w:trPr>
        <w:tc>
          <w:tcPr>
            <w:tcW w:w="709" w:type="dxa"/>
            <w:gridSpan w:val="2"/>
            <w:shd w:val="clear" w:color="auto" w:fill="auto"/>
          </w:tcPr>
          <w:p w14:paraId="429A1AB2" w14:textId="77777777" w:rsidR="00EA7E62" w:rsidRPr="00C5655A" w:rsidRDefault="00EA7E62" w:rsidP="00EA7E62">
            <w:pPr>
              <w:spacing w:before="40" w:after="40" w:line="259" w:lineRule="auto"/>
              <w:jc w:val="center"/>
              <w:rPr>
                <w:rFonts w:ascii="Calibri" w:eastAsia="Calibri" w:hAnsi="Calibri"/>
                <w:color w:val="333333"/>
                <w:sz w:val="18"/>
                <w:szCs w:val="18"/>
              </w:rPr>
            </w:pPr>
          </w:p>
        </w:tc>
        <w:tc>
          <w:tcPr>
            <w:tcW w:w="6064" w:type="dxa"/>
            <w:shd w:val="clear" w:color="auto" w:fill="auto"/>
          </w:tcPr>
          <w:p w14:paraId="09F9779E" w14:textId="77777777" w:rsidR="00EA7E62" w:rsidRDefault="00EA7E62" w:rsidP="00EA7E62">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IT Asset Management and Software Licensing 2020/21 – Limited Assurance</w:t>
            </w:r>
          </w:p>
          <w:p w14:paraId="2CFEFBF4" w14:textId="426E91FC" w:rsidR="00EA7E62" w:rsidRDefault="00EA7E62" w:rsidP="00EA7E62">
            <w:pPr>
              <w:spacing w:before="40" w:after="40"/>
              <w:rPr>
                <w:rFonts w:ascii="Calibri" w:eastAsia="Calibri" w:hAnsi="Calibri" w:cs="Times New Roman"/>
                <w:b/>
                <w:color w:val="002060"/>
                <w:sz w:val="18"/>
                <w:szCs w:val="18"/>
              </w:rPr>
            </w:pPr>
            <w:r>
              <w:rPr>
                <w:rFonts w:ascii="Calibri" w:eastAsia="Calibri" w:hAnsi="Calibri" w:cs="Times New Roman"/>
                <w:sz w:val="18"/>
                <w:szCs w:val="18"/>
              </w:rPr>
              <w:t>1 High, 11 Medium level management actions</w:t>
            </w:r>
          </w:p>
        </w:tc>
        <w:tc>
          <w:tcPr>
            <w:tcW w:w="1823" w:type="dxa"/>
            <w:shd w:val="clear" w:color="auto" w:fill="auto"/>
          </w:tcPr>
          <w:p w14:paraId="4D147896" w14:textId="26E3431F" w:rsidR="00EA7E62" w:rsidRPr="001D1C33" w:rsidRDefault="00EA7E62" w:rsidP="00EA7E62">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14:paraId="2562EE22" w14:textId="7792B62E" w:rsidR="00EA7E62" w:rsidRDefault="00EA7E62" w:rsidP="00EA7E62">
            <w:pPr>
              <w:spacing w:before="40" w:after="40"/>
              <w:jc w:val="center"/>
              <w:rPr>
                <w:rFonts w:ascii="Calibri" w:eastAsia="Calibri" w:hAnsi="Calibri"/>
                <w:sz w:val="18"/>
                <w:szCs w:val="18"/>
              </w:rPr>
            </w:pPr>
            <w:r>
              <w:rPr>
                <w:rFonts w:ascii="Calibri" w:eastAsia="Calibri" w:hAnsi="Calibri"/>
                <w:sz w:val="18"/>
                <w:szCs w:val="18"/>
              </w:rPr>
              <w:t>31.12.21</w:t>
            </w:r>
          </w:p>
        </w:tc>
      </w:tr>
      <w:tr w:rsidR="004F65BF" w:rsidRPr="003516A4" w14:paraId="029B13CA" w14:textId="77777777" w:rsidTr="00F5442C">
        <w:trPr>
          <w:jc w:val="center"/>
        </w:trPr>
        <w:tc>
          <w:tcPr>
            <w:tcW w:w="10915" w:type="dxa"/>
            <w:gridSpan w:val="5"/>
            <w:shd w:val="clear" w:color="auto" w:fill="BDD6EE" w:themeFill="accent1" w:themeFillTint="66"/>
          </w:tcPr>
          <w:p w14:paraId="2ACFD7EB" w14:textId="77777777" w:rsidR="004F65BF" w:rsidRPr="00C5655A" w:rsidRDefault="004F65BF" w:rsidP="00F5442C">
            <w:pPr>
              <w:spacing w:before="40" w:after="40"/>
              <w:rPr>
                <w:rFonts w:ascii="Calibri" w:eastAsia="Calibri" w:hAnsi="Calibri"/>
                <w:sz w:val="18"/>
                <w:szCs w:val="18"/>
              </w:rPr>
            </w:pPr>
            <w:r w:rsidRPr="00C5655A">
              <w:rPr>
                <w:rFonts w:ascii="Calibri" w:eastAsia="Calibri" w:hAnsi="Calibri"/>
                <w:b/>
              </w:rPr>
              <w:t xml:space="preserve">PROPOSED NEW AREAS OF </w:t>
            </w:r>
            <w:r>
              <w:rPr>
                <w:rFonts w:ascii="Calibri" w:eastAsia="Calibri" w:hAnsi="Calibri"/>
                <w:b/>
              </w:rPr>
              <w:t>IMPROVEMENT IDENTIFIED BY FORCE FOR 2021-22 AGS ACTION PLAN</w:t>
            </w:r>
          </w:p>
        </w:tc>
      </w:tr>
      <w:tr w:rsidR="004F65BF" w:rsidRPr="003516A4" w14:paraId="390BB57E" w14:textId="77777777" w:rsidTr="00F5442C">
        <w:trPr>
          <w:jc w:val="center"/>
        </w:trPr>
        <w:tc>
          <w:tcPr>
            <w:tcW w:w="709" w:type="dxa"/>
            <w:gridSpan w:val="2"/>
            <w:shd w:val="clear" w:color="auto" w:fill="auto"/>
          </w:tcPr>
          <w:p w14:paraId="1252CF74" w14:textId="77777777" w:rsidR="004F65BF" w:rsidRPr="00C5655A" w:rsidRDefault="004F65BF" w:rsidP="00F5442C">
            <w:pPr>
              <w:spacing w:before="40" w:after="40" w:line="259" w:lineRule="auto"/>
              <w:jc w:val="center"/>
              <w:rPr>
                <w:rFonts w:ascii="Calibri" w:eastAsia="Calibri" w:hAnsi="Calibri"/>
                <w:color w:val="333333"/>
                <w:sz w:val="18"/>
                <w:szCs w:val="18"/>
              </w:rPr>
            </w:pPr>
          </w:p>
        </w:tc>
        <w:tc>
          <w:tcPr>
            <w:tcW w:w="6064" w:type="dxa"/>
            <w:shd w:val="clear" w:color="auto" w:fill="auto"/>
          </w:tcPr>
          <w:p w14:paraId="0DED48EC" w14:textId="77777777" w:rsidR="004F65BF" w:rsidRDefault="004F65BF" w:rsidP="00F5442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Establish appropriate governance arrangements to take forward the joint Surrey/Sussex ERP solution.</w:t>
            </w:r>
          </w:p>
          <w:p w14:paraId="63133D8E" w14:textId="77777777" w:rsidR="004F65BF" w:rsidRPr="00DD2220" w:rsidRDefault="004F65BF" w:rsidP="00F5442C">
            <w:pPr>
              <w:spacing w:before="40" w:after="40"/>
              <w:rPr>
                <w:rFonts w:ascii="Calibri" w:eastAsia="Calibri" w:hAnsi="Calibri" w:cs="Times New Roman"/>
                <w:sz w:val="18"/>
                <w:szCs w:val="18"/>
              </w:rPr>
            </w:pPr>
            <w:r>
              <w:rPr>
                <w:rFonts w:ascii="Calibri" w:eastAsia="Calibri" w:hAnsi="Calibri" w:cs="Times New Roman"/>
                <w:sz w:val="18"/>
                <w:szCs w:val="18"/>
              </w:rPr>
              <w:t>Following closure of the Equip programme, work within Surrey and Sussex has continued to remediate data quality issues, whilst business cases are developed with options for the next stage. The focus remains on shoring up legacy systems and ensuring that the skills, expertise and assets gained from the Equip programme are utilized to the fullest extent possible.</w:t>
            </w:r>
          </w:p>
        </w:tc>
        <w:tc>
          <w:tcPr>
            <w:tcW w:w="1823" w:type="dxa"/>
            <w:shd w:val="clear" w:color="auto" w:fill="auto"/>
          </w:tcPr>
          <w:p w14:paraId="742D56C9" w14:textId="77777777" w:rsidR="004F65BF" w:rsidRPr="00C5655A"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ACO SERIP / SRO Surrey &amp; Sussex ERP</w:t>
            </w:r>
          </w:p>
        </w:tc>
        <w:tc>
          <w:tcPr>
            <w:tcW w:w="2319" w:type="dxa"/>
          </w:tcPr>
          <w:p w14:paraId="0A6753EF" w14:textId="77777777" w:rsidR="004F65BF" w:rsidRPr="00C5655A" w:rsidRDefault="004F65BF" w:rsidP="00F5442C">
            <w:pPr>
              <w:spacing w:before="40" w:after="40"/>
              <w:jc w:val="center"/>
              <w:rPr>
                <w:rFonts w:ascii="Calibri" w:eastAsia="Calibri" w:hAnsi="Calibri"/>
                <w:sz w:val="18"/>
                <w:szCs w:val="18"/>
              </w:rPr>
            </w:pPr>
            <w:r>
              <w:rPr>
                <w:rFonts w:ascii="Calibri" w:eastAsia="Calibri" w:hAnsi="Calibri"/>
                <w:sz w:val="18"/>
                <w:szCs w:val="18"/>
              </w:rPr>
              <w:t>Will continue to be progressed through 2021-22</w:t>
            </w:r>
          </w:p>
        </w:tc>
      </w:tr>
      <w:tr w:rsidR="004F65BF" w:rsidRPr="003516A4" w14:paraId="309FA291" w14:textId="77777777" w:rsidTr="00F5442C">
        <w:trPr>
          <w:jc w:val="center"/>
        </w:trPr>
        <w:tc>
          <w:tcPr>
            <w:tcW w:w="709" w:type="dxa"/>
            <w:gridSpan w:val="2"/>
            <w:shd w:val="clear" w:color="auto" w:fill="auto"/>
          </w:tcPr>
          <w:p w14:paraId="113E690F" w14:textId="77777777" w:rsidR="004F65BF" w:rsidRPr="00C5655A" w:rsidRDefault="004F65BF" w:rsidP="00F5442C">
            <w:pPr>
              <w:spacing w:before="40" w:after="40" w:line="259" w:lineRule="auto"/>
              <w:jc w:val="center"/>
              <w:rPr>
                <w:rFonts w:ascii="Calibri" w:eastAsia="Calibri" w:hAnsi="Calibri"/>
                <w:color w:val="333333"/>
                <w:sz w:val="18"/>
                <w:szCs w:val="18"/>
              </w:rPr>
            </w:pPr>
          </w:p>
        </w:tc>
        <w:tc>
          <w:tcPr>
            <w:tcW w:w="6064" w:type="dxa"/>
            <w:shd w:val="clear" w:color="auto" w:fill="auto"/>
          </w:tcPr>
          <w:p w14:paraId="22512677" w14:textId="77777777" w:rsidR="004F65BF" w:rsidRPr="00C5655A" w:rsidRDefault="004F65BF" w:rsidP="00F5442C">
            <w:pPr>
              <w:spacing w:before="40" w:after="40"/>
              <w:rPr>
                <w:rFonts w:ascii="Calibri" w:eastAsia="Calibri" w:hAnsi="Calibri" w:cs="Times New Roman"/>
                <w:b/>
                <w:color w:val="002060"/>
                <w:sz w:val="18"/>
                <w:szCs w:val="18"/>
              </w:rPr>
            </w:pPr>
          </w:p>
        </w:tc>
        <w:tc>
          <w:tcPr>
            <w:tcW w:w="1823" w:type="dxa"/>
            <w:shd w:val="clear" w:color="auto" w:fill="auto"/>
          </w:tcPr>
          <w:p w14:paraId="1E3D57AF" w14:textId="77777777" w:rsidR="004F65BF" w:rsidRPr="00C5655A" w:rsidRDefault="004F65BF" w:rsidP="00F5442C">
            <w:pPr>
              <w:tabs>
                <w:tab w:val="left" w:pos="0"/>
              </w:tabs>
              <w:overflowPunct w:val="0"/>
              <w:autoSpaceDE w:val="0"/>
              <w:autoSpaceDN w:val="0"/>
              <w:adjustRightInd w:val="0"/>
              <w:spacing w:before="40" w:after="40"/>
              <w:textAlignment w:val="baseline"/>
              <w:rPr>
                <w:rFonts w:ascii="Calibri" w:eastAsia="Calibri" w:hAnsi="Calibri"/>
                <w:sz w:val="18"/>
                <w:szCs w:val="18"/>
              </w:rPr>
            </w:pPr>
          </w:p>
        </w:tc>
        <w:tc>
          <w:tcPr>
            <w:tcW w:w="2319" w:type="dxa"/>
          </w:tcPr>
          <w:p w14:paraId="32598DBF" w14:textId="77777777" w:rsidR="004F65BF" w:rsidRPr="00C5655A" w:rsidRDefault="004F65BF" w:rsidP="00F5442C">
            <w:pPr>
              <w:spacing w:before="40" w:after="40"/>
              <w:jc w:val="center"/>
              <w:rPr>
                <w:rFonts w:ascii="Calibri" w:eastAsia="Calibri" w:hAnsi="Calibri"/>
                <w:sz w:val="18"/>
                <w:szCs w:val="18"/>
              </w:rPr>
            </w:pPr>
          </w:p>
        </w:tc>
      </w:tr>
    </w:tbl>
    <w:p w14:paraId="49EC6ADA" w14:textId="77777777" w:rsidR="00E73C9B" w:rsidRPr="00A324B5" w:rsidRDefault="00E73C9B" w:rsidP="00D835CC">
      <w:pPr>
        <w:pStyle w:val="NormalWeb1"/>
        <w:rPr>
          <w:rFonts w:ascii="Calibri" w:hAnsi="Calibri" w:cs="Arial"/>
          <w:b/>
          <w:sz w:val="22"/>
          <w:szCs w:val="22"/>
        </w:rPr>
      </w:pPr>
    </w:p>
    <w:p w14:paraId="68693E77" w14:textId="77777777" w:rsidR="00D835CC" w:rsidRPr="00A324B5" w:rsidRDefault="00D835CC" w:rsidP="00D835CC">
      <w:pPr>
        <w:pStyle w:val="NormalWeb1"/>
        <w:rPr>
          <w:rFonts w:ascii="Calibri" w:hAnsi="Calibri" w:cs="Arial"/>
          <w:b/>
          <w:sz w:val="22"/>
          <w:szCs w:val="22"/>
        </w:rPr>
      </w:pPr>
    </w:p>
    <w:p w14:paraId="05DD7522" w14:textId="77777777" w:rsidR="00D835CC" w:rsidRPr="00DC1077" w:rsidRDefault="00D835CC" w:rsidP="00F227D9">
      <w:pPr>
        <w:pStyle w:val="Heading1"/>
        <w:rPr>
          <w:highlight w:val="yellow"/>
        </w:rPr>
      </w:pPr>
    </w:p>
    <w:p w14:paraId="1BE359A4" w14:textId="77777777" w:rsidR="00F227D9" w:rsidRPr="00DC1077" w:rsidRDefault="00F227D9">
      <w:pPr>
        <w:pStyle w:val="Normal0"/>
        <w:rPr>
          <w:rFonts w:ascii="Verdana" w:hAnsi="Verdana"/>
          <w:sz w:val="22"/>
          <w:szCs w:val="22"/>
          <w:highlight w:val="yellow"/>
        </w:rPr>
        <w:sectPr w:rsidR="00F227D9" w:rsidRPr="00DC1077" w:rsidSect="00B54A0C">
          <w:pgSz w:w="11900" w:h="16840"/>
          <w:pgMar w:top="709" w:right="720" w:bottom="567" w:left="720" w:header="708" w:footer="708" w:gutter="0"/>
          <w:cols w:space="708"/>
          <w:docGrid w:linePitch="360"/>
        </w:sectPr>
      </w:pPr>
    </w:p>
    <w:p w14:paraId="7BF2BC92" w14:textId="77777777" w:rsidR="00F227D9" w:rsidRPr="0007251E" w:rsidRDefault="00F227D9" w:rsidP="00F227D9">
      <w:pPr>
        <w:pStyle w:val="Heading1"/>
        <w:spacing w:line="259" w:lineRule="auto"/>
        <w:rPr>
          <w:lang w:val="pt-BR"/>
        </w:rPr>
      </w:pPr>
      <w:bookmarkStart w:id="5" w:name="_Toc77095556"/>
      <w:r w:rsidRPr="0007251E">
        <w:rPr>
          <w:lang w:val="pt-BR"/>
        </w:rPr>
        <w:t>Movement in Reserves Statement</w:t>
      </w:r>
      <w:bookmarkEnd w:id="5"/>
    </w:p>
    <w:p w14:paraId="2A391EA2" w14:textId="77777777" w:rsidR="00F227D9" w:rsidRPr="0007251E" w:rsidRDefault="00F227D9" w:rsidP="00F227D9">
      <w:pPr>
        <w:pStyle w:val="Normal0"/>
        <w:spacing w:after="160" w:line="259" w:lineRule="auto"/>
        <w:rPr>
          <w:sz w:val="22"/>
          <w:szCs w:val="22"/>
          <w:lang w:val="pt-BR"/>
        </w:rPr>
      </w:pPr>
    </w:p>
    <w:p w14:paraId="6C58EE69" w14:textId="77777777" w:rsidR="00F227D9" w:rsidRDefault="00F227D9" w:rsidP="00080023">
      <w:pPr>
        <w:pStyle w:val="Normal0"/>
        <w:spacing w:after="160" w:line="259" w:lineRule="auto"/>
        <w:jc w:val="both"/>
        <w:rPr>
          <w:rFonts w:ascii="Verdana" w:eastAsia="Calibri" w:hAnsi="Verdana" w:cs="Arial"/>
          <w:sz w:val="22"/>
          <w:szCs w:val="22"/>
          <w:lang w:val="pt-BR"/>
        </w:rPr>
      </w:pPr>
      <w:r w:rsidRPr="0007251E">
        <w:rPr>
          <w:rFonts w:ascii="Verdana" w:eastAsia="Calibri" w:hAnsi="Verdana" w:cs="Arial"/>
          <w:sz w:val="22"/>
          <w:szCs w:val="22"/>
          <w:lang w:val="pt-BR"/>
        </w:rPr>
        <w:t>The Movement in Reserves Statement shows the movement from the start of the year to the end on the different reserves, analysed into ‘usable reserves’ (ie those that can be applied to fund expenditure or reduce local taxation) and other ‘unusable reserves’. The Statement shows how the movements in year of the reserves are broken down between gains and losses incurred in accordance with generally accepted accounting practices and the statutory adjustments required to return to the amounts chargeable to council tax for the year. The Net Increase/Decrease line shows the statutory General Fund Balance movements in the year following those adjustments.</w:t>
      </w:r>
    </w:p>
    <w:tbl>
      <w:tblPr>
        <w:tblW w:w="13354" w:type="dxa"/>
        <w:jc w:val="center"/>
        <w:tblLook w:val="04A0" w:firstRow="1" w:lastRow="0" w:firstColumn="1" w:lastColumn="0" w:noHBand="0" w:noVBand="1"/>
      </w:tblPr>
      <w:tblGrid>
        <w:gridCol w:w="6901"/>
        <w:gridCol w:w="1776"/>
        <w:gridCol w:w="1543"/>
        <w:gridCol w:w="1496"/>
        <w:gridCol w:w="1638"/>
      </w:tblGrid>
      <w:tr w:rsidR="0007251E" w:rsidRPr="0007251E" w14:paraId="62E7FC39" w14:textId="77777777" w:rsidTr="00097018">
        <w:trPr>
          <w:trHeight w:val="127"/>
          <w:jc w:val="center"/>
        </w:trPr>
        <w:tc>
          <w:tcPr>
            <w:tcW w:w="6901" w:type="dxa"/>
            <w:tcBorders>
              <w:top w:val="nil"/>
              <w:left w:val="nil"/>
              <w:bottom w:val="nil"/>
              <w:right w:val="nil"/>
            </w:tcBorders>
            <w:shd w:val="clear" w:color="auto" w:fill="auto"/>
            <w:vAlign w:val="center"/>
            <w:hideMark/>
          </w:tcPr>
          <w:p w14:paraId="2ABF2FE0" w14:textId="77777777" w:rsidR="0007251E" w:rsidRPr="0007251E" w:rsidRDefault="0007251E" w:rsidP="0007251E">
            <w:pPr>
              <w:jc w:val="center"/>
              <w:rPr>
                <w:rFonts w:ascii="Verdana" w:eastAsia="Times New Roman" w:hAnsi="Verdana" w:cs="Calibri"/>
                <w:b/>
                <w:bCs/>
                <w:color w:val="000000"/>
                <w:sz w:val="2"/>
                <w:szCs w:val="2"/>
                <w:lang w:val="en-GB" w:eastAsia="en-GB"/>
              </w:rPr>
            </w:pPr>
          </w:p>
        </w:tc>
        <w:tc>
          <w:tcPr>
            <w:tcW w:w="1776" w:type="dxa"/>
            <w:tcBorders>
              <w:top w:val="nil"/>
              <w:left w:val="nil"/>
              <w:bottom w:val="nil"/>
              <w:right w:val="nil"/>
            </w:tcBorders>
            <w:shd w:val="clear" w:color="auto" w:fill="auto"/>
            <w:vAlign w:val="center"/>
            <w:hideMark/>
          </w:tcPr>
          <w:p w14:paraId="039C766D"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General Fund Balance</w:t>
            </w:r>
          </w:p>
        </w:tc>
        <w:tc>
          <w:tcPr>
            <w:tcW w:w="1543" w:type="dxa"/>
            <w:tcBorders>
              <w:top w:val="nil"/>
              <w:left w:val="nil"/>
              <w:bottom w:val="nil"/>
              <w:right w:val="nil"/>
            </w:tcBorders>
            <w:shd w:val="clear" w:color="auto" w:fill="auto"/>
            <w:vAlign w:val="center"/>
            <w:hideMark/>
          </w:tcPr>
          <w:p w14:paraId="2477E31B"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Total Usable Reserves</w:t>
            </w:r>
          </w:p>
        </w:tc>
        <w:tc>
          <w:tcPr>
            <w:tcW w:w="1496" w:type="dxa"/>
            <w:tcBorders>
              <w:top w:val="nil"/>
              <w:left w:val="nil"/>
              <w:bottom w:val="nil"/>
              <w:right w:val="nil"/>
            </w:tcBorders>
            <w:shd w:val="clear" w:color="auto" w:fill="auto"/>
            <w:vAlign w:val="center"/>
            <w:hideMark/>
          </w:tcPr>
          <w:p w14:paraId="26503C6E"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Unusable Reserves</w:t>
            </w:r>
          </w:p>
        </w:tc>
        <w:tc>
          <w:tcPr>
            <w:tcW w:w="1638" w:type="dxa"/>
            <w:tcBorders>
              <w:top w:val="nil"/>
              <w:left w:val="nil"/>
              <w:bottom w:val="nil"/>
              <w:right w:val="nil"/>
            </w:tcBorders>
            <w:shd w:val="clear" w:color="auto" w:fill="auto"/>
            <w:vAlign w:val="center"/>
            <w:hideMark/>
          </w:tcPr>
          <w:p w14:paraId="6F2B1596"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Total Reserves</w:t>
            </w:r>
          </w:p>
        </w:tc>
      </w:tr>
      <w:tr w:rsidR="0007251E" w:rsidRPr="0007251E" w14:paraId="076BFF12" w14:textId="77777777" w:rsidTr="00097018">
        <w:trPr>
          <w:trHeight w:val="154"/>
          <w:jc w:val="center"/>
        </w:trPr>
        <w:tc>
          <w:tcPr>
            <w:tcW w:w="6901" w:type="dxa"/>
            <w:tcBorders>
              <w:top w:val="nil"/>
              <w:left w:val="nil"/>
              <w:bottom w:val="single" w:sz="8" w:space="0" w:color="000000"/>
              <w:right w:val="nil"/>
            </w:tcBorders>
            <w:shd w:val="clear" w:color="auto" w:fill="auto"/>
            <w:vAlign w:val="center"/>
            <w:hideMark/>
          </w:tcPr>
          <w:p w14:paraId="78C403B9" w14:textId="77777777" w:rsidR="0007251E" w:rsidRPr="0007251E" w:rsidRDefault="0007251E" w:rsidP="0007251E">
            <w:pPr>
              <w:jc w:val="center"/>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xml:space="preserve"> </w:t>
            </w:r>
          </w:p>
        </w:tc>
        <w:tc>
          <w:tcPr>
            <w:tcW w:w="1776" w:type="dxa"/>
            <w:tcBorders>
              <w:top w:val="nil"/>
              <w:left w:val="nil"/>
              <w:bottom w:val="single" w:sz="8" w:space="0" w:color="000000"/>
              <w:right w:val="nil"/>
            </w:tcBorders>
            <w:shd w:val="clear" w:color="auto" w:fill="auto"/>
            <w:vAlign w:val="center"/>
            <w:hideMark/>
          </w:tcPr>
          <w:p w14:paraId="12CFDB6D" w14:textId="293431F3" w:rsidR="0007251E" w:rsidRPr="0007251E" w:rsidRDefault="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w:t>
            </w:r>
            <w:r w:rsidR="005B22FA">
              <w:rPr>
                <w:rFonts w:ascii="Verdana" w:eastAsia="Times New Roman" w:hAnsi="Verdana" w:cs="Calibri"/>
                <w:b/>
                <w:bCs/>
                <w:color w:val="000000"/>
                <w:sz w:val="16"/>
                <w:szCs w:val="16"/>
                <w:lang w:val="pt-BR" w:eastAsia="en-GB"/>
              </w:rPr>
              <w:t>0</w:t>
            </w:r>
            <w:r w:rsidRPr="0007251E">
              <w:rPr>
                <w:rFonts w:ascii="Verdana" w:eastAsia="Times New Roman" w:hAnsi="Verdana" w:cs="Calibri"/>
                <w:b/>
                <w:bCs/>
                <w:color w:val="000000"/>
                <w:sz w:val="16"/>
                <w:szCs w:val="16"/>
                <w:lang w:val="pt-BR" w:eastAsia="en-GB"/>
              </w:rPr>
              <w:t>00</w:t>
            </w:r>
          </w:p>
        </w:tc>
        <w:tc>
          <w:tcPr>
            <w:tcW w:w="1543" w:type="dxa"/>
            <w:tcBorders>
              <w:top w:val="nil"/>
              <w:left w:val="nil"/>
              <w:bottom w:val="single" w:sz="8" w:space="0" w:color="000000"/>
              <w:right w:val="nil"/>
            </w:tcBorders>
            <w:shd w:val="clear" w:color="auto" w:fill="auto"/>
            <w:vAlign w:val="center"/>
            <w:hideMark/>
          </w:tcPr>
          <w:p w14:paraId="4B21AAF4"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£000</w:t>
            </w:r>
          </w:p>
        </w:tc>
        <w:tc>
          <w:tcPr>
            <w:tcW w:w="1496" w:type="dxa"/>
            <w:tcBorders>
              <w:top w:val="nil"/>
              <w:left w:val="nil"/>
              <w:bottom w:val="single" w:sz="8" w:space="0" w:color="000000"/>
              <w:right w:val="nil"/>
            </w:tcBorders>
            <w:shd w:val="clear" w:color="auto" w:fill="auto"/>
            <w:vAlign w:val="center"/>
            <w:hideMark/>
          </w:tcPr>
          <w:p w14:paraId="65A841FB"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£000</w:t>
            </w:r>
          </w:p>
        </w:tc>
        <w:tc>
          <w:tcPr>
            <w:tcW w:w="1638" w:type="dxa"/>
            <w:tcBorders>
              <w:top w:val="nil"/>
              <w:left w:val="nil"/>
              <w:bottom w:val="single" w:sz="8" w:space="0" w:color="000000"/>
              <w:right w:val="nil"/>
            </w:tcBorders>
            <w:shd w:val="clear" w:color="auto" w:fill="auto"/>
            <w:vAlign w:val="center"/>
            <w:hideMark/>
          </w:tcPr>
          <w:p w14:paraId="02F8373E"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£000</w:t>
            </w:r>
          </w:p>
        </w:tc>
      </w:tr>
      <w:tr w:rsidR="0007251E" w:rsidRPr="0007251E" w14:paraId="0F10B30B" w14:textId="77777777" w:rsidTr="00097018">
        <w:trPr>
          <w:trHeight w:val="336"/>
          <w:jc w:val="center"/>
        </w:trPr>
        <w:tc>
          <w:tcPr>
            <w:tcW w:w="6901" w:type="dxa"/>
            <w:tcBorders>
              <w:top w:val="nil"/>
              <w:left w:val="nil"/>
              <w:bottom w:val="single" w:sz="8" w:space="0" w:color="000000"/>
              <w:right w:val="nil"/>
            </w:tcBorders>
            <w:shd w:val="clear" w:color="auto" w:fill="auto"/>
            <w:vAlign w:val="center"/>
            <w:hideMark/>
          </w:tcPr>
          <w:p w14:paraId="55251C33"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Balance at 31 March 2020</w:t>
            </w:r>
          </w:p>
        </w:tc>
        <w:tc>
          <w:tcPr>
            <w:tcW w:w="1776" w:type="dxa"/>
            <w:tcBorders>
              <w:top w:val="nil"/>
              <w:left w:val="single" w:sz="8" w:space="0" w:color="000000"/>
              <w:bottom w:val="single" w:sz="8" w:space="0" w:color="000000"/>
              <w:right w:val="nil"/>
            </w:tcBorders>
            <w:shd w:val="clear" w:color="auto" w:fill="auto"/>
            <w:vAlign w:val="center"/>
            <w:hideMark/>
          </w:tcPr>
          <w:p w14:paraId="0BB7A604"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0</w:t>
            </w:r>
          </w:p>
        </w:tc>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1F689550"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496" w:type="dxa"/>
            <w:tcBorders>
              <w:top w:val="nil"/>
              <w:left w:val="nil"/>
              <w:bottom w:val="single" w:sz="8" w:space="0" w:color="000000"/>
              <w:right w:val="nil"/>
            </w:tcBorders>
            <w:shd w:val="clear" w:color="auto" w:fill="auto"/>
            <w:vAlign w:val="center"/>
            <w:hideMark/>
          </w:tcPr>
          <w:p w14:paraId="0A34D7D6"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2,027,608</w:t>
            </w:r>
          </w:p>
        </w:tc>
        <w:tc>
          <w:tcPr>
            <w:tcW w:w="1638" w:type="dxa"/>
            <w:tcBorders>
              <w:top w:val="nil"/>
              <w:left w:val="single" w:sz="8" w:space="0" w:color="000000"/>
              <w:bottom w:val="single" w:sz="8" w:space="0" w:color="000000"/>
              <w:right w:val="nil"/>
            </w:tcBorders>
            <w:shd w:val="clear" w:color="auto" w:fill="auto"/>
            <w:vAlign w:val="center"/>
            <w:hideMark/>
          </w:tcPr>
          <w:p w14:paraId="2848E1F1"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2,027,608</w:t>
            </w:r>
          </w:p>
        </w:tc>
      </w:tr>
      <w:tr w:rsidR="0007251E" w:rsidRPr="0007251E" w14:paraId="7784633A" w14:textId="77777777" w:rsidTr="00097018">
        <w:trPr>
          <w:trHeight w:val="320"/>
          <w:jc w:val="center"/>
        </w:trPr>
        <w:tc>
          <w:tcPr>
            <w:tcW w:w="6901" w:type="dxa"/>
            <w:tcBorders>
              <w:top w:val="nil"/>
              <w:left w:val="nil"/>
              <w:bottom w:val="nil"/>
              <w:right w:val="nil"/>
            </w:tcBorders>
            <w:shd w:val="clear" w:color="auto" w:fill="auto"/>
            <w:vAlign w:val="center"/>
            <w:hideMark/>
          </w:tcPr>
          <w:p w14:paraId="0EB17455"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Movement in reserves during 2020/21</w:t>
            </w:r>
          </w:p>
        </w:tc>
        <w:tc>
          <w:tcPr>
            <w:tcW w:w="1776" w:type="dxa"/>
            <w:tcBorders>
              <w:top w:val="nil"/>
              <w:left w:val="single" w:sz="8" w:space="0" w:color="000000"/>
              <w:bottom w:val="nil"/>
              <w:right w:val="nil"/>
            </w:tcBorders>
            <w:shd w:val="clear" w:color="auto" w:fill="auto"/>
            <w:vAlign w:val="center"/>
            <w:hideMark/>
          </w:tcPr>
          <w:p w14:paraId="48C8915B" w14:textId="77777777" w:rsidR="0007251E" w:rsidRPr="0007251E" w:rsidRDefault="0007251E" w:rsidP="0007251E">
            <w:pPr>
              <w:jc w:val="right"/>
              <w:rPr>
                <w:rFonts w:ascii="Verdana" w:eastAsia="Times New Roman" w:hAnsi="Verdana" w:cs="Calibri"/>
                <w:color w:val="000000"/>
                <w:sz w:val="2"/>
                <w:szCs w:val="2"/>
                <w:lang w:val="en-GB" w:eastAsia="en-GB"/>
              </w:rPr>
            </w:pPr>
            <w:r w:rsidRPr="0007251E">
              <w:rPr>
                <w:rFonts w:ascii="Verdana" w:eastAsia="Times New Roman" w:hAnsi="Verdana" w:cs="Calibri"/>
                <w:color w:val="000000"/>
                <w:sz w:val="2"/>
                <w:szCs w:val="2"/>
                <w:lang w:val="pt-BR" w:eastAsia="en-GB"/>
              </w:rPr>
              <w:t xml:space="preserve"> </w:t>
            </w:r>
          </w:p>
        </w:tc>
        <w:tc>
          <w:tcPr>
            <w:tcW w:w="1543" w:type="dxa"/>
            <w:tcBorders>
              <w:top w:val="nil"/>
              <w:left w:val="single" w:sz="8" w:space="0" w:color="000000"/>
              <w:bottom w:val="nil"/>
              <w:right w:val="single" w:sz="8" w:space="0" w:color="000000"/>
            </w:tcBorders>
            <w:shd w:val="clear" w:color="auto" w:fill="auto"/>
            <w:vAlign w:val="center"/>
            <w:hideMark/>
          </w:tcPr>
          <w:p w14:paraId="517D3DE7" w14:textId="77777777" w:rsidR="0007251E" w:rsidRPr="0007251E" w:rsidRDefault="0007251E" w:rsidP="0007251E">
            <w:pPr>
              <w:jc w:val="right"/>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xml:space="preserve"> </w:t>
            </w:r>
          </w:p>
        </w:tc>
        <w:tc>
          <w:tcPr>
            <w:tcW w:w="1496" w:type="dxa"/>
            <w:tcBorders>
              <w:top w:val="nil"/>
              <w:left w:val="nil"/>
              <w:bottom w:val="nil"/>
              <w:right w:val="nil"/>
            </w:tcBorders>
            <w:shd w:val="clear" w:color="auto" w:fill="auto"/>
            <w:vAlign w:val="center"/>
            <w:hideMark/>
          </w:tcPr>
          <w:p w14:paraId="4CBCABB2" w14:textId="77777777" w:rsidR="0007251E" w:rsidRPr="0007251E" w:rsidRDefault="0007251E" w:rsidP="0007251E">
            <w:pPr>
              <w:jc w:val="right"/>
              <w:rPr>
                <w:rFonts w:ascii="Verdana" w:eastAsia="Times New Roman" w:hAnsi="Verdana" w:cs="Calibri"/>
                <w:color w:val="000000"/>
                <w:sz w:val="2"/>
                <w:szCs w:val="2"/>
                <w:lang w:val="en-GB" w:eastAsia="en-GB"/>
              </w:rPr>
            </w:pPr>
            <w:r w:rsidRPr="0007251E">
              <w:rPr>
                <w:rFonts w:ascii="Verdana" w:eastAsia="Times New Roman" w:hAnsi="Verdana" w:cs="Calibri"/>
                <w:color w:val="000000"/>
                <w:sz w:val="2"/>
                <w:szCs w:val="2"/>
                <w:lang w:val="pt-BR" w:eastAsia="en-GB"/>
              </w:rPr>
              <w:t xml:space="preserve"> </w:t>
            </w:r>
          </w:p>
        </w:tc>
        <w:tc>
          <w:tcPr>
            <w:tcW w:w="1638" w:type="dxa"/>
            <w:tcBorders>
              <w:top w:val="nil"/>
              <w:left w:val="single" w:sz="8" w:space="0" w:color="000000"/>
              <w:bottom w:val="nil"/>
              <w:right w:val="nil"/>
            </w:tcBorders>
            <w:shd w:val="clear" w:color="auto" w:fill="auto"/>
            <w:vAlign w:val="center"/>
            <w:hideMark/>
          </w:tcPr>
          <w:p w14:paraId="7D13B143" w14:textId="77777777" w:rsidR="0007251E" w:rsidRPr="0007251E" w:rsidRDefault="0007251E" w:rsidP="0007251E">
            <w:pPr>
              <w:jc w:val="right"/>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xml:space="preserve"> </w:t>
            </w:r>
          </w:p>
        </w:tc>
      </w:tr>
      <w:tr w:rsidR="0007251E" w:rsidRPr="0007251E" w14:paraId="6DC3B730" w14:textId="77777777" w:rsidTr="00097018">
        <w:trPr>
          <w:trHeight w:val="117"/>
          <w:jc w:val="center"/>
        </w:trPr>
        <w:tc>
          <w:tcPr>
            <w:tcW w:w="6901" w:type="dxa"/>
            <w:tcBorders>
              <w:top w:val="nil"/>
              <w:left w:val="nil"/>
              <w:bottom w:val="nil"/>
              <w:right w:val="nil"/>
            </w:tcBorders>
            <w:shd w:val="clear" w:color="auto" w:fill="auto"/>
            <w:vAlign w:val="center"/>
            <w:hideMark/>
          </w:tcPr>
          <w:p w14:paraId="2CDFAD12" w14:textId="77777777" w:rsidR="0007251E" w:rsidRPr="0007251E" w:rsidRDefault="0007251E" w:rsidP="0007251E">
            <w:pPr>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Surplus or deficit on the provision of services</w:t>
            </w:r>
          </w:p>
        </w:tc>
        <w:tc>
          <w:tcPr>
            <w:tcW w:w="1776" w:type="dxa"/>
            <w:tcBorders>
              <w:top w:val="nil"/>
              <w:left w:val="single" w:sz="8" w:space="0" w:color="000000"/>
              <w:bottom w:val="nil"/>
              <w:right w:val="nil"/>
            </w:tcBorders>
            <w:shd w:val="clear" w:color="auto" w:fill="auto"/>
            <w:vAlign w:val="center"/>
            <w:hideMark/>
          </w:tcPr>
          <w:p w14:paraId="1BFF4EE7"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68,528</w:t>
            </w:r>
          </w:p>
        </w:tc>
        <w:tc>
          <w:tcPr>
            <w:tcW w:w="1543" w:type="dxa"/>
            <w:tcBorders>
              <w:top w:val="nil"/>
              <w:left w:val="single" w:sz="8" w:space="0" w:color="000000"/>
              <w:bottom w:val="nil"/>
              <w:right w:val="single" w:sz="8" w:space="0" w:color="000000"/>
            </w:tcBorders>
            <w:shd w:val="clear" w:color="auto" w:fill="auto"/>
            <w:vAlign w:val="center"/>
            <w:hideMark/>
          </w:tcPr>
          <w:p w14:paraId="2C82B2B6"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68,528</w:t>
            </w:r>
          </w:p>
        </w:tc>
        <w:tc>
          <w:tcPr>
            <w:tcW w:w="1496" w:type="dxa"/>
            <w:tcBorders>
              <w:top w:val="nil"/>
              <w:left w:val="nil"/>
              <w:bottom w:val="nil"/>
              <w:right w:val="nil"/>
            </w:tcBorders>
            <w:shd w:val="clear" w:color="auto" w:fill="auto"/>
            <w:noWrap/>
            <w:vAlign w:val="bottom"/>
            <w:hideMark/>
          </w:tcPr>
          <w:p w14:paraId="2D0EABD6" w14:textId="77777777" w:rsidR="0007251E" w:rsidRPr="0007251E" w:rsidRDefault="0007251E" w:rsidP="0007251E">
            <w:pPr>
              <w:jc w:val="right"/>
              <w:rPr>
                <w:rFonts w:ascii="Verdana" w:eastAsia="Times New Roman" w:hAnsi="Verdana" w:cs="Calibri"/>
                <w:b/>
                <w:bCs/>
                <w:color w:val="000000"/>
                <w:sz w:val="16"/>
                <w:szCs w:val="16"/>
                <w:lang w:val="en-GB" w:eastAsia="en-GB"/>
              </w:rPr>
            </w:pPr>
          </w:p>
        </w:tc>
        <w:tc>
          <w:tcPr>
            <w:tcW w:w="1638" w:type="dxa"/>
            <w:tcBorders>
              <w:top w:val="nil"/>
              <w:left w:val="single" w:sz="8" w:space="0" w:color="000000"/>
              <w:bottom w:val="nil"/>
              <w:right w:val="nil"/>
            </w:tcBorders>
            <w:shd w:val="clear" w:color="auto" w:fill="auto"/>
            <w:vAlign w:val="center"/>
            <w:hideMark/>
          </w:tcPr>
          <w:p w14:paraId="26E301AB"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68,528</w:t>
            </w:r>
          </w:p>
        </w:tc>
      </w:tr>
      <w:tr w:rsidR="0007251E" w:rsidRPr="0007251E" w14:paraId="6B4C5384" w14:textId="77777777" w:rsidTr="00097018">
        <w:trPr>
          <w:trHeight w:val="348"/>
          <w:jc w:val="center"/>
        </w:trPr>
        <w:tc>
          <w:tcPr>
            <w:tcW w:w="6901" w:type="dxa"/>
            <w:tcBorders>
              <w:top w:val="nil"/>
              <w:left w:val="nil"/>
              <w:bottom w:val="single" w:sz="8" w:space="0" w:color="000000"/>
              <w:right w:val="nil"/>
            </w:tcBorders>
            <w:shd w:val="clear" w:color="auto" w:fill="auto"/>
            <w:vAlign w:val="center"/>
            <w:hideMark/>
          </w:tcPr>
          <w:p w14:paraId="0857A3E0" w14:textId="77777777" w:rsidR="0007251E" w:rsidRPr="0007251E" w:rsidRDefault="0007251E" w:rsidP="0007251E">
            <w:pPr>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Other Comprehensive Income / Expenditure</w:t>
            </w:r>
          </w:p>
        </w:tc>
        <w:tc>
          <w:tcPr>
            <w:tcW w:w="1776" w:type="dxa"/>
            <w:tcBorders>
              <w:top w:val="nil"/>
              <w:left w:val="single" w:sz="8" w:space="0" w:color="000000"/>
              <w:bottom w:val="single" w:sz="8" w:space="0" w:color="000000"/>
              <w:right w:val="nil"/>
            </w:tcBorders>
            <w:shd w:val="clear" w:color="auto" w:fill="auto"/>
            <w:vAlign w:val="center"/>
            <w:hideMark/>
          </w:tcPr>
          <w:p w14:paraId="25369088" w14:textId="77777777" w:rsidR="0007251E" w:rsidRPr="0007251E" w:rsidRDefault="0007251E" w:rsidP="0007251E">
            <w:pPr>
              <w:jc w:val="right"/>
              <w:rPr>
                <w:rFonts w:ascii="Verdana" w:eastAsia="Times New Roman" w:hAnsi="Verdana" w:cs="Calibri"/>
                <w:color w:val="000000"/>
                <w:sz w:val="2"/>
                <w:szCs w:val="2"/>
                <w:lang w:val="en-GB" w:eastAsia="en-GB"/>
              </w:rPr>
            </w:pPr>
            <w:r w:rsidRPr="0007251E">
              <w:rPr>
                <w:rFonts w:ascii="Verdana" w:eastAsia="Times New Roman" w:hAnsi="Verdana" w:cs="Calibri"/>
                <w:color w:val="000000"/>
                <w:sz w:val="2"/>
                <w:szCs w:val="2"/>
                <w:lang w:val="pt-BR" w:eastAsia="en-GB"/>
              </w:rPr>
              <w:t> </w:t>
            </w:r>
          </w:p>
        </w:tc>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3953882D" w14:textId="77777777" w:rsidR="0007251E" w:rsidRPr="0007251E" w:rsidRDefault="0007251E" w:rsidP="0007251E">
            <w:pPr>
              <w:jc w:val="right"/>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w:t>
            </w:r>
          </w:p>
        </w:tc>
        <w:tc>
          <w:tcPr>
            <w:tcW w:w="1496" w:type="dxa"/>
            <w:tcBorders>
              <w:top w:val="nil"/>
              <w:left w:val="nil"/>
              <w:bottom w:val="single" w:sz="8" w:space="0" w:color="000000"/>
              <w:right w:val="single" w:sz="8" w:space="0" w:color="000000"/>
            </w:tcBorders>
            <w:shd w:val="clear" w:color="auto" w:fill="auto"/>
            <w:vAlign w:val="center"/>
            <w:hideMark/>
          </w:tcPr>
          <w:p w14:paraId="549BE6DC"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79,860</w:t>
            </w:r>
          </w:p>
        </w:tc>
        <w:tc>
          <w:tcPr>
            <w:tcW w:w="1638" w:type="dxa"/>
            <w:tcBorders>
              <w:top w:val="nil"/>
              <w:left w:val="nil"/>
              <w:bottom w:val="single" w:sz="8" w:space="0" w:color="000000"/>
              <w:right w:val="nil"/>
            </w:tcBorders>
            <w:shd w:val="clear" w:color="auto" w:fill="auto"/>
            <w:vAlign w:val="center"/>
            <w:hideMark/>
          </w:tcPr>
          <w:p w14:paraId="7BF46ED1"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79,860</w:t>
            </w:r>
          </w:p>
        </w:tc>
      </w:tr>
      <w:tr w:rsidR="0007251E" w:rsidRPr="0007251E" w14:paraId="495F1539" w14:textId="77777777" w:rsidTr="00097018">
        <w:trPr>
          <w:trHeight w:val="320"/>
          <w:jc w:val="center"/>
        </w:trPr>
        <w:tc>
          <w:tcPr>
            <w:tcW w:w="6901" w:type="dxa"/>
            <w:tcBorders>
              <w:top w:val="nil"/>
              <w:left w:val="nil"/>
              <w:bottom w:val="nil"/>
              <w:right w:val="nil"/>
            </w:tcBorders>
            <w:shd w:val="clear" w:color="auto" w:fill="auto"/>
            <w:vAlign w:val="center"/>
            <w:hideMark/>
          </w:tcPr>
          <w:p w14:paraId="6A2CD813"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Total Comprehensive Income and Expenditure</w:t>
            </w:r>
          </w:p>
        </w:tc>
        <w:tc>
          <w:tcPr>
            <w:tcW w:w="1776" w:type="dxa"/>
            <w:tcBorders>
              <w:top w:val="nil"/>
              <w:left w:val="single" w:sz="8" w:space="0" w:color="000000"/>
              <w:bottom w:val="nil"/>
              <w:right w:val="nil"/>
            </w:tcBorders>
            <w:shd w:val="clear" w:color="auto" w:fill="auto"/>
            <w:vAlign w:val="center"/>
            <w:hideMark/>
          </w:tcPr>
          <w:p w14:paraId="556A4B1C"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68,528</w:t>
            </w:r>
          </w:p>
        </w:tc>
        <w:tc>
          <w:tcPr>
            <w:tcW w:w="1543" w:type="dxa"/>
            <w:tcBorders>
              <w:top w:val="nil"/>
              <w:left w:val="single" w:sz="8" w:space="0" w:color="000000"/>
              <w:bottom w:val="nil"/>
              <w:right w:val="single" w:sz="8" w:space="0" w:color="000000"/>
            </w:tcBorders>
            <w:shd w:val="clear" w:color="auto" w:fill="auto"/>
            <w:vAlign w:val="center"/>
            <w:hideMark/>
          </w:tcPr>
          <w:p w14:paraId="69D054D3"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68,528</w:t>
            </w:r>
          </w:p>
        </w:tc>
        <w:tc>
          <w:tcPr>
            <w:tcW w:w="1496" w:type="dxa"/>
            <w:tcBorders>
              <w:top w:val="nil"/>
              <w:left w:val="nil"/>
              <w:bottom w:val="nil"/>
              <w:right w:val="single" w:sz="8" w:space="0" w:color="000000"/>
            </w:tcBorders>
            <w:shd w:val="clear" w:color="auto" w:fill="auto"/>
            <w:vAlign w:val="center"/>
            <w:hideMark/>
          </w:tcPr>
          <w:p w14:paraId="785312D1"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79,860</w:t>
            </w:r>
          </w:p>
        </w:tc>
        <w:tc>
          <w:tcPr>
            <w:tcW w:w="1638" w:type="dxa"/>
            <w:tcBorders>
              <w:top w:val="nil"/>
              <w:left w:val="nil"/>
              <w:bottom w:val="nil"/>
              <w:right w:val="nil"/>
            </w:tcBorders>
            <w:shd w:val="clear" w:color="auto" w:fill="auto"/>
            <w:vAlign w:val="center"/>
            <w:hideMark/>
          </w:tcPr>
          <w:p w14:paraId="2605D8E8"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148,388</w:t>
            </w:r>
          </w:p>
        </w:tc>
      </w:tr>
      <w:tr w:rsidR="0007251E" w:rsidRPr="0007251E" w14:paraId="05375F6C" w14:textId="77777777" w:rsidTr="00097018">
        <w:trPr>
          <w:trHeight w:val="74"/>
          <w:jc w:val="center"/>
        </w:trPr>
        <w:tc>
          <w:tcPr>
            <w:tcW w:w="6901" w:type="dxa"/>
            <w:tcBorders>
              <w:top w:val="nil"/>
              <w:left w:val="nil"/>
              <w:bottom w:val="single" w:sz="8" w:space="0" w:color="auto"/>
              <w:right w:val="nil"/>
            </w:tcBorders>
            <w:shd w:val="clear" w:color="auto" w:fill="auto"/>
            <w:vAlign w:val="center"/>
            <w:hideMark/>
          </w:tcPr>
          <w:p w14:paraId="5FBDF67C" w14:textId="77777777" w:rsidR="0007251E" w:rsidRPr="0007251E" w:rsidRDefault="0007251E" w:rsidP="0007251E">
            <w:pPr>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Adjustments between accounting basis and funding basis under regulations</w:t>
            </w:r>
          </w:p>
        </w:tc>
        <w:tc>
          <w:tcPr>
            <w:tcW w:w="1776" w:type="dxa"/>
            <w:tcBorders>
              <w:top w:val="nil"/>
              <w:left w:val="single" w:sz="8" w:space="0" w:color="000000"/>
              <w:bottom w:val="single" w:sz="8" w:space="0" w:color="000000"/>
              <w:right w:val="single" w:sz="8" w:space="0" w:color="000000"/>
            </w:tcBorders>
            <w:shd w:val="clear" w:color="auto" w:fill="auto"/>
            <w:vAlign w:val="center"/>
            <w:hideMark/>
          </w:tcPr>
          <w:p w14:paraId="15A5D787"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(68,528)</w:t>
            </w:r>
          </w:p>
        </w:tc>
        <w:tc>
          <w:tcPr>
            <w:tcW w:w="1543" w:type="dxa"/>
            <w:tcBorders>
              <w:top w:val="nil"/>
              <w:left w:val="nil"/>
              <w:bottom w:val="single" w:sz="8" w:space="0" w:color="auto"/>
              <w:right w:val="single" w:sz="8" w:space="0" w:color="000000"/>
            </w:tcBorders>
            <w:shd w:val="clear" w:color="auto" w:fill="auto"/>
            <w:vAlign w:val="center"/>
            <w:hideMark/>
          </w:tcPr>
          <w:p w14:paraId="164A1FC6"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(68,528)</w:t>
            </w:r>
          </w:p>
        </w:tc>
        <w:tc>
          <w:tcPr>
            <w:tcW w:w="1496" w:type="dxa"/>
            <w:tcBorders>
              <w:top w:val="nil"/>
              <w:left w:val="nil"/>
              <w:bottom w:val="single" w:sz="8" w:space="0" w:color="auto"/>
              <w:right w:val="nil"/>
            </w:tcBorders>
            <w:shd w:val="clear" w:color="auto" w:fill="auto"/>
            <w:vAlign w:val="center"/>
            <w:hideMark/>
          </w:tcPr>
          <w:p w14:paraId="34B1BE94" w14:textId="726C577D"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68</w:t>
            </w:r>
            <w:r w:rsidR="00D13699">
              <w:rPr>
                <w:rFonts w:ascii="Verdana" w:eastAsia="Times New Roman" w:hAnsi="Verdana" w:cs="Calibri"/>
                <w:b/>
                <w:bCs/>
                <w:color w:val="000000"/>
                <w:sz w:val="16"/>
                <w:szCs w:val="16"/>
                <w:lang w:val="pt-BR" w:eastAsia="en-GB"/>
              </w:rPr>
              <w:t>,</w:t>
            </w:r>
            <w:r w:rsidRPr="0007251E">
              <w:rPr>
                <w:rFonts w:ascii="Verdana" w:eastAsia="Times New Roman" w:hAnsi="Verdana" w:cs="Calibri"/>
                <w:b/>
                <w:bCs/>
                <w:color w:val="000000"/>
                <w:sz w:val="16"/>
                <w:szCs w:val="16"/>
                <w:lang w:val="pt-BR" w:eastAsia="en-GB"/>
              </w:rPr>
              <w:t>528</w:t>
            </w:r>
          </w:p>
        </w:tc>
        <w:tc>
          <w:tcPr>
            <w:tcW w:w="1638" w:type="dxa"/>
            <w:tcBorders>
              <w:top w:val="nil"/>
              <w:left w:val="single" w:sz="8" w:space="0" w:color="000000"/>
              <w:bottom w:val="single" w:sz="8" w:space="0" w:color="auto"/>
              <w:right w:val="nil"/>
            </w:tcBorders>
            <w:shd w:val="clear" w:color="auto" w:fill="auto"/>
            <w:vAlign w:val="center"/>
            <w:hideMark/>
          </w:tcPr>
          <w:p w14:paraId="21E910D4"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r>
      <w:tr w:rsidR="0007251E" w:rsidRPr="0007251E" w14:paraId="49632BD0" w14:textId="77777777" w:rsidTr="00097018">
        <w:trPr>
          <w:trHeight w:val="336"/>
          <w:jc w:val="center"/>
        </w:trPr>
        <w:tc>
          <w:tcPr>
            <w:tcW w:w="6901" w:type="dxa"/>
            <w:tcBorders>
              <w:top w:val="nil"/>
              <w:left w:val="nil"/>
              <w:bottom w:val="single" w:sz="8" w:space="0" w:color="auto"/>
              <w:right w:val="nil"/>
            </w:tcBorders>
            <w:shd w:val="clear" w:color="auto" w:fill="auto"/>
            <w:vAlign w:val="center"/>
            <w:hideMark/>
          </w:tcPr>
          <w:p w14:paraId="385473DF"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Increase or Decrease in 2020/21</w:t>
            </w:r>
          </w:p>
        </w:tc>
        <w:tc>
          <w:tcPr>
            <w:tcW w:w="1776" w:type="dxa"/>
            <w:tcBorders>
              <w:top w:val="nil"/>
              <w:left w:val="single" w:sz="8" w:space="0" w:color="000000"/>
              <w:bottom w:val="single" w:sz="8" w:space="0" w:color="auto"/>
              <w:right w:val="nil"/>
            </w:tcBorders>
            <w:shd w:val="clear" w:color="auto" w:fill="auto"/>
            <w:vAlign w:val="center"/>
            <w:hideMark/>
          </w:tcPr>
          <w:p w14:paraId="1AEE1059"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543" w:type="dxa"/>
            <w:tcBorders>
              <w:top w:val="nil"/>
              <w:left w:val="single" w:sz="8" w:space="0" w:color="000000"/>
              <w:bottom w:val="single" w:sz="8" w:space="0" w:color="auto"/>
              <w:right w:val="nil"/>
            </w:tcBorders>
            <w:shd w:val="clear" w:color="auto" w:fill="auto"/>
            <w:vAlign w:val="center"/>
            <w:hideMark/>
          </w:tcPr>
          <w:p w14:paraId="39F5F41C"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496" w:type="dxa"/>
            <w:tcBorders>
              <w:top w:val="nil"/>
              <w:left w:val="single" w:sz="8" w:space="0" w:color="000000"/>
              <w:bottom w:val="single" w:sz="8" w:space="0" w:color="auto"/>
              <w:right w:val="nil"/>
            </w:tcBorders>
            <w:shd w:val="clear" w:color="auto" w:fill="auto"/>
            <w:vAlign w:val="center"/>
            <w:hideMark/>
          </w:tcPr>
          <w:p w14:paraId="2BA29E7B"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148,388</w:t>
            </w:r>
          </w:p>
        </w:tc>
        <w:tc>
          <w:tcPr>
            <w:tcW w:w="1638" w:type="dxa"/>
            <w:tcBorders>
              <w:top w:val="nil"/>
              <w:left w:val="single" w:sz="8" w:space="0" w:color="000000"/>
              <w:bottom w:val="single" w:sz="8" w:space="0" w:color="auto"/>
              <w:right w:val="nil"/>
            </w:tcBorders>
            <w:shd w:val="clear" w:color="auto" w:fill="auto"/>
            <w:vAlign w:val="center"/>
            <w:hideMark/>
          </w:tcPr>
          <w:p w14:paraId="18A69307"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148,388</w:t>
            </w:r>
          </w:p>
        </w:tc>
      </w:tr>
      <w:tr w:rsidR="0007251E" w:rsidRPr="0007251E" w14:paraId="5E948BA8" w14:textId="77777777" w:rsidTr="00097018">
        <w:trPr>
          <w:trHeight w:val="336"/>
          <w:jc w:val="center"/>
        </w:trPr>
        <w:tc>
          <w:tcPr>
            <w:tcW w:w="6901" w:type="dxa"/>
            <w:tcBorders>
              <w:top w:val="single" w:sz="8" w:space="0" w:color="auto"/>
              <w:left w:val="nil"/>
              <w:bottom w:val="single" w:sz="4" w:space="0" w:color="auto"/>
              <w:right w:val="nil"/>
            </w:tcBorders>
            <w:shd w:val="clear" w:color="auto" w:fill="auto"/>
            <w:vAlign w:val="center"/>
            <w:hideMark/>
          </w:tcPr>
          <w:p w14:paraId="7C94B435"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Balance at 31 March 2021</w:t>
            </w:r>
          </w:p>
        </w:tc>
        <w:tc>
          <w:tcPr>
            <w:tcW w:w="1776" w:type="dxa"/>
            <w:tcBorders>
              <w:top w:val="single" w:sz="8" w:space="0" w:color="auto"/>
              <w:left w:val="single" w:sz="8" w:space="0" w:color="000000"/>
              <w:bottom w:val="single" w:sz="4" w:space="0" w:color="auto"/>
              <w:right w:val="nil"/>
            </w:tcBorders>
            <w:shd w:val="clear" w:color="auto" w:fill="auto"/>
            <w:vAlign w:val="center"/>
            <w:hideMark/>
          </w:tcPr>
          <w:p w14:paraId="6FD259CD"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543" w:type="dxa"/>
            <w:tcBorders>
              <w:top w:val="single" w:sz="8" w:space="0" w:color="auto"/>
              <w:left w:val="single" w:sz="8" w:space="0" w:color="000000"/>
              <w:bottom w:val="single" w:sz="4" w:space="0" w:color="auto"/>
              <w:right w:val="nil"/>
            </w:tcBorders>
            <w:shd w:val="clear" w:color="auto" w:fill="auto"/>
            <w:vAlign w:val="center"/>
            <w:hideMark/>
          </w:tcPr>
          <w:p w14:paraId="73CBF3BF"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496" w:type="dxa"/>
            <w:tcBorders>
              <w:top w:val="single" w:sz="8" w:space="0" w:color="auto"/>
              <w:left w:val="single" w:sz="8" w:space="0" w:color="000000"/>
              <w:bottom w:val="single" w:sz="4" w:space="0" w:color="auto"/>
              <w:right w:val="nil"/>
            </w:tcBorders>
            <w:shd w:val="clear" w:color="auto" w:fill="auto"/>
            <w:vAlign w:val="center"/>
            <w:hideMark/>
          </w:tcPr>
          <w:p w14:paraId="7252E457"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2,175,996</w:t>
            </w:r>
          </w:p>
        </w:tc>
        <w:tc>
          <w:tcPr>
            <w:tcW w:w="1638" w:type="dxa"/>
            <w:tcBorders>
              <w:top w:val="single" w:sz="8" w:space="0" w:color="auto"/>
              <w:left w:val="single" w:sz="8" w:space="0" w:color="000000"/>
              <w:bottom w:val="single" w:sz="4" w:space="0" w:color="auto"/>
              <w:right w:val="nil"/>
            </w:tcBorders>
            <w:shd w:val="clear" w:color="auto" w:fill="auto"/>
            <w:vAlign w:val="center"/>
            <w:hideMark/>
          </w:tcPr>
          <w:p w14:paraId="710EC47B"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2,175,996</w:t>
            </w:r>
          </w:p>
        </w:tc>
      </w:tr>
      <w:tr w:rsidR="0007251E" w:rsidRPr="0007251E" w14:paraId="565DC9E3" w14:textId="77777777" w:rsidTr="00097018">
        <w:trPr>
          <w:trHeight w:val="74"/>
          <w:jc w:val="center"/>
        </w:trPr>
        <w:tc>
          <w:tcPr>
            <w:tcW w:w="6901" w:type="dxa"/>
            <w:tcBorders>
              <w:top w:val="single" w:sz="4" w:space="0" w:color="auto"/>
              <w:left w:val="nil"/>
              <w:bottom w:val="nil"/>
              <w:right w:val="nil"/>
            </w:tcBorders>
            <w:shd w:val="clear" w:color="auto" w:fill="auto"/>
            <w:vAlign w:val="center"/>
            <w:hideMark/>
          </w:tcPr>
          <w:p w14:paraId="106042AD" w14:textId="77777777" w:rsidR="0007251E" w:rsidRPr="0007251E" w:rsidRDefault="0007251E" w:rsidP="0007251E">
            <w:pPr>
              <w:jc w:val="center"/>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en-GB" w:eastAsia="en-GB"/>
              </w:rPr>
              <w:t xml:space="preserve"> </w:t>
            </w:r>
          </w:p>
        </w:tc>
        <w:tc>
          <w:tcPr>
            <w:tcW w:w="1776" w:type="dxa"/>
            <w:tcBorders>
              <w:top w:val="single" w:sz="4" w:space="0" w:color="auto"/>
              <w:left w:val="nil"/>
              <w:bottom w:val="nil"/>
              <w:right w:val="nil"/>
            </w:tcBorders>
            <w:shd w:val="clear" w:color="auto" w:fill="auto"/>
            <w:vAlign w:val="center"/>
            <w:hideMark/>
          </w:tcPr>
          <w:p w14:paraId="665C5F2B" w14:textId="77777777" w:rsidR="00097018" w:rsidRDefault="00097018" w:rsidP="0007251E">
            <w:pPr>
              <w:jc w:val="center"/>
              <w:rPr>
                <w:rFonts w:ascii="Verdana" w:eastAsia="Times New Roman" w:hAnsi="Verdana" w:cs="Calibri"/>
                <w:b/>
                <w:bCs/>
                <w:color w:val="000000"/>
                <w:sz w:val="16"/>
                <w:szCs w:val="16"/>
                <w:lang w:val="pt-BR" w:eastAsia="en-GB"/>
              </w:rPr>
            </w:pPr>
          </w:p>
          <w:p w14:paraId="57EA9B39"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General Fund Balance</w:t>
            </w:r>
          </w:p>
        </w:tc>
        <w:tc>
          <w:tcPr>
            <w:tcW w:w="1543" w:type="dxa"/>
            <w:tcBorders>
              <w:top w:val="single" w:sz="4" w:space="0" w:color="auto"/>
              <w:left w:val="nil"/>
              <w:bottom w:val="nil"/>
              <w:right w:val="nil"/>
            </w:tcBorders>
            <w:shd w:val="clear" w:color="auto" w:fill="auto"/>
            <w:vAlign w:val="center"/>
            <w:hideMark/>
          </w:tcPr>
          <w:p w14:paraId="4BECA0D5" w14:textId="77777777" w:rsidR="00097018" w:rsidRDefault="00097018" w:rsidP="0007251E">
            <w:pPr>
              <w:jc w:val="center"/>
              <w:rPr>
                <w:rFonts w:ascii="Verdana" w:eastAsia="Times New Roman" w:hAnsi="Verdana" w:cs="Calibri"/>
                <w:b/>
                <w:bCs/>
                <w:color w:val="000000"/>
                <w:sz w:val="16"/>
                <w:szCs w:val="16"/>
                <w:lang w:val="pt-BR" w:eastAsia="en-GB"/>
              </w:rPr>
            </w:pPr>
          </w:p>
          <w:p w14:paraId="5E51B245"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Total Usable Reserves</w:t>
            </w:r>
          </w:p>
        </w:tc>
        <w:tc>
          <w:tcPr>
            <w:tcW w:w="1496" w:type="dxa"/>
            <w:tcBorders>
              <w:top w:val="single" w:sz="4" w:space="0" w:color="auto"/>
              <w:left w:val="nil"/>
              <w:bottom w:val="nil"/>
              <w:right w:val="nil"/>
            </w:tcBorders>
            <w:shd w:val="clear" w:color="auto" w:fill="auto"/>
            <w:vAlign w:val="center"/>
            <w:hideMark/>
          </w:tcPr>
          <w:p w14:paraId="4FE2DC00" w14:textId="77777777" w:rsidR="00097018" w:rsidRDefault="00097018" w:rsidP="0007251E">
            <w:pPr>
              <w:jc w:val="center"/>
              <w:rPr>
                <w:rFonts w:ascii="Verdana" w:eastAsia="Times New Roman" w:hAnsi="Verdana" w:cs="Calibri"/>
                <w:b/>
                <w:bCs/>
                <w:color w:val="000000"/>
                <w:sz w:val="16"/>
                <w:szCs w:val="16"/>
                <w:lang w:val="pt-BR" w:eastAsia="en-GB"/>
              </w:rPr>
            </w:pPr>
          </w:p>
          <w:p w14:paraId="7F30F5BA"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Unusable Reserves</w:t>
            </w:r>
          </w:p>
        </w:tc>
        <w:tc>
          <w:tcPr>
            <w:tcW w:w="1638" w:type="dxa"/>
            <w:tcBorders>
              <w:top w:val="single" w:sz="4" w:space="0" w:color="auto"/>
              <w:left w:val="nil"/>
              <w:bottom w:val="nil"/>
              <w:right w:val="nil"/>
            </w:tcBorders>
            <w:shd w:val="clear" w:color="auto" w:fill="auto"/>
            <w:vAlign w:val="center"/>
            <w:hideMark/>
          </w:tcPr>
          <w:p w14:paraId="4D1ED6EC" w14:textId="77777777" w:rsidR="00097018" w:rsidRDefault="00097018" w:rsidP="0007251E">
            <w:pPr>
              <w:jc w:val="center"/>
              <w:rPr>
                <w:rFonts w:ascii="Verdana" w:eastAsia="Times New Roman" w:hAnsi="Verdana" w:cs="Calibri"/>
                <w:b/>
                <w:bCs/>
                <w:color w:val="000000"/>
                <w:sz w:val="16"/>
                <w:szCs w:val="16"/>
                <w:lang w:val="pt-BR" w:eastAsia="en-GB"/>
              </w:rPr>
            </w:pPr>
          </w:p>
          <w:p w14:paraId="144FD9A8" w14:textId="77777777" w:rsidR="0007251E" w:rsidRPr="0007251E" w:rsidRDefault="0007251E" w:rsidP="0007251E">
            <w:pPr>
              <w:jc w:val="cente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Total Reserves</w:t>
            </w:r>
          </w:p>
        </w:tc>
      </w:tr>
      <w:tr w:rsidR="0007251E" w:rsidRPr="0007251E" w14:paraId="690C6BD3" w14:textId="77777777" w:rsidTr="00097018">
        <w:trPr>
          <w:trHeight w:val="336"/>
          <w:jc w:val="center"/>
        </w:trPr>
        <w:tc>
          <w:tcPr>
            <w:tcW w:w="6901" w:type="dxa"/>
            <w:tcBorders>
              <w:top w:val="nil"/>
              <w:left w:val="nil"/>
              <w:bottom w:val="single" w:sz="8" w:space="0" w:color="000000"/>
              <w:right w:val="nil"/>
            </w:tcBorders>
            <w:shd w:val="clear" w:color="auto" w:fill="auto"/>
            <w:vAlign w:val="center"/>
            <w:hideMark/>
          </w:tcPr>
          <w:p w14:paraId="6716EAB8" w14:textId="77777777" w:rsidR="0007251E" w:rsidRPr="0007251E" w:rsidRDefault="0007251E" w:rsidP="0007251E">
            <w:pPr>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w:t>
            </w:r>
          </w:p>
        </w:tc>
        <w:tc>
          <w:tcPr>
            <w:tcW w:w="1776" w:type="dxa"/>
            <w:tcBorders>
              <w:top w:val="nil"/>
              <w:left w:val="nil"/>
              <w:bottom w:val="single" w:sz="8" w:space="0" w:color="000000"/>
              <w:right w:val="nil"/>
            </w:tcBorders>
            <w:shd w:val="clear" w:color="auto" w:fill="auto"/>
            <w:vAlign w:val="center"/>
            <w:hideMark/>
          </w:tcPr>
          <w:p w14:paraId="75378C34" w14:textId="1366FB6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w:t>
            </w:r>
            <w:r w:rsidR="00097018">
              <w:rPr>
                <w:rFonts w:ascii="Verdana" w:eastAsia="Times New Roman" w:hAnsi="Verdana" w:cs="Calibri"/>
                <w:b/>
                <w:bCs/>
                <w:color w:val="000000"/>
                <w:sz w:val="16"/>
                <w:szCs w:val="16"/>
                <w:lang w:val="pt-BR" w:eastAsia="en-GB"/>
              </w:rPr>
              <w:t>00</w:t>
            </w:r>
            <w:r w:rsidRPr="0007251E">
              <w:rPr>
                <w:rFonts w:ascii="Verdana" w:eastAsia="Times New Roman" w:hAnsi="Verdana" w:cs="Calibri"/>
                <w:b/>
                <w:bCs/>
                <w:color w:val="000000"/>
                <w:sz w:val="16"/>
                <w:szCs w:val="16"/>
                <w:lang w:val="pt-BR" w:eastAsia="en-GB"/>
              </w:rPr>
              <w:t>0</w:t>
            </w:r>
          </w:p>
        </w:tc>
        <w:tc>
          <w:tcPr>
            <w:tcW w:w="1543" w:type="dxa"/>
            <w:tcBorders>
              <w:top w:val="nil"/>
              <w:left w:val="nil"/>
              <w:bottom w:val="single" w:sz="8" w:space="0" w:color="000000"/>
              <w:right w:val="nil"/>
            </w:tcBorders>
            <w:shd w:val="clear" w:color="auto" w:fill="auto"/>
            <w:vAlign w:val="center"/>
            <w:hideMark/>
          </w:tcPr>
          <w:p w14:paraId="6F0A8E4A" w14:textId="70C765F9"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w:t>
            </w:r>
            <w:r w:rsidR="00097018">
              <w:rPr>
                <w:rFonts w:ascii="Verdana" w:eastAsia="Times New Roman" w:hAnsi="Verdana" w:cs="Calibri"/>
                <w:b/>
                <w:bCs/>
                <w:color w:val="000000"/>
                <w:sz w:val="16"/>
                <w:szCs w:val="16"/>
                <w:lang w:val="pt-BR" w:eastAsia="en-GB"/>
              </w:rPr>
              <w:t>00</w:t>
            </w:r>
            <w:r w:rsidRPr="0007251E">
              <w:rPr>
                <w:rFonts w:ascii="Verdana" w:eastAsia="Times New Roman" w:hAnsi="Verdana" w:cs="Calibri"/>
                <w:b/>
                <w:bCs/>
                <w:color w:val="000000"/>
                <w:sz w:val="16"/>
                <w:szCs w:val="16"/>
                <w:lang w:val="pt-BR" w:eastAsia="en-GB"/>
              </w:rPr>
              <w:t>0</w:t>
            </w:r>
          </w:p>
        </w:tc>
        <w:tc>
          <w:tcPr>
            <w:tcW w:w="1496" w:type="dxa"/>
            <w:tcBorders>
              <w:top w:val="nil"/>
              <w:left w:val="nil"/>
              <w:bottom w:val="single" w:sz="8" w:space="0" w:color="000000"/>
              <w:right w:val="nil"/>
            </w:tcBorders>
            <w:shd w:val="clear" w:color="auto" w:fill="auto"/>
            <w:vAlign w:val="center"/>
            <w:hideMark/>
          </w:tcPr>
          <w:p w14:paraId="0301A034" w14:textId="2C9FED35"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w:t>
            </w:r>
            <w:r w:rsidR="00097018">
              <w:rPr>
                <w:rFonts w:ascii="Verdana" w:eastAsia="Times New Roman" w:hAnsi="Verdana" w:cs="Calibri"/>
                <w:b/>
                <w:bCs/>
                <w:color w:val="000000"/>
                <w:sz w:val="16"/>
                <w:szCs w:val="16"/>
                <w:lang w:val="pt-BR" w:eastAsia="en-GB"/>
              </w:rPr>
              <w:t>00</w:t>
            </w:r>
            <w:r w:rsidRPr="0007251E">
              <w:rPr>
                <w:rFonts w:ascii="Verdana" w:eastAsia="Times New Roman" w:hAnsi="Verdana" w:cs="Calibri"/>
                <w:b/>
                <w:bCs/>
                <w:color w:val="000000"/>
                <w:sz w:val="16"/>
                <w:szCs w:val="16"/>
                <w:lang w:val="pt-BR" w:eastAsia="en-GB"/>
              </w:rPr>
              <w:t>0</w:t>
            </w:r>
          </w:p>
        </w:tc>
        <w:tc>
          <w:tcPr>
            <w:tcW w:w="1638" w:type="dxa"/>
            <w:tcBorders>
              <w:top w:val="nil"/>
              <w:left w:val="nil"/>
              <w:bottom w:val="single" w:sz="8" w:space="0" w:color="000000"/>
              <w:right w:val="nil"/>
            </w:tcBorders>
            <w:shd w:val="clear" w:color="auto" w:fill="auto"/>
            <w:vAlign w:val="center"/>
            <w:hideMark/>
          </w:tcPr>
          <w:p w14:paraId="706B8CFB" w14:textId="0E5BC58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w:t>
            </w:r>
            <w:r w:rsidR="00097018">
              <w:rPr>
                <w:rFonts w:ascii="Verdana" w:eastAsia="Times New Roman" w:hAnsi="Verdana" w:cs="Calibri"/>
                <w:b/>
                <w:bCs/>
                <w:color w:val="000000"/>
                <w:sz w:val="16"/>
                <w:szCs w:val="16"/>
                <w:lang w:val="pt-BR" w:eastAsia="en-GB"/>
              </w:rPr>
              <w:t>00</w:t>
            </w:r>
            <w:r w:rsidRPr="0007251E">
              <w:rPr>
                <w:rFonts w:ascii="Verdana" w:eastAsia="Times New Roman" w:hAnsi="Verdana" w:cs="Calibri"/>
                <w:b/>
                <w:bCs/>
                <w:color w:val="000000"/>
                <w:sz w:val="16"/>
                <w:szCs w:val="16"/>
                <w:lang w:val="pt-BR" w:eastAsia="en-GB"/>
              </w:rPr>
              <w:t>0</w:t>
            </w:r>
          </w:p>
        </w:tc>
      </w:tr>
      <w:tr w:rsidR="0007251E" w:rsidRPr="0007251E" w14:paraId="1A76F625" w14:textId="77777777" w:rsidTr="00097018">
        <w:trPr>
          <w:trHeight w:val="336"/>
          <w:jc w:val="center"/>
        </w:trPr>
        <w:tc>
          <w:tcPr>
            <w:tcW w:w="6901" w:type="dxa"/>
            <w:tcBorders>
              <w:top w:val="nil"/>
              <w:left w:val="nil"/>
              <w:bottom w:val="single" w:sz="8" w:space="0" w:color="000000"/>
              <w:right w:val="nil"/>
            </w:tcBorders>
            <w:shd w:val="clear" w:color="auto" w:fill="auto"/>
            <w:vAlign w:val="center"/>
            <w:hideMark/>
          </w:tcPr>
          <w:p w14:paraId="1C916B20"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Balance at 31 March 2019</w:t>
            </w:r>
          </w:p>
        </w:tc>
        <w:tc>
          <w:tcPr>
            <w:tcW w:w="1776" w:type="dxa"/>
            <w:tcBorders>
              <w:top w:val="nil"/>
              <w:left w:val="single" w:sz="8" w:space="0" w:color="000000"/>
              <w:bottom w:val="single" w:sz="8" w:space="0" w:color="000000"/>
              <w:right w:val="nil"/>
            </w:tcBorders>
            <w:shd w:val="clear" w:color="auto" w:fill="auto"/>
            <w:vAlign w:val="center"/>
            <w:hideMark/>
          </w:tcPr>
          <w:p w14:paraId="11C76C91"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0</w:t>
            </w:r>
          </w:p>
        </w:tc>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2A9CA429"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496" w:type="dxa"/>
            <w:tcBorders>
              <w:top w:val="nil"/>
              <w:left w:val="nil"/>
              <w:bottom w:val="single" w:sz="8" w:space="0" w:color="000000"/>
              <w:right w:val="nil"/>
            </w:tcBorders>
            <w:shd w:val="clear" w:color="auto" w:fill="auto"/>
            <w:vAlign w:val="center"/>
            <w:hideMark/>
          </w:tcPr>
          <w:p w14:paraId="5652762F"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1,928,827</w:t>
            </w:r>
          </w:p>
        </w:tc>
        <w:tc>
          <w:tcPr>
            <w:tcW w:w="1638" w:type="dxa"/>
            <w:tcBorders>
              <w:top w:val="nil"/>
              <w:left w:val="single" w:sz="8" w:space="0" w:color="000000"/>
              <w:bottom w:val="single" w:sz="8" w:space="0" w:color="000000"/>
              <w:right w:val="nil"/>
            </w:tcBorders>
            <w:shd w:val="clear" w:color="auto" w:fill="auto"/>
            <w:vAlign w:val="center"/>
            <w:hideMark/>
          </w:tcPr>
          <w:p w14:paraId="348CD93E"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1,928,827</w:t>
            </w:r>
          </w:p>
        </w:tc>
      </w:tr>
      <w:tr w:rsidR="0007251E" w:rsidRPr="0007251E" w14:paraId="68E1ABAF" w14:textId="77777777" w:rsidTr="00097018">
        <w:trPr>
          <w:trHeight w:val="54"/>
          <w:jc w:val="center"/>
        </w:trPr>
        <w:tc>
          <w:tcPr>
            <w:tcW w:w="6901" w:type="dxa"/>
            <w:tcBorders>
              <w:top w:val="nil"/>
              <w:left w:val="nil"/>
              <w:bottom w:val="nil"/>
              <w:right w:val="nil"/>
            </w:tcBorders>
            <w:shd w:val="clear" w:color="auto" w:fill="auto"/>
            <w:vAlign w:val="center"/>
            <w:hideMark/>
          </w:tcPr>
          <w:p w14:paraId="60CD9C04"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Movement in reserves during 2019/20</w:t>
            </w:r>
          </w:p>
        </w:tc>
        <w:tc>
          <w:tcPr>
            <w:tcW w:w="1776" w:type="dxa"/>
            <w:tcBorders>
              <w:top w:val="nil"/>
              <w:left w:val="single" w:sz="8" w:space="0" w:color="000000"/>
              <w:bottom w:val="nil"/>
              <w:right w:val="nil"/>
            </w:tcBorders>
            <w:shd w:val="clear" w:color="auto" w:fill="auto"/>
            <w:vAlign w:val="center"/>
            <w:hideMark/>
          </w:tcPr>
          <w:p w14:paraId="4AE73698" w14:textId="77777777" w:rsidR="0007251E" w:rsidRPr="0007251E" w:rsidRDefault="0007251E" w:rsidP="0007251E">
            <w:pPr>
              <w:jc w:val="right"/>
              <w:rPr>
                <w:rFonts w:ascii="Verdana" w:eastAsia="Times New Roman" w:hAnsi="Verdana" w:cs="Calibri"/>
                <w:color w:val="000000"/>
                <w:sz w:val="2"/>
                <w:szCs w:val="2"/>
                <w:lang w:val="en-GB" w:eastAsia="en-GB"/>
              </w:rPr>
            </w:pPr>
            <w:r w:rsidRPr="0007251E">
              <w:rPr>
                <w:rFonts w:ascii="Verdana" w:eastAsia="Times New Roman" w:hAnsi="Verdana" w:cs="Calibri"/>
                <w:color w:val="000000"/>
                <w:sz w:val="2"/>
                <w:szCs w:val="2"/>
                <w:lang w:val="pt-BR" w:eastAsia="en-GB"/>
              </w:rPr>
              <w:t xml:space="preserve"> </w:t>
            </w:r>
          </w:p>
        </w:tc>
        <w:tc>
          <w:tcPr>
            <w:tcW w:w="1543" w:type="dxa"/>
            <w:tcBorders>
              <w:top w:val="nil"/>
              <w:left w:val="single" w:sz="8" w:space="0" w:color="000000"/>
              <w:bottom w:val="nil"/>
              <w:right w:val="single" w:sz="8" w:space="0" w:color="000000"/>
            </w:tcBorders>
            <w:shd w:val="clear" w:color="auto" w:fill="auto"/>
            <w:vAlign w:val="center"/>
            <w:hideMark/>
          </w:tcPr>
          <w:p w14:paraId="232649B3" w14:textId="77777777" w:rsidR="0007251E" w:rsidRPr="0007251E" w:rsidRDefault="0007251E" w:rsidP="0007251E">
            <w:pPr>
              <w:jc w:val="right"/>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xml:space="preserve"> </w:t>
            </w:r>
          </w:p>
        </w:tc>
        <w:tc>
          <w:tcPr>
            <w:tcW w:w="1496" w:type="dxa"/>
            <w:tcBorders>
              <w:top w:val="nil"/>
              <w:left w:val="nil"/>
              <w:bottom w:val="nil"/>
              <w:right w:val="nil"/>
            </w:tcBorders>
            <w:shd w:val="clear" w:color="auto" w:fill="auto"/>
            <w:vAlign w:val="center"/>
            <w:hideMark/>
          </w:tcPr>
          <w:p w14:paraId="0EE621C3" w14:textId="77777777" w:rsidR="0007251E" w:rsidRPr="0007251E" w:rsidRDefault="0007251E" w:rsidP="0007251E">
            <w:pPr>
              <w:jc w:val="right"/>
              <w:rPr>
                <w:rFonts w:ascii="Verdana" w:eastAsia="Times New Roman" w:hAnsi="Verdana" w:cs="Calibri"/>
                <w:color w:val="000000"/>
                <w:sz w:val="2"/>
                <w:szCs w:val="2"/>
                <w:lang w:val="en-GB" w:eastAsia="en-GB"/>
              </w:rPr>
            </w:pPr>
            <w:r w:rsidRPr="0007251E">
              <w:rPr>
                <w:rFonts w:ascii="Verdana" w:eastAsia="Times New Roman" w:hAnsi="Verdana" w:cs="Calibri"/>
                <w:color w:val="000000"/>
                <w:sz w:val="2"/>
                <w:szCs w:val="2"/>
                <w:lang w:val="pt-BR" w:eastAsia="en-GB"/>
              </w:rPr>
              <w:t xml:space="preserve"> </w:t>
            </w:r>
          </w:p>
        </w:tc>
        <w:tc>
          <w:tcPr>
            <w:tcW w:w="1638" w:type="dxa"/>
            <w:tcBorders>
              <w:top w:val="nil"/>
              <w:left w:val="single" w:sz="8" w:space="0" w:color="000000"/>
              <w:bottom w:val="nil"/>
              <w:right w:val="nil"/>
            </w:tcBorders>
            <w:shd w:val="clear" w:color="auto" w:fill="auto"/>
            <w:vAlign w:val="center"/>
            <w:hideMark/>
          </w:tcPr>
          <w:p w14:paraId="2DA9DF20" w14:textId="77777777" w:rsidR="0007251E" w:rsidRPr="0007251E" w:rsidRDefault="0007251E" w:rsidP="0007251E">
            <w:pPr>
              <w:jc w:val="right"/>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xml:space="preserve"> </w:t>
            </w:r>
          </w:p>
        </w:tc>
      </w:tr>
      <w:tr w:rsidR="0007251E" w:rsidRPr="0007251E" w14:paraId="490C7282" w14:textId="77777777" w:rsidTr="00097018">
        <w:trPr>
          <w:trHeight w:val="377"/>
          <w:jc w:val="center"/>
        </w:trPr>
        <w:tc>
          <w:tcPr>
            <w:tcW w:w="6901" w:type="dxa"/>
            <w:tcBorders>
              <w:top w:val="nil"/>
              <w:left w:val="nil"/>
              <w:bottom w:val="nil"/>
              <w:right w:val="single" w:sz="8" w:space="0" w:color="000000"/>
            </w:tcBorders>
            <w:shd w:val="clear" w:color="auto" w:fill="auto"/>
            <w:vAlign w:val="center"/>
            <w:hideMark/>
          </w:tcPr>
          <w:p w14:paraId="34844958" w14:textId="77777777" w:rsidR="0007251E" w:rsidRPr="0007251E" w:rsidRDefault="0007251E" w:rsidP="0007251E">
            <w:pPr>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Surplus or deficit on the provision of services</w:t>
            </w:r>
          </w:p>
        </w:tc>
        <w:tc>
          <w:tcPr>
            <w:tcW w:w="1776" w:type="dxa"/>
            <w:tcBorders>
              <w:top w:val="nil"/>
              <w:left w:val="nil"/>
              <w:bottom w:val="nil"/>
              <w:right w:val="nil"/>
            </w:tcBorders>
            <w:shd w:val="clear" w:color="auto" w:fill="auto"/>
            <w:vAlign w:val="center"/>
            <w:hideMark/>
          </w:tcPr>
          <w:p w14:paraId="51FE769B"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63,031</w:t>
            </w:r>
          </w:p>
        </w:tc>
        <w:tc>
          <w:tcPr>
            <w:tcW w:w="1543" w:type="dxa"/>
            <w:tcBorders>
              <w:top w:val="nil"/>
              <w:left w:val="single" w:sz="8" w:space="0" w:color="000000"/>
              <w:bottom w:val="nil"/>
              <w:right w:val="single" w:sz="8" w:space="0" w:color="000000"/>
            </w:tcBorders>
            <w:shd w:val="clear" w:color="auto" w:fill="auto"/>
            <w:vAlign w:val="center"/>
            <w:hideMark/>
          </w:tcPr>
          <w:p w14:paraId="2A18F6A5"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63,031</w:t>
            </w:r>
          </w:p>
        </w:tc>
        <w:tc>
          <w:tcPr>
            <w:tcW w:w="1496" w:type="dxa"/>
            <w:tcBorders>
              <w:top w:val="nil"/>
              <w:left w:val="nil"/>
              <w:bottom w:val="nil"/>
              <w:right w:val="nil"/>
            </w:tcBorders>
            <w:shd w:val="clear" w:color="auto" w:fill="auto"/>
            <w:noWrap/>
            <w:vAlign w:val="bottom"/>
            <w:hideMark/>
          </w:tcPr>
          <w:p w14:paraId="1ABAE5B8" w14:textId="665897CA" w:rsidR="0007251E" w:rsidRPr="0007251E" w:rsidRDefault="0007251E" w:rsidP="0007251E">
            <w:pPr>
              <w:rPr>
                <w:rFonts w:ascii="Calibri" w:eastAsia="Times New Roman" w:hAnsi="Calibri" w:cs="Calibri"/>
                <w:color w:val="000000"/>
                <w:sz w:val="22"/>
                <w:szCs w:val="22"/>
                <w:lang w:val="en-GB" w:eastAsia="en-GB"/>
              </w:rPr>
            </w:pPr>
          </w:p>
        </w:tc>
        <w:tc>
          <w:tcPr>
            <w:tcW w:w="1638" w:type="dxa"/>
            <w:tcBorders>
              <w:top w:val="nil"/>
              <w:left w:val="single" w:sz="8" w:space="0" w:color="000000"/>
              <w:bottom w:val="nil"/>
              <w:right w:val="nil"/>
            </w:tcBorders>
            <w:shd w:val="clear" w:color="auto" w:fill="auto"/>
            <w:vAlign w:val="center"/>
            <w:hideMark/>
          </w:tcPr>
          <w:p w14:paraId="0F0B8C27"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63,031</w:t>
            </w:r>
          </w:p>
        </w:tc>
      </w:tr>
      <w:tr w:rsidR="0007251E" w:rsidRPr="0007251E" w14:paraId="74576DE6" w14:textId="77777777" w:rsidTr="00097018">
        <w:trPr>
          <w:trHeight w:val="74"/>
          <w:jc w:val="center"/>
        </w:trPr>
        <w:tc>
          <w:tcPr>
            <w:tcW w:w="6901" w:type="dxa"/>
            <w:tcBorders>
              <w:top w:val="nil"/>
              <w:left w:val="nil"/>
              <w:bottom w:val="single" w:sz="8" w:space="0" w:color="000000"/>
              <w:right w:val="nil"/>
            </w:tcBorders>
            <w:shd w:val="clear" w:color="auto" w:fill="auto"/>
            <w:vAlign w:val="center"/>
            <w:hideMark/>
          </w:tcPr>
          <w:p w14:paraId="7D91C3DC" w14:textId="77777777" w:rsidR="0007251E" w:rsidRPr="0007251E" w:rsidRDefault="0007251E" w:rsidP="0007251E">
            <w:pPr>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Other Comprehensive Income / Expenditure</w:t>
            </w:r>
          </w:p>
        </w:tc>
        <w:tc>
          <w:tcPr>
            <w:tcW w:w="1776" w:type="dxa"/>
            <w:tcBorders>
              <w:top w:val="nil"/>
              <w:left w:val="single" w:sz="8" w:space="0" w:color="000000"/>
              <w:bottom w:val="single" w:sz="8" w:space="0" w:color="000000"/>
              <w:right w:val="nil"/>
            </w:tcBorders>
            <w:shd w:val="clear" w:color="auto" w:fill="auto"/>
            <w:vAlign w:val="center"/>
            <w:hideMark/>
          </w:tcPr>
          <w:p w14:paraId="5C13B892" w14:textId="77777777" w:rsidR="0007251E" w:rsidRPr="0007251E" w:rsidRDefault="0007251E" w:rsidP="0007251E">
            <w:pPr>
              <w:jc w:val="right"/>
              <w:rPr>
                <w:rFonts w:ascii="Verdana" w:eastAsia="Times New Roman" w:hAnsi="Verdana" w:cs="Calibri"/>
                <w:color w:val="000000"/>
                <w:sz w:val="2"/>
                <w:szCs w:val="2"/>
                <w:lang w:val="en-GB" w:eastAsia="en-GB"/>
              </w:rPr>
            </w:pPr>
            <w:r w:rsidRPr="0007251E">
              <w:rPr>
                <w:rFonts w:ascii="Verdana" w:eastAsia="Times New Roman" w:hAnsi="Verdana" w:cs="Calibri"/>
                <w:color w:val="000000"/>
                <w:sz w:val="2"/>
                <w:szCs w:val="2"/>
                <w:lang w:val="pt-BR" w:eastAsia="en-GB"/>
              </w:rPr>
              <w:t xml:space="preserve"> </w:t>
            </w:r>
          </w:p>
        </w:tc>
        <w:tc>
          <w:tcPr>
            <w:tcW w:w="1543" w:type="dxa"/>
            <w:tcBorders>
              <w:top w:val="nil"/>
              <w:left w:val="single" w:sz="8" w:space="0" w:color="000000"/>
              <w:bottom w:val="single" w:sz="8" w:space="0" w:color="000000"/>
              <w:right w:val="single" w:sz="8" w:space="0" w:color="000000"/>
            </w:tcBorders>
            <w:shd w:val="clear" w:color="auto" w:fill="auto"/>
            <w:vAlign w:val="center"/>
            <w:hideMark/>
          </w:tcPr>
          <w:p w14:paraId="7B9C975F" w14:textId="77777777" w:rsidR="0007251E" w:rsidRPr="0007251E" w:rsidRDefault="0007251E" w:rsidP="0007251E">
            <w:pPr>
              <w:jc w:val="right"/>
              <w:rPr>
                <w:rFonts w:ascii="Verdana" w:eastAsia="Times New Roman" w:hAnsi="Verdana" w:cs="Calibri"/>
                <w:b/>
                <w:bCs/>
                <w:color w:val="000000"/>
                <w:sz w:val="2"/>
                <w:szCs w:val="2"/>
                <w:lang w:val="en-GB" w:eastAsia="en-GB"/>
              </w:rPr>
            </w:pPr>
            <w:r w:rsidRPr="0007251E">
              <w:rPr>
                <w:rFonts w:ascii="Verdana" w:eastAsia="Times New Roman" w:hAnsi="Verdana" w:cs="Calibri"/>
                <w:b/>
                <w:bCs/>
                <w:color w:val="000000"/>
                <w:sz w:val="2"/>
                <w:szCs w:val="2"/>
                <w:lang w:val="pt-BR" w:eastAsia="en-GB"/>
              </w:rPr>
              <w:t xml:space="preserve"> </w:t>
            </w:r>
          </w:p>
        </w:tc>
        <w:tc>
          <w:tcPr>
            <w:tcW w:w="1496" w:type="dxa"/>
            <w:tcBorders>
              <w:top w:val="nil"/>
              <w:left w:val="nil"/>
              <w:bottom w:val="single" w:sz="8" w:space="0" w:color="000000"/>
              <w:right w:val="single" w:sz="8" w:space="0" w:color="000000"/>
            </w:tcBorders>
            <w:shd w:val="clear" w:color="auto" w:fill="auto"/>
            <w:vAlign w:val="center"/>
            <w:hideMark/>
          </w:tcPr>
          <w:p w14:paraId="41680BA7"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(193,261)</w:t>
            </w:r>
          </w:p>
        </w:tc>
        <w:tc>
          <w:tcPr>
            <w:tcW w:w="1638" w:type="dxa"/>
            <w:tcBorders>
              <w:top w:val="nil"/>
              <w:left w:val="nil"/>
              <w:bottom w:val="single" w:sz="8" w:space="0" w:color="000000"/>
              <w:right w:val="nil"/>
            </w:tcBorders>
            <w:shd w:val="clear" w:color="auto" w:fill="auto"/>
            <w:vAlign w:val="center"/>
            <w:hideMark/>
          </w:tcPr>
          <w:p w14:paraId="4F93CE1F"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(193,261)</w:t>
            </w:r>
          </w:p>
        </w:tc>
      </w:tr>
      <w:tr w:rsidR="0007251E" w:rsidRPr="0007251E" w14:paraId="1679A227" w14:textId="77777777" w:rsidTr="00097018">
        <w:trPr>
          <w:trHeight w:val="320"/>
          <w:jc w:val="center"/>
        </w:trPr>
        <w:tc>
          <w:tcPr>
            <w:tcW w:w="6901" w:type="dxa"/>
            <w:tcBorders>
              <w:top w:val="nil"/>
              <w:left w:val="nil"/>
              <w:bottom w:val="nil"/>
              <w:right w:val="nil"/>
            </w:tcBorders>
            <w:shd w:val="clear" w:color="auto" w:fill="auto"/>
            <w:vAlign w:val="center"/>
            <w:hideMark/>
          </w:tcPr>
          <w:p w14:paraId="59200D4F"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Total Comprehensive Income and Expenditure</w:t>
            </w:r>
          </w:p>
        </w:tc>
        <w:tc>
          <w:tcPr>
            <w:tcW w:w="1776" w:type="dxa"/>
            <w:tcBorders>
              <w:top w:val="nil"/>
              <w:left w:val="single" w:sz="8" w:space="0" w:color="000000"/>
              <w:bottom w:val="nil"/>
              <w:right w:val="nil"/>
            </w:tcBorders>
            <w:shd w:val="clear" w:color="auto" w:fill="auto"/>
            <w:vAlign w:val="center"/>
            <w:hideMark/>
          </w:tcPr>
          <w:p w14:paraId="3DAB7A2C"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63,031</w:t>
            </w:r>
          </w:p>
        </w:tc>
        <w:tc>
          <w:tcPr>
            <w:tcW w:w="1543" w:type="dxa"/>
            <w:tcBorders>
              <w:top w:val="nil"/>
              <w:left w:val="single" w:sz="8" w:space="0" w:color="000000"/>
              <w:bottom w:val="nil"/>
              <w:right w:val="single" w:sz="8" w:space="0" w:color="000000"/>
            </w:tcBorders>
            <w:shd w:val="clear" w:color="auto" w:fill="auto"/>
            <w:vAlign w:val="center"/>
            <w:hideMark/>
          </w:tcPr>
          <w:p w14:paraId="767AC817"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63,031</w:t>
            </w:r>
          </w:p>
        </w:tc>
        <w:tc>
          <w:tcPr>
            <w:tcW w:w="1496" w:type="dxa"/>
            <w:tcBorders>
              <w:top w:val="nil"/>
              <w:left w:val="nil"/>
              <w:bottom w:val="nil"/>
              <w:right w:val="single" w:sz="8" w:space="0" w:color="000000"/>
            </w:tcBorders>
            <w:shd w:val="clear" w:color="auto" w:fill="auto"/>
            <w:vAlign w:val="center"/>
            <w:hideMark/>
          </w:tcPr>
          <w:p w14:paraId="5F5B1FF3"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(193,261)</w:t>
            </w:r>
          </w:p>
        </w:tc>
        <w:tc>
          <w:tcPr>
            <w:tcW w:w="1638" w:type="dxa"/>
            <w:tcBorders>
              <w:top w:val="nil"/>
              <w:left w:val="nil"/>
              <w:bottom w:val="nil"/>
              <w:right w:val="nil"/>
            </w:tcBorders>
            <w:shd w:val="clear" w:color="auto" w:fill="auto"/>
            <w:vAlign w:val="center"/>
            <w:hideMark/>
          </w:tcPr>
          <w:p w14:paraId="45E5A862"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(130,230)</w:t>
            </w:r>
          </w:p>
        </w:tc>
      </w:tr>
      <w:tr w:rsidR="0007251E" w:rsidRPr="0007251E" w14:paraId="7A18E705" w14:textId="77777777" w:rsidTr="00097018">
        <w:trPr>
          <w:trHeight w:val="74"/>
          <w:jc w:val="center"/>
        </w:trPr>
        <w:tc>
          <w:tcPr>
            <w:tcW w:w="6901" w:type="dxa"/>
            <w:tcBorders>
              <w:top w:val="nil"/>
              <w:left w:val="nil"/>
              <w:bottom w:val="nil"/>
              <w:right w:val="nil"/>
            </w:tcBorders>
            <w:shd w:val="clear" w:color="auto" w:fill="auto"/>
            <w:vAlign w:val="center"/>
            <w:hideMark/>
          </w:tcPr>
          <w:p w14:paraId="534E70E2" w14:textId="77777777" w:rsidR="0007251E" w:rsidRPr="0007251E" w:rsidRDefault="0007251E" w:rsidP="0007251E">
            <w:pPr>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Adjustments between accounting basis and funding basis under regulations</w:t>
            </w:r>
          </w:p>
        </w:tc>
        <w:tc>
          <w:tcPr>
            <w:tcW w:w="1776" w:type="dxa"/>
            <w:tcBorders>
              <w:top w:val="nil"/>
              <w:left w:val="single" w:sz="8" w:space="0" w:color="000000"/>
              <w:bottom w:val="single" w:sz="8" w:space="0" w:color="000000"/>
              <w:right w:val="single" w:sz="8" w:space="0" w:color="000000"/>
            </w:tcBorders>
            <w:shd w:val="clear" w:color="auto" w:fill="auto"/>
            <w:vAlign w:val="center"/>
            <w:hideMark/>
          </w:tcPr>
          <w:p w14:paraId="034D6938" w14:textId="77777777" w:rsidR="0007251E" w:rsidRPr="0007251E" w:rsidRDefault="0007251E" w:rsidP="0007251E">
            <w:pPr>
              <w:jc w:val="right"/>
              <w:rPr>
                <w:rFonts w:ascii="Verdana" w:eastAsia="Times New Roman" w:hAnsi="Verdana" w:cs="Calibri"/>
                <w:color w:val="000000"/>
                <w:sz w:val="16"/>
                <w:szCs w:val="16"/>
                <w:lang w:val="en-GB" w:eastAsia="en-GB"/>
              </w:rPr>
            </w:pPr>
            <w:r w:rsidRPr="0007251E">
              <w:rPr>
                <w:rFonts w:ascii="Verdana" w:eastAsia="Times New Roman" w:hAnsi="Verdana" w:cs="Calibri"/>
                <w:color w:val="000000"/>
                <w:sz w:val="16"/>
                <w:szCs w:val="16"/>
                <w:lang w:val="pt-BR" w:eastAsia="en-GB"/>
              </w:rPr>
              <w:t>(63,031)</w:t>
            </w:r>
          </w:p>
        </w:tc>
        <w:tc>
          <w:tcPr>
            <w:tcW w:w="1543" w:type="dxa"/>
            <w:tcBorders>
              <w:top w:val="nil"/>
              <w:left w:val="nil"/>
              <w:bottom w:val="single" w:sz="8" w:space="0" w:color="auto"/>
              <w:right w:val="single" w:sz="8" w:space="0" w:color="000000"/>
            </w:tcBorders>
            <w:shd w:val="clear" w:color="auto" w:fill="auto"/>
            <w:vAlign w:val="center"/>
            <w:hideMark/>
          </w:tcPr>
          <w:p w14:paraId="4BCA3806"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(63,031)</w:t>
            </w:r>
          </w:p>
        </w:tc>
        <w:tc>
          <w:tcPr>
            <w:tcW w:w="1496" w:type="dxa"/>
            <w:tcBorders>
              <w:top w:val="nil"/>
              <w:left w:val="nil"/>
              <w:bottom w:val="single" w:sz="8" w:space="0" w:color="auto"/>
              <w:right w:val="nil"/>
            </w:tcBorders>
            <w:shd w:val="clear" w:color="auto" w:fill="auto"/>
            <w:vAlign w:val="center"/>
            <w:hideMark/>
          </w:tcPr>
          <w:p w14:paraId="27D41E3E" w14:textId="6FC40D53"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63</w:t>
            </w:r>
            <w:r w:rsidR="00097018">
              <w:rPr>
                <w:rFonts w:ascii="Verdana" w:eastAsia="Times New Roman" w:hAnsi="Verdana" w:cs="Calibri"/>
                <w:b/>
                <w:bCs/>
                <w:color w:val="000000"/>
                <w:sz w:val="16"/>
                <w:szCs w:val="16"/>
                <w:lang w:val="pt-BR" w:eastAsia="en-GB"/>
              </w:rPr>
              <w:t>,</w:t>
            </w:r>
            <w:r w:rsidRPr="0007251E">
              <w:rPr>
                <w:rFonts w:ascii="Verdana" w:eastAsia="Times New Roman" w:hAnsi="Verdana" w:cs="Calibri"/>
                <w:b/>
                <w:bCs/>
                <w:color w:val="000000"/>
                <w:sz w:val="16"/>
                <w:szCs w:val="16"/>
                <w:lang w:val="pt-BR" w:eastAsia="en-GB"/>
              </w:rPr>
              <w:t>031</w:t>
            </w:r>
          </w:p>
        </w:tc>
        <w:tc>
          <w:tcPr>
            <w:tcW w:w="1638" w:type="dxa"/>
            <w:tcBorders>
              <w:top w:val="nil"/>
              <w:left w:val="single" w:sz="8" w:space="0" w:color="000000"/>
              <w:bottom w:val="single" w:sz="8" w:space="0" w:color="auto"/>
              <w:right w:val="nil"/>
            </w:tcBorders>
            <w:shd w:val="clear" w:color="auto" w:fill="auto"/>
            <w:vAlign w:val="center"/>
            <w:hideMark/>
          </w:tcPr>
          <w:p w14:paraId="0F98F5C3"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r>
      <w:tr w:rsidR="0007251E" w:rsidRPr="0007251E" w14:paraId="5A9BBDFF" w14:textId="77777777" w:rsidTr="00097018">
        <w:trPr>
          <w:trHeight w:val="336"/>
          <w:jc w:val="center"/>
        </w:trPr>
        <w:tc>
          <w:tcPr>
            <w:tcW w:w="6901" w:type="dxa"/>
            <w:tcBorders>
              <w:top w:val="single" w:sz="8" w:space="0" w:color="000000"/>
              <w:left w:val="nil"/>
              <w:bottom w:val="single" w:sz="8" w:space="0" w:color="000000"/>
              <w:right w:val="nil"/>
            </w:tcBorders>
            <w:shd w:val="clear" w:color="auto" w:fill="auto"/>
            <w:vAlign w:val="center"/>
            <w:hideMark/>
          </w:tcPr>
          <w:p w14:paraId="286398F6"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Increase or Decrease in 2019/20</w:t>
            </w:r>
          </w:p>
        </w:tc>
        <w:tc>
          <w:tcPr>
            <w:tcW w:w="1776" w:type="dxa"/>
            <w:tcBorders>
              <w:top w:val="nil"/>
              <w:left w:val="single" w:sz="8" w:space="0" w:color="000000"/>
              <w:bottom w:val="single" w:sz="8" w:space="0" w:color="auto"/>
              <w:right w:val="nil"/>
            </w:tcBorders>
            <w:shd w:val="clear" w:color="auto" w:fill="auto"/>
            <w:vAlign w:val="center"/>
            <w:hideMark/>
          </w:tcPr>
          <w:p w14:paraId="0FEFEFCF"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543" w:type="dxa"/>
            <w:tcBorders>
              <w:top w:val="nil"/>
              <w:left w:val="single" w:sz="8" w:space="0" w:color="000000"/>
              <w:bottom w:val="single" w:sz="8" w:space="0" w:color="auto"/>
              <w:right w:val="nil"/>
            </w:tcBorders>
            <w:shd w:val="clear" w:color="auto" w:fill="auto"/>
            <w:vAlign w:val="center"/>
            <w:hideMark/>
          </w:tcPr>
          <w:p w14:paraId="02CF94E5"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496" w:type="dxa"/>
            <w:tcBorders>
              <w:top w:val="nil"/>
              <w:left w:val="single" w:sz="8" w:space="0" w:color="000000"/>
              <w:bottom w:val="single" w:sz="8" w:space="0" w:color="auto"/>
              <w:right w:val="nil"/>
            </w:tcBorders>
            <w:shd w:val="clear" w:color="auto" w:fill="auto"/>
            <w:vAlign w:val="center"/>
            <w:hideMark/>
          </w:tcPr>
          <w:p w14:paraId="708FCD9C"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(130,230)</w:t>
            </w:r>
          </w:p>
        </w:tc>
        <w:tc>
          <w:tcPr>
            <w:tcW w:w="1638" w:type="dxa"/>
            <w:tcBorders>
              <w:top w:val="nil"/>
              <w:left w:val="single" w:sz="8" w:space="0" w:color="000000"/>
              <w:bottom w:val="single" w:sz="8" w:space="0" w:color="auto"/>
              <w:right w:val="nil"/>
            </w:tcBorders>
            <w:shd w:val="clear" w:color="auto" w:fill="auto"/>
            <w:vAlign w:val="center"/>
            <w:hideMark/>
          </w:tcPr>
          <w:p w14:paraId="57CFD142"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(130,230)</w:t>
            </w:r>
          </w:p>
        </w:tc>
      </w:tr>
      <w:tr w:rsidR="0007251E" w:rsidRPr="0007251E" w14:paraId="5F25AE32" w14:textId="77777777" w:rsidTr="00097018">
        <w:trPr>
          <w:trHeight w:val="54"/>
          <w:jc w:val="center"/>
        </w:trPr>
        <w:tc>
          <w:tcPr>
            <w:tcW w:w="6901" w:type="dxa"/>
            <w:tcBorders>
              <w:top w:val="single" w:sz="8" w:space="0" w:color="000000"/>
              <w:left w:val="nil"/>
              <w:bottom w:val="single" w:sz="4" w:space="0" w:color="auto"/>
              <w:right w:val="nil"/>
            </w:tcBorders>
            <w:shd w:val="clear" w:color="auto" w:fill="auto"/>
            <w:vAlign w:val="center"/>
            <w:hideMark/>
          </w:tcPr>
          <w:p w14:paraId="23D4C47E" w14:textId="77777777" w:rsidR="0007251E" w:rsidRPr="0007251E" w:rsidRDefault="0007251E" w:rsidP="0007251E">
            <w:pPr>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Balance at 31 March 2020</w:t>
            </w:r>
          </w:p>
        </w:tc>
        <w:tc>
          <w:tcPr>
            <w:tcW w:w="1776" w:type="dxa"/>
            <w:tcBorders>
              <w:top w:val="nil"/>
              <w:left w:val="single" w:sz="8" w:space="0" w:color="000000"/>
              <w:bottom w:val="single" w:sz="8" w:space="0" w:color="auto"/>
              <w:right w:val="nil"/>
            </w:tcBorders>
            <w:shd w:val="clear" w:color="auto" w:fill="auto"/>
            <w:vAlign w:val="center"/>
            <w:hideMark/>
          </w:tcPr>
          <w:p w14:paraId="3482DBFB"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543" w:type="dxa"/>
            <w:tcBorders>
              <w:top w:val="nil"/>
              <w:left w:val="single" w:sz="8" w:space="0" w:color="000000"/>
              <w:bottom w:val="single" w:sz="8" w:space="0" w:color="auto"/>
              <w:right w:val="nil"/>
            </w:tcBorders>
            <w:shd w:val="clear" w:color="auto" w:fill="auto"/>
            <w:vAlign w:val="center"/>
            <w:hideMark/>
          </w:tcPr>
          <w:p w14:paraId="1B3E0D98"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0</w:t>
            </w:r>
          </w:p>
        </w:tc>
        <w:tc>
          <w:tcPr>
            <w:tcW w:w="1496" w:type="dxa"/>
            <w:tcBorders>
              <w:top w:val="nil"/>
              <w:left w:val="single" w:sz="8" w:space="0" w:color="000000"/>
              <w:bottom w:val="single" w:sz="8" w:space="0" w:color="auto"/>
              <w:right w:val="nil"/>
            </w:tcBorders>
            <w:shd w:val="clear" w:color="auto" w:fill="auto"/>
            <w:vAlign w:val="center"/>
            <w:hideMark/>
          </w:tcPr>
          <w:p w14:paraId="369C38CA"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2,027,608</w:t>
            </w:r>
          </w:p>
        </w:tc>
        <w:tc>
          <w:tcPr>
            <w:tcW w:w="1638" w:type="dxa"/>
            <w:tcBorders>
              <w:top w:val="nil"/>
              <w:left w:val="single" w:sz="8" w:space="0" w:color="000000"/>
              <w:bottom w:val="single" w:sz="8" w:space="0" w:color="auto"/>
              <w:right w:val="nil"/>
            </w:tcBorders>
            <w:shd w:val="clear" w:color="auto" w:fill="auto"/>
            <w:vAlign w:val="center"/>
            <w:hideMark/>
          </w:tcPr>
          <w:p w14:paraId="223B7C8B" w14:textId="77777777" w:rsidR="0007251E" w:rsidRPr="0007251E" w:rsidRDefault="0007251E" w:rsidP="0007251E">
            <w:pPr>
              <w:jc w:val="right"/>
              <w:rPr>
                <w:rFonts w:ascii="Verdana" w:eastAsia="Times New Roman" w:hAnsi="Verdana" w:cs="Calibri"/>
                <w:b/>
                <w:bCs/>
                <w:color w:val="000000"/>
                <w:sz w:val="16"/>
                <w:szCs w:val="16"/>
                <w:lang w:val="en-GB" w:eastAsia="en-GB"/>
              </w:rPr>
            </w:pPr>
            <w:r w:rsidRPr="0007251E">
              <w:rPr>
                <w:rFonts w:ascii="Verdana" w:eastAsia="Times New Roman" w:hAnsi="Verdana" w:cs="Calibri"/>
                <w:b/>
                <w:bCs/>
                <w:color w:val="000000"/>
                <w:sz w:val="16"/>
                <w:szCs w:val="16"/>
                <w:lang w:val="pt-BR" w:eastAsia="en-GB"/>
              </w:rPr>
              <w:t>2,027,608</w:t>
            </w:r>
          </w:p>
        </w:tc>
      </w:tr>
    </w:tbl>
    <w:p w14:paraId="43989BDD" w14:textId="77777777" w:rsidR="0007251E" w:rsidRDefault="0007251E" w:rsidP="00080023">
      <w:pPr>
        <w:pStyle w:val="Normal0"/>
        <w:spacing w:after="160" w:line="259" w:lineRule="auto"/>
        <w:jc w:val="both"/>
        <w:rPr>
          <w:rFonts w:ascii="Verdana" w:eastAsia="Calibri" w:hAnsi="Verdana" w:cs="Arial"/>
          <w:sz w:val="22"/>
          <w:szCs w:val="22"/>
          <w:lang w:val="pt-BR"/>
        </w:rPr>
      </w:pPr>
    </w:p>
    <w:p w14:paraId="50A0561C" w14:textId="77777777" w:rsidR="00F227D9" w:rsidRPr="00DC1077" w:rsidRDefault="00BD4D89" w:rsidP="001A0AA1">
      <w:pPr>
        <w:pStyle w:val="T1TableStyle"/>
        <w:rPr>
          <w:rFonts w:ascii="Verdana" w:hAnsi="Verdana"/>
          <w:sz w:val="22"/>
          <w:szCs w:val="22"/>
          <w:highlight w:val="yellow"/>
          <w:lang w:val="pt-BR"/>
        </w:rPr>
        <w:sectPr w:rsidR="00F227D9" w:rsidRPr="00DC1077" w:rsidSect="00B54A0C">
          <w:pgSz w:w="16840" w:h="11900" w:orient="landscape"/>
          <w:pgMar w:top="709" w:right="720" w:bottom="567" w:left="720" w:header="708" w:footer="708" w:gutter="0"/>
          <w:cols w:space="708"/>
          <w:docGrid w:linePitch="360"/>
        </w:sectPr>
      </w:pPr>
      <w:r w:rsidRPr="00DC1077">
        <w:rPr>
          <w:rFonts w:ascii="Verdana" w:hAnsi="Verdana"/>
          <w:sz w:val="22"/>
          <w:szCs w:val="22"/>
          <w:highlight w:val="yellow"/>
          <w:lang w:val="pt-BR"/>
        </w:rPr>
        <w:br w:type="textWrapping" w:clear="all"/>
      </w:r>
    </w:p>
    <w:p w14:paraId="32144E6F" w14:textId="77777777" w:rsidR="00F227D9" w:rsidRPr="00A0232C" w:rsidRDefault="00F227D9" w:rsidP="00F227D9">
      <w:pPr>
        <w:pStyle w:val="Heading1"/>
        <w:spacing w:after="240"/>
        <w:rPr>
          <w:lang w:val="pt-BR"/>
        </w:rPr>
      </w:pPr>
      <w:bookmarkStart w:id="6" w:name="_Toc77095557"/>
      <w:r w:rsidRPr="00A0232C">
        <w:rPr>
          <w:lang w:val="pt-BR"/>
        </w:rPr>
        <w:t>Comprehensive Income and Expenditure Statement</w:t>
      </w:r>
      <w:bookmarkEnd w:id="6"/>
      <w:r w:rsidRPr="00A0232C">
        <w:rPr>
          <w:lang w:val="pt-BR"/>
        </w:rPr>
        <w:t xml:space="preserve"> </w:t>
      </w:r>
    </w:p>
    <w:p w14:paraId="6045AEAB" w14:textId="526D0D25" w:rsidR="00097018" w:rsidRPr="00A0232C" w:rsidRDefault="00F227D9" w:rsidP="00080023">
      <w:pPr>
        <w:pStyle w:val="Normal0"/>
        <w:spacing w:after="160"/>
        <w:jc w:val="both"/>
        <w:rPr>
          <w:rFonts w:ascii="Verdana" w:eastAsia="Verdana" w:hAnsi="Verdana" w:cs="Verdana"/>
          <w:sz w:val="22"/>
          <w:szCs w:val="22"/>
          <w:lang w:val="en-GB"/>
        </w:rPr>
      </w:pPr>
      <w:r w:rsidRPr="00A0232C">
        <w:rPr>
          <w:rFonts w:ascii="Verdana" w:eastAsia="Verdana" w:hAnsi="Verdana" w:cs="Verdana"/>
          <w:sz w:val="22"/>
          <w:szCs w:val="22"/>
          <w:lang w:val="en-GB"/>
        </w:rPr>
        <w:t>The Comprehensive Income and Expenditure Statement shows the accounting cost in the year of providing services in accordance with generally accepted accounting practices, rather than the amount to be funded from taxation. Police and Crime Commissioners raise taxation to cover expenditure in accordance with statutory requirements; this may be different from the accounting cost. The taxation position is shown in both the Expenditure and Funding Analysis and the Movement in Reserves Statement.</w:t>
      </w:r>
    </w:p>
    <w:tbl>
      <w:tblPr>
        <w:tblW w:w="15206" w:type="dxa"/>
        <w:tblLayout w:type="fixed"/>
        <w:tblLook w:val="04A0" w:firstRow="1" w:lastRow="0" w:firstColumn="1" w:lastColumn="0" w:noHBand="0" w:noVBand="1"/>
      </w:tblPr>
      <w:tblGrid>
        <w:gridCol w:w="1304"/>
        <w:gridCol w:w="1425"/>
        <w:gridCol w:w="1281"/>
        <w:gridCol w:w="1139"/>
        <w:gridCol w:w="4214"/>
        <w:gridCol w:w="1811"/>
        <w:gridCol w:w="1880"/>
        <w:gridCol w:w="1688"/>
        <w:gridCol w:w="464"/>
      </w:tblGrid>
      <w:tr w:rsidR="00A0232C" w:rsidRPr="00A0232C" w14:paraId="40B3CE62" w14:textId="77777777" w:rsidTr="0073748E">
        <w:trPr>
          <w:trHeight w:val="212"/>
        </w:trPr>
        <w:tc>
          <w:tcPr>
            <w:tcW w:w="4010" w:type="dxa"/>
            <w:gridSpan w:val="3"/>
            <w:tcBorders>
              <w:top w:val="nil"/>
              <w:left w:val="nil"/>
              <w:bottom w:val="nil"/>
              <w:right w:val="nil"/>
            </w:tcBorders>
            <w:shd w:val="clear" w:color="auto" w:fill="auto"/>
            <w:vAlign w:val="center"/>
            <w:hideMark/>
          </w:tcPr>
          <w:p w14:paraId="3D9D92EB"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2019/20</w:t>
            </w:r>
          </w:p>
        </w:tc>
        <w:tc>
          <w:tcPr>
            <w:tcW w:w="1139" w:type="dxa"/>
            <w:tcBorders>
              <w:top w:val="nil"/>
              <w:left w:val="nil"/>
              <w:bottom w:val="nil"/>
              <w:right w:val="nil"/>
            </w:tcBorders>
            <w:shd w:val="clear" w:color="auto" w:fill="auto"/>
            <w:vAlign w:val="center"/>
            <w:hideMark/>
          </w:tcPr>
          <w:p w14:paraId="611A1943" w14:textId="77777777" w:rsidR="00A0232C" w:rsidRPr="00A0232C" w:rsidRDefault="00A0232C" w:rsidP="00A0232C">
            <w:pPr>
              <w:jc w:val="center"/>
              <w:rPr>
                <w:rFonts w:ascii="Calibri" w:eastAsia="Times New Roman" w:hAnsi="Calibri" w:cs="Calibri"/>
                <w:b/>
                <w:bCs/>
                <w:color w:val="000000"/>
                <w:sz w:val="2"/>
                <w:szCs w:val="2"/>
                <w:lang w:val="en-GB" w:eastAsia="en-GB"/>
              </w:rPr>
            </w:pPr>
            <w:r w:rsidRPr="00A0232C">
              <w:rPr>
                <w:rFonts w:ascii="Calibri" w:eastAsia="Times New Roman" w:hAnsi="Calibri" w:cs="Calibri"/>
                <w:b/>
                <w:bCs/>
                <w:color w:val="000000"/>
                <w:sz w:val="2"/>
                <w:szCs w:val="2"/>
                <w:lang w:val="en-GB" w:eastAsia="en-GB"/>
              </w:rPr>
              <w:t xml:space="preserve"> </w:t>
            </w:r>
          </w:p>
        </w:tc>
        <w:tc>
          <w:tcPr>
            <w:tcW w:w="4214" w:type="dxa"/>
            <w:tcBorders>
              <w:top w:val="nil"/>
              <w:left w:val="nil"/>
              <w:bottom w:val="nil"/>
              <w:right w:val="nil"/>
            </w:tcBorders>
            <w:shd w:val="clear" w:color="auto" w:fill="auto"/>
            <w:vAlign w:val="center"/>
            <w:hideMark/>
          </w:tcPr>
          <w:p w14:paraId="4147FBA7" w14:textId="77777777" w:rsidR="00A0232C" w:rsidRPr="00A0232C" w:rsidRDefault="00A0232C" w:rsidP="00A0232C">
            <w:pPr>
              <w:jc w:val="center"/>
              <w:rPr>
                <w:rFonts w:ascii="Verdana" w:eastAsia="Times New Roman" w:hAnsi="Verdana" w:cs="Calibri"/>
                <w:b/>
                <w:bCs/>
                <w:color w:val="000000"/>
                <w:sz w:val="2"/>
                <w:szCs w:val="2"/>
                <w:lang w:val="en-GB" w:eastAsia="en-GB"/>
              </w:rPr>
            </w:pPr>
            <w:r w:rsidRPr="00A0232C">
              <w:rPr>
                <w:rFonts w:ascii="Verdana" w:eastAsia="Times New Roman" w:hAnsi="Verdana" w:cs="Calibri"/>
                <w:b/>
                <w:bCs/>
                <w:color w:val="000000"/>
                <w:sz w:val="2"/>
                <w:szCs w:val="2"/>
                <w:lang w:val="en-GB" w:eastAsia="en-GB"/>
              </w:rPr>
              <w:t xml:space="preserve"> </w:t>
            </w:r>
          </w:p>
        </w:tc>
        <w:tc>
          <w:tcPr>
            <w:tcW w:w="5843" w:type="dxa"/>
            <w:gridSpan w:val="4"/>
            <w:tcBorders>
              <w:top w:val="nil"/>
              <w:left w:val="nil"/>
              <w:bottom w:val="nil"/>
              <w:right w:val="nil"/>
            </w:tcBorders>
            <w:shd w:val="clear" w:color="auto" w:fill="auto"/>
            <w:vAlign w:val="center"/>
            <w:hideMark/>
          </w:tcPr>
          <w:p w14:paraId="018E071F"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2020/21</w:t>
            </w:r>
          </w:p>
        </w:tc>
      </w:tr>
      <w:tr w:rsidR="00A0232C" w:rsidRPr="00A0232C" w14:paraId="31B775B4" w14:textId="77777777" w:rsidTr="0073748E">
        <w:trPr>
          <w:gridAfter w:val="1"/>
          <w:wAfter w:w="464" w:type="dxa"/>
          <w:cantSplit/>
          <w:trHeight w:val="283"/>
        </w:trPr>
        <w:tc>
          <w:tcPr>
            <w:tcW w:w="1304" w:type="dxa"/>
            <w:tcBorders>
              <w:top w:val="nil"/>
              <w:left w:val="nil"/>
              <w:bottom w:val="nil"/>
              <w:right w:val="nil"/>
            </w:tcBorders>
            <w:shd w:val="clear" w:color="auto" w:fill="auto"/>
            <w:vAlign w:val="center"/>
            <w:hideMark/>
          </w:tcPr>
          <w:p w14:paraId="4D016031"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Expenditure</w:t>
            </w:r>
          </w:p>
        </w:tc>
        <w:tc>
          <w:tcPr>
            <w:tcW w:w="1425" w:type="dxa"/>
            <w:tcBorders>
              <w:top w:val="nil"/>
              <w:left w:val="nil"/>
              <w:bottom w:val="nil"/>
              <w:right w:val="nil"/>
            </w:tcBorders>
            <w:shd w:val="clear" w:color="auto" w:fill="auto"/>
            <w:vAlign w:val="center"/>
            <w:hideMark/>
          </w:tcPr>
          <w:p w14:paraId="48D40DE5"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Income</w:t>
            </w:r>
          </w:p>
        </w:tc>
        <w:tc>
          <w:tcPr>
            <w:tcW w:w="1281" w:type="dxa"/>
            <w:tcBorders>
              <w:top w:val="nil"/>
              <w:left w:val="nil"/>
              <w:bottom w:val="nil"/>
              <w:right w:val="nil"/>
            </w:tcBorders>
            <w:shd w:val="clear" w:color="auto" w:fill="auto"/>
            <w:vAlign w:val="center"/>
            <w:hideMark/>
          </w:tcPr>
          <w:p w14:paraId="0A25D8B8"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Net</w:t>
            </w:r>
          </w:p>
        </w:tc>
        <w:tc>
          <w:tcPr>
            <w:tcW w:w="1139" w:type="dxa"/>
            <w:tcBorders>
              <w:top w:val="nil"/>
              <w:left w:val="nil"/>
              <w:bottom w:val="nil"/>
              <w:right w:val="nil"/>
            </w:tcBorders>
            <w:shd w:val="clear" w:color="auto" w:fill="auto"/>
            <w:vAlign w:val="center"/>
            <w:hideMark/>
          </w:tcPr>
          <w:p w14:paraId="68F7CC1B" w14:textId="77777777" w:rsidR="00A0232C" w:rsidRPr="00A0232C" w:rsidRDefault="00A0232C" w:rsidP="00A0232C">
            <w:pPr>
              <w:rPr>
                <w:rFonts w:ascii="Verdana" w:eastAsia="Times New Roman" w:hAnsi="Verdana" w:cs="Calibri"/>
                <w:b/>
                <w:bCs/>
                <w:color w:val="000000"/>
                <w:sz w:val="2"/>
                <w:szCs w:val="2"/>
                <w:lang w:val="en-GB" w:eastAsia="en-GB"/>
              </w:rPr>
            </w:pPr>
            <w:r w:rsidRPr="00A0232C">
              <w:rPr>
                <w:rFonts w:ascii="Verdana" w:eastAsia="Times New Roman" w:hAnsi="Verdana" w:cs="Calibri"/>
                <w:b/>
                <w:bCs/>
                <w:color w:val="000000"/>
                <w:sz w:val="2"/>
                <w:szCs w:val="2"/>
                <w:lang w:val="en-GB" w:eastAsia="en-GB"/>
              </w:rPr>
              <w:t xml:space="preserve"> </w:t>
            </w:r>
          </w:p>
        </w:tc>
        <w:tc>
          <w:tcPr>
            <w:tcW w:w="4214" w:type="dxa"/>
            <w:tcBorders>
              <w:top w:val="nil"/>
              <w:left w:val="nil"/>
              <w:bottom w:val="nil"/>
              <w:right w:val="nil"/>
            </w:tcBorders>
            <w:shd w:val="clear" w:color="auto" w:fill="auto"/>
            <w:vAlign w:val="center"/>
            <w:hideMark/>
          </w:tcPr>
          <w:p w14:paraId="055E09AB" w14:textId="77777777" w:rsidR="00A0232C" w:rsidRPr="00A0232C" w:rsidRDefault="00A0232C" w:rsidP="00A0232C">
            <w:pPr>
              <w:jc w:val="center"/>
              <w:rPr>
                <w:rFonts w:ascii="Verdana" w:eastAsia="Times New Roman" w:hAnsi="Verdana" w:cs="Calibri"/>
                <w:b/>
                <w:bCs/>
                <w:color w:val="000000"/>
                <w:sz w:val="2"/>
                <w:szCs w:val="2"/>
                <w:lang w:val="en-GB" w:eastAsia="en-GB"/>
              </w:rPr>
            </w:pPr>
            <w:r w:rsidRPr="00A0232C">
              <w:rPr>
                <w:rFonts w:ascii="Verdana" w:eastAsia="Times New Roman" w:hAnsi="Verdana" w:cs="Calibri"/>
                <w:b/>
                <w:bCs/>
                <w:color w:val="000000"/>
                <w:sz w:val="2"/>
                <w:szCs w:val="2"/>
                <w:lang w:val="en-GB" w:eastAsia="en-GB"/>
              </w:rPr>
              <w:t xml:space="preserve"> </w:t>
            </w:r>
          </w:p>
        </w:tc>
        <w:tc>
          <w:tcPr>
            <w:tcW w:w="1811" w:type="dxa"/>
            <w:tcBorders>
              <w:top w:val="nil"/>
              <w:left w:val="nil"/>
              <w:bottom w:val="nil"/>
              <w:right w:val="nil"/>
            </w:tcBorders>
            <w:shd w:val="clear" w:color="auto" w:fill="auto"/>
            <w:vAlign w:val="center"/>
            <w:hideMark/>
          </w:tcPr>
          <w:p w14:paraId="03A5A125"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Expenditure</w:t>
            </w:r>
          </w:p>
        </w:tc>
        <w:tc>
          <w:tcPr>
            <w:tcW w:w="1880" w:type="dxa"/>
            <w:tcBorders>
              <w:top w:val="nil"/>
              <w:left w:val="nil"/>
              <w:bottom w:val="nil"/>
              <w:right w:val="nil"/>
            </w:tcBorders>
            <w:shd w:val="clear" w:color="auto" w:fill="auto"/>
            <w:vAlign w:val="center"/>
            <w:hideMark/>
          </w:tcPr>
          <w:p w14:paraId="0423A884"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Income</w:t>
            </w:r>
          </w:p>
        </w:tc>
        <w:tc>
          <w:tcPr>
            <w:tcW w:w="1688" w:type="dxa"/>
            <w:tcBorders>
              <w:top w:val="nil"/>
              <w:left w:val="nil"/>
              <w:bottom w:val="nil"/>
              <w:right w:val="nil"/>
            </w:tcBorders>
            <w:shd w:val="clear" w:color="auto" w:fill="auto"/>
            <w:vAlign w:val="center"/>
            <w:hideMark/>
          </w:tcPr>
          <w:p w14:paraId="67047989"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Net</w:t>
            </w:r>
          </w:p>
        </w:tc>
      </w:tr>
      <w:tr w:rsidR="00A0232C" w:rsidRPr="00A0232C" w14:paraId="5E61086B" w14:textId="77777777" w:rsidTr="0073748E">
        <w:trPr>
          <w:gridAfter w:val="1"/>
          <w:wAfter w:w="464" w:type="dxa"/>
          <w:cantSplit/>
          <w:trHeight w:val="223"/>
        </w:trPr>
        <w:tc>
          <w:tcPr>
            <w:tcW w:w="1304" w:type="dxa"/>
            <w:tcBorders>
              <w:top w:val="nil"/>
              <w:left w:val="nil"/>
              <w:bottom w:val="single" w:sz="8" w:space="0" w:color="000000"/>
              <w:right w:val="nil"/>
            </w:tcBorders>
            <w:shd w:val="clear" w:color="auto" w:fill="auto"/>
            <w:vAlign w:val="center"/>
            <w:hideMark/>
          </w:tcPr>
          <w:p w14:paraId="662B5AAC"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£000</w:t>
            </w:r>
          </w:p>
        </w:tc>
        <w:tc>
          <w:tcPr>
            <w:tcW w:w="1425" w:type="dxa"/>
            <w:tcBorders>
              <w:top w:val="nil"/>
              <w:left w:val="nil"/>
              <w:bottom w:val="single" w:sz="8" w:space="0" w:color="000000"/>
              <w:right w:val="nil"/>
            </w:tcBorders>
            <w:shd w:val="clear" w:color="auto" w:fill="auto"/>
            <w:vAlign w:val="center"/>
            <w:hideMark/>
          </w:tcPr>
          <w:p w14:paraId="284261FC"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£000</w:t>
            </w:r>
          </w:p>
        </w:tc>
        <w:tc>
          <w:tcPr>
            <w:tcW w:w="1281" w:type="dxa"/>
            <w:tcBorders>
              <w:top w:val="nil"/>
              <w:left w:val="nil"/>
              <w:bottom w:val="single" w:sz="8" w:space="0" w:color="000000"/>
              <w:right w:val="nil"/>
            </w:tcBorders>
            <w:shd w:val="clear" w:color="auto" w:fill="auto"/>
            <w:vAlign w:val="center"/>
            <w:hideMark/>
          </w:tcPr>
          <w:p w14:paraId="15B5D0CC"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£000</w:t>
            </w:r>
          </w:p>
        </w:tc>
        <w:tc>
          <w:tcPr>
            <w:tcW w:w="1139" w:type="dxa"/>
            <w:tcBorders>
              <w:top w:val="nil"/>
              <w:left w:val="nil"/>
              <w:bottom w:val="single" w:sz="8" w:space="0" w:color="000000"/>
              <w:right w:val="nil"/>
            </w:tcBorders>
            <w:shd w:val="clear" w:color="auto" w:fill="auto"/>
            <w:vAlign w:val="center"/>
            <w:hideMark/>
          </w:tcPr>
          <w:p w14:paraId="7B17EA30"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Notes</w:t>
            </w:r>
          </w:p>
        </w:tc>
        <w:tc>
          <w:tcPr>
            <w:tcW w:w="4214" w:type="dxa"/>
            <w:tcBorders>
              <w:top w:val="nil"/>
              <w:left w:val="nil"/>
              <w:bottom w:val="single" w:sz="8" w:space="0" w:color="000000"/>
              <w:right w:val="nil"/>
            </w:tcBorders>
            <w:shd w:val="clear" w:color="auto" w:fill="auto"/>
            <w:vAlign w:val="center"/>
            <w:hideMark/>
          </w:tcPr>
          <w:p w14:paraId="5F802999" w14:textId="77777777" w:rsidR="00A0232C" w:rsidRPr="00A0232C" w:rsidRDefault="00A0232C" w:rsidP="00A0232C">
            <w:pPr>
              <w:jc w:val="right"/>
              <w:rPr>
                <w:rFonts w:ascii="Verdana" w:eastAsia="Times New Roman" w:hAnsi="Verdana" w:cs="Calibri"/>
                <w:b/>
                <w:bCs/>
                <w:color w:val="000000"/>
                <w:sz w:val="2"/>
                <w:szCs w:val="2"/>
                <w:lang w:val="en-GB" w:eastAsia="en-GB"/>
              </w:rPr>
            </w:pPr>
            <w:r w:rsidRPr="00A0232C">
              <w:rPr>
                <w:rFonts w:ascii="Verdana" w:eastAsia="Times New Roman" w:hAnsi="Verdana" w:cs="Calibri"/>
                <w:b/>
                <w:bCs/>
                <w:color w:val="000000"/>
                <w:sz w:val="2"/>
                <w:szCs w:val="2"/>
                <w:lang w:val="en-GB" w:eastAsia="en-GB"/>
              </w:rPr>
              <w:t xml:space="preserve"> </w:t>
            </w:r>
          </w:p>
        </w:tc>
        <w:tc>
          <w:tcPr>
            <w:tcW w:w="1811" w:type="dxa"/>
            <w:tcBorders>
              <w:top w:val="nil"/>
              <w:left w:val="nil"/>
              <w:bottom w:val="single" w:sz="8" w:space="0" w:color="000000"/>
              <w:right w:val="nil"/>
            </w:tcBorders>
            <w:shd w:val="clear" w:color="auto" w:fill="auto"/>
            <w:vAlign w:val="center"/>
            <w:hideMark/>
          </w:tcPr>
          <w:p w14:paraId="52C8BDA7"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£000</w:t>
            </w:r>
          </w:p>
        </w:tc>
        <w:tc>
          <w:tcPr>
            <w:tcW w:w="1880" w:type="dxa"/>
            <w:tcBorders>
              <w:top w:val="nil"/>
              <w:left w:val="nil"/>
              <w:bottom w:val="single" w:sz="8" w:space="0" w:color="000000"/>
              <w:right w:val="nil"/>
            </w:tcBorders>
            <w:shd w:val="clear" w:color="auto" w:fill="auto"/>
            <w:vAlign w:val="center"/>
            <w:hideMark/>
          </w:tcPr>
          <w:p w14:paraId="7A209F28"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£000</w:t>
            </w:r>
          </w:p>
        </w:tc>
        <w:tc>
          <w:tcPr>
            <w:tcW w:w="1688" w:type="dxa"/>
            <w:tcBorders>
              <w:top w:val="nil"/>
              <w:left w:val="nil"/>
              <w:bottom w:val="single" w:sz="8" w:space="0" w:color="000000"/>
              <w:right w:val="nil"/>
            </w:tcBorders>
            <w:shd w:val="clear" w:color="auto" w:fill="auto"/>
            <w:vAlign w:val="center"/>
            <w:hideMark/>
          </w:tcPr>
          <w:p w14:paraId="5086CC86"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£000</w:t>
            </w:r>
          </w:p>
        </w:tc>
      </w:tr>
      <w:tr w:rsidR="00A0232C" w:rsidRPr="00A0232C" w14:paraId="6BE3DE84"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4B8CE59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130,232</w:t>
            </w:r>
          </w:p>
        </w:tc>
        <w:tc>
          <w:tcPr>
            <w:tcW w:w="1425" w:type="dxa"/>
            <w:tcBorders>
              <w:top w:val="nil"/>
              <w:left w:val="nil"/>
              <w:bottom w:val="nil"/>
              <w:right w:val="nil"/>
            </w:tcBorders>
            <w:shd w:val="clear" w:color="auto" w:fill="auto"/>
            <w:vAlign w:val="center"/>
            <w:hideMark/>
          </w:tcPr>
          <w:p w14:paraId="77516B5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09909286"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130,232</w:t>
            </w:r>
          </w:p>
        </w:tc>
        <w:tc>
          <w:tcPr>
            <w:tcW w:w="1139" w:type="dxa"/>
            <w:tcBorders>
              <w:top w:val="nil"/>
              <w:left w:val="nil"/>
              <w:bottom w:val="nil"/>
              <w:right w:val="nil"/>
            </w:tcBorders>
            <w:shd w:val="clear" w:color="auto" w:fill="auto"/>
            <w:vAlign w:val="center"/>
            <w:hideMark/>
          </w:tcPr>
          <w:p w14:paraId="0A51D9F4"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01230CC2"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Police Payroll</w:t>
            </w:r>
          </w:p>
        </w:tc>
        <w:tc>
          <w:tcPr>
            <w:tcW w:w="1811" w:type="dxa"/>
            <w:tcBorders>
              <w:top w:val="nil"/>
              <w:left w:val="nil"/>
              <w:bottom w:val="nil"/>
              <w:right w:val="nil"/>
            </w:tcBorders>
            <w:shd w:val="clear" w:color="auto" w:fill="auto"/>
            <w:vAlign w:val="center"/>
            <w:hideMark/>
          </w:tcPr>
          <w:p w14:paraId="38AD1AE9"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148,424</w:t>
            </w:r>
          </w:p>
        </w:tc>
        <w:tc>
          <w:tcPr>
            <w:tcW w:w="1880" w:type="dxa"/>
            <w:tcBorders>
              <w:top w:val="nil"/>
              <w:left w:val="nil"/>
              <w:bottom w:val="nil"/>
              <w:right w:val="nil"/>
            </w:tcBorders>
            <w:shd w:val="clear" w:color="auto" w:fill="auto"/>
            <w:vAlign w:val="center"/>
            <w:hideMark/>
          </w:tcPr>
          <w:p w14:paraId="63EE2B7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43068332"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148,424</w:t>
            </w:r>
          </w:p>
        </w:tc>
      </w:tr>
      <w:tr w:rsidR="00A0232C" w:rsidRPr="00A0232C" w14:paraId="3659416C"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1FDC677D"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5,377</w:t>
            </w:r>
          </w:p>
        </w:tc>
        <w:tc>
          <w:tcPr>
            <w:tcW w:w="1425" w:type="dxa"/>
            <w:tcBorders>
              <w:top w:val="nil"/>
              <w:left w:val="nil"/>
              <w:bottom w:val="nil"/>
              <w:right w:val="nil"/>
            </w:tcBorders>
            <w:shd w:val="clear" w:color="auto" w:fill="auto"/>
            <w:vAlign w:val="center"/>
            <w:hideMark/>
          </w:tcPr>
          <w:p w14:paraId="657AF1D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389D81C1"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5,377</w:t>
            </w:r>
          </w:p>
        </w:tc>
        <w:tc>
          <w:tcPr>
            <w:tcW w:w="1139" w:type="dxa"/>
            <w:tcBorders>
              <w:top w:val="nil"/>
              <w:left w:val="nil"/>
              <w:bottom w:val="nil"/>
              <w:right w:val="nil"/>
            </w:tcBorders>
            <w:shd w:val="clear" w:color="auto" w:fill="auto"/>
            <w:vAlign w:val="center"/>
            <w:hideMark/>
          </w:tcPr>
          <w:p w14:paraId="0D87941F"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254A15EC"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Police Overtime</w:t>
            </w:r>
          </w:p>
        </w:tc>
        <w:tc>
          <w:tcPr>
            <w:tcW w:w="1811" w:type="dxa"/>
            <w:tcBorders>
              <w:top w:val="nil"/>
              <w:left w:val="nil"/>
              <w:bottom w:val="nil"/>
              <w:right w:val="nil"/>
            </w:tcBorders>
            <w:shd w:val="clear" w:color="auto" w:fill="auto"/>
            <w:vAlign w:val="center"/>
            <w:hideMark/>
          </w:tcPr>
          <w:p w14:paraId="2637BC1A"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6,269</w:t>
            </w:r>
          </w:p>
        </w:tc>
        <w:tc>
          <w:tcPr>
            <w:tcW w:w="1880" w:type="dxa"/>
            <w:tcBorders>
              <w:top w:val="nil"/>
              <w:left w:val="nil"/>
              <w:bottom w:val="nil"/>
              <w:right w:val="nil"/>
            </w:tcBorders>
            <w:shd w:val="clear" w:color="auto" w:fill="auto"/>
            <w:vAlign w:val="center"/>
            <w:hideMark/>
          </w:tcPr>
          <w:p w14:paraId="4338023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56B9F0D7"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6,269</w:t>
            </w:r>
          </w:p>
        </w:tc>
      </w:tr>
      <w:tr w:rsidR="00A0232C" w:rsidRPr="00A0232C" w14:paraId="68BEA083"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192F937E"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75,797</w:t>
            </w:r>
          </w:p>
        </w:tc>
        <w:tc>
          <w:tcPr>
            <w:tcW w:w="1425" w:type="dxa"/>
            <w:tcBorders>
              <w:top w:val="nil"/>
              <w:left w:val="nil"/>
              <w:bottom w:val="nil"/>
              <w:right w:val="nil"/>
            </w:tcBorders>
            <w:shd w:val="clear" w:color="auto" w:fill="auto"/>
            <w:vAlign w:val="center"/>
            <w:hideMark/>
          </w:tcPr>
          <w:p w14:paraId="513A18A5"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3CD063E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75,797</w:t>
            </w:r>
          </w:p>
        </w:tc>
        <w:tc>
          <w:tcPr>
            <w:tcW w:w="1139" w:type="dxa"/>
            <w:tcBorders>
              <w:top w:val="nil"/>
              <w:left w:val="nil"/>
              <w:bottom w:val="nil"/>
              <w:right w:val="nil"/>
            </w:tcBorders>
            <w:shd w:val="clear" w:color="auto" w:fill="auto"/>
            <w:vAlign w:val="center"/>
            <w:hideMark/>
          </w:tcPr>
          <w:p w14:paraId="21959FB0"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041BE5B4"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Staff Payroll</w:t>
            </w:r>
          </w:p>
        </w:tc>
        <w:tc>
          <w:tcPr>
            <w:tcW w:w="1811" w:type="dxa"/>
            <w:tcBorders>
              <w:top w:val="nil"/>
              <w:left w:val="nil"/>
              <w:bottom w:val="nil"/>
              <w:right w:val="nil"/>
            </w:tcBorders>
            <w:shd w:val="clear" w:color="auto" w:fill="auto"/>
            <w:vAlign w:val="center"/>
            <w:hideMark/>
          </w:tcPr>
          <w:p w14:paraId="3D47D7C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80,737</w:t>
            </w:r>
          </w:p>
        </w:tc>
        <w:tc>
          <w:tcPr>
            <w:tcW w:w="1880" w:type="dxa"/>
            <w:tcBorders>
              <w:top w:val="nil"/>
              <w:left w:val="nil"/>
              <w:bottom w:val="nil"/>
              <w:right w:val="nil"/>
            </w:tcBorders>
            <w:shd w:val="clear" w:color="auto" w:fill="auto"/>
            <w:vAlign w:val="center"/>
            <w:hideMark/>
          </w:tcPr>
          <w:p w14:paraId="082E89CD"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7C69250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80,737</w:t>
            </w:r>
          </w:p>
        </w:tc>
      </w:tr>
      <w:tr w:rsidR="00A0232C" w:rsidRPr="00A0232C" w14:paraId="382925A3" w14:textId="77777777" w:rsidTr="0073748E">
        <w:trPr>
          <w:gridAfter w:val="1"/>
          <w:wAfter w:w="464" w:type="dxa"/>
          <w:cantSplit/>
          <w:trHeight w:val="202"/>
        </w:trPr>
        <w:tc>
          <w:tcPr>
            <w:tcW w:w="1304" w:type="dxa"/>
            <w:tcBorders>
              <w:top w:val="nil"/>
              <w:left w:val="nil"/>
              <w:bottom w:val="nil"/>
              <w:right w:val="nil"/>
            </w:tcBorders>
            <w:shd w:val="clear" w:color="auto" w:fill="auto"/>
            <w:vAlign w:val="center"/>
            <w:hideMark/>
          </w:tcPr>
          <w:p w14:paraId="74209E20"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1,695</w:t>
            </w:r>
          </w:p>
        </w:tc>
        <w:tc>
          <w:tcPr>
            <w:tcW w:w="1425" w:type="dxa"/>
            <w:tcBorders>
              <w:top w:val="nil"/>
              <w:left w:val="nil"/>
              <w:bottom w:val="nil"/>
              <w:right w:val="nil"/>
            </w:tcBorders>
            <w:shd w:val="clear" w:color="auto" w:fill="auto"/>
            <w:vAlign w:val="center"/>
            <w:hideMark/>
          </w:tcPr>
          <w:p w14:paraId="225F17FB"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3527B075"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1,695</w:t>
            </w:r>
          </w:p>
        </w:tc>
        <w:tc>
          <w:tcPr>
            <w:tcW w:w="1139" w:type="dxa"/>
            <w:tcBorders>
              <w:top w:val="nil"/>
              <w:left w:val="nil"/>
              <w:bottom w:val="nil"/>
              <w:right w:val="nil"/>
            </w:tcBorders>
            <w:shd w:val="clear" w:color="auto" w:fill="auto"/>
            <w:vAlign w:val="center"/>
            <w:hideMark/>
          </w:tcPr>
          <w:p w14:paraId="4EA93BCA"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4D679291"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Staff Overtime</w:t>
            </w:r>
          </w:p>
        </w:tc>
        <w:tc>
          <w:tcPr>
            <w:tcW w:w="1811" w:type="dxa"/>
            <w:tcBorders>
              <w:top w:val="nil"/>
              <w:left w:val="nil"/>
              <w:bottom w:val="nil"/>
              <w:right w:val="nil"/>
            </w:tcBorders>
            <w:shd w:val="clear" w:color="auto" w:fill="auto"/>
            <w:vAlign w:val="center"/>
            <w:hideMark/>
          </w:tcPr>
          <w:p w14:paraId="196EAAE1"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1,904</w:t>
            </w:r>
          </w:p>
        </w:tc>
        <w:tc>
          <w:tcPr>
            <w:tcW w:w="1880" w:type="dxa"/>
            <w:tcBorders>
              <w:top w:val="nil"/>
              <w:left w:val="nil"/>
              <w:bottom w:val="nil"/>
              <w:right w:val="nil"/>
            </w:tcBorders>
            <w:shd w:val="clear" w:color="auto" w:fill="auto"/>
            <w:vAlign w:val="center"/>
            <w:hideMark/>
          </w:tcPr>
          <w:p w14:paraId="459E4A49"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6494B679"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1,904</w:t>
            </w:r>
          </w:p>
        </w:tc>
      </w:tr>
      <w:tr w:rsidR="00A0232C" w:rsidRPr="00A0232C" w14:paraId="03F30025"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1D95A45A"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2,014</w:t>
            </w:r>
          </w:p>
        </w:tc>
        <w:tc>
          <w:tcPr>
            <w:tcW w:w="1425" w:type="dxa"/>
            <w:tcBorders>
              <w:top w:val="nil"/>
              <w:left w:val="nil"/>
              <w:bottom w:val="nil"/>
              <w:right w:val="nil"/>
            </w:tcBorders>
            <w:shd w:val="clear" w:color="auto" w:fill="auto"/>
            <w:vAlign w:val="center"/>
            <w:hideMark/>
          </w:tcPr>
          <w:p w14:paraId="10CEC4C6"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675F9C9F"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2,014</w:t>
            </w:r>
          </w:p>
        </w:tc>
        <w:tc>
          <w:tcPr>
            <w:tcW w:w="1139" w:type="dxa"/>
            <w:tcBorders>
              <w:top w:val="nil"/>
              <w:left w:val="nil"/>
              <w:bottom w:val="nil"/>
              <w:right w:val="nil"/>
            </w:tcBorders>
            <w:shd w:val="clear" w:color="auto" w:fill="auto"/>
            <w:vAlign w:val="center"/>
            <w:hideMark/>
          </w:tcPr>
          <w:p w14:paraId="5A085E8B"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0E1FF216"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Agency</w:t>
            </w:r>
          </w:p>
        </w:tc>
        <w:tc>
          <w:tcPr>
            <w:tcW w:w="1811" w:type="dxa"/>
            <w:tcBorders>
              <w:top w:val="nil"/>
              <w:left w:val="nil"/>
              <w:bottom w:val="nil"/>
              <w:right w:val="nil"/>
            </w:tcBorders>
            <w:shd w:val="clear" w:color="auto" w:fill="auto"/>
            <w:vAlign w:val="center"/>
            <w:hideMark/>
          </w:tcPr>
          <w:p w14:paraId="7A96E592"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3,414</w:t>
            </w:r>
          </w:p>
        </w:tc>
        <w:tc>
          <w:tcPr>
            <w:tcW w:w="1880" w:type="dxa"/>
            <w:tcBorders>
              <w:top w:val="nil"/>
              <w:left w:val="nil"/>
              <w:bottom w:val="nil"/>
              <w:right w:val="nil"/>
            </w:tcBorders>
            <w:shd w:val="clear" w:color="auto" w:fill="auto"/>
            <w:vAlign w:val="center"/>
            <w:hideMark/>
          </w:tcPr>
          <w:p w14:paraId="09F1F8FF"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22E9F1EE"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3,414</w:t>
            </w:r>
          </w:p>
        </w:tc>
      </w:tr>
      <w:tr w:rsidR="00A0232C" w:rsidRPr="00A0232C" w14:paraId="37849668"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1C594643"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1,144</w:t>
            </w:r>
          </w:p>
        </w:tc>
        <w:tc>
          <w:tcPr>
            <w:tcW w:w="1425" w:type="dxa"/>
            <w:tcBorders>
              <w:top w:val="nil"/>
              <w:left w:val="nil"/>
              <w:bottom w:val="nil"/>
              <w:right w:val="nil"/>
            </w:tcBorders>
            <w:shd w:val="clear" w:color="auto" w:fill="auto"/>
            <w:vAlign w:val="center"/>
            <w:hideMark/>
          </w:tcPr>
          <w:p w14:paraId="27E9425F"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3AA3FBA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1,144</w:t>
            </w:r>
          </w:p>
        </w:tc>
        <w:tc>
          <w:tcPr>
            <w:tcW w:w="1139" w:type="dxa"/>
            <w:tcBorders>
              <w:top w:val="nil"/>
              <w:left w:val="nil"/>
              <w:bottom w:val="nil"/>
              <w:right w:val="nil"/>
            </w:tcBorders>
            <w:shd w:val="clear" w:color="auto" w:fill="auto"/>
            <w:vAlign w:val="center"/>
            <w:hideMark/>
          </w:tcPr>
          <w:p w14:paraId="3FFAC210"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11F3ABB8"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Training</w:t>
            </w:r>
          </w:p>
        </w:tc>
        <w:tc>
          <w:tcPr>
            <w:tcW w:w="1811" w:type="dxa"/>
            <w:tcBorders>
              <w:top w:val="nil"/>
              <w:left w:val="nil"/>
              <w:bottom w:val="nil"/>
              <w:right w:val="nil"/>
            </w:tcBorders>
            <w:shd w:val="clear" w:color="auto" w:fill="auto"/>
            <w:vAlign w:val="center"/>
            <w:hideMark/>
          </w:tcPr>
          <w:p w14:paraId="4C0F6565"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2,366</w:t>
            </w:r>
          </w:p>
        </w:tc>
        <w:tc>
          <w:tcPr>
            <w:tcW w:w="1880" w:type="dxa"/>
            <w:tcBorders>
              <w:top w:val="nil"/>
              <w:left w:val="nil"/>
              <w:bottom w:val="nil"/>
              <w:right w:val="nil"/>
            </w:tcBorders>
            <w:shd w:val="clear" w:color="auto" w:fill="auto"/>
            <w:vAlign w:val="center"/>
            <w:hideMark/>
          </w:tcPr>
          <w:p w14:paraId="05B1AC56"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0C2D0E27"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2,366</w:t>
            </w:r>
          </w:p>
        </w:tc>
      </w:tr>
      <w:tr w:rsidR="00A0232C" w:rsidRPr="00A0232C" w14:paraId="5E8FE52D"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748ADC02"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1,736</w:t>
            </w:r>
          </w:p>
        </w:tc>
        <w:tc>
          <w:tcPr>
            <w:tcW w:w="1425" w:type="dxa"/>
            <w:tcBorders>
              <w:top w:val="nil"/>
              <w:left w:val="nil"/>
              <w:bottom w:val="nil"/>
              <w:right w:val="nil"/>
            </w:tcBorders>
            <w:shd w:val="clear" w:color="auto" w:fill="auto"/>
            <w:vAlign w:val="center"/>
            <w:hideMark/>
          </w:tcPr>
          <w:p w14:paraId="0E273CD4"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12554D7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1,736</w:t>
            </w:r>
          </w:p>
        </w:tc>
        <w:tc>
          <w:tcPr>
            <w:tcW w:w="1139" w:type="dxa"/>
            <w:tcBorders>
              <w:top w:val="nil"/>
              <w:left w:val="nil"/>
              <w:bottom w:val="nil"/>
              <w:right w:val="nil"/>
            </w:tcBorders>
            <w:shd w:val="clear" w:color="auto" w:fill="auto"/>
            <w:vAlign w:val="center"/>
            <w:hideMark/>
          </w:tcPr>
          <w:p w14:paraId="6D8A57EC"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6F5BFCAE"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Other Payroll Costs</w:t>
            </w:r>
          </w:p>
        </w:tc>
        <w:tc>
          <w:tcPr>
            <w:tcW w:w="1811" w:type="dxa"/>
            <w:tcBorders>
              <w:top w:val="nil"/>
              <w:left w:val="nil"/>
              <w:bottom w:val="nil"/>
              <w:right w:val="nil"/>
            </w:tcBorders>
            <w:shd w:val="clear" w:color="auto" w:fill="auto"/>
            <w:vAlign w:val="center"/>
            <w:hideMark/>
          </w:tcPr>
          <w:p w14:paraId="36F99A7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2,298</w:t>
            </w:r>
          </w:p>
        </w:tc>
        <w:tc>
          <w:tcPr>
            <w:tcW w:w="1880" w:type="dxa"/>
            <w:tcBorders>
              <w:top w:val="nil"/>
              <w:left w:val="nil"/>
              <w:bottom w:val="nil"/>
              <w:right w:val="nil"/>
            </w:tcBorders>
            <w:shd w:val="clear" w:color="auto" w:fill="auto"/>
            <w:vAlign w:val="center"/>
            <w:hideMark/>
          </w:tcPr>
          <w:p w14:paraId="20A7BFCB"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5E758C30"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2,298</w:t>
            </w:r>
          </w:p>
        </w:tc>
      </w:tr>
      <w:tr w:rsidR="00A0232C" w:rsidRPr="00A0232C" w14:paraId="13F70D09" w14:textId="77777777" w:rsidTr="0073748E">
        <w:trPr>
          <w:gridAfter w:val="1"/>
          <w:wAfter w:w="464" w:type="dxa"/>
          <w:cantSplit/>
          <w:trHeight w:val="202"/>
        </w:trPr>
        <w:tc>
          <w:tcPr>
            <w:tcW w:w="1304" w:type="dxa"/>
            <w:tcBorders>
              <w:top w:val="nil"/>
              <w:left w:val="nil"/>
              <w:bottom w:val="nil"/>
              <w:right w:val="nil"/>
            </w:tcBorders>
            <w:shd w:val="clear" w:color="auto" w:fill="auto"/>
            <w:vAlign w:val="center"/>
            <w:hideMark/>
          </w:tcPr>
          <w:p w14:paraId="5157E416"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12,643</w:t>
            </w:r>
          </w:p>
        </w:tc>
        <w:tc>
          <w:tcPr>
            <w:tcW w:w="1425" w:type="dxa"/>
            <w:tcBorders>
              <w:top w:val="nil"/>
              <w:left w:val="nil"/>
              <w:bottom w:val="nil"/>
              <w:right w:val="nil"/>
            </w:tcBorders>
            <w:shd w:val="clear" w:color="auto" w:fill="auto"/>
            <w:vAlign w:val="center"/>
            <w:hideMark/>
          </w:tcPr>
          <w:p w14:paraId="33D5F9AF"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32D8724F"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12,643</w:t>
            </w:r>
          </w:p>
        </w:tc>
        <w:tc>
          <w:tcPr>
            <w:tcW w:w="1139" w:type="dxa"/>
            <w:tcBorders>
              <w:top w:val="nil"/>
              <w:left w:val="nil"/>
              <w:bottom w:val="nil"/>
              <w:right w:val="nil"/>
            </w:tcBorders>
            <w:shd w:val="clear" w:color="auto" w:fill="auto"/>
            <w:vAlign w:val="center"/>
            <w:hideMark/>
          </w:tcPr>
          <w:p w14:paraId="34A62255"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647FE45A"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Premises</w:t>
            </w:r>
          </w:p>
        </w:tc>
        <w:tc>
          <w:tcPr>
            <w:tcW w:w="1811" w:type="dxa"/>
            <w:tcBorders>
              <w:top w:val="nil"/>
              <w:left w:val="nil"/>
              <w:bottom w:val="nil"/>
              <w:right w:val="nil"/>
            </w:tcBorders>
            <w:shd w:val="clear" w:color="auto" w:fill="auto"/>
            <w:vAlign w:val="center"/>
            <w:hideMark/>
          </w:tcPr>
          <w:p w14:paraId="196849DB"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9,435</w:t>
            </w:r>
          </w:p>
        </w:tc>
        <w:tc>
          <w:tcPr>
            <w:tcW w:w="1880" w:type="dxa"/>
            <w:tcBorders>
              <w:top w:val="nil"/>
              <w:left w:val="nil"/>
              <w:bottom w:val="nil"/>
              <w:right w:val="nil"/>
            </w:tcBorders>
            <w:shd w:val="clear" w:color="auto" w:fill="auto"/>
            <w:vAlign w:val="center"/>
            <w:hideMark/>
          </w:tcPr>
          <w:p w14:paraId="50E62562"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2834FDBD"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9,435</w:t>
            </w:r>
          </w:p>
        </w:tc>
      </w:tr>
      <w:tr w:rsidR="00A0232C" w:rsidRPr="00A0232C" w14:paraId="5B029274"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07BBCFCA"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26,876</w:t>
            </w:r>
          </w:p>
        </w:tc>
        <w:tc>
          <w:tcPr>
            <w:tcW w:w="1425" w:type="dxa"/>
            <w:tcBorders>
              <w:top w:val="nil"/>
              <w:left w:val="nil"/>
              <w:bottom w:val="nil"/>
              <w:right w:val="nil"/>
            </w:tcBorders>
            <w:shd w:val="clear" w:color="auto" w:fill="auto"/>
            <w:vAlign w:val="center"/>
            <w:hideMark/>
          </w:tcPr>
          <w:p w14:paraId="4B1F30BB"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069D4031"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26,876</w:t>
            </w:r>
          </w:p>
        </w:tc>
        <w:tc>
          <w:tcPr>
            <w:tcW w:w="1139" w:type="dxa"/>
            <w:tcBorders>
              <w:top w:val="nil"/>
              <w:left w:val="nil"/>
              <w:bottom w:val="nil"/>
              <w:right w:val="nil"/>
            </w:tcBorders>
            <w:shd w:val="clear" w:color="auto" w:fill="auto"/>
            <w:vAlign w:val="center"/>
            <w:hideMark/>
          </w:tcPr>
          <w:p w14:paraId="59B44B80"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74C15413"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Supplies and Services</w:t>
            </w:r>
          </w:p>
        </w:tc>
        <w:tc>
          <w:tcPr>
            <w:tcW w:w="1811" w:type="dxa"/>
            <w:tcBorders>
              <w:top w:val="nil"/>
              <w:left w:val="nil"/>
              <w:bottom w:val="nil"/>
              <w:right w:val="nil"/>
            </w:tcBorders>
            <w:shd w:val="clear" w:color="auto" w:fill="auto"/>
            <w:vAlign w:val="center"/>
            <w:hideMark/>
          </w:tcPr>
          <w:p w14:paraId="37C3504B" w14:textId="3C9E246D" w:rsidR="00A0232C" w:rsidRPr="00A0232C" w:rsidRDefault="00DB179E">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29,579</w:t>
            </w:r>
          </w:p>
        </w:tc>
        <w:tc>
          <w:tcPr>
            <w:tcW w:w="1880" w:type="dxa"/>
            <w:tcBorders>
              <w:top w:val="nil"/>
              <w:left w:val="nil"/>
              <w:bottom w:val="nil"/>
              <w:right w:val="nil"/>
            </w:tcBorders>
            <w:shd w:val="clear" w:color="auto" w:fill="auto"/>
            <w:vAlign w:val="center"/>
            <w:hideMark/>
          </w:tcPr>
          <w:p w14:paraId="5AEC1C9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2F11DAC5" w14:textId="19E8373A" w:rsidR="00A0232C" w:rsidRPr="00A0232C" w:rsidRDefault="00DB179E">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29,579</w:t>
            </w:r>
          </w:p>
        </w:tc>
      </w:tr>
      <w:tr w:rsidR="00A0232C" w:rsidRPr="00A0232C" w14:paraId="1032431E"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0CB952A5"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5,273</w:t>
            </w:r>
          </w:p>
        </w:tc>
        <w:tc>
          <w:tcPr>
            <w:tcW w:w="1425" w:type="dxa"/>
            <w:tcBorders>
              <w:top w:val="nil"/>
              <w:left w:val="nil"/>
              <w:bottom w:val="nil"/>
              <w:right w:val="nil"/>
            </w:tcBorders>
            <w:shd w:val="clear" w:color="auto" w:fill="auto"/>
            <w:vAlign w:val="center"/>
            <w:hideMark/>
          </w:tcPr>
          <w:p w14:paraId="3CA44A00"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05B7B579"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5,273</w:t>
            </w:r>
          </w:p>
        </w:tc>
        <w:tc>
          <w:tcPr>
            <w:tcW w:w="1139" w:type="dxa"/>
            <w:tcBorders>
              <w:top w:val="nil"/>
              <w:left w:val="nil"/>
              <w:bottom w:val="nil"/>
              <w:right w:val="nil"/>
            </w:tcBorders>
            <w:shd w:val="clear" w:color="auto" w:fill="auto"/>
            <w:vAlign w:val="center"/>
            <w:hideMark/>
          </w:tcPr>
          <w:p w14:paraId="73B9A3C4"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33CC9AFA"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Transport</w:t>
            </w:r>
          </w:p>
        </w:tc>
        <w:tc>
          <w:tcPr>
            <w:tcW w:w="1811" w:type="dxa"/>
            <w:tcBorders>
              <w:top w:val="nil"/>
              <w:left w:val="nil"/>
              <w:bottom w:val="nil"/>
              <w:right w:val="nil"/>
            </w:tcBorders>
            <w:shd w:val="clear" w:color="auto" w:fill="auto"/>
            <w:vAlign w:val="center"/>
            <w:hideMark/>
          </w:tcPr>
          <w:p w14:paraId="4B623D90"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5,756</w:t>
            </w:r>
          </w:p>
        </w:tc>
        <w:tc>
          <w:tcPr>
            <w:tcW w:w="1880" w:type="dxa"/>
            <w:tcBorders>
              <w:top w:val="nil"/>
              <w:left w:val="nil"/>
              <w:bottom w:val="nil"/>
              <w:right w:val="nil"/>
            </w:tcBorders>
            <w:shd w:val="clear" w:color="auto" w:fill="auto"/>
            <w:vAlign w:val="center"/>
            <w:hideMark/>
          </w:tcPr>
          <w:p w14:paraId="12E0A7DD"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4F948800"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5,756</w:t>
            </w:r>
          </w:p>
        </w:tc>
      </w:tr>
      <w:tr w:rsidR="00A0232C" w:rsidRPr="00A0232C" w14:paraId="6740E5C8" w14:textId="77777777" w:rsidTr="0073748E">
        <w:trPr>
          <w:gridAfter w:val="1"/>
          <w:wAfter w:w="464" w:type="dxa"/>
          <w:cantSplit/>
          <w:trHeight w:val="202"/>
        </w:trPr>
        <w:tc>
          <w:tcPr>
            <w:tcW w:w="1304" w:type="dxa"/>
            <w:tcBorders>
              <w:top w:val="nil"/>
              <w:left w:val="nil"/>
              <w:bottom w:val="nil"/>
              <w:right w:val="nil"/>
            </w:tcBorders>
            <w:shd w:val="clear" w:color="auto" w:fill="auto"/>
            <w:vAlign w:val="center"/>
            <w:hideMark/>
          </w:tcPr>
          <w:p w14:paraId="73458493"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11,196</w:t>
            </w:r>
          </w:p>
        </w:tc>
        <w:tc>
          <w:tcPr>
            <w:tcW w:w="1425" w:type="dxa"/>
            <w:tcBorders>
              <w:top w:val="nil"/>
              <w:left w:val="nil"/>
              <w:bottom w:val="nil"/>
              <w:right w:val="nil"/>
            </w:tcBorders>
            <w:shd w:val="clear" w:color="auto" w:fill="auto"/>
            <w:vAlign w:val="center"/>
            <w:hideMark/>
          </w:tcPr>
          <w:p w14:paraId="4CFC01D3"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7ADED065"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11,196</w:t>
            </w:r>
          </w:p>
        </w:tc>
        <w:tc>
          <w:tcPr>
            <w:tcW w:w="1139" w:type="dxa"/>
            <w:vMerge w:val="restart"/>
            <w:tcBorders>
              <w:top w:val="nil"/>
              <w:left w:val="nil"/>
              <w:bottom w:val="nil"/>
              <w:right w:val="nil"/>
            </w:tcBorders>
            <w:shd w:val="clear" w:color="auto" w:fill="auto"/>
            <w:vAlign w:val="center"/>
            <w:hideMark/>
          </w:tcPr>
          <w:p w14:paraId="50ED9D3D"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46B61263"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*Depreciation/Amortisation</w:t>
            </w:r>
          </w:p>
        </w:tc>
        <w:tc>
          <w:tcPr>
            <w:tcW w:w="1811" w:type="dxa"/>
            <w:tcBorders>
              <w:top w:val="nil"/>
              <w:left w:val="nil"/>
              <w:bottom w:val="nil"/>
              <w:right w:val="nil"/>
            </w:tcBorders>
            <w:shd w:val="clear" w:color="auto" w:fill="auto"/>
            <w:vAlign w:val="center"/>
            <w:hideMark/>
          </w:tcPr>
          <w:p w14:paraId="51EC4903"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10,521</w:t>
            </w:r>
          </w:p>
        </w:tc>
        <w:tc>
          <w:tcPr>
            <w:tcW w:w="1880" w:type="dxa"/>
            <w:tcBorders>
              <w:top w:val="nil"/>
              <w:left w:val="nil"/>
              <w:bottom w:val="nil"/>
              <w:right w:val="nil"/>
            </w:tcBorders>
            <w:shd w:val="clear" w:color="auto" w:fill="auto"/>
            <w:vAlign w:val="center"/>
            <w:hideMark/>
          </w:tcPr>
          <w:p w14:paraId="70B9EB41"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2782FD6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10,521</w:t>
            </w:r>
          </w:p>
        </w:tc>
      </w:tr>
      <w:tr w:rsidR="00A0232C" w:rsidRPr="00A0232C" w14:paraId="043AD389" w14:textId="77777777" w:rsidTr="0073748E">
        <w:trPr>
          <w:gridBefore w:val="1"/>
          <w:gridAfter w:val="1"/>
          <w:wBefore w:w="1304" w:type="dxa"/>
          <w:wAfter w:w="464" w:type="dxa"/>
          <w:trHeight w:val="202"/>
        </w:trPr>
        <w:tc>
          <w:tcPr>
            <w:tcW w:w="1425" w:type="dxa"/>
            <w:tcBorders>
              <w:top w:val="nil"/>
              <w:left w:val="nil"/>
              <w:bottom w:val="nil"/>
              <w:right w:val="nil"/>
            </w:tcBorders>
            <w:shd w:val="clear" w:color="auto" w:fill="auto"/>
            <w:vAlign w:val="center"/>
            <w:hideMark/>
          </w:tcPr>
          <w:p w14:paraId="3FBC29C9" w14:textId="77777777" w:rsidR="00A0232C" w:rsidRPr="00A0232C" w:rsidRDefault="00A0232C" w:rsidP="00A0232C">
            <w:pPr>
              <w:jc w:val="right"/>
              <w:rPr>
                <w:rFonts w:ascii="Times New Roman" w:eastAsia="Times New Roman" w:hAnsi="Times New Roman" w:cs="Times New Roman"/>
                <w:sz w:val="20"/>
                <w:szCs w:val="20"/>
                <w:lang w:val="en-GB" w:eastAsia="en-GB"/>
              </w:rPr>
            </w:pPr>
          </w:p>
        </w:tc>
        <w:tc>
          <w:tcPr>
            <w:tcW w:w="1281" w:type="dxa"/>
            <w:tcBorders>
              <w:top w:val="nil"/>
              <w:left w:val="nil"/>
              <w:bottom w:val="nil"/>
              <w:right w:val="nil"/>
            </w:tcBorders>
            <w:shd w:val="clear" w:color="auto" w:fill="auto"/>
            <w:vAlign w:val="center"/>
            <w:hideMark/>
          </w:tcPr>
          <w:p w14:paraId="309BCEB9" w14:textId="77777777" w:rsidR="00A0232C" w:rsidRPr="00A0232C" w:rsidRDefault="00A0232C" w:rsidP="00A0232C">
            <w:pPr>
              <w:jc w:val="right"/>
              <w:rPr>
                <w:rFonts w:ascii="Times New Roman" w:eastAsia="Times New Roman" w:hAnsi="Times New Roman" w:cs="Times New Roman"/>
                <w:sz w:val="20"/>
                <w:szCs w:val="20"/>
                <w:lang w:val="en-GB" w:eastAsia="en-GB"/>
              </w:rPr>
            </w:pPr>
          </w:p>
        </w:tc>
        <w:tc>
          <w:tcPr>
            <w:tcW w:w="1139" w:type="dxa"/>
            <w:vMerge/>
            <w:tcBorders>
              <w:top w:val="nil"/>
              <w:left w:val="nil"/>
              <w:bottom w:val="nil"/>
              <w:right w:val="nil"/>
            </w:tcBorders>
            <w:vAlign w:val="center"/>
            <w:hideMark/>
          </w:tcPr>
          <w:p w14:paraId="64566CB7" w14:textId="77777777" w:rsidR="00A0232C" w:rsidRPr="00A0232C" w:rsidRDefault="00A0232C" w:rsidP="00A0232C">
            <w:pPr>
              <w:rPr>
                <w:rFonts w:ascii="Verdana" w:eastAsia="Times New Roman" w:hAnsi="Verdana" w:cs="Calibri"/>
                <w:color w:val="000000"/>
                <w:sz w:val="16"/>
                <w:szCs w:val="16"/>
                <w:lang w:val="en-GB" w:eastAsia="en-GB"/>
              </w:rPr>
            </w:pPr>
          </w:p>
        </w:tc>
        <w:tc>
          <w:tcPr>
            <w:tcW w:w="4214" w:type="dxa"/>
            <w:tcBorders>
              <w:top w:val="nil"/>
              <w:left w:val="nil"/>
              <w:bottom w:val="nil"/>
              <w:right w:val="nil"/>
            </w:tcBorders>
            <w:shd w:val="clear" w:color="auto" w:fill="auto"/>
            <w:vAlign w:val="center"/>
            <w:hideMark/>
          </w:tcPr>
          <w:p w14:paraId="62959CB1"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(Proxy)</w:t>
            </w:r>
          </w:p>
        </w:tc>
        <w:tc>
          <w:tcPr>
            <w:tcW w:w="1811" w:type="dxa"/>
            <w:tcBorders>
              <w:top w:val="nil"/>
              <w:left w:val="nil"/>
              <w:bottom w:val="nil"/>
              <w:right w:val="nil"/>
            </w:tcBorders>
            <w:shd w:val="clear" w:color="auto" w:fill="auto"/>
            <w:vAlign w:val="center"/>
            <w:hideMark/>
          </w:tcPr>
          <w:p w14:paraId="20A927F1" w14:textId="77777777" w:rsidR="00A0232C" w:rsidRPr="00A0232C" w:rsidRDefault="00A0232C" w:rsidP="00A0232C">
            <w:pPr>
              <w:rPr>
                <w:rFonts w:ascii="Verdana" w:eastAsia="Times New Roman" w:hAnsi="Verdana" w:cs="Calibri"/>
                <w:color w:val="000000"/>
                <w:sz w:val="16"/>
                <w:szCs w:val="16"/>
                <w:lang w:val="en-GB" w:eastAsia="en-GB"/>
              </w:rPr>
            </w:pPr>
          </w:p>
        </w:tc>
        <w:tc>
          <w:tcPr>
            <w:tcW w:w="1880" w:type="dxa"/>
            <w:tcBorders>
              <w:top w:val="nil"/>
              <w:left w:val="nil"/>
              <w:bottom w:val="nil"/>
              <w:right w:val="nil"/>
            </w:tcBorders>
            <w:shd w:val="clear" w:color="auto" w:fill="auto"/>
            <w:vAlign w:val="center"/>
            <w:hideMark/>
          </w:tcPr>
          <w:p w14:paraId="146E02C6" w14:textId="77777777" w:rsidR="00A0232C" w:rsidRPr="00A0232C" w:rsidRDefault="00A0232C" w:rsidP="00A0232C">
            <w:pPr>
              <w:jc w:val="right"/>
              <w:rPr>
                <w:rFonts w:ascii="Times New Roman" w:eastAsia="Times New Roman" w:hAnsi="Times New Roman" w:cs="Times New Roman"/>
                <w:sz w:val="20"/>
                <w:szCs w:val="20"/>
                <w:lang w:val="en-GB" w:eastAsia="en-GB"/>
              </w:rPr>
            </w:pPr>
          </w:p>
        </w:tc>
        <w:tc>
          <w:tcPr>
            <w:tcW w:w="1688" w:type="dxa"/>
            <w:tcBorders>
              <w:top w:val="nil"/>
              <w:left w:val="nil"/>
              <w:bottom w:val="nil"/>
              <w:right w:val="nil"/>
            </w:tcBorders>
            <w:shd w:val="clear" w:color="auto" w:fill="auto"/>
            <w:vAlign w:val="center"/>
            <w:hideMark/>
          </w:tcPr>
          <w:p w14:paraId="5B6D1E93" w14:textId="77777777" w:rsidR="00A0232C" w:rsidRPr="00A0232C" w:rsidRDefault="00A0232C" w:rsidP="00A0232C">
            <w:pPr>
              <w:jc w:val="right"/>
              <w:rPr>
                <w:rFonts w:ascii="Times New Roman" w:eastAsia="Times New Roman" w:hAnsi="Times New Roman" w:cs="Times New Roman"/>
                <w:sz w:val="20"/>
                <w:szCs w:val="20"/>
                <w:lang w:val="en-GB" w:eastAsia="en-GB"/>
              </w:rPr>
            </w:pPr>
          </w:p>
        </w:tc>
      </w:tr>
      <w:tr w:rsidR="00A0232C" w:rsidRPr="00A0232C" w14:paraId="585DD5CE" w14:textId="77777777" w:rsidTr="0073748E">
        <w:trPr>
          <w:gridAfter w:val="1"/>
          <w:wAfter w:w="464" w:type="dxa"/>
          <w:trHeight w:val="283"/>
        </w:trPr>
        <w:tc>
          <w:tcPr>
            <w:tcW w:w="1304" w:type="dxa"/>
            <w:tcBorders>
              <w:top w:val="nil"/>
              <w:left w:val="nil"/>
              <w:bottom w:val="nil"/>
              <w:right w:val="nil"/>
            </w:tcBorders>
            <w:shd w:val="clear" w:color="auto" w:fill="auto"/>
            <w:vAlign w:val="center"/>
            <w:hideMark/>
          </w:tcPr>
          <w:p w14:paraId="5FD1D1FC"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425" w:type="dxa"/>
            <w:tcBorders>
              <w:top w:val="nil"/>
              <w:left w:val="nil"/>
              <w:bottom w:val="nil"/>
              <w:right w:val="nil"/>
            </w:tcBorders>
            <w:shd w:val="clear" w:color="auto" w:fill="auto"/>
            <w:vAlign w:val="center"/>
            <w:hideMark/>
          </w:tcPr>
          <w:p w14:paraId="0F7198A0"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(13,233)</w:t>
            </w:r>
          </w:p>
        </w:tc>
        <w:tc>
          <w:tcPr>
            <w:tcW w:w="1281" w:type="dxa"/>
            <w:tcBorders>
              <w:top w:val="nil"/>
              <w:left w:val="nil"/>
              <w:bottom w:val="nil"/>
              <w:right w:val="nil"/>
            </w:tcBorders>
            <w:shd w:val="clear" w:color="auto" w:fill="auto"/>
            <w:vAlign w:val="center"/>
            <w:hideMark/>
          </w:tcPr>
          <w:p w14:paraId="13F8F111"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(13,233)</w:t>
            </w:r>
          </w:p>
        </w:tc>
        <w:tc>
          <w:tcPr>
            <w:tcW w:w="1139" w:type="dxa"/>
            <w:tcBorders>
              <w:top w:val="nil"/>
              <w:left w:val="nil"/>
              <w:bottom w:val="nil"/>
              <w:right w:val="nil"/>
            </w:tcBorders>
            <w:shd w:val="clear" w:color="auto" w:fill="auto"/>
            <w:vAlign w:val="center"/>
            <w:hideMark/>
          </w:tcPr>
          <w:p w14:paraId="5044E2D4"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7DBECE0E"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Income for Services provided by The Chief Constable</w:t>
            </w:r>
          </w:p>
        </w:tc>
        <w:tc>
          <w:tcPr>
            <w:tcW w:w="1811" w:type="dxa"/>
            <w:tcBorders>
              <w:top w:val="nil"/>
              <w:left w:val="nil"/>
              <w:bottom w:val="nil"/>
              <w:right w:val="nil"/>
            </w:tcBorders>
            <w:shd w:val="clear" w:color="auto" w:fill="auto"/>
            <w:vAlign w:val="center"/>
            <w:hideMark/>
          </w:tcPr>
          <w:p w14:paraId="1BF3F6A2"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880" w:type="dxa"/>
            <w:tcBorders>
              <w:top w:val="nil"/>
              <w:left w:val="nil"/>
              <w:bottom w:val="nil"/>
              <w:right w:val="nil"/>
            </w:tcBorders>
            <w:shd w:val="clear" w:color="auto" w:fill="auto"/>
            <w:vAlign w:val="center"/>
            <w:hideMark/>
          </w:tcPr>
          <w:p w14:paraId="79496EF4" w14:textId="70B5C3A1" w:rsidR="00A0232C" w:rsidRPr="00A0232C" w:rsidRDefault="00A0232C" w:rsidP="0032137A">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w:t>
            </w:r>
            <w:r w:rsidR="0032137A">
              <w:rPr>
                <w:rFonts w:ascii="Verdana" w:eastAsia="Times New Roman" w:hAnsi="Verdana" w:cs="Calibri"/>
                <w:color w:val="000000"/>
                <w:sz w:val="16"/>
                <w:szCs w:val="16"/>
                <w:lang w:val="en-GB" w:eastAsia="en-GB"/>
              </w:rPr>
              <w:t>7</w:t>
            </w:r>
            <w:r w:rsidRPr="00A0232C">
              <w:rPr>
                <w:rFonts w:ascii="Verdana" w:eastAsia="Times New Roman" w:hAnsi="Verdana" w:cs="Calibri"/>
                <w:color w:val="000000"/>
                <w:sz w:val="16"/>
                <w:szCs w:val="16"/>
                <w:lang w:val="en-GB" w:eastAsia="en-GB"/>
              </w:rPr>
              <w:t>,1</w:t>
            </w:r>
            <w:r w:rsidR="0032137A">
              <w:rPr>
                <w:rFonts w:ascii="Verdana" w:eastAsia="Times New Roman" w:hAnsi="Verdana" w:cs="Calibri"/>
                <w:color w:val="000000"/>
                <w:sz w:val="16"/>
                <w:szCs w:val="16"/>
                <w:lang w:val="en-GB" w:eastAsia="en-GB"/>
              </w:rPr>
              <w:t>97</w:t>
            </w:r>
            <w:r w:rsidRPr="00A0232C">
              <w:rPr>
                <w:rFonts w:ascii="Verdana" w:eastAsia="Times New Roman" w:hAnsi="Verdana" w:cs="Calibri"/>
                <w:color w:val="000000"/>
                <w:sz w:val="16"/>
                <w:szCs w:val="16"/>
                <w:lang w:val="en-GB" w:eastAsia="en-GB"/>
              </w:rPr>
              <w:t>)</w:t>
            </w:r>
          </w:p>
        </w:tc>
        <w:tc>
          <w:tcPr>
            <w:tcW w:w="1688" w:type="dxa"/>
            <w:tcBorders>
              <w:top w:val="nil"/>
              <w:left w:val="nil"/>
              <w:bottom w:val="nil"/>
              <w:right w:val="nil"/>
            </w:tcBorders>
            <w:shd w:val="clear" w:color="auto" w:fill="auto"/>
            <w:vAlign w:val="center"/>
            <w:hideMark/>
          </w:tcPr>
          <w:p w14:paraId="11327922" w14:textId="27B20BCF" w:rsidR="00A0232C" w:rsidRPr="00A0232C" w:rsidRDefault="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w:t>
            </w:r>
            <w:r w:rsidR="0032137A">
              <w:rPr>
                <w:rFonts w:ascii="Verdana" w:eastAsia="Times New Roman" w:hAnsi="Verdana" w:cs="Calibri"/>
                <w:color w:val="000000"/>
                <w:sz w:val="16"/>
                <w:szCs w:val="16"/>
                <w:lang w:val="en-GB" w:eastAsia="en-GB"/>
              </w:rPr>
              <w:t>7</w:t>
            </w:r>
            <w:r w:rsidRPr="00A0232C">
              <w:rPr>
                <w:rFonts w:ascii="Verdana" w:eastAsia="Times New Roman" w:hAnsi="Verdana" w:cs="Calibri"/>
                <w:color w:val="000000"/>
                <w:sz w:val="16"/>
                <w:szCs w:val="16"/>
                <w:lang w:val="en-GB" w:eastAsia="en-GB"/>
              </w:rPr>
              <w:t>,1</w:t>
            </w:r>
            <w:r w:rsidR="0032137A">
              <w:rPr>
                <w:rFonts w:ascii="Verdana" w:eastAsia="Times New Roman" w:hAnsi="Verdana" w:cs="Calibri"/>
                <w:color w:val="000000"/>
                <w:sz w:val="16"/>
                <w:szCs w:val="16"/>
                <w:lang w:val="en-GB" w:eastAsia="en-GB"/>
              </w:rPr>
              <w:t>97</w:t>
            </w:r>
            <w:r w:rsidRPr="00A0232C">
              <w:rPr>
                <w:rFonts w:ascii="Verdana" w:eastAsia="Times New Roman" w:hAnsi="Verdana" w:cs="Calibri"/>
                <w:color w:val="000000"/>
                <w:sz w:val="16"/>
                <w:szCs w:val="16"/>
                <w:lang w:val="en-GB" w:eastAsia="en-GB"/>
              </w:rPr>
              <w:t>)</w:t>
            </w:r>
          </w:p>
        </w:tc>
      </w:tr>
      <w:tr w:rsidR="00A0232C" w:rsidRPr="00A0232C" w14:paraId="52E70161" w14:textId="77777777" w:rsidTr="0073748E">
        <w:trPr>
          <w:gridAfter w:val="1"/>
          <w:wAfter w:w="464" w:type="dxa"/>
          <w:trHeight w:val="283"/>
        </w:trPr>
        <w:tc>
          <w:tcPr>
            <w:tcW w:w="1304" w:type="dxa"/>
            <w:tcBorders>
              <w:top w:val="nil"/>
              <w:left w:val="nil"/>
              <w:bottom w:val="nil"/>
              <w:right w:val="nil"/>
            </w:tcBorders>
            <w:shd w:val="clear" w:color="auto" w:fill="auto"/>
            <w:vAlign w:val="center"/>
          </w:tcPr>
          <w:p w14:paraId="22E0327A" w14:textId="77777777" w:rsidR="00A0232C" w:rsidRPr="00A0232C" w:rsidRDefault="00A0232C"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(1)</w:t>
            </w:r>
          </w:p>
        </w:tc>
        <w:tc>
          <w:tcPr>
            <w:tcW w:w="1425" w:type="dxa"/>
            <w:tcBorders>
              <w:top w:val="nil"/>
              <w:left w:val="nil"/>
              <w:bottom w:val="nil"/>
              <w:right w:val="nil"/>
            </w:tcBorders>
            <w:shd w:val="clear" w:color="auto" w:fill="auto"/>
            <w:vAlign w:val="center"/>
          </w:tcPr>
          <w:p w14:paraId="0DFD48B7" w14:textId="77777777" w:rsidR="00A0232C" w:rsidRPr="00A0232C" w:rsidRDefault="00A0232C"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tcPr>
          <w:p w14:paraId="48DB5884" w14:textId="77777777" w:rsidR="00A0232C" w:rsidRPr="00A0232C" w:rsidRDefault="00A0232C"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(1)</w:t>
            </w:r>
          </w:p>
        </w:tc>
        <w:tc>
          <w:tcPr>
            <w:tcW w:w="1139" w:type="dxa"/>
            <w:tcBorders>
              <w:top w:val="nil"/>
              <w:left w:val="nil"/>
              <w:bottom w:val="nil"/>
              <w:right w:val="nil"/>
            </w:tcBorders>
            <w:shd w:val="clear" w:color="auto" w:fill="auto"/>
            <w:vAlign w:val="center"/>
          </w:tcPr>
          <w:p w14:paraId="21DF9719" w14:textId="77777777" w:rsidR="00A0232C" w:rsidRPr="00A0232C" w:rsidRDefault="00A0232C" w:rsidP="00A0232C">
            <w:pPr>
              <w:rPr>
                <w:rFonts w:ascii="Verdana" w:eastAsia="Times New Roman" w:hAnsi="Verdana" w:cs="Calibri"/>
                <w:color w:val="000000"/>
                <w:sz w:val="16"/>
                <w:szCs w:val="16"/>
                <w:lang w:val="en-GB" w:eastAsia="en-GB"/>
              </w:rPr>
            </w:pPr>
          </w:p>
        </w:tc>
        <w:tc>
          <w:tcPr>
            <w:tcW w:w="4214" w:type="dxa"/>
            <w:tcBorders>
              <w:top w:val="nil"/>
              <w:left w:val="nil"/>
              <w:bottom w:val="nil"/>
              <w:right w:val="nil"/>
            </w:tcBorders>
            <w:shd w:val="clear" w:color="auto" w:fill="auto"/>
            <w:vAlign w:val="center"/>
          </w:tcPr>
          <w:p w14:paraId="19B45714" w14:textId="77777777" w:rsidR="00A0232C" w:rsidRPr="00A0232C" w:rsidRDefault="00A0232C" w:rsidP="00A0232C">
            <w:pPr>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Rounding</w:t>
            </w:r>
          </w:p>
        </w:tc>
        <w:tc>
          <w:tcPr>
            <w:tcW w:w="1811" w:type="dxa"/>
            <w:tcBorders>
              <w:top w:val="nil"/>
              <w:left w:val="nil"/>
              <w:bottom w:val="nil"/>
              <w:right w:val="nil"/>
            </w:tcBorders>
            <w:shd w:val="clear" w:color="auto" w:fill="auto"/>
            <w:vAlign w:val="center"/>
          </w:tcPr>
          <w:p w14:paraId="367D4833" w14:textId="747BBD97" w:rsidR="00A0232C" w:rsidRPr="00A0232C" w:rsidRDefault="0032137A"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0</w:t>
            </w:r>
          </w:p>
        </w:tc>
        <w:tc>
          <w:tcPr>
            <w:tcW w:w="1880" w:type="dxa"/>
            <w:tcBorders>
              <w:top w:val="nil"/>
              <w:left w:val="nil"/>
              <w:bottom w:val="nil"/>
              <w:right w:val="nil"/>
            </w:tcBorders>
            <w:shd w:val="clear" w:color="auto" w:fill="auto"/>
            <w:vAlign w:val="center"/>
          </w:tcPr>
          <w:p w14:paraId="7F478D43" w14:textId="77777777" w:rsidR="00A0232C" w:rsidRPr="00A0232C" w:rsidRDefault="00A0232C"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tcPr>
          <w:p w14:paraId="77034124" w14:textId="4A254F4D" w:rsidR="00A0232C" w:rsidRPr="00A0232C" w:rsidRDefault="0032137A"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0</w:t>
            </w:r>
          </w:p>
        </w:tc>
      </w:tr>
      <w:tr w:rsidR="00A0232C" w:rsidRPr="00A0232C" w14:paraId="6CAF9592" w14:textId="77777777" w:rsidTr="0073748E">
        <w:trPr>
          <w:gridAfter w:val="1"/>
          <w:wAfter w:w="464" w:type="dxa"/>
          <w:cantSplit/>
          <w:trHeight w:val="223"/>
        </w:trPr>
        <w:tc>
          <w:tcPr>
            <w:tcW w:w="1304" w:type="dxa"/>
            <w:tcBorders>
              <w:top w:val="single" w:sz="8" w:space="0" w:color="000000"/>
              <w:left w:val="nil"/>
              <w:bottom w:val="single" w:sz="12" w:space="0" w:color="000000"/>
              <w:right w:val="nil"/>
            </w:tcBorders>
            <w:shd w:val="clear" w:color="auto" w:fill="auto"/>
            <w:vAlign w:val="center"/>
            <w:hideMark/>
          </w:tcPr>
          <w:p w14:paraId="032CD775"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273,982</w:t>
            </w:r>
          </w:p>
        </w:tc>
        <w:tc>
          <w:tcPr>
            <w:tcW w:w="1425" w:type="dxa"/>
            <w:tcBorders>
              <w:top w:val="single" w:sz="8" w:space="0" w:color="000000"/>
              <w:left w:val="nil"/>
              <w:bottom w:val="single" w:sz="12" w:space="0" w:color="000000"/>
              <w:right w:val="nil"/>
            </w:tcBorders>
            <w:shd w:val="clear" w:color="auto" w:fill="auto"/>
            <w:vAlign w:val="center"/>
            <w:hideMark/>
          </w:tcPr>
          <w:p w14:paraId="6A526896"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(13,233)</w:t>
            </w:r>
          </w:p>
        </w:tc>
        <w:tc>
          <w:tcPr>
            <w:tcW w:w="1281" w:type="dxa"/>
            <w:tcBorders>
              <w:top w:val="single" w:sz="8" w:space="0" w:color="000000"/>
              <w:left w:val="nil"/>
              <w:bottom w:val="single" w:sz="12" w:space="0" w:color="000000"/>
              <w:right w:val="nil"/>
            </w:tcBorders>
            <w:shd w:val="clear" w:color="auto" w:fill="auto"/>
            <w:vAlign w:val="center"/>
            <w:hideMark/>
          </w:tcPr>
          <w:p w14:paraId="76832E77"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260,749</w:t>
            </w:r>
          </w:p>
        </w:tc>
        <w:tc>
          <w:tcPr>
            <w:tcW w:w="1139" w:type="dxa"/>
            <w:tcBorders>
              <w:top w:val="single" w:sz="8" w:space="0" w:color="000000"/>
              <w:left w:val="nil"/>
              <w:bottom w:val="single" w:sz="12" w:space="0" w:color="000000"/>
              <w:right w:val="nil"/>
            </w:tcBorders>
            <w:shd w:val="clear" w:color="auto" w:fill="auto"/>
            <w:vAlign w:val="center"/>
            <w:hideMark/>
          </w:tcPr>
          <w:p w14:paraId="219A7242"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 xml:space="preserve"> </w:t>
            </w:r>
          </w:p>
        </w:tc>
        <w:tc>
          <w:tcPr>
            <w:tcW w:w="4214" w:type="dxa"/>
            <w:tcBorders>
              <w:top w:val="single" w:sz="8" w:space="0" w:color="000000"/>
              <w:left w:val="nil"/>
              <w:bottom w:val="single" w:sz="12" w:space="0" w:color="000000"/>
              <w:right w:val="nil"/>
            </w:tcBorders>
            <w:shd w:val="clear" w:color="auto" w:fill="auto"/>
            <w:vAlign w:val="center"/>
            <w:hideMark/>
          </w:tcPr>
          <w:p w14:paraId="3D1E1E86" w14:textId="77777777" w:rsidR="00A0232C" w:rsidRPr="00A0232C" w:rsidRDefault="00A0232C" w:rsidP="00A0232C">
            <w:pP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Cost of Services</w:t>
            </w:r>
          </w:p>
        </w:tc>
        <w:tc>
          <w:tcPr>
            <w:tcW w:w="1811" w:type="dxa"/>
            <w:tcBorders>
              <w:top w:val="single" w:sz="8" w:space="0" w:color="000000"/>
              <w:left w:val="nil"/>
              <w:bottom w:val="single" w:sz="12" w:space="0" w:color="000000"/>
              <w:right w:val="nil"/>
            </w:tcBorders>
            <w:shd w:val="clear" w:color="auto" w:fill="auto"/>
            <w:vAlign w:val="center"/>
            <w:hideMark/>
          </w:tcPr>
          <w:p w14:paraId="4785DEA2" w14:textId="7E44BDF9" w:rsidR="00A0232C" w:rsidRPr="00A0232C" w:rsidRDefault="00DB179E">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300,703</w:t>
            </w:r>
          </w:p>
        </w:tc>
        <w:tc>
          <w:tcPr>
            <w:tcW w:w="1880" w:type="dxa"/>
            <w:tcBorders>
              <w:top w:val="single" w:sz="8" w:space="0" w:color="000000"/>
              <w:left w:val="nil"/>
              <w:bottom w:val="single" w:sz="12" w:space="0" w:color="000000"/>
              <w:right w:val="nil"/>
            </w:tcBorders>
            <w:shd w:val="clear" w:color="auto" w:fill="auto"/>
            <w:vAlign w:val="center"/>
            <w:hideMark/>
          </w:tcPr>
          <w:p w14:paraId="75BAD287" w14:textId="5C0DABDC"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(1</w:t>
            </w:r>
            <w:r w:rsidR="0032137A">
              <w:rPr>
                <w:rFonts w:ascii="Verdana" w:eastAsia="Times New Roman" w:hAnsi="Verdana" w:cs="Calibri"/>
                <w:b/>
                <w:bCs/>
                <w:color w:val="000000"/>
                <w:sz w:val="16"/>
                <w:szCs w:val="16"/>
                <w:lang w:val="en-GB" w:eastAsia="en-GB"/>
              </w:rPr>
              <w:t>7</w:t>
            </w:r>
            <w:r w:rsidRPr="00A0232C">
              <w:rPr>
                <w:rFonts w:ascii="Verdana" w:eastAsia="Times New Roman" w:hAnsi="Verdana" w:cs="Calibri"/>
                <w:b/>
                <w:bCs/>
                <w:color w:val="000000"/>
                <w:sz w:val="16"/>
                <w:szCs w:val="16"/>
                <w:lang w:val="en-GB" w:eastAsia="en-GB"/>
              </w:rPr>
              <w:t>,1</w:t>
            </w:r>
            <w:r w:rsidR="0032137A">
              <w:rPr>
                <w:rFonts w:ascii="Verdana" w:eastAsia="Times New Roman" w:hAnsi="Verdana" w:cs="Calibri"/>
                <w:b/>
                <w:bCs/>
                <w:color w:val="000000"/>
                <w:sz w:val="16"/>
                <w:szCs w:val="16"/>
                <w:lang w:val="en-GB" w:eastAsia="en-GB"/>
              </w:rPr>
              <w:t>97</w:t>
            </w:r>
            <w:r w:rsidRPr="00A0232C">
              <w:rPr>
                <w:rFonts w:ascii="Verdana" w:eastAsia="Times New Roman" w:hAnsi="Verdana" w:cs="Calibri"/>
                <w:b/>
                <w:bCs/>
                <w:color w:val="000000"/>
                <w:sz w:val="16"/>
                <w:szCs w:val="16"/>
                <w:lang w:val="en-GB" w:eastAsia="en-GB"/>
              </w:rPr>
              <w:t>)</w:t>
            </w:r>
          </w:p>
        </w:tc>
        <w:tc>
          <w:tcPr>
            <w:tcW w:w="1688" w:type="dxa"/>
            <w:tcBorders>
              <w:top w:val="single" w:sz="8" w:space="0" w:color="000000"/>
              <w:left w:val="nil"/>
              <w:bottom w:val="single" w:sz="12" w:space="0" w:color="000000"/>
              <w:right w:val="nil"/>
            </w:tcBorders>
            <w:shd w:val="clear" w:color="auto" w:fill="auto"/>
            <w:vAlign w:val="center"/>
            <w:hideMark/>
          </w:tcPr>
          <w:p w14:paraId="1B2B718B" w14:textId="7BAE5D1C" w:rsidR="00A0232C" w:rsidRPr="00A0232C" w:rsidRDefault="00DB179E">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283,506</w:t>
            </w:r>
          </w:p>
        </w:tc>
      </w:tr>
      <w:tr w:rsidR="00A0232C" w:rsidRPr="00A0232C" w14:paraId="47BEA7E8" w14:textId="77777777" w:rsidTr="0073748E">
        <w:trPr>
          <w:gridAfter w:val="1"/>
          <w:wAfter w:w="464" w:type="dxa"/>
          <w:cantSplit/>
          <w:trHeight w:val="233"/>
        </w:trPr>
        <w:tc>
          <w:tcPr>
            <w:tcW w:w="1304" w:type="dxa"/>
            <w:tcBorders>
              <w:top w:val="nil"/>
              <w:left w:val="nil"/>
              <w:bottom w:val="nil"/>
              <w:right w:val="nil"/>
            </w:tcBorders>
            <w:shd w:val="clear" w:color="auto" w:fill="auto"/>
            <w:vAlign w:val="center"/>
            <w:hideMark/>
          </w:tcPr>
          <w:p w14:paraId="2709E519"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425" w:type="dxa"/>
            <w:tcBorders>
              <w:top w:val="nil"/>
              <w:left w:val="nil"/>
              <w:bottom w:val="nil"/>
              <w:right w:val="nil"/>
            </w:tcBorders>
            <w:shd w:val="clear" w:color="auto" w:fill="auto"/>
            <w:vAlign w:val="center"/>
            <w:hideMark/>
          </w:tcPr>
          <w:p w14:paraId="41A6A8A7"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(251,349)</w:t>
            </w:r>
          </w:p>
        </w:tc>
        <w:tc>
          <w:tcPr>
            <w:tcW w:w="1281" w:type="dxa"/>
            <w:tcBorders>
              <w:top w:val="nil"/>
              <w:left w:val="nil"/>
              <w:bottom w:val="nil"/>
              <w:right w:val="nil"/>
            </w:tcBorders>
            <w:shd w:val="clear" w:color="auto" w:fill="auto"/>
            <w:vAlign w:val="center"/>
            <w:hideMark/>
          </w:tcPr>
          <w:p w14:paraId="31A0EDD4"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(251,349)</w:t>
            </w:r>
          </w:p>
        </w:tc>
        <w:tc>
          <w:tcPr>
            <w:tcW w:w="1139" w:type="dxa"/>
            <w:tcBorders>
              <w:top w:val="nil"/>
              <w:left w:val="nil"/>
              <w:bottom w:val="nil"/>
              <w:right w:val="nil"/>
            </w:tcBorders>
            <w:shd w:val="clear" w:color="auto" w:fill="auto"/>
            <w:vAlign w:val="center"/>
            <w:hideMark/>
          </w:tcPr>
          <w:p w14:paraId="05D0ABB8"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 xml:space="preserve"> </w:t>
            </w:r>
          </w:p>
        </w:tc>
        <w:tc>
          <w:tcPr>
            <w:tcW w:w="4214" w:type="dxa"/>
            <w:tcBorders>
              <w:top w:val="nil"/>
              <w:left w:val="nil"/>
              <w:bottom w:val="nil"/>
              <w:right w:val="nil"/>
            </w:tcBorders>
            <w:shd w:val="clear" w:color="auto" w:fill="auto"/>
            <w:vAlign w:val="center"/>
            <w:hideMark/>
          </w:tcPr>
          <w:p w14:paraId="3158732F"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Intra-Group Funding Transfer</w:t>
            </w:r>
          </w:p>
        </w:tc>
        <w:tc>
          <w:tcPr>
            <w:tcW w:w="1811" w:type="dxa"/>
            <w:tcBorders>
              <w:top w:val="nil"/>
              <w:left w:val="nil"/>
              <w:bottom w:val="nil"/>
              <w:right w:val="nil"/>
            </w:tcBorders>
            <w:shd w:val="clear" w:color="auto" w:fill="auto"/>
            <w:vAlign w:val="center"/>
            <w:hideMark/>
          </w:tcPr>
          <w:p w14:paraId="2947948A"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880" w:type="dxa"/>
            <w:tcBorders>
              <w:top w:val="nil"/>
              <w:left w:val="nil"/>
              <w:bottom w:val="nil"/>
              <w:right w:val="nil"/>
            </w:tcBorders>
            <w:shd w:val="clear" w:color="auto" w:fill="auto"/>
            <w:vAlign w:val="center"/>
            <w:hideMark/>
          </w:tcPr>
          <w:p w14:paraId="3A1A2A08" w14:textId="0B5853FD" w:rsidR="00A0232C" w:rsidRPr="00A0232C" w:rsidRDefault="0020651E">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w:t>
            </w:r>
            <w:r w:rsidR="00DB179E">
              <w:rPr>
                <w:rFonts w:ascii="Verdana" w:eastAsia="Times New Roman" w:hAnsi="Verdana" w:cs="Calibri"/>
                <w:color w:val="000000"/>
                <w:sz w:val="16"/>
                <w:szCs w:val="16"/>
                <w:lang w:val="en-GB" w:eastAsia="en-GB"/>
              </w:rPr>
              <w:t>260,875</w:t>
            </w:r>
            <w:r>
              <w:rPr>
                <w:rFonts w:ascii="Verdana" w:eastAsia="Times New Roman" w:hAnsi="Verdana" w:cs="Calibri"/>
                <w:color w:val="000000"/>
                <w:sz w:val="16"/>
                <w:szCs w:val="16"/>
                <w:lang w:val="en-GB" w:eastAsia="en-GB"/>
              </w:rPr>
              <w:t>)</w:t>
            </w:r>
          </w:p>
        </w:tc>
        <w:tc>
          <w:tcPr>
            <w:tcW w:w="1688" w:type="dxa"/>
            <w:tcBorders>
              <w:top w:val="nil"/>
              <w:left w:val="nil"/>
              <w:bottom w:val="nil"/>
              <w:right w:val="nil"/>
            </w:tcBorders>
            <w:shd w:val="clear" w:color="auto" w:fill="auto"/>
            <w:vAlign w:val="center"/>
            <w:hideMark/>
          </w:tcPr>
          <w:p w14:paraId="18CB3BB7" w14:textId="6CE138F1" w:rsidR="00A0232C" w:rsidRPr="00A0232C" w:rsidRDefault="007F44AB">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w:t>
            </w:r>
            <w:r w:rsidR="00DB179E">
              <w:rPr>
                <w:rFonts w:ascii="Verdana" w:eastAsia="Times New Roman" w:hAnsi="Verdana" w:cs="Calibri"/>
                <w:color w:val="000000"/>
                <w:sz w:val="16"/>
                <w:szCs w:val="16"/>
                <w:lang w:val="en-GB" w:eastAsia="en-GB"/>
              </w:rPr>
              <w:t>260,875</w:t>
            </w:r>
            <w:r w:rsidR="00A0232C" w:rsidRPr="00A0232C">
              <w:rPr>
                <w:rFonts w:ascii="Verdana" w:eastAsia="Times New Roman" w:hAnsi="Verdana" w:cs="Calibri"/>
                <w:color w:val="000000"/>
                <w:sz w:val="16"/>
                <w:szCs w:val="16"/>
                <w:lang w:val="en-GB" w:eastAsia="en-GB"/>
              </w:rPr>
              <w:t>)</w:t>
            </w:r>
          </w:p>
        </w:tc>
      </w:tr>
      <w:tr w:rsidR="00A0232C" w:rsidRPr="00A0232C" w14:paraId="5F651513" w14:textId="77777777" w:rsidTr="0073748E">
        <w:trPr>
          <w:gridAfter w:val="1"/>
          <w:wAfter w:w="464" w:type="dxa"/>
          <w:cantSplit/>
          <w:trHeight w:val="212"/>
        </w:trPr>
        <w:tc>
          <w:tcPr>
            <w:tcW w:w="1304" w:type="dxa"/>
            <w:tcBorders>
              <w:top w:val="single" w:sz="8" w:space="0" w:color="000000"/>
              <w:left w:val="nil"/>
              <w:bottom w:val="single" w:sz="12" w:space="0" w:color="000000"/>
              <w:right w:val="nil"/>
            </w:tcBorders>
            <w:shd w:val="clear" w:color="auto" w:fill="auto"/>
            <w:vAlign w:val="center"/>
            <w:hideMark/>
          </w:tcPr>
          <w:p w14:paraId="783C539B"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273,982</w:t>
            </w:r>
          </w:p>
        </w:tc>
        <w:tc>
          <w:tcPr>
            <w:tcW w:w="1425" w:type="dxa"/>
            <w:tcBorders>
              <w:top w:val="single" w:sz="8" w:space="0" w:color="000000"/>
              <w:left w:val="nil"/>
              <w:bottom w:val="single" w:sz="12" w:space="0" w:color="000000"/>
              <w:right w:val="nil"/>
            </w:tcBorders>
            <w:shd w:val="clear" w:color="auto" w:fill="auto"/>
            <w:vAlign w:val="center"/>
            <w:hideMark/>
          </w:tcPr>
          <w:p w14:paraId="3D6069D4"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(264,582)</w:t>
            </w:r>
          </w:p>
        </w:tc>
        <w:tc>
          <w:tcPr>
            <w:tcW w:w="1281" w:type="dxa"/>
            <w:tcBorders>
              <w:top w:val="single" w:sz="8" w:space="0" w:color="000000"/>
              <w:left w:val="nil"/>
              <w:bottom w:val="single" w:sz="12" w:space="0" w:color="000000"/>
              <w:right w:val="nil"/>
            </w:tcBorders>
            <w:shd w:val="clear" w:color="auto" w:fill="auto"/>
            <w:vAlign w:val="center"/>
            <w:hideMark/>
          </w:tcPr>
          <w:p w14:paraId="36C8C20F"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9,400</w:t>
            </w:r>
          </w:p>
        </w:tc>
        <w:tc>
          <w:tcPr>
            <w:tcW w:w="1139" w:type="dxa"/>
            <w:tcBorders>
              <w:top w:val="single" w:sz="8" w:space="0" w:color="000000"/>
              <w:left w:val="nil"/>
              <w:bottom w:val="single" w:sz="12" w:space="0" w:color="000000"/>
              <w:right w:val="nil"/>
            </w:tcBorders>
            <w:shd w:val="clear" w:color="auto" w:fill="auto"/>
            <w:vAlign w:val="center"/>
            <w:hideMark/>
          </w:tcPr>
          <w:p w14:paraId="4EC97D55"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 xml:space="preserve"> </w:t>
            </w:r>
          </w:p>
        </w:tc>
        <w:tc>
          <w:tcPr>
            <w:tcW w:w="4214" w:type="dxa"/>
            <w:tcBorders>
              <w:top w:val="single" w:sz="8" w:space="0" w:color="000000"/>
              <w:left w:val="nil"/>
              <w:bottom w:val="single" w:sz="12" w:space="0" w:color="000000"/>
              <w:right w:val="nil"/>
            </w:tcBorders>
            <w:shd w:val="clear" w:color="auto" w:fill="auto"/>
            <w:vAlign w:val="center"/>
            <w:hideMark/>
          </w:tcPr>
          <w:p w14:paraId="22DA1573" w14:textId="77777777" w:rsidR="00A0232C" w:rsidRPr="00A0232C" w:rsidRDefault="00A0232C" w:rsidP="00A0232C">
            <w:pP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Net Cost of Services</w:t>
            </w:r>
          </w:p>
        </w:tc>
        <w:tc>
          <w:tcPr>
            <w:tcW w:w="1811" w:type="dxa"/>
            <w:tcBorders>
              <w:top w:val="single" w:sz="8" w:space="0" w:color="000000"/>
              <w:left w:val="nil"/>
              <w:bottom w:val="single" w:sz="12" w:space="0" w:color="000000"/>
              <w:right w:val="nil"/>
            </w:tcBorders>
            <w:shd w:val="clear" w:color="auto" w:fill="auto"/>
            <w:vAlign w:val="center"/>
            <w:hideMark/>
          </w:tcPr>
          <w:p w14:paraId="2375A203" w14:textId="561B9186" w:rsidR="00A0232C" w:rsidRPr="00A0232C" w:rsidRDefault="00DB179E">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300,703</w:t>
            </w:r>
          </w:p>
        </w:tc>
        <w:tc>
          <w:tcPr>
            <w:tcW w:w="1880" w:type="dxa"/>
            <w:tcBorders>
              <w:top w:val="single" w:sz="8" w:space="0" w:color="000000"/>
              <w:left w:val="nil"/>
              <w:bottom w:val="single" w:sz="12" w:space="0" w:color="000000"/>
              <w:right w:val="nil"/>
            </w:tcBorders>
            <w:shd w:val="clear" w:color="auto" w:fill="auto"/>
            <w:vAlign w:val="center"/>
            <w:hideMark/>
          </w:tcPr>
          <w:p w14:paraId="72D520A2" w14:textId="5FDB22CC" w:rsidR="00A0232C" w:rsidRPr="00A0232C" w:rsidRDefault="0020651E">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w:t>
            </w:r>
            <w:r w:rsidR="00DB179E">
              <w:rPr>
                <w:rFonts w:ascii="Verdana" w:eastAsia="Times New Roman" w:hAnsi="Verdana" w:cs="Calibri"/>
                <w:b/>
                <w:bCs/>
                <w:color w:val="000000"/>
                <w:sz w:val="16"/>
                <w:szCs w:val="16"/>
                <w:lang w:val="en-GB" w:eastAsia="en-GB"/>
              </w:rPr>
              <w:t>278,072</w:t>
            </w:r>
            <w:r>
              <w:rPr>
                <w:rFonts w:ascii="Verdana" w:eastAsia="Times New Roman" w:hAnsi="Verdana" w:cs="Calibri"/>
                <w:b/>
                <w:bCs/>
                <w:color w:val="000000"/>
                <w:sz w:val="16"/>
                <w:szCs w:val="16"/>
                <w:lang w:val="en-GB" w:eastAsia="en-GB"/>
              </w:rPr>
              <w:t>)</w:t>
            </w:r>
          </w:p>
        </w:tc>
        <w:tc>
          <w:tcPr>
            <w:tcW w:w="1688" w:type="dxa"/>
            <w:tcBorders>
              <w:top w:val="single" w:sz="8" w:space="0" w:color="000000"/>
              <w:left w:val="nil"/>
              <w:bottom w:val="single" w:sz="12" w:space="0" w:color="000000"/>
              <w:right w:val="nil"/>
            </w:tcBorders>
            <w:shd w:val="clear" w:color="auto" w:fill="auto"/>
            <w:vAlign w:val="center"/>
            <w:hideMark/>
          </w:tcPr>
          <w:p w14:paraId="7551D4FE" w14:textId="74D2C532" w:rsidR="00A0232C" w:rsidRPr="00A0232C" w:rsidRDefault="007F44AB">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22,</w:t>
            </w:r>
            <w:r w:rsidR="0032137A">
              <w:rPr>
                <w:rFonts w:ascii="Verdana" w:eastAsia="Times New Roman" w:hAnsi="Verdana" w:cs="Calibri"/>
                <w:b/>
                <w:bCs/>
                <w:color w:val="000000"/>
                <w:sz w:val="16"/>
                <w:szCs w:val="16"/>
                <w:lang w:val="en-GB" w:eastAsia="en-GB"/>
              </w:rPr>
              <w:t>631</w:t>
            </w:r>
          </w:p>
        </w:tc>
      </w:tr>
      <w:tr w:rsidR="00A0232C" w:rsidRPr="00A0232C" w14:paraId="2D0150D5" w14:textId="77777777" w:rsidTr="0073748E">
        <w:trPr>
          <w:gridAfter w:val="1"/>
          <w:wAfter w:w="464" w:type="dxa"/>
          <w:trHeight w:val="40"/>
        </w:trPr>
        <w:tc>
          <w:tcPr>
            <w:tcW w:w="1304" w:type="dxa"/>
            <w:tcBorders>
              <w:top w:val="nil"/>
              <w:left w:val="nil"/>
              <w:bottom w:val="nil"/>
              <w:right w:val="nil"/>
            </w:tcBorders>
            <w:shd w:val="clear" w:color="auto" w:fill="auto"/>
            <w:vAlign w:val="center"/>
            <w:hideMark/>
          </w:tcPr>
          <w:p w14:paraId="43E65D08" w14:textId="77777777" w:rsidR="00A0232C" w:rsidRPr="00A0232C" w:rsidRDefault="00A0232C" w:rsidP="00A0232C">
            <w:pPr>
              <w:jc w:val="right"/>
              <w:rPr>
                <w:rFonts w:ascii="Verdana" w:eastAsia="Times New Roman" w:hAnsi="Verdana" w:cs="Calibri"/>
                <w:b/>
                <w:bCs/>
                <w:color w:val="000000"/>
                <w:sz w:val="16"/>
                <w:szCs w:val="16"/>
                <w:lang w:val="en-GB" w:eastAsia="en-GB"/>
              </w:rPr>
            </w:pPr>
          </w:p>
        </w:tc>
        <w:tc>
          <w:tcPr>
            <w:tcW w:w="1425" w:type="dxa"/>
            <w:tcBorders>
              <w:top w:val="nil"/>
              <w:left w:val="nil"/>
              <w:bottom w:val="nil"/>
              <w:right w:val="nil"/>
            </w:tcBorders>
            <w:shd w:val="clear" w:color="auto" w:fill="auto"/>
            <w:vAlign w:val="center"/>
            <w:hideMark/>
          </w:tcPr>
          <w:p w14:paraId="778BE1A8" w14:textId="77777777" w:rsidR="00A0232C" w:rsidRPr="00A0232C" w:rsidRDefault="00A0232C" w:rsidP="00A0232C">
            <w:pPr>
              <w:jc w:val="center"/>
              <w:rPr>
                <w:rFonts w:ascii="Verdana" w:eastAsia="Times New Roman" w:hAnsi="Verdana" w:cs="Calibri"/>
                <w:color w:val="000000"/>
                <w:sz w:val="2"/>
                <w:szCs w:val="2"/>
                <w:lang w:val="en-GB" w:eastAsia="en-GB"/>
              </w:rPr>
            </w:pPr>
            <w:r w:rsidRPr="00A0232C">
              <w:rPr>
                <w:rFonts w:ascii="Verdana" w:eastAsia="Times New Roman" w:hAnsi="Verdana" w:cs="Calibri"/>
                <w:color w:val="000000"/>
                <w:sz w:val="2"/>
                <w:szCs w:val="2"/>
                <w:lang w:val="en-GB" w:eastAsia="en-GB"/>
              </w:rPr>
              <w:t xml:space="preserve"> </w:t>
            </w:r>
          </w:p>
        </w:tc>
        <w:tc>
          <w:tcPr>
            <w:tcW w:w="1281" w:type="dxa"/>
            <w:tcBorders>
              <w:top w:val="nil"/>
              <w:left w:val="nil"/>
              <w:bottom w:val="nil"/>
              <w:right w:val="nil"/>
            </w:tcBorders>
            <w:shd w:val="clear" w:color="auto" w:fill="auto"/>
            <w:vAlign w:val="center"/>
            <w:hideMark/>
          </w:tcPr>
          <w:p w14:paraId="4C5CDD7F" w14:textId="77777777" w:rsidR="00A0232C" w:rsidRPr="00A0232C" w:rsidRDefault="00A0232C" w:rsidP="00A0232C">
            <w:pPr>
              <w:jc w:val="center"/>
              <w:rPr>
                <w:rFonts w:ascii="Verdana" w:eastAsia="Times New Roman" w:hAnsi="Verdana" w:cs="Calibri"/>
                <w:color w:val="000000"/>
                <w:sz w:val="2"/>
                <w:szCs w:val="2"/>
                <w:lang w:val="en-GB" w:eastAsia="en-GB"/>
              </w:rPr>
            </w:pPr>
            <w:r w:rsidRPr="00A0232C">
              <w:rPr>
                <w:rFonts w:ascii="Verdana" w:eastAsia="Times New Roman" w:hAnsi="Verdana" w:cs="Calibri"/>
                <w:color w:val="000000"/>
                <w:sz w:val="2"/>
                <w:szCs w:val="2"/>
                <w:lang w:val="en-GB" w:eastAsia="en-GB"/>
              </w:rPr>
              <w:t xml:space="preserve"> </w:t>
            </w:r>
          </w:p>
        </w:tc>
        <w:tc>
          <w:tcPr>
            <w:tcW w:w="1139" w:type="dxa"/>
            <w:tcBorders>
              <w:top w:val="nil"/>
              <w:left w:val="nil"/>
              <w:bottom w:val="nil"/>
              <w:right w:val="nil"/>
            </w:tcBorders>
            <w:shd w:val="clear" w:color="auto" w:fill="auto"/>
            <w:vAlign w:val="center"/>
            <w:hideMark/>
          </w:tcPr>
          <w:p w14:paraId="21AA2788" w14:textId="77777777" w:rsidR="00A0232C" w:rsidRPr="00A0232C" w:rsidRDefault="00A0232C" w:rsidP="00A0232C">
            <w:pPr>
              <w:jc w:val="center"/>
              <w:rPr>
                <w:rFonts w:ascii="Calibri" w:eastAsia="Times New Roman" w:hAnsi="Calibri" w:cs="Calibri"/>
                <w:color w:val="000000"/>
                <w:sz w:val="2"/>
                <w:szCs w:val="2"/>
                <w:lang w:val="en-GB" w:eastAsia="en-GB"/>
              </w:rPr>
            </w:pPr>
            <w:r w:rsidRPr="00A0232C">
              <w:rPr>
                <w:rFonts w:ascii="Calibri" w:eastAsia="Times New Roman" w:hAnsi="Calibri" w:cs="Calibri"/>
                <w:color w:val="000000"/>
                <w:sz w:val="2"/>
                <w:szCs w:val="2"/>
                <w:lang w:val="en-GB" w:eastAsia="en-GB"/>
              </w:rPr>
              <w:t xml:space="preserve"> </w:t>
            </w:r>
          </w:p>
        </w:tc>
        <w:tc>
          <w:tcPr>
            <w:tcW w:w="4214" w:type="dxa"/>
            <w:tcBorders>
              <w:top w:val="nil"/>
              <w:left w:val="nil"/>
              <w:bottom w:val="nil"/>
              <w:right w:val="nil"/>
            </w:tcBorders>
            <w:shd w:val="clear" w:color="auto" w:fill="auto"/>
            <w:vAlign w:val="center"/>
          </w:tcPr>
          <w:p w14:paraId="17BB5072" w14:textId="6E77DA60" w:rsidR="00A0232C" w:rsidRPr="00A0232C" w:rsidRDefault="00A0232C" w:rsidP="00A0232C">
            <w:pPr>
              <w:jc w:val="center"/>
              <w:rPr>
                <w:rFonts w:ascii="Verdana" w:eastAsia="Times New Roman" w:hAnsi="Verdana" w:cs="Calibri"/>
                <w:color w:val="000000"/>
                <w:sz w:val="2"/>
                <w:szCs w:val="2"/>
                <w:lang w:val="en-GB" w:eastAsia="en-GB"/>
              </w:rPr>
            </w:pPr>
          </w:p>
        </w:tc>
        <w:tc>
          <w:tcPr>
            <w:tcW w:w="1811" w:type="dxa"/>
            <w:tcBorders>
              <w:top w:val="nil"/>
              <w:left w:val="nil"/>
              <w:bottom w:val="nil"/>
              <w:right w:val="nil"/>
            </w:tcBorders>
            <w:shd w:val="clear" w:color="auto" w:fill="auto"/>
            <w:vAlign w:val="center"/>
            <w:hideMark/>
          </w:tcPr>
          <w:p w14:paraId="0809D632" w14:textId="77777777" w:rsidR="00A0232C" w:rsidRPr="00A0232C" w:rsidRDefault="00A0232C" w:rsidP="00A0232C">
            <w:pPr>
              <w:jc w:val="center"/>
              <w:rPr>
                <w:rFonts w:ascii="Verdana" w:eastAsia="Times New Roman" w:hAnsi="Verdana" w:cs="Calibri"/>
                <w:color w:val="000000"/>
                <w:sz w:val="2"/>
                <w:szCs w:val="2"/>
                <w:lang w:val="en-GB" w:eastAsia="en-GB"/>
              </w:rPr>
            </w:pPr>
          </w:p>
        </w:tc>
        <w:tc>
          <w:tcPr>
            <w:tcW w:w="1880" w:type="dxa"/>
            <w:tcBorders>
              <w:top w:val="nil"/>
              <w:left w:val="nil"/>
              <w:bottom w:val="nil"/>
              <w:right w:val="nil"/>
            </w:tcBorders>
            <w:shd w:val="clear" w:color="auto" w:fill="auto"/>
            <w:vAlign w:val="center"/>
            <w:hideMark/>
          </w:tcPr>
          <w:p w14:paraId="7C6AF927" w14:textId="77777777" w:rsidR="00A0232C" w:rsidRPr="00A0232C" w:rsidRDefault="00A0232C" w:rsidP="00A0232C">
            <w:pPr>
              <w:jc w:val="center"/>
              <w:rPr>
                <w:rFonts w:ascii="Times New Roman" w:eastAsia="Times New Roman" w:hAnsi="Times New Roman" w:cs="Times New Roman"/>
                <w:sz w:val="20"/>
                <w:szCs w:val="20"/>
                <w:lang w:val="en-GB" w:eastAsia="en-GB"/>
              </w:rPr>
            </w:pPr>
          </w:p>
        </w:tc>
        <w:tc>
          <w:tcPr>
            <w:tcW w:w="1688" w:type="dxa"/>
            <w:tcBorders>
              <w:top w:val="nil"/>
              <w:left w:val="nil"/>
              <w:bottom w:val="nil"/>
              <w:right w:val="nil"/>
            </w:tcBorders>
            <w:shd w:val="clear" w:color="auto" w:fill="auto"/>
            <w:vAlign w:val="center"/>
            <w:hideMark/>
          </w:tcPr>
          <w:p w14:paraId="2EE547D4" w14:textId="77777777" w:rsidR="00A0232C" w:rsidRPr="00A0232C" w:rsidRDefault="00A0232C" w:rsidP="00A0232C">
            <w:pPr>
              <w:jc w:val="center"/>
              <w:rPr>
                <w:rFonts w:ascii="Times New Roman" w:eastAsia="Times New Roman" w:hAnsi="Times New Roman" w:cs="Times New Roman"/>
                <w:sz w:val="20"/>
                <w:szCs w:val="20"/>
                <w:lang w:val="en-GB" w:eastAsia="en-GB"/>
              </w:rPr>
            </w:pPr>
          </w:p>
        </w:tc>
      </w:tr>
      <w:tr w:rsidR="00A0232C" w:rsidRPr="00A0232C" w14:paraId="698D45D2" w14:textId="77777777" w:rsidTr="0073748E">
        <w:trPr>
          <w:gridAfter w:val="1"/>
          <w:wAfter w:w="464" w:type="dxa"/>
          <w:cantSplit/>
          <w:trHeight w:val="212"/>
        </w:trPr>
        <w:tc>
          <w:tcPr>
            <w:tcW w:w="1304" w:type="dxa"/>
            <w:tcBorders>
              <w:top w:val="nil"/>
              <w:left w:val="nil"/>
              <w:bottom w:val="nil"/>
              <w:right w:val="nil"/>
            </w:tcBorders>
            <w:shd w:val="clear" w:color="auto" w:fill="auto"/>
            <w:vAlign w:val="center"/>
            <w:hideMark/>
          </w:tcPr>
          <w:p w14:paraId="2686B36D"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522</w:t>
            </w:r>
          </w:p>
        </w:tc>
        <w:tc>
          <w:tcPr>
            <w:tcW w:w="1425" w:type="dxa"/>
            <w:tcBorders>
              <w:top w:val="nil"/>
              <w:left w:val="nil"/>
              <w:bottom w:val="nil"/>
              <w:right w:val="nil"/>
            </w:tcBorders>
            <w:shd w:val="clear" w:color="auto" w:fill="auto"/>
            <w:vAlign w:val="center"/>
            <w:hideMark/>
          </w:tcPr>
          <w:p w14:paraId="189E315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281" w:type="dxa"/>
            <w:tcBorders>
              <w:top w:val="nil"/>
              <w:left w:val="nil"/>
              <w:bottom w:val="nil"/>
              <w:right w:val="nil"/>
            </w:tcBorders>
            <w:shd w:val="clear" w:color="auto" w:fill="auto"/>
            <w:vAlign w:val="center"/>
            <w:hideMark/>
          </w:tcPr>
          <w:p w14:paraId="07D7C128"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522</w:t>
            </w:r>
          </w:p>
        </w:tc>
        <w:tc>
          <w:tcPr>
            <w:tcW w:w="1139" w:type="dxa"/>
            <w:tcBorders>
              <w:top w:val="nil"/>
              <w:left w:val="nil"/>
              <w:bottom w:val="nil"/>
              <w:right w:val="nil"/>
            </w:tcBorders>
            <w:shd w:val="clear" w:color="auto" w:fill="auto"/>
            <w:vAlign w:val="center"/>
            <w:hideMark/>
          </w:tcPr>
          <w:p w14:paraId="7B19DA3E"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21</w:t>
            </w:r>
          </w:p>
        </w:tc>
        <w:tc>
          <w:tcPr>
            <w:tcW w:w="4214" w:type="dxa"/>
            <w:tcBorders>
              <w:top w:val="nil"/>
              <w:left w:val="nil"/>
              <w:bottom w:val="nil"/>
              <w:right w:val="nil"/>
            </w:tcBorders>
            <w:shd w:val="clear" w:color="auto" w:fill="auto"/>
            <w:vAlign w:val="center"/>
            <w:hideMark/>
          </w:tcPr>
          <w:p w14:paraId="29D67E00"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Other Operating Expenditure</w:t>
            </w:r>
          </w:p>
        </w:tc>
        <w:tc>
          <w:tcPr>
            <w:tcW w:w="1811" w:type="dxa"/>
            <w:tcBorders>
              <w:top w:val="nil"/>
              <w:left w:val="nil"/>
              <w:bottom w:val="nil"/>
              <w:right w:val="nil"/>
            </w:tcBorders>
            <w:shd w:val="clear" w:color="auto" w:fill="auto"/>
            <w:vAlign w:val="center"/>
            <w:hideMark/>
          </w:tcPr>
          <w:p w14:paraId="24AC9B0C" w14:textId="54E40E3E" w:rsidR="00A0232C" w:rsidRPr="00A0232C" w:rsidRDefault="0032137A"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0</w:t>
            </w:r>
          </w:p>
        </w:tc>
        <w:tc>
          <w:tcPr>
            <w:tcW w:w="1880" w:type="dxa"/>
            <w:tcBorders>
              <w:top w:val="nil"/>
              <w:left w:val="nil"/>
              <w:bottom w:val="nil"/>
              <w:right w:val="nil"/>
            </w:tcBorders>
            <w:shd w:val="clear" w:color="auto" w:fill="auto"/>
            <w:vAlign w:val="center"/>
            <w:hideMark/>
          </w:tcPr>
          <w:p w14:paraId="0CC4D50F"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0</w:t>
            </w:r>
          </w:p>
        </w:tc>
        <w:tc>
          <w:tcPr>
            <w:tcW w:w="1688" w:type="dxa"/>
            <w:tcBorders>
              <w:top w:val="nil"/>
              <w:left w:val="nil"/>
              <w:bottom w:val="nil"/>
              <w:right w:val="nil"/>
            </w:tcBorders>
            <w:shd w:val="clear" w:color="auto" w:fill="auto"/>
            <w:vAlign w:val="center"/>
            <w:hideMark/>
          </w:tcPr>
          <w:p w14:paraId="762E4EAD" w14:textId="4C033CC2" w:rsidR="00A0232C" w:rsidRPr="00A0232C" w:rsidRDefault="0032137A"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0</w:t>
            </w:r>
          </w:p>
        </w:tc>
      </w:tr>
      <w:tr w:rsidR="00A0232C" w:rsidRPr="00A0232C" w14:paraId="4D24D7EC" w14:textId="77777777" w:rsidTr="0073748E">
        <w:trPr>
          <w:gridAfter w:val="1"/>
          <w:wAfter w:w="464" w:type="dxa"/>
          <w:cantSplit/>
          <w:trHeight w:val="294"/>
        </w:trPr>
        <w:tc>
          <w:tcPr>
            <w:tcW w:w="1304" w:type="dxa"/>
            <w:tcBorders>
              <w:top w:val="nil"/>
              <w:left w:val="nil"/>
              <w:bottom w:val="nil"/>
              <w:right w:val="nil"/>
            </w:tcBorders>
            <w:shd w:val="clear" w:color="auto" w:fill="auto"/>
            <w:vAlign w:val="center"/>
            <w:hideMark/>
          </w:tcPr>
          <w:p w14:paraId="6BBC769B"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60,421</w:t>
            </w:r>
          </w:p>
        </w:tc>
        <w:tc>
          <w:tcPr>
            <w:tcW w:w="1425" w:type="dxa"/>
            <w:tcBorders>
              <w:top w:val="nil"/>
              <w:left w:val="nil"/>
              <w:bottom w:val="nil"/>
              <w:right w:val="nil"/>
            </w:tcBorders>
            <w:shd w:val="clear" w:color="auto" w:fill="auto"/>
            <w:vAlign w:val="center"/>
            <w:hideMark/>
          </w:tcPr>
          <w:p w14:paraId="381F1909"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(7,312)</w:t>
            </w:r>
          </w:p>
        </w:tc>
        <w:tc>
          <w:tcPr>
            <w:tcW w:w="1281" w:type="dxa"/>
            <w:tcBorders>
              <w:top w:val="nil"/>
              <w:left w:val="nil"/>
              <w:bottom w:val="nil"/>
              <w:right w:val="nil"/>
            </w:tcBorders>
            <w:shd w:val="clear" w:color="auto" w:fill="auto"/>
            <w:vAlign w:val="center"/>
            <w:hideMark/>
          </w:tcPr>
          <w:p w14:paraId="1C104A82"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53,109</w:t>
            </w:r>
          </w:p>
        </w:tc>
        <w:tc>
          <w:tcPr>
            <w:tcW w:w="1139" w:type="dxa"/>
            <w:tcBorders>
              <w:top w:val="nil"/>
              <w:left w:val="nil"/>
              <w:bottom w:val="nil"/>
              <w:right w:val="nil"/>
            </w:tcBorders>
            <w:shd w:val="clear" w:color="auto" w:fill="auto"/>
            <w:vAlign w:val="center"/>
            <w:hideMark/>
          </w:tcPr>
          <w:p w14:paraId="380727B5"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20</w:t>
            </w:r>
          </w:p>
        </w:tc>
        <w:tc>
          <w:tcPr>
            <w:tcW w:w="4214" w:type="dxa"/>
            <w:tcBorders>
              <w:top w:val="nil"/>
              <w:left w:val="nil"/>
              <w:bottom w:val="nil"/>
              <w:right w:val="nil"/>
            </w:tcBorders>
            <w:shd w:val="clear" w:color="auto" w:fill="auto"/>
            <w:vAlign w:val="center"/>
            <w:hideMark/>
          </w:tcPr>
          <w:p w14:paraId="058B135D" w14:textId="333ECF52" w:rsidR="00A0232C" w:rsidRPr="00A0232C" w:rsidRDefault="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 xml:space="preserve">Financing and Investment Income </w:t>
            </w:r>
            <w:r w:rsidR="00FB713E">
              <w:rPr>
                <w:rFonts w:ascii="Verdana" w:eastAsia="Times New Roman" w:hAnsi="Verdana" w:cs="Calibri"/>
                <w:color w:val="000000"/>
                <w:sz w:val="16"/>
                <w:szCs w:val="16"/>
                <w:lang w:val="en-GB" w:eastAsia="en-GB"/>
              </w:rPr>
              <w:t>&amp;</w:t>
            </w:r>
            <w:r w:rsidR="00FB713E" w:rsidRPr="00A0232C">
              <w:rPr>
                <w:rFonts w:ascii="Verdana" w:eastAsia="Times New Roman" w:hAnsi="Verdana" w:cs="Calibri"/>
                <w:color w:val="000000"/>
                <w:sz w:val="16"/>
                <w:szCs w:val="16"/>
                <w:lang w:val="en-GB" w:eastAsia="en-GB"/>
              </w:rPr>
              <w:t xml:space="preserve"> </w:t>
            </w:r>
            <w:r w:rsidRPr="00A0232C">
              <w:rPr>
                <w:rFonts w:ascii="Verdana" w:eastAsia="Times New Roman" w:hAnsi="Verdana" w:cs="Calibri"/>
                <w:color w:val="000000"/>
                <w:sz w:val="16"/>
                <w:szCs w:val="16"/>
                <w:lang w:val="en-GB" w:eastAsia="en-GB"/>
              </w:rPr>
              <w:t>Expenditure</w:t>
            </w:r>
          </w:p>
        </w:tc>
        <w:tc>
          <w:tcPr>
            <w:tcW w:w="1811" w:type="dxa"/>
            <w:tcBorders>
              <w:top w:val="nil"/>
              <w:left w:val="nil"/>
              <w:bottom w:val="nil"/>
              <w:right w:val="nil"/>
            </w:tcBorders>
            <w:shd w:val="clear" w:color="auto" w:fill="auto"/>
            <w:vAlign w:val="center"/>
            <w:hideMark/>
          </w:tcPr>
          <w:p w14:paraId="43728AA3"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52,249</w:t>
            </w:r>
          </w:p>
        </w:tc>
        <w:tc>
          <w:tcPr>
            <w:tcW w:w="1880" w:type="dxa"/>
            <w:tcBorders>
              <w:top w:val="nil"/>
              <w:left w:val="nil"/>
              <w:bottom w:val="nil"/>
              <w:right w:val="nil"/>
            </w:tcBorders>
            <w:shd w:val="clear" w:color="auto" w:fill="auto"/>
            <w:vAlign w:val="center"/>
            <w:hideMark/>
          </w:tcPr>
          <w:p w14:paraId="1C3D5D5E" w14:textId="2655DFE5" w:rsidR="00A0232C" w:rsidRPr="00A0232C" w:rsidRDefault="0020651E"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w:t>
            </w:r>
            <w:r w:rsidR="00A0232C" w:rsidRPr="00A0232C">
              <w:rPr>
                <w:rFonts w:ascii="Verdana" w:eastAsia="Times New Roman" w:hAnsi="Verdana" w:cs="Calibri"/>
                <w:color w:val="000000"/>
                <w:sz w:val="16"/>
                <w:szCs w:val="16"/>
                <w:lang w:val="en-GB" w:eastAsia="en-GB"/>
              </w:rPr>
              <w:t>6,352</w:t>
            </w:r>
            <w:r>
              <w:rPr>
                <w:rFonts w:ascii="Verdana" w:eastAsia="Times New Roman" w:hAnsi="Verdana" w:cs="Calibri"/>
                <w:color w:val="000000"/>
                <w:sz w:val="16"/>
                <w:szCs w:val="16"/>
                <w:lang w:val="en-GB" w:eastAsia="en-GB"/>
              </w:rPr>
              <w:t>)</w:t>
            </w:r>
          </w:p>
        </w:tc>
        <w:tc>
          <w:tcPr>
            <w:tcW w:w="1688" w:type="dxa"/>
            <w:tcBorders>
              <w:top w:val="nil"/>
              <w:left w:val="nil"/>
              <w:bottom w:val="nil"/>
              <w:right w:val="nil"/>
            </w:tcBorders>
            <w:shd w:val="clear" w:color="auto" w:fill="auto"/>
            <w:vAlign w:val="center"/>
            <w:hideMark/>
          </w:tcPr>
          <w:p w14:paraId="7933A3EE"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45,897</w:t>
            </w:r>
          </w:p>
        </w:tc>
      </w:tr>
      <w:tr w:rsidR="00A0232C" w:rsidRPr="00A0232C" w14:paraId="6DAA84D3" w14:textId="77777777" w:rsidTr="0073748E">
        <w:trPr>
          <w:gridAfter w:val="1"/>
          <w:wAfter w:w="464" w:type="dxa"/>
          <w:cantSplit/>
          <w:trHeight w:val="294"/>
        </w:trPr>
        <w:tc>
          <w:tcPr>
            <w:tcW w:w="1304" w:type="dxa"/>
            <w:tcBorders>
              <w:top w:val="single" w:sz="8" w:space="0" w:color="000000"/>
              <w:left w:val="nil"/>
              <w:bottom w:val="single" w:sz="12" w:space="0" w:color="000000"/>
              <w:right w:val="nil"/>
            </w:tcBorders>
            <w:shd w:val="clear" w:color="auto" w:fill="auto"/>
            <w:vAlign w:val="center"/>
            <w:hideMark/>
          </w:tcPr>
          <w:p w14:paraId="197C5952"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334,925</w:t>
            </w:r>
          </w:p>
        </w:tc>
        <w:tc>
          <w:tcPr>
            <w:tcW w:w="1425" w:type="dxa"/>
            <w:tcBorders>
              <w:top w:val="single" w:sz="8" w:space="0" w:color="000000"/>
              <w:left w:val="nil"/>
              <w:bottom w:val="single" w:sz="12" w:space="0" w:color="000000"/>
              <w:right w:val="nil"/>
            </w:tcBorders>
            <w:shd w:val="clear" w:color="auto" w:fill="auto"/>
            <w:vAlign w:val="center"/>
            <w:hideMark/>
          </w:tcPr>
          <w:p w14:paraId="527B576F"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(271,894)</w:t>
            </w:r>
          </w:p>
        </w:tc>
        <w:tc>
          <w:tcPr>
            <w:tcW w:w="1281" w:type="dxa"/>
            <w:tcBorders>
              <w:top w:val="single" w:sz="8" w:space="0" w:color="000000"/>
              <w:left w:val="nil"/>
              <w:bottom w:val="single" w:sz="12" w:space="0" w:color="000000"/>
              <w:right w:val="nil"/>
            </w:tcBorders>
            <w:shd w:val="clear" w:color="auto" w:fill="auto"/>
            <w:vAlign w:val="center"/>
            <w:hideMark/>
          </w:tcPr>
          <w:p w14:paraId="60D62373"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63,031</w:t>
            </w:r>
          </w:p>
        </w:tc>
        <w:tc>
          <w:tcPr>
            <w:tcW w:w="1139" w:type="dxa"/>
            <w:tcBorders>
              <w:top w:val="single" w:sz="8" w:space="0" w:color="000000"/>
              <w:left w:val="nil"/>
              <w:bottom w:val="single" w:sz="12" w:space="0" w:color="000000"/>
              <w:right w:val="nil"/>
            </w:tcBorders>
            <w:shd w:val="clear" w:color="auto" w:fill="auto"/>
            <w:vAlign w:val="center"/>
            <w:hideMark/>
          </w:tcPr>
          <w:p w14:paraId="121AE2B9"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 xml:space="preserve"> </w:t>
            </w:r>
          </w:p>
        </w:tc>
        <w:tc>
          <w:tcPr>
            <w:tcW w:w="4214" w:type="dxa"/>
            <w:tcBorders>
              <w:top w:val="single" w:sz="8" w:space="0" w:color="000000"/>
              <w:left w:val="nil"/>
              <w:bottom w:val="single" w:sz="12" w:space="0" w:color="000000"/>
              <w:right w:val="nil"/>
            </w:tcBorders>
            <w:shd w:val="clear" w:color="auto" w:fill="auto"/>
            <w:vAlign w:val="center"/>
            <w:hideMark/>
          </w:tcPr>
          <w:p w14:paraId="2C7894EC" w14:textId="77777777" w:rsidR="00A0232C" w:rsidRPr="00A0232C" w:rsidRDefault="00A0232C" w:rsidP="00A0232C">
            <w:pP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Surplus or Deficit on Provision of Services</w:t>
            </w:r>
          </w:p>
        </w:tc>
        <w:tc>
          <w:tcPr>
            <w:tcW w:w="1811" w:type="dxa"/>
            <w:tcBorders>
              <w:top w:val="single" w:sz="8" w:space="0" w:color="000000"/>
              <w:left w:val="nil"/>
              <w:bottom w:val="single" w:sz="12" w:space="0" w:color="000000"/>
              <w:right w:val="nil"/>
            </w:tcBorders>
            <w:shd w:val="clear" w:color="auto" w:fill="auto"/>
            <w:vAlign w:val="center"/>
            <w:hideMark/>
          </w:tcPr>
          <w:p w14:paraId="28F5E0AD" w14:textId="01AD4B70" w:rsidR="00A0232C" w:rsidRPr="00A0232C" w:rsidRDefault="00DB179E">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352,952</w:t>
            </w:r>
          </w:p>
        </w:tc>
        <w:tc>
          <w:tcPr>
            <w:tcW w:w="1880" w:type="dxa"/>
            <w:tcBorders>
              <w:top w:val="single" w:sz="8" w:space="0" w:color="000000"/>
              <w:left w:val="nil"/>
              <w:bottom w:val="single" w:sz="12" w:space="0" w:color="000000"/>
              <w:right w:val="nil"/>
            </w:tcBorders>
            <w:shd w:val="clear" w:color="auto" w:fill="auto"/>
            <w:vAlign w:val="center"/>
            <w:hideMark/>
          </w:tcPr>
          <w:p w14:paraId="7BB91680" w14:textId="6D0297BB" w:rsidR="00A0232C" w:rsidRPr="00A0232C" w:rsidRDefault="0020651E">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w:t>
            </w:r>
            <w:r w:rsidR="00DB179E">
              <w:rPr>
                <w:rFonts w:ascii="Verdana" w:eastAsia="Times New Roman" w:hAnsi="Verdana" w:cs="Calibri"/>
                <w:b/>
                <w:bCs/>
                <w:color w:val="000000"/>
                <w:sz w:val="16"/>
                <w:szCs w:val="16"/>
                <w:lang w:val="en-GB" w:eastAsia="en-GB"/>
              </w:rPr>
              <w:t>284,424</w:t>
            </w:r>
            <w:r>
              <w:rPr>
                <w:rFonts w:ascii="Verdana" w:eastAsia="Times New Roman" w:hAnsi="Verdana" w:cs="Calibri"/>
                <w:b/>
                <w:bCs/>
                <w:color w:val="000000"/>
                <w:sz w:val="16"/>
                <w:szCs w:val="16"/>
                <w:lang w:val="en-GB" w:eastAsia="en-GB"/>
              </w:rPr>
              <w:t>)</w:t>
            </w:r>
          </w:p>
        </w:tc>
        <w:tc>
          <w:tcPr>
            <w:tcW w:w="1688" w:type="dxa"/>
            <w:tcBorders>
              <w:top w:val="single" w:sz="8" w:space="0" w:color="000000"/>
              <w:left w:val="nil"/>
              <w:bottom w:val="single" w:sz="12" w:space="0" w:color="000000"/>
              <w:right w:val="nil"/>
            </w:tcBorders>
            <w:shd w:val="clear" w:color="auto" w:fill="auto"/>
            <w:vAlign w:val="center"/>
            <w:hideMark/>
          </w:tcPr>
          <w:p w14:paraId="06A11B8C" w14:textId="77777777" w:rsidR="00A0232C" w:rsidRPr="00A0232C" w:rsidRDefault="007F44AB" w:rsidP="00A0232C">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68,528</w:t>
            </w:r>
          </w:p>
        </w:tc>
      </w:tr>
      <w:tr w:rsidR="00A0232C" w:rsidRPr="00A0232C" w14:paraId="043C3AF3" w14:textId="77777777" w:rsidTr="0073748E">
        <w:trPr>
          <w:gridAfter w:val="1"/>
          <w:wAfter w:w="464" w:type="dxa"/>
          <w:trHeight w:val="40"/>
        </w:trPr>
        <w:tc>
          <w:tcPr>
            <w:tcW w:w="1304" w:type="dxa"/>
            <w:tcBorders>
              <w:top w:val="nil"/>
              <w:left w:val="nil"/>
              <w:bottom w:val="nil"/>
              <w:right w:val="nil"/>
            </w:tcBorders>
            <w:shd w:val="clear" w:color="auto" w:fill="auto"/>
            <w:vAlign w:val="center"/>
            <w:hideMark/>
          </w:tcPr>
          <w:p w14:paraId="41B690FB" w14:textId="77777777" w:rsidR="00A0232C" w:rsidRPr="00A0232C" w:rsidRDefault="00A0232C" w:rsidP="00A0232C">
            <w:pPr>
              <w:jc w:val="center"/>
              <w:rPr>
                <w:rFonts w:ascii="Calibri" w:eastAsia="Times New Roman" w:hAnsi="Calibri" w:cs="Calibri"/>
                <w:color w:val="000000"/>
                <w:sz w:val="2"/>
                <w:szCs w:val="2"/>
                <w:lang w:val="en-GB" w:eastAsia="en-GB"/>
              </w:rPr>
            </w:pPr>
            <w:r w:rsidRPr="00A0232C">
              <w:rPr>
                <w:rFonts w:ascii="Calibri" w:eastAsia="Times New Roman" w:hAnsi="Calibri" w:cs="Calibri"/>
                <w:color w:val="000000"/>
                <w:sz w:val="2"/>
                <w:szCs w:val="2"/>
                <w:lang w:val="en-GB" w:eastAsia="en-GB"/>
              </w:rPr>
              <w:t xml:space="preserve"> </w:t>
            </w:r>
          </w:p>
        </w:tc>
        <w:tc>
          <w:tcPr>
            <w:tcW w:w="1425" w:type="dxa"/>
            <w:tcBorders>
              <w:top w:val="nil"/>
              <w:left w:val="nil"/>
              <w:bottom w:val="nil"/>
              <w:right w:val="nil"/>
            </w:tcBorders>
            <w:shd w:val="clear" w:color="auto" w:fill="auto"/>
            <w:vAlign w:val="center"/>
            <w:hideMark/>
          </w:tcPr>
          <w:p w14:paraId="13E4D09E" w14:textId="77777777" w:rsidR="00A0232C" w:rsidRPr="00A0232C" w:rsidRDefault="00A0232C" w:rsidP="00A0232C">
            <w:pPr>
              <w:jc w:val="center"/>
              <w:rPr>
                <w:rFonts w:ascii="Calibri" w:eastAsia="Times New Roman" w:hAnsi="Calibri" w:cs="Calibri"/>
                <w:color w:val="000000"/>
                <w:sz w:val="2"/>
                <w:szCs w:val="2"/>
                <w:lang w:val="en-GB" w:eastAsia="en-GB"/>
              </w:rPr>
            </w:pPr>
            <w:r w:rsidRPr="00A0232C">
              <w:rPr>
                <w:rFonts w:ascii="Calibri" w:eastAsia="Times New Roman" w:hAnsi="Calibri" w:cs="Calibri"/>
                <w:color w:val="000000"/>
                <w:sz w:val="2"/>
                <w:szCs w:val="2"/>
                <w:lang w:val="en-GB" w:eastAsia="en-GB"/>
              </w:rPr>
              <w:t xml:space="preserve"> </w:t>
            </w:r>
          </w:p>
        </w:tc>
        <w:tc>
          <w:tcPr>
            <w:tcW w:w="1281" w:type="dxa"/>
            <w:tcBorders>
              <w:top w:val="nil"/>
              <w:left w:val="nil"/>
              <w:bottom w:val="nil"/>
              <w:right w:val="nil"/>
            </w:tcBorders>
            <w:shd w:val="clear" w:color="auto" w:fill="auto"/>
            <w:vAlign w:val="center"/>
            <w:hideMark/>
          </w:tcPr>
          <w:p w14:paraId="4C23F24C" w14:textId="77777777" w:rsidR="00A0232C" w:rsidRPr="00FB713E" w:rsidRDefault="00A0232C" w:rsidP="00A0232C">
            <w:pPr>
              <w:jc w:val="center"/>
              <w:rPr>
                <w:rFonts w:ascii="Calibri" w:eastAsia="Times New Roman" w:hAnsi="Calibri" w:cs="Calibri"/>
                <w:color w:val="000000"/>
                <w:sz w:val="2"/>
                <w:szCs w:val="2"/>
                <w:lang w:val="en-GB" w:eastAsia="en-GB"/>
              </w:rPr>
            </w:pPr>
            <w:r w:rsidRPr="00FB713E">
              <w:rPr>
                <w:rFonts w:ascii="Calibri" w:eastAsia="Times New Roman" w:hAnsi="Calibri" w:cs="Calibri"/>
                <w:color w:val="000000"/>
                <w:sz w:val="2"/>
                <w:szCs w:val="2"/>
                <w:lang w:val="en-GB" w:eastAsia="en-GB"/>
              </w:rPr>
              <w:t xml:space="preserve"> </w:t>
            </w:r>
          </w:p>
        </w:tc>
        <w:tc>
          <w:tcPr>
            <w:tcW w:w="1139" w:type="dxa"/>
            <w:tcBorders>
              <w:top w:val="nil"/>
              <w:left w:val="nil"/>
              <w:bottom w:val="nil"/>
              <w:right w:val="nil"/>
            </w:tcBorders>
            <w:shd w:val="clear" w:color="auto" w:fill="auto"/>
            <w:vAlign w:val="center"/>
            <w:hideMark/>
          </w:tcPr>
          <w:p w14:paraId="1A133098" w14:textId="77777777" w:rsidR="00A0232C" w:rsidRPr="0073748E" w:rsidRDefault="00A0232C" w:rsidP="00A0232C">
            <w:pPr>
              <w:jc w:val="center"/>
              <w:rPr>
                <w:rFonts w:ascii="Calibri" w:eastAsia="Times New Roman" w:hAnsi="Calibri" w:cs="Calibri"/>
                <w:color w:val="000000"/>
                <w:sz w:val="2"/>
                <w:szCs w:val="2"/>
                <w:lang w:val="en-GB" w:eastAsia="en-GB"/>
              </w:rPr>
            </w:pPr>
            <w:r w:rsidRPr="0073748E">
              <w:rPr>
                <w:rFonts w:ascii="Calibri" w:eastAsia="Times New Roman" w:hAnsi="Calibri" w:cs="Calibri"/>
                <w:color w:val="000000"/>
                <w:sz w:val="2"/>
                <w:szCs w:val="2"/>
                <w:lang w:val="en-GB" w:eastAsia="en-GB"/>
              </w:rPr>
              <w:t xml:space="preserve"> </w:t>
            </w:r>
          </w:p>
        </w:tc>
        <w:tc>
          <w:tcPr>
            <w:tcW w:w="4214" w:type="dxa"/>
            <w:tcBorders>
              <w:top w:val="nil"/>
              <w:left w:val="nil"/>
              <w:bottom w:val="nil"/>
              <w:right w:val="nil"/>
            </w:tcBorders>
            <w:shd w:val="clear" w:color="auto" w:fill="auto"/>
            <w:vAlign w:val="center"/>
            <w:hideMark/>
          </w:tcPr>
          <w:p w14:paraId="6D3BE8AB" w14:textId="77777777" w:rsidR="00A0232C" w:rsidRPr="00FB713E" w:rsidRDefault="00A0232C" w:rsidP="00A0232C">
            <w:pPr>
              <w:jc w:val="center"/>
              <w:rPr>
                <w:rFonts w:ascii="Calibri" w:eastAsia="Times New Roman" w:hAnsi="Calibri" w:cs="Calibri"/>
                <w:color w:val="000000"/>
                <w:sz w:val="2"/>
                <w:szCs w:val="2"/>
                <w:lang w:val="en-GB" w:eastAsia="en-GB"/>
              </w:rPr>
            </w:pPr>
            <w:r w:rsidRPr="00FB713E">
              <w:rPr>
                <w:rFonts w:ascii="Calibri" w:eastAsia="Times New Roman" w:hAnsi="Calibri" w:cs="Calibri"/>
                <w:color w:val="000000"/>
                <w:sz w:val="2"/>
                <w:szCs w:val="2"/>
                <w:lang w:val="en-GB" w:eastAsia="en-GB"/>
              </w:rPr>
              <w:t xml:space="preserve"> </w:t>
            </w:r>
          </w:p>
        </w:tc>
        <w:tc>
          <w:tcPr>
            <w:tcW w:w="1811" w:type="dxa"/>
            <w:tcBorders>
              <w:top w:val="nil"/>
              <w:left w:val="nil"/>
              <w:bottom w:val="nil"/>
              <w:right w:val="nil"/>
            </w:tcBorders>
            <w:shd w:val="clear" w:color="auto" w:fill="auto"/>
            <w:vAlign w:val="center"/>
            <w:hideMark/>
          </w:tcPr>
          <w:p w14:paraId="2E59E3D4" w14:textId="77777777" w:rsidR="00A0232C" w:rsidRPr="00FB713E" w:rsidRDefault="00A0232C" w:rsidP="00A0232C">
            <w:pPr>
              <w:jc w:val="center"/>
              <w:rPr>
                <w:rFonts w:ascii="Calibri" w:eastAsia="Times New Roman" w:hAnsi="Calibri" w:cs="Calibri"/>
                <w:color w:val="000000"/>
                <w:sz w:val="2"/>
                <w:szCs w:val="2"/>
                <w:lang w:val="en-GB" w:eastAsia="en-GB"/>
              </w:rPr>
            </w:pPr>
          </w:p>
        </w:tc>
        <w:tc>
          <w:tcPr>
            <w:tcW w:w="1880" w:type="dxa"/>
            <w:tcBorders>
              <w:top w:val="nil"/>
              <w:left w:val="nil"/>
              <w:bottom w:val="nil"/>
              <w:right w:val="nil"/>
            </w:tcBorders>
            <w:shd w:val="clear" w:color="auto" w:fill="auto"/>
            <w:vAlign w:val="center"/>
            <w:hideMark/>
          </w:tcPr>
          <w:p w14:paraId="498611A9" w14:textId="77777777" w:rsidR="00A0232C" w:rsidRPr="0073748E" w:rsidRDefault="00A0232C" w:rsidP="00A0232C">
            <w:pPr>
              <w:jc w:val="center"/>
              <w:rPr>
                <w:rFonts w:ascii="Times New Roman" w:eastAsia="Times New Roman" w:hAnsi="Times New Roman" w:cs="Times New Roman"/>
                <w:sz w:val="2"/>
                <w:szCs w:val="2"/>
                <w:lang w:val="en-GB" w:eastAsia="en-GB"/>
              </w:rPr>
            </w:pPr>
          </w:p>
        </w:tc>
        <w:tc>
          <w:tcPr>
            <w:tcW w:w="1688" w:type="dxa"/>
            <w:tcBorders>
              <w:top w:val="nil"/>
              <w:left w:val="nil"/>
              <w:bottom w:val="nil"/>
              <w:right w:val="nil"/>
            </w:tcBorders>
            <w:shd w:val="clear" w:color="auto" w:fill="auto"/>
            <w:vAlign w:val="center"/>
            <w:hideMark/>
          </w:tcPr>
          <w:p w14:paraId="37604B79" w14:textId="77777777" w:rsidR="00A0232C" w:rsidRPr="0073748E" w:rsidRDefault="00A0232C" w:rsidP="00A0232C">
            <w:pPr>
              <w:jc w:val="center"/>
              <w:rPr>
                <w:rFonts w:ascii="Times New Roman" w:eastAsia="Times New Roman" w:hAnsi="Times New Roman" w:cs="Times New Roman"/>
                <w:sz w:val="2"/>
                <w:szCs w:val="2"/>
                <w:lang w:val="en-GB" w:eastAsia="en-GB"/>
              </w:rPr>
            </w:pPr>
          </w:p>
        </w:tc>
      </w:tr>
      <w:tr w:rsidR="00A0232C" w:rsidRPr="00A0232C" w14:paraId="55EBC34F" w14:textId="77777777" w:rsidTr="0073748E">
        <w:trPr>
          <w:gridAfter w:val="1"/>
          <w:wAfter w:w="464" w:type="dxa"/>
          <w:cantSplit/>
          <w:trHeight w:val="436"/>
        </w:trPr>
        <w:tc>
          <w:tcPr>
            <w:tcW w:w="1304" w:type="dxa"/>
            <w:tcBorders>
              <w:top w:val="nil"/>
              <w:left w:val="nil"/>
              <w:bottom w:val="nil"/>
              <w:right w:val="nil"/>
            </w:tcBorders>
            <w:shd w:val="clear" w:color="auto" w:fill="auto"/>
            <w:vAlign w:val="center"/>
            <w:hideMark/>
          </w:tcPr>
          <w:p w14:paraId="15AE3587" w14:textId="77777777" w:rsidR="00A0232C" w:rsidRPr="00A0232C" w:rsidRDefault="00A0232C" w:rsidP="00A0232C">
            <w:pPr>
              <w:jc w:val="center"/>
              <w:rPr>
                <w:rFonts w:ascii="Verdana" w:eastAsia="Times New Roman" w:hAnsi="Verdana" w:cs="Calibri"/>
                <w:color w:val="000000"/>
                <w:sz w:val="2"/>
                <w:szCs w:val="2"/>
                <w:lang w:val="en-GB" w:eastAsia="en-GB"/>
              </w:rPr>
            </w:pPr>
            <w:r w:rsidRPr="00A0232C">
              <w:rPr>
                <w:rFonts w:ascii="Verdana" w:eastAsia="Times New Roman" w:hAnsi="Verdana" w:cs="Calibri"/>
                <w:color w:val="000000"/>
                <w:sz w:val="2"/>
                <w:szCs w:val="2"/>
                <w:lang w:val="en-GB" w:eastAsia="en-GB"/>
              </w:rPr>
              <w:t xml:space="preserve"> </w:t>
            </w:r>
          </w:p>
        </w:tc>
        <w:tc>
          <w:tcPr>
            <w:tcW w:w="1425" w:type="dxa"/>
            <w:tcBorders>
              <w:top w:val="nil"/>
              <w:left w:val="nil"/>
              <w:bottom w:val="nil"/>
              <w:right w:val="nil"/>
            </w:tcBorders>
            <w:shd w:val="clear" w:color="auto" w:fill="auto"/>
            <w:vAlign w:val="center"/>
            <w:hideMark/>
          </w:tcPr>
          <w:p w14:paraId="574826D3" w14:textId="77777777" w:rsidR="00A0232C" w:rsidRPr="00A0232C" w:rsidRDefault="00A0232C" w:rsidP="00A0232C">
            <w:pPr>
              <w:jc w:val="center"/>
              <w:rPr>
                <w:rFonts w:ascii="Verdana" w:eastAsia="Times New Roman" w:hAnsi="Verdana" w:cs="Calibri"/>
                <w:color w:val="000000"/>
                <w:sz w:val="2"/>
                <w:szCs w:val="2"/>
                <w:lang w:val="en-GB" w:eastAsia="en-GB"/>
              </w:rPr>
            </w:pPr>
            <w:r w:rsidRPr="00A0232C">
              <w:rPr>
                <w:rFonts w:ascii="Verdana" w:eastAsia="Times New Roman" w:hAnsi="Verdana" w:cs="Calibri"/>
                <w:color w:val="000000"/>
                <w:sz w:val="2"/>
                <w:szCs w:val="2"/>
                <w:lang w:val="en-GB" w:eastAsia="en-GB"/>
              </w:rPr>
              <w:t xml:space="preserve"> </w:t>
            </w:r>
          </w:p>
        </w:tc>
        <w:tc>
          <w:tcPr>
            <w:tcW w:w="1281" w:type="dxa"/>
            <w:tcBorders>
              <w:top w:val="nil"/>
              <w:left w:val="nil"/>
              <w:bottom w:val="nil"/>
              <w:right w:val="nil"/>
            </w:tcBorders>
            <w:shd w:val="clear" w:color="auto" w:fill="auto"/>
            <w:vAlign w:val="center"/>
            <w:hideMark/>
          </w:tcPr>
          <w:p w14:paraId="060661FE" w14:textId="77777777" w:rsidR="00A0232C" w:rsidRPr="00A0232C" w:rsidRDefault="00A0232C" w:rsidP="00A0232C">
            <w:pPr>
              <w:jc w:val="right"/>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(193,261)</w:t>
            </w:r>
          </w:p>
        </w:tc>
        <w:tc>
          <w:tcPr>
            <w:tcW w:w="1139" w:type="dxa"/>
            <w:tcBorders>
              <w:top w:val="nil"/>
              <w:left w:val="nil"/>
              <w:bottom w:val="nil"/>
              <w:right w:val="nil"/>
            </w:tcBorders>
            <w:shd w:val="clear" w:color="auto" w:fill="auto"/>
            <w:vAlign w:val="center"/>
            <w:hideMark/>
          </w:tcPr>
          <w:p w14:paraId="3DEA11FC" w14:textId="77777777" w:rsidR="00A0232C" w:rsidRPr="00A0232C" w:rsidRDefault="00A0232C" w:rsidP="00A0232C">
            <w:pPr>
              <w:jc w:val="cente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17</w:t>
            </w:r>
          </w:p>
        </w:tc>
        <w:tc>
          <w:tcPr>
            <w:tcW w:w="4214" w:type="dxa"/>
            <w:tcBorders>
              <w:top w:val="nil"/>
              <w:left w:val="nil"/>
              <w:bottom w:val="nil"/>
              <w:right w:val="nil"/>
            </w:tcBorders>
            <w:shd w:val="clear" w:color="auto" w:fill="auto"/>
            <w:vAlign w:val="center"/>
            <w:hideMark/>
          </w:tcPr>
          <w:p w14:paraId="57C0B9AD" w14:textId="77777777" w:rsidR="00A0232C" w:rsidRPr="00A0232C" w:rsidRDefault="00A0232C" w:rsidP="00A0232C">
            <w:pPr>
              <w:rPr>
                <w:rFonts w:ascii="Verdana" w:eastAsia="Times New Roman" w:hAnsi="Verdana" w:cs="Calibri"/>
                <w:color w:val="000000"/>
                <w:sz w:val="16"/>
                <w:szCs w:val="16"/>
                <w:lang w:val="en-GB" w:eastAsia="en-GB"/>
              </w:rPr>
            </w:pPr>
            <w:r w:rsidRPr="00A0232C">
              <w:rPr>
                <w:rFonts w:ascii="Verdana" w:eastAsia="Times New Roman" w:hAnsi="Verdana" w:cs="Calibri"/>
                <w:color w:val="000000"/>
                <w:sz w:val="16"/>
                <w:szCs w:val="16"/>
                <w:lang w:val="en-GB" w:eastAsia="en-GB"/>
              </w:rPr>
              <w:t>Re-measurement of the net defined benefit liability / asset</w:t>
            </w:r>
          </w:p>
        </w:tc>
        <w:tc>
          <w:tcPr>
            <w:tcW w:w="1811" w:type="dxa"/>
            <w:tcBorders>
              <w:top w:val="nil"/>
              <w:left w:val="nil"/>
              <w:bottom w:val="nil"/>
              <w:right w:val="nil"/>
            </w:tcBorders>
            <w:shd w:val="clear" w:color="auto" w:fill="auto"/>
            <w:vAlign w:val="center"/>
            <w:hideMark/>
          </w:tcPr>
          <w:p w14:paraId="17A0067B" w14:textId="77777777" w:rsidR="00A0232C" w:rsidRPr="00A0232C" w:rsidRDefault="00A0232C" w:rsidP="00A0232C">
            <w:pPr>
              <w:rPr>
                <w:rFonts w:ascii="Verdana" w:eastAsia="Times New Roman" w:hAnsi="Verdana" w:cs="Calibri"/>
                <w:color w:val="000000"/>
                <w:sz w:val="16"/>
                <w:szCs w:val="16"/>
                <w:lang w:val="en-GB" w:eastAsia="en-GB"/>
              </w:rPr>
            </w:pPr>
          </w:p>
        </w:tc>
        <w:tc>
          <w:tcPr>
            <w:tcW w:w="1880" w:type="dxa"/>
            <w:tcBorders>
              <w:top w:val="nil"/>
              <w:left w:val="nil"/>
              <w:bottom w:val="nil"/>
              <w:right w:val="nil"/>
            </w:tcBorders>
            <w:shd w:val="clear" w:color="auto" w:fill="auto"/>
            <w:vAlign w:val="center"/>
            <w:hideMark/>
          </w:tcPr>
          <w:p w14:paraId="71254DFC" w14:textId="77777777" w:rsidR="00A0232C" w:rsidRPr="00A0232C" w:rsidRDefault="00A0232C" w:rsidP="00A0232C">
            <w:pPr>
              <w:jc w:val="center"/>
              <w:rPr>
                <w:rFonts w:ascii="Times New Roman" w:eastAsia="Times New Roman" w:hAnsi="Times New Roman" w:cs="Times New Roman"/>
                <w:sz w:val="20"/>
                <w:szCs w:val="20"/>
                <w:lang w:val="en-GB" w:eastAsia="en-GB"/>
              </w:rPr>
            </w:pPr>
          </w:p>
        </w:tc>
        <w:tc>
          <w:tcPr>
            <w:tcW w:w="1688" w:type="dxa"/>
            <w:tcBorders>
              <w:top w:val="nil"/>
              <w:left w:val="nil"/>
              <w:bottom w:val="nil"/>
              <w:right w:val="nil"/>
            </w:tcBorders>
            <w:shd w:val="clear" w:color="auto" w:fill="auto"/>
            <w:vAlign w:val="center"/>
            <w:hideMark/>
          </w:tcPr>
          <w:p w14:paraId="3F2DAA51" w14:textId="77777777" w:rsidR="00A0232C" w:rsidRPr="00A0232C" w:rsidRDefault="007F44AB" w:rsidP="00A0232C">
            <w:pPr>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79,860</w:t>
            </w:r>
          </w:p>
        </w:tc>
      </w:tr>
      <w:tr w:rsidR="00A0232C" w:rsidRPr="00A0232C" w14:paraId="7B143A8D" w14:textId="77777777" w:rsidTr="0073748E">
        <w:trPr>
          <w:gridAfter w:val="1"/>
          <w:wAfter w:w="464" w:type="dxa"/>
          <w:trHeight w:val="294"/>
        </w:trPr>
        <w:tc>
          <w:tcPr>
            <w:tcW w:w="1304" w:type="dxa"/>
            <w:tcBorders>
              <w:top w:val="nil"/>
              <w:left w:val="nil"/>
              <w:bottom w:val="nil"/>
              <w:right w:val="nil"/>
            </w:tcBorders>
            <w:shd w:val="clear" w:color="auto" w:fill="auto"/>
            <w:vAlign w:val="center"/>
            <w:hideMark/>
          </w:tcPr>
          <w:p w14:paraId="50B09E64" w14:textId="77777777" w:rsidR="00A0232C" w:rsidRPr="00A0232C" w:rsidRDefault="00A0232C" w:rsidP="00A0232C">
            <w:pPr>
              <w:jc w:val="center"/>
              <w:rPr>
                <w:rFonts w:ascii="Calibri" w:eastAsia="Times New Roman" w:hAnsi="Calibri" w:cs="Calibri"/>
                <w:color w:val="000000"/>
                <w:sz w:val="2"/>
                <w:szCs w:val="2"/>
                <w:lang w:val="en-GB" w:eastAsia="en-GB"/>
              </w:rPr>
            </w:pPr>
            <w:r w:rsidRPr="00A0232C">
              <w:rPr>
                <w:rFonts w:ascii="Calibri" w:eastAsia="Times New Roman" w:hAnsi="Calibri" w:cs="Calibri"/>
                <w:color w:val="000000"/>
                <w:sz w:val="2"/>
                <w:szCs w:val="2"/>
                <w:lang w:val="en-GB" w:eastAsia="en-GB"/>
              </w:rPr>
              <w:t xml:space="preserve"> </w:t>
            </w:r>
          </w:p>
        </w:tc>
        <w:tc>
          <w:tcPr>
            <w:tcW w:w="1425" w:type="dxa"/>
            <w:tcBorders>
              <w:top w:val="nil"/>
              <w:left w:val="nil"/>
              <w:bottom w:val="nil"/>
              <w:right w:val="nil"/>
            </w:tcBorders>
            <w:shd w:val="clear" w:color="auto" w:fill="auto"/>
            <w:vAlign w:val="center"/>
            <w:hideMark/>
          </w:tcPr>
          <w:p w14:paraId="22B9435D" w14:textId="77777777" w:rsidR="00A0232C" w:rsidRPr="00A0232C" w:rsidRDefault="00A0232C" w:rsidP="00A0232C">
            <w:pPr>
              <w:jc w:val="center"/>
              <w:rPr>
                <w:rFonts w:ascii="Calibri" w:eastAsia="Times New Roman" w:hAnsi="Calibri" w:cs="Calibri"/>
                <w:color w:val="000000"/>
                <w:sz w:val="2"/>
                <w:szCs w:val="2"/>
                <w:lang w:val="en-GB" w:eastAsia="en-GB"/>
              </w:rPr>
            </w:pPr>
            <w:r w:rsidRPr="00A0232C">
              <w:rPr>
                <w:rFonts w:ascii="Calibri" w:eastAsia="Times New Roman" w:hAnsi="Calibri" w:cs="Calibri"/>
                <w:color w:val="000000"/>
                <w:sz w:val="2"/>
                <w:szCs w:val="2"/>
                <w:lang w:val="en-GB" w:eastAsia="en-GB"/>
              </w:rPr>
              <w:t xml:space="preserve"> </w:t>
            </w:r>
          </w:p>
        </w:tc>
        <w:tc>
          <w:tcPr>
            <w:tcW w:w="1281" w:type="dxa"/>
            <w:tcBorders>
              <w:top w:val="single" w:sz="8" w:space="0" w:color="000000"/>
              <w:left w:val="nil"/>
              <w:bottom w:val="single" w:sz="12" w:space="0" w:color="000000"/>
              <w:right w:val="nil"/>
            </w:tcBorders>
            <w:shd w:val="clear" w:color="auto" w:fill="auto"/>
            <w:vAlign w:val="center"/>
            <w:hideMark/>
          </w:tcPr>
          <w:p w14:paraId="385A02E1"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(193,261)</w:t>
            </w:r>
          </w:p>
        </w:tc>
        <w:tc>
          <w:tcPr>
            <w:tcW w:w="1139" w:type="dxa"/>
            <w:tcBorders>
              <w:top w:val="single" w:sz="8" w:space="0" w:color="000000"/>
              <w:left w:val="nil"/>
              <w:bottom w:val="single" w:sz="12" w:space="0" w:color="000000"/>
              <w:right w:val="nil"/>
            </w:tcBorders>
            <w:shd w:val="clear" w:color="auto" w:fill="auto"/>
            <w:vAlign w:val="center"/>
            <w:hideMark/>
          </w:tcPr>
          <w:p w14:paraId="702D3F23"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 xml:space="preserve"> </w:t>
            </w:r>
          </w:p>
        </w:tc>
        <w:tc>
          <w:tcPr>
            <w:tcW w:w="4214" w:type="dxa"/>
            <w:tcBorders>
              <w:top w:val="single" w:sz="8" w:space="0" w:color="000000"/>
              <w:left w:val="nil"/>
              <w:bottom w:val="single" w:sz="12" w:space="0" w:color="000000"/>
              <w:right w:val="nil"/>
            </w:tcBorders>
            <w:shd w:val="clear" w:color="auto" w:fill="auto"/>
            <w:vAlign w:val="center"/>
            <w:hideMark/>
          </w:tcPr>
          <w:p w14:paraId="12DC13E9" w14:textId="77777777" w:rsidR="00A0232C" w:rsidRPr="00A0232C" w:rsidRDefault="00A0232C" w:rsidP="00A0232C">
            <w:pP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Other Comprehensive Income and Expenditure</w:t>
            </w:r>
          </w:p>
        </w:tc>
        <w:tc>
          <w:tcPr>
            <w:tcW w:w="1811" w:type="dxa"/>
            <w:tcBorders>
              <w:top w:val="nil"/>
              <w:left w:val="nil"/>
              <w:bottom w:val="nil"/>
              <w:right w:val="nil"/>
            </w:tcBorders>
            <w:shd w:val="clear" w:color="auto" w:fill="auto"/>
            <w:vAlign w:val="center"/>
            <w:hideMark/>
          </w:tcPr>
          <w:p w14:paraId="1FF47E3B" w14:textId="77777777" w:rsidR="00A0232C" w:rsidRPr="00A0232C" w:rsidRDefault="00A0232C" w:rsidP="00A0232C">
            <w:pPr>
              <w:rPr>
                <w:rFonts w:ascii="Verdana" w:eastAsia="Times New Roman" w:hAnsi="Verdana" w:cs="Calibri"/>
                <w:b/>
                <w:bCs/>
                <w:color w:val="000000"/>
                <w:sz w:val="16"/>
                <w:szCs w:val="16"/>
                <w:lang w:val="en-GB" w:eastAsia="en-GB"/>
              </w:rPr>
            </w:pPr>
          </w:p>
        </w:tc>
        <w:tc>
          <w:tcPr>
            <w:tcW w:w="1880" w:type="dxa"/>
            <w:tcBorders>
              <w:top w:val="nil"/>
              <w:left w:val="nil"/>
              <w:bottom w:val="nil"/>
              <w:right w:val="nil"/>
            </w:tcBorders>
            <w:shd w:val="clear" w:color="auto" w:fill="auto"/>
            <w:vAlign w:val="center"/>
            <w:hideMark/>
          </w:tcPr>
          <w:p w14:paraId="019B53D6" w14:textId="77777777" w:rsidR="00A0232C" w:rsidRPr="00A0232C" w:rsidRDefault="00A0232C" w:rsidP="00A0232C">
            <w:pPr>
              <w:jc w:val="center"/>
              <w:rPr>
                <w:rFonts w:ascii="Times New Roman" w:eastAsia="Times New Roman" w:hAnsi="Times New Roman" w:cs="Times New Roman"/>
                <w:sz w:val="20"/>
                <w:szCs w:val="20"/>
                <w:lang w:val="en-GB" w:eastAsia="en-GB"/>
              </w:rPr>
            </w:pPr>
          </w:p>
        </w:tc>
        <w:tc>
          <w:tcPr>
            <w:tcW w:w="1688" w:type="dxa"/>
            <w:tcBorders>
              <w:top w:val="single" w:sz="8" w:space="0" w:color="000000"/>
              <w:left w:val="nil"/>
              <w:bottom w:val="single" w:sz="12" w:space="0" w:color="000000"/>
              <w:right w:val="nil"/>
            </w:tcBorders>
            <w:shd w:val="clear" w:color="auto" w:fill="auto"/>
            <w:vAlign w:val="center"/>
            <w:hideMark/>
          </w:tcPr>
          <w:p w14:paraId="3EEBE746" w14:textId="77777777" w:rsidR="00A0232C" w:rsidRPr="00A0232C" w:rsidRDefault="007F44AB" w:rsidP="00A0232C">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79,860</w:t>
            </w:r>
          </w:p>
        </w:tc>
      </w:tr>
      <w:tr w:rsidR="00A0232C" w:rsidRPr="00A0232C" w14:paraId="3809410A" w14:textId="77777777" w:rsidTr="0073748E">
        <w:trPr>
          <w:gridBefore w:val="1"/>
          <w:gridAfter w:val="1"/>
          <w:wBefore w:w="1304" w:type="dxa"/>
          <w:wAfter w:w="464" w:type="dxa"/>
          <w:trHeight w:val="40"/>
        </w:trPr>
        <w:tc>
          <w:tcPr>
            <w:tcW w:w="1425" w:type="dxa"/>
            <w:tcBorders>
              <w:top w:val="nil"/>
              <w:left w:val="nil"/>
              <w:bottom w:val="nil"/>
              <w:right w:val="nil"/>
            </w:tcBorders>
            <w:shd w:val="clear" w:color="auto" w:fill="auto"/>
            <w:noWrap/>
            <w:vAlign w:val="bottom"/>
            <w:hideMark/>
          </w:tcPr>
          <w:p w14:paraId="52171B86" w14:textId="77777777" w:rsidR="00A0232C" w:rsidRPr="00A0232C" w:rsidRDefault="00A0232C" w:rsidP="00A0232C">
            <w:pPr>
              <w:rPr>
                <w:rFonts w:ascii="Times New Roman" w:eastAsia="Times New Roman" w:hAnsi="Times New Roman" w:cs="Times New Roman"/>
                <w:sz w:val="20"/>
                <w:szCs w:val="20"/>
                <w:lang w:val="en-GB" w:eastAsia="en-GB"/>
              </w:rPr>
            </w:pPr>
          </w:p>
        </w:tc>
        <w:tc>
          <w:tcPr>
            <w:tcW w:w="1281" w:type="dxa"/>
            <w:tcBorders>
              <w:top w:val="nil"/>
              <w:left w:val="nil"/>
              <w:bottom w:val="nil"/>
              <w:right w:val="nil"/>
            </w:tcBorders>
            <w:shd w:val="clear" w:color="auto" w:fill="auto"/>
            <w:noWrap/>
            <w:vAlign w:val="bottom"/>
            <w:hideMark/>
          </w:tcPr>
          <w:p w14:paraId="5B87B786" w14:textId="77777777" w:rsidR="00A0232C" w:rsidRPr="00A0232C" w:rsidRDefault="00A0232C" w:rsidP="00A0232C">
            <w:pPr>
              <w:rPr>
                <w:rFonts w:ascii="Times New Roman" w:eastAsia="Times New Roman" w:hAnsi="Times New Roman" w:cs="Times New Roman"/>
                <w:sz w:val="20"/>
                <w:szCs w:val="20"/>
                <w:lang w:val="en-GB" w:eastAsia="en-GB"/>
              </w:rPr>
            </w:pPr>
          </w:p>
        </w:tc>
        <w:tc>
          <w:tcPr>
            <w:tcW w:w="1139" w:type="dxa"/>
            <w:tcBorders>
              <w:top w:val="nil"/>
              <w:left w:val="nil"/>
              <w:bottom w:val="nil"/>
              <w:right w:val="nil"/>
            </w:tcBorders>
            <w:shd w:val="clear" w:color="auto" w:fill="auto"/>
            <w:noWrap/>
            <w:vAlign w:val="bottom"/>
            <w:hideMark/>
          </w:tcPr>
          <w:p w14:paraId="00987357" w14:textId="77777777" w:rsidR="00A0232C" w:rsidRPr="00A0232C" w:rsidRDefault="00A0232C" w:rsidP="00A0232C">
            <w:pPr>
              <w:rPr>
                <w:rFonts w:ascii="Times New Roman" w:eastAsia="Times New Roman" w:hAnsi="Times New Roman" w:cs="Times New Roman"/>
                <w:sz w:val="20"/>
                <w:szCs w:val="20"/>
                <w:lang w:val="en-GB" w:eastAsia="en-GB"/>
              </w:rPr>
            </w:pPr>
          </w:p>
        </w:tc>
        <w:tc>
          <w:tcPr>
            <w:tcW w:w="4214" w:type="dxa"/>
            <w:tcBorders>
              <w:top w:val="nil"/>
              <w:left w:val="nil"/>
              <w:bottom w:val="nil"/>
              <w:right w:val="nil"/>
            </w:tcBorders>
            <w:shd w:val="clear" w:color="auto" w:fill="auto"/>
            <w:noWrap/>
            <w:vAlign w:val="bottom"/>
            <w:hideMark/>
          </w:tcPr>
          <w:p w14:paraId="738D740B" w14:textId="77777777" w:rsidR="00A0232C" w:rsidRPr="0073748E" w:rsidRDefault="00A0232C" w:rsidP="00A0232C">
            <w:pPr>
              <w:rPr>
                <w:rFonts w:ascii="Times New Roman" w:eastAsia="Times New Roman" w:hAnsi="Times New Roman" w:cs="Times New Roman"/>
                <w:sz w:val="2"/>
                <w:szCs w:val="2"/>
                <w:lang w:val="en-GB" w:eastAsia="en-GB"/>
              </w:rPr>
            </w:pPr>
          </w:p>
        </w:tc>
        <w:tc>
          <w:tcPr>
            <w:tcW w:w="1811" w:type="dxa"/>
            <w:tcBorders>
              <w:top w:val="nil"/>
              <w:left w:val="nil"/>
              <w:bottom w:val="nil"/>
              <w:right w:val="nil"/>
            </w:tcBorders>
            <w:shd w:val="clear" w:color="auto" w:fill="auto"/>
            <w:noWrap/>
            <w:vAlign w:val="bottom"/>
            <w:hideMark/>
          </w:tcPr>
          <w:p w14:paraId="14A9C6FB" w14:textId="77777777" w:rsidR="00A0232C" w:rsidRPr="00A0232C" w:rsidRDefault="00A0232C" w:rsidP="00A0232C">
            <w:pPr>
              <w:rPr>
                <w:rFonts w:ascii="Times New Roman" w:eastAsia="Times New Roman" w:hAnsi="Times New Roman" w:cs="Times New Roman"/>
                <w:sz w:val="20"/>
                <w:szCs w:val="20"/>
                <w:lang w:val="en-GB" w:eastAsia="en-GB"/>
              </w:rPr>
            </w:pPr>
          </w:p>
        </w:tc>
        <w:tc>
          <w:tcPr>
            <w:tcW w:w="1880" w:type="dxa"/>
            <w:tcBorders>
              <w:top w:val="nil"/>
              <w:left w:val="nil"/>
              <w:bottom w:val="nil"/>
              <w:right w:val="nil"/>
            </w:tcBorders>
            <w:shd w:val="clear" w:color="auto" w:fill="auto"/>
            <w:noWrap/>
            <w:vAlign w:val="bottom"/>
            <w:hideMark/>
          </w:tcPr>
          <w:p w14:paraId="5043494C" w14:textId="77777777" w:rsidR="00A0232C" w:rsidRPr="00A0232C" w:rsidRDefault="00A0232C" w:rsidP="00A0232C">
            <w:pPr>
              <w:rPr>
                <w:rFonts w:ascii="Times New Roman" w:eastAsia="Times New Roman" w:hAnsi="Times New Roman" w:cs="Times New Roman"/>
                <w:sz w:val="20"/>
                <w:szCs w:val="20"/>
                <w:lang w:val="en-GB" w:eastAsia="en-GB"/>
              </w:rPr>
            </w:pPr>
          </w:p>
        </w:tc>
        <w:tc>
          <w:tcPr>
            <w:tcW w:w="1688" w:type="dxa"/>
            <w:tcBorders>
              <w:top w:val="nil"/>
              <w:left w:val="nil"/>
              <w:bottom w:val="nil"/>
              <w:right w:val="nil"/>
            </w:tcBorders>
            <w:shd w:val="clear" w:color="auto" w:fill="auto"/>
            <w:noWrap/>
            <w:vAlign w:val="bottom"/>
            <w:hideMark/>
          </w:tcPr>
          <w:p w14:paraId="405FD8B4" w14:textId="77777777" w:rsidR="00A0232C" w:rsidRPr="00A0232C" w:rsidRDefault="00A0232C" w:rsidP="00A0232C">
            <w:pPr>
              <w:rPr>
                <w:rFonts w:ascii="Times New Roman" w:eastAsia="Times New Roman" w:hAnsi="Times New Roman" w:cs="Times New Roman"/>
                <w:sz w:val="20"/>
                <w:szCs w:val="20"/>
                <w:lang w:val="en-GB" w:eastAsia="en-GB"/>
              </w:rPr>
            </w:pPr>
          </w:p>
        </w:tc>
      </w:tr>
      <w:tr w:rsidR="00A0232C" w:rsidRPr="00A0232C" w14:paraId="4D5777D4" w14:textId="77777777" w:rsidTr="0073748E">
        <w:trPr>
          <w:gridAfter w:val="1"/>
          <w:wAfter w:w="464" w:type="dxa"/>
          <w:trHeight w:val="294"/>
        </w:trPr>
        <w:tc>
          <w:tcPr>
            <w:tcW w:w="1304" w:type="dxa"/>
            <w:tcBorders>
              <w:top w:val="nil"/>
              <w:left w:val="nil"/>
              <w:bottom w:val="nil"/>
              <w:right w:val="nil"/>
            </w:tcBorders>
            <w:shd w:val="clear" w:color="auto" w:fill="auto"/>
            <w:vAlign w:val="center"/>
            <w:hideMark/>
          </w:tcPr>
          <w:p w14:paraId="5610F9B1" w14:textId="77777777" w:rsidR="00A0232C" w:rsidRPr="00A0232C" w:rsidRDefault="00A0232C" w:rsidP="00A0232C">
            <w:pPr>
              <w:jc w:val="center"/>
              <w:rPr>
                <w:rFonts w:ascii="Calibri" w:eastAsia="Times New Roman" w:hAnsi="Calibri" w:cs="Calibri"/>
                <w:color w:val="000000"/>
                <w:sz w:val="2"/>
                <w:szCs w:val="2"/>
                <w:lang w:val="en-GB" w:eastAsia="en-GB"/>
              </w:rPr>
            </w:pPr>
            <w:r w:rsidRPr="00A0232C">
              <w:rPr>
                <w:rFonts w:ascii="Calibri" w:eastAsia="Times New Roman" w:hAnsi="Calibri" w:cs="Calibri"/>
                <w:color w:val="000000"/>
                <w:sz w:val="2"/>
                <w:szCs w:val="2"/>
                <w:lang w:val="en-GB" w:eastAsia="en-GB"/>
              </w:rPr>
              <w:t xml:space="preserve"> </w:t>
            </w:r>
          </w:p>
        </w:tc>
        <w:tc>
          <w:tcPr>
            <w:tcW w:w="1425" w:type="dxa"/>
            <w:tcBorders>
              <w:top w:val="nil"/>
              <w:left w:val="nil"/>
              <w:bottom w:val="nil"/>
              <w:right w:val="nil"/>
            </w:tcBorders>
            <w:shd w:val="clear" w:color="auto" w:fill="auto"/>
            <w:vAlign w:val="center"/>
            <w:hideMark/>
          </w:tcPr>
          <w:p w14:paraId="6447EC11" w14:textId="77777777" w:rsidR="00A0232C" w:rsidRPr="00A0232C" w:rsidRDefault="00A0232C" w:rsidP="00A0232C">
            <w:pPr>
              <w:jc w:val="center"/>
              <w:rPr>
                <w:rFonts w:ascii="Calibri" w:eastAsia="Times New Roman" w:hAnsi="Calibri" w:cs="Calibri"/>
                <w:color w:val="000000"/>
                <w:sz w:val="2"/>
                <w:szCs w:val="2"/>
                <w:lang w:val="en-GB" w:eastAsia="en-GB"/>
              </w:rPr>
            </w:pPr>
            <w:r w:rsidRPr="00A0232C">
              <w:rPr>
                <w:rFonts w:ascii="Calibri" w:eastAsia="Times New Roman" w:hAnsi="Calibri" w:cs="Calibri"/>
                <w:color w:val="000000"/>
                <w:sz w:val="2"/>
                <w:szCs w:val="2"/>
                <w:lang w:val="en-GB" w:eastAsia="en-GB"/>
              </w:rPr>
              <w:t xml:space="preserve"> </w:t>
            </w:r>
          </w:p>
        </w:tc>
        <w:tc>
          <w:tcPr>
            <w:tcW w:w="1281" w:type="dxa"/>
            <w:tcBorders>
              <w:top w:val="single" w:sz="8" w:space="0" w:color="000000"/>
              <w:left w:val="nil"/>
              <w:bottom w:val="single" w:sz="12" w:space="0" w:color="000000"/>
              <w:right w:val="nil"/>
            </w:tcBorders>
            <w:shd w:val="clear" w:color="auto" w:fill="auto"/>
            <w:vAlign w:val="center"/>
            <w:hideMark/>
          </w:tcPr>
          <w:p w14:paraId="3638302D" w14:textId="77777777" w:rsidR="00A0232C" w:rsidRPr="00A0232C" w:rsidRDefault="00A0232C" w:rsidP="00A0232C">
            <w:pPr>
              <w:jc w:val="right"/>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(130,230)</w:t>
            </w:r>
          </w:p>
        </w:tc>
        <w:tc>
          <w:tcPr>
            <w:tcW w:w="1139" w:type="dxa"/>
            <w:tcBorders>
              <w:top w:val="single" w:sz="8" w:space="0" w:color="000000"/>
              <w:left w:val="nil"/>
              <w:bottom w:val="single" w:sz="12" w:space="0" w:color="000000"/>
              <w:right w:val="nil"/>
            </w:tcBorders>
            <w:shd w:val="clear" w:color="auto" w:fill="auto"/>
            <w:vAlign w:val="center"/>
            <w:hideMark/>
          </w:tcPr>
          <w:p w14:paraId="249D0CAF" w14:textId="77777777" w:rsidR="00A0232C" w:rsidRPr="00A0232C" w:rsidRDefault="00A0232C" w:rsidP="00A0232C">
            <w:pPr>
              <w:jc w:val="cente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 xml:space="preserve"> </w:t>
            </w:r>
          </w:p>
        </w:tc>
        <w:tc>
          <w:tcPr>
            <w:tcW w:w="4214" w:type="dxa"/>
            <w:tcBorders>
              <w:top w:val="single" w:sz="8" w:space="0" w:color="000000"/>
              <w:left w:val="nil"/>
              <w:bottom w:val="single" w:sz="12" w:space="0" w:color="000000"/>
              <w:right w:val="nil"/>
            </w:tcBorders>
            <w:shd w:val="clear" w:color="auto" w:fill="auto"/>
            <w:vAlign w:val="center"/>
            <w:hideMark/>
          </w:tcPr>
          <w:p w14:paraId="37FC635A" w14:textId="77777777" w:rsidR="00A0232C" w:rsidRPr="00A0232C" w:rsidRDefault="00A0232C" w:rsidP="00A0232C">
            <w:pPr>
              <w:rPr>
                <w:rFonts w:ascii="Verdana" w:eastAsia="Times New Roman" w:hAnsi="Verdana" w:cs="Calibri"/>
                <w:b/>
                <w:bCs/>
                <w:color w:val="000000"/>
                <w:sz w:val="16"/>
                <w:szCs w:val="16"/>
                <w:lang w:val="en-GB" w:eastAsia="en-GB"/>
              </w:rPr>
            </w:pPr>
            <w:r w:rsidRPr="00A0232C">
              <w:rPr>
                <w:rFonts w:ascii="Verdana" w:eastAsia="Times New Roman" w:hAnsi="Verdana" w:cs="Calibri"/>
                <w:b/>
                <w:bCs/>
                <w:color w:val="000000"/>
                <w:sz w:val="16"/>
                <w:szCs w:val="16"/>
                <w:lang w:val="en-GB" w:eastAsia="en-GB"/>
              </w:rPr>
              <w:t>Total Comprehensive Income and Expenditure</w:t>
            </w:r>
          </w:p>
        </w:tc>
        <w:tc>
          <w:tcPr>
            <w:tcW w:w="1811" w:type="dxa"/>
            <w:tcBorders>
              <w:top w:val="nil"/>
              <w:left w:val="nil"/>
              <w:bottom w:val="nil"/>
              <w:right w:val="nil"/>
            </w:tcBorders>
            <w:shd w:val="clear" w:color="auto" w:fill="auto"/>
            <w:vAlign w:val="center"/>
            <w:hideMark/>
          </w:tcPr>
          <w:p w14:paraId="687C3C00" w14:textId="77777777" w:rsidR="00A0232C" w:rsidRPr="00A0232C" w:rsidRDefault="00A0232C" w:rsidP="00A0232C">
            <w:pPr>
              <w:rPr>
                <w:rFonts w:ascii="Verdana" w:eastAsia="Times New Roman" w:hAnsi="Verdana" w:cs="Calibri"/>
                <w:b/>
                <w:bCs/>
                <w:color w:val="000000"/>
                <w:sz w:val="16"/>
                <w:szCs w:val="16"/>
                <w:lang w:val="en-GB" w:eastAsia="en-GB"/>
              </w:rPr>
            </w:pPr>
          </w:p>
        </w:tc>
        <w:tc>
          <w:tcPr>
            <w:tcW w:w="1880" w:type="dxa"/>
            <w:tcBorders>
              <w:top w:val="nil"/>
              <w:left w:val="nil"/>
              <w:bottom w:val="nil"/>
              <w:right w:val="nil"/>
            </w:tcBorders>
            <w:shd w:val="clear" w:color="auto" w:fill="auto"/>
            <w:vAlign w:val="center"/>
            <w:hideMark/>
          </w:tcPr>
          <w:p w14:paraId="0116B0B5" w14:textId="77777777" w:rsidR="00A0232C" w:rsidRPr="00A0232C" w:rsidRDefault="00A0232C" w:rsidP="00A0232C">
            <w:pPr>
              <w:jc w:val="center"/>
              <w:rPr>
                <w:rFonts w:ascii="Times New Roman" w:eastAsia="Times New Roman" w:hAnsi="Times New Roman" w:cs="Times New Roman"/>
                <w:sz w:val="20"/>
                <w:szCs w:val="20"/>
                <w:lang w:val="en-GB" w:eastAsia="en-GB"/>
              </w:rPr>
            </w:pPr>
          </w:p>
        </w:tc>
        <w:tc>
          <w:tcPr>
            <w:tcW w:w="1688" w:type="dxa"/>
            <w:tcBorders>
              <w:top w:val="single" w:sz="8" w:space="0" w:color="000000"/>
              <w:left w:val="nil"/>
              <w:bottom w:val="single" w:sz="12" w:space="0" w:color="000000"/>
              <w:right w:val="nil"/>
            </w:tcBorders>
            <w:shd w:val="clear" w:color="auto" w:fill="auto"/>
            <w:vAlign w:val="center"/>
            <w:hideMark/>
          </w:tcPr>
          <w:p w14:paraId="5E85C806" w14:textId="77777777" w:rsidR="00A0232C" w:rsidRPr="00A0232C" w:rsidRDefault="007F44AB" w:rsidP="00A0232C">
            <w:pPr>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148,388</w:t>
            </w:r>
          </w:p>
        </w:tc>
      </w:tr>
    </w:tbl>
    <w:p w14:paraId="7332A329" w14:textId="77777777" w:rsidR="00FB713E" w:rsidRDefault="00FB713E" w:rsidP="00080023">
      <w:pPr>
        <w:pStyle w:val="Normal0"/>
        <w:spacing w:after="160"/>
        <w:jc w:val="both"/>
        <w:rPr>
          <w:rFonts w:ascii="Verdana" w:eastAsia="Verdana" w:hAnsi="Verdana" w:cs="Verdana"/>
          <w:sz w:val="22"/>
          <w:szCs w:val="22"/>
          <w:highlight w:val="yellow"/>
          <w:lang w:val="en-GB"/>
        </w:rPr>
      </w:pPr>
    </w:p>
    <w:p w14:paraId="3A408FC1" w14:textId="1783D06E" w:rsidR="00F227D9" w:rsidRPr="00A30DA8" w:rsidRDefault="005B22FA" w:rsidP="00F227D9">
      <w:pPr>
        <w:pStyle w:val="Normal0"/>
        <w:spacing w:after="160"/>
        <w:rPr>
          <w:rFonts w:ascii="Verdana" w:hAnsi="Verdana"/>
          <w:sz w:val="22"/>
          <w:szCs w:val="22"/>
          <w:lang w:val="en-GB"/>
        </w:rPr>
        <w:sectPr w:rsidR="00F227D9" w:rsidRPr="00A30DA8" w:rsidSect="00B54A0C">
          <w:type w:val="nextColumn"/>
          <w:pgSz w:w="16840" w:h="11900" w:orient="landscape"/>
          <w:pgMar w:top="709" w:right="720" w:bottom="567" w:left="720" w:header="708" w:footer="708" w:gutter="0"/>
          <w:cols w:space="708"/>
          <w:docGrid w:linePitch="360"/>
        </w:sectPr>
      </w:pPr>
      <w:r>
        <w:rPr>
          <w:rFonts w:ascii="Verdana" w:eastAsia="Verdana" w:hAnsi="Verdana" w:cs="Verdana"/>
          <w:lang w:val="en-GB"/>
        </w:rPr>
        <w:t>*</w:t>
      </w:r>
      <w:r w:rsidR="00444662" w:rsidRPr="0073748E">
        <w:rPr>
          <w:rFonts w:ascii="Verdana" w:hAnsi="Verdana"/>
          <w:lang w:val="en-GB"/>
        </w:rPr>
        <w:t xml:space="preserve">Depreciation/Amortisation figure in </w:t>
      </w:r>
      <w:r w:rsidR="00097018" w:rsidRPr="0073748E">
        <w:rPr>
          <w:rFonts w:ascii="Verdana" w:hAnsi="Verdana"/>
          <w:lang w:val="en-GB"/>
        </w:rPr>
        <w:t>20</w:t>
      </w:r>
      <w:r w:rsidR="00663E1C" w:rsidRPr="0073748E">
        <w:rPr>
          <w:rFonts w:ascii="Verdana" w:hAnsi="Verdana"/>
          <w:lang w:val="en-GB"/>
        </w:rPr>
        <w:t>20</w:t>
      </w:r>
      <w:r w:rsidR="00444662" w:rsidRPr="0073748E">
        <w:rPr>
          <w:rFonts w:ascii="Verdana" w:hAnsi="Verdana"/>
          <w:lang w:val="en-GB"/>
        </w:rPr>
        <w:t>/2</w:t>
      </w:r>
      <w:r w:rsidR="00663E1C" w:rsidRPr="0073748E">
        <w:rPr>
          <w:rFonts w:ascii="Verdana" w:hAnsi="Verdana"/>
          <w:lang w:val="en-GB"/>
        </w:rPr>
        <w:t>1</w:t>
      </w:r>
      <w:r w:rsidR="00444662" w:rsidRPr="0073748E">
        <w:rPr>
          <w:rFonts w:ascii="Verdana" w:hAnsi="Verdana"/>
          <w:lang w:val="en-GB"/>
        </w:rPr>
        <w:t xml:space="preserve"> includes a figure of £</w:t>
      </w:r>
      <w:r w:rsidR="00A30DA8" w:rsidRPr="0073748E">
        <w:rPr>
          <w:rFonts w:ascii="Verdana" w:hAnsi="Verdana"/>
          <w:lang w:val="en-GB"/>
        </w:rPr>
        <w:t>2.049</w:t>
      </w:r>
      <w:r w:rsidR="00444662" w:rsidRPr="0073748E">
        <w:rPr>
          <w:rFonts w:ascii="Verdana" w:hAnsi="Verdana"/>
          <w:lang w:val="en-GB"/>
        </w:rPr>
        <w:t>m for downward PPE Revalua</w:t>
      </w:r>
      <w:r w:rsidR="00B9211A" w:rsidRPr="0073748E">
        <w:rPr>
          <w:rFonts w:ascii="Verdana" w:hAnsi="Verdana"/>
          <w:lang w:val="en-GB"/>
        </w:rPr>
        <w:t>t</w:t>
      </w:r>
      <w:r w:rsidR="00444662" w:rsidRPr="0073748E">
        <w:rPr>
          <w:rFonts w:ascii="Verdana" w:hAnsi="Verdana"/>
          <w:lang w:val="en-GB"/>
        </w:rPr>
        <w:t>ions</w:t>
      </w:r>
      <w:r w:rsidR="00444662" w:rsidRPr="00A30DA8">
        <w:rPr>
          <w:rFonts w:ascii="Verdana" w:hAnsi="Verdana"/>
          <w:sz w:val="22"/>
          <w:szCs w:val="22"/>
          <w:lang w:val="en-GB"/>
        </w:rPr>
        <w:t xml:space="preserve"> </w:t>
      </w:r>
    </w:p>
    <w:p w14:paraId="59D7AFA9" w14:textId="77777777" w:rsidR="00F227D9" w:rsidRPr="008932D4" w:rsidRDefault="00F227D9" w:rsidP="00F227D9">
      <w:pPr>
        <w:pStyle w:val="Heading1"/>
        <w:spacing w:after="240"/>
        <w:rPr>
          <w:lang w:val="pt-BR"/>
        </w:rPr>
      </w:pPr>
      <w:bookmarkStart w:id="7" w:name="_Toc77095558"/>
      <w:r w:rsidRPr="008932D4">
        <w:rPr>
          <w:lang w:val="pt-BR"/>
        </w:rPr>
        <w:t>Balance Sheet</w:t>
      </w:r>
      <w:bookmarkEnd w:id="7"/>
      <w:r w:rsidRPr="008932D4">
        <w:rPr>
          <w:lang w:val="pt-BR"/>
        </w:rPr>
        <w:t xml:space="preserve"> </w:t>
      </w:r>
    </w:p>
    <w:p w14:paraId="427ACA59" w14:textId="77777777" w:rsidR="00F227D9" w:rsidRPr="008932D4" w:rsidRDefault="00F227D9" w:rsidP="00664CC3">
      <w:pPr>
        <w:pStyle w:val="Normal0"/>
        <w:spacing w:after="160"/>
        <w:jc w:val="both"/>
        <w:rPr>
          <w:rFonts w:ascii="Verdana" w:eastAsia="Verdana" w:hAnsi="Verdana" w:cs="Verdana"/>
          <w:sz w:val="22"/>
          <w:szCs w:val="22"/>
          <w:lang w:val="en-GB"/>
        </w:rPr>
      </w:pPr>
      <w:r w:rsidRPr="008932D4">
        <w:rPr>
          <w:rFonts w:ascii="Verdana" w:eastAsia="Verdana" w:hAnsi="Verdana" w:cs="Verdana"/>
          <w:sz w:val="22"/>
          <w:szCs w:val="22"/>
          <w:lang w:val="en-GB"/>
        </w:rPr>
        <w:t>The Balance Sheet shows the value as at the Balance Sheet date of the assets and liabilities recognised by the Chief Constable. The net assets (assets less liabilities) are matched by the reserves. Reserves are reported in two categories. The first category of reserves are usable reserves, i.e. those reserves that may be used to provide services, subject to the need to maintain a prudent level of reserves and any statutory limitations on their use. The second category of reserves is those that the authority is not able to use to provide services. These are referred to as unusable or non-cash backed reserves. This includes reserves for pensions and accumulated absences that recognise the impact of the accounting treatment shown in the Movement in Reserves Statement line ‘Adjustments between accounting basis and funding basis under regulations’.</w:t>
      </w:r>
    </w:p>
    <w:p w14:paraId="7BB19E02" w14:textId="77777777" w:rsidR="00FF156A" w:rsidRDefault="00FF156A" w:rsidP="00664CC3">
      <w:pPr>
        <w:pStyle w:val="Normal0"/>
        <w:spacing w:after="160"/>
        <w:jc w:val="both"/>
        <w:rPr>
          <w:rFonts w:ascii="Verdana" w:eastAsia="Verdana" w:hAnsi="Verdana" w:cs="Verdana"/>
          <w:sz w:val="22"/>
          <w:szCs w:val="22"/>
          <w:highlight w:val="yellow"/>
          <w:lang w:val="en-GB"/>
        </w:rPr>
        <w:sectPr w:rsidR="00FF156A" w:rsidSect="00B54A0C">
          <w:type w:val="nextColumn"/>
          <w:pgSz w:w="16840" w:h="11900" w:orient="landscape"/>
          <w:pgMar w:top="709" w:right="720" w:bottom="567" w:left="720" w:header="708" w:footer="708" w:gutter="0"/>
          <w:cols w:space="708"/>
          <w:docGrid w:linePitch="360"/>
        </w:sectPr>
      </w:pPr>
    </w:p>
    <w:p w14:paraId="68079F38" w14:textId="77777777" w:rsidR="00FF156A" w:rsidRDefault="00FF156A" w:rsidP="00664CC3">
      <w:pPr>
        <w:pStyle w:val="Normal0"/>
        <w:spacing w:after="160"/>
        <w:jc w:val="both"/>
        <w:rPr>
          <w:rFonts w:ascii="Verdana" w:eastAsia="Verdana" w:hAnsi="Verdana" w:cs="Verdana"/>
          <w:sz w:val="22"/>
          <w:szCs w:val="22"/>
          <w:highlight w:val="yellow"/>
          <w:lang w:val="en-GB"/>
        </w:rPr>
      </w:pPr>
    </w:p>
    <w:tbl>
      <w:tblPr>
        <w:tblW w:w="6249" w:type="dxa"/>
        <w:tblInd w:w="-284" w:type="dxa"/>
        <w:tblLayout w:type="fixed"/>
        <w:tblLook w:val="04A0" w:firstRow="1" w:lastRow="0" w:firstColumn="1" w:lastColumn="0" w:noHBand="0" w:noVBand="1"/>
      </w:tblPr>
      <w:tblGrid>
        <w:gridCol w:w="1563"/>
        <w:gridCol w:w="250"/>
        <w:gridCol w:w="2206"/>
        <w:gridCol w:w="667"/>
        <w:gridCol w:w="1563"/>
      </w:tblGrid>
      <w:tr w:rsidR="00FF156A" w:rsidRPr="00D00EAB" w14:paraId="414978F1" w14:textId="77777777" w:rsidTr="00097018">
        <w:trPr>
          <w:trHeight w:val="328"/>
        </w:trPr>
        <w:tc>
          <w:tcPr>
            <w:tcW w:w="1563" w:type="dxa"/>
            <w:shd w:val="clear" w:color="auto" w:fill="auto"/>
            <w:tcMar>
              <w:top w:w="20" w:type="dxa"/>
              <w:left w:w="20" w:type="dxa"/>
              <w:bottom w:w="20" w:type="dxa"/>
              <w:right w:w="20" w:type="dxa"/>
            </w:tcMar>
            <w:vAlign w:val="bottom"/>
          </w:tcPr>
          <w:p w14:paraId="07742826" w14:textId="77777777" w:rsidR="00FF156A" w:rsidRPr="00D00EAB" w:rsidRDefault="007573D7" w:rsidP="00097018">
            <w:pPr>
              <w:pStyle w:val="T1TableStyle"/>
              <w:jc w:val="center"/>
              <w:rPr>
                <w:rFonts w:ascii="Verdana" w:eastAsia="Verdana" w:hAnsi="Verdana" w:cs="Verdana"/>
                <w:b/>
                <w:color w:val="000000"/>
                <w:sz w:val="16"/>
                <w:lang w:val="en-GB"/>
              </w:rPr>
            </w:pPr>
            <w:r w:rsidRPr="00D00EAB">
              <w:rPr>
                <w:rFonts w:ascii="Verdana" w:eastAsia="Verdana" w:hAnsi="Verdana" w:cs="Verdana"/>
                <w:b/>
                <w:color w:val="000000"/>
                <w:sz w:val="16"/>
                <w:lang w:val="en-GB"/>
              </w:rPr>
              <w:t>31 March 2020</w:t>
            </w:r>
          </w:p>
        </w:tc>
        <w:tc>
          <w:tcPr>
            <w:tcW w:w="250" w:type="dxa"/>
            <w:shd w:val="clear" w:color="auto" w:fill="auto"/>
            <w:tcMar>
              <w:top w:w="20" w:type="dxa"/>
              <w:left w:w="20" w:type="dxa"/>
              <w:bottom w:w="20" w:type="dxa"/>
              <w:right w:w="20" w:type="dxa"/>
            </w:tcMar>
            <w:vAlign w:val="bottom"/>
          </w:tcPr>
          <w:p w14:paraId="0E34F680"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shd w:val="clear" w:color="auto" w:fill="auto"/>
            <w:tcMar>
              <w:top w:w="20" w:type="dxa"/>
              <w:left w:w="20" w:type="dxa"/>
              <w:bottom w:w="20" w:type="dxa"/>
              <w:right w:w="20" w:type="dxa"/>
            </w:tcMar>
            <w:vAlign w:val="bottom"/>
          </w:tcPr>
          <w:p w14:paraId="20E144EC"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667" w:type="dxa"/>
            <w:vAlign w:val="center"/>
          </w:tcPr>
          <w:p w14:paraId="7D1DE2F4" w14:textId="77777777" w:rsidR="00FF156A" w:rsidRPr="00D00EAB" w:rsidRDefault="00FF156A" w:rsidP="00097018">
            <w:pPr>
              <w:pStyle w:val="T1TableStyle"/>
              <w:jc w:val="center"/>
              <w:rPr>
                <w:rFonts w:ascii="Verdana" w:eastAsia="Verdana" w:hAnsi="Verdana" w:cs="Verdana"/>
                <w:b/>
                <w:color w:val="000000"/>
                <w:sz w:val="16"/>
                <w:lang w:val="en-GB"/>
              </w:rPr>
            </w:pPr>
            <w:r w:rsidRPr="00D00EAB">
              <w:rPr>
                <w:rFonts w:ascii="Verdana" w:eastAsia="Verdana" w:hAnsi="Verdana" w:cs="Verdana"/>
                <w:b/>
                <w:color w:val="000000"/>
                <w:sz w:val="16"/>
                <w:lang w:val="en-GB"/>
              </w:rPr>
              <w:t>Note</w:t>
            </w:r>
          </w:p>
        </w:tc>
        <w:tc>
          <w:tcPr>
            <w:tcW w:w="1563" w:type="dxa"/>
            <w:shd w:val="clear" w:color="auto" w:fill="auto"/>
            <w:tcMar>
              <w:top w:w="20" w:type="dxa"/>
              <w:left w:w="20" w:type="dxa"/>
              <w:bottom w:w="20" w:type="dxa"/>
              <w:right w:w="20" w:type="dxa"/>
            </w:tcMar>
            <w:vAlign w:val="bottom"/>
          </w:tcPr>
          <w:p w14:paraId="7E98A6F1" w14:textId="77777777" w:rsidR="00FF156A" w:rsidRPr="00D00EAB" w:rsidRDefault="00FF156A" w:rsidP="00097018">
            <w:pPr>
              <w:pStyle w:val="T1TableStyle"/>
              <w:jc w:val="center"/>
              <w:rPr>
                <w:rFonts w:ascii="Verdana" w:eastAsia="Verdana" w:hAnsi="Verdana" w:cs="Verdana"/>
                <w:b/>
                <w:color w:val="000000"/>
                <w:sz w:val="16"/>
                <w:lang w:val="en-GB"/>
              </w:rPr>
            </w:pPr>
            <w:r w:rsidRPr="00D00EAB">
              <w:rPr>
                <w:rFonts w:ascii="Verdana" w:eastAsia="Verdana" w:hAnsi="Verdana" w:cs="Verdana"/>
                <w:b/>
                <w:color w:val="000000"/>
                <w:sz w:val="16"/>
                <w:lang w:val="en-GB"/>
              </w:rPr>
              <w:t>31 March 202</w:t>
            </w:r>
            <w:r w:rsidR="007573D7" w:rsidRPr="00D00EAB">
              <w:rPr>
                <w:rFonts w:ascii="Verdana" w:eastAsia="Verdana" w:hAnsi="Verdana" w:cs="Verdana"/>
                <w:b/>
                <w:color w:val="000000"/>
                <w:sz w:val="16"/>
                <w:lang w:val="en-GB"/>
              </w:rPr>
              <w:t>1</w:t>
            </w:r>
          </w:p>
        </w:tc>
      </w:tr>
      <w:tr w:rsidR="00FF156A" w:rsidRPr="00D00EAB" w14:paraId="617ABC42" w14:textId="77777777" w:rsidTr="00097018">
        <w:trPr>
          <w:trHeight w:val="328"/>
        </w:trPr>
        <w:tc>
          <w:tcPr>
            <w:tcW w:w="1563" w:type="dxa"/>
            <w:tcBorders>
              <w:bottom w:val="single" w:sz="2" w:space="0" w:color="000000"/>
            </w:tcBorders>
            <w:shd w:val="clear" w:color="auto" w:fill="auto"/>
            <w:tcMar>
              <w:top w:w="20" w:type="dxa"/>
              <w:left w:w="20" w:type="dxa"/>
              <w:bottom w:w="20" w:type="dxa"/>
              <w:right w:w="20" w:type="dxa"/>
            </w:tcMar>
            <w:vAlign w:val="bottom"/>
          </w:tcPr>
          <w:p w14:paraId="3AB18619" w14:textId="77777777"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£000</w:t>
            </w:r>
          </w:p>
        </w:tc>
        <w:tc>
          <w:tcPr>
            <w:tcW w:w="250" w:type="dxa"/>
            <w:tcBorders>
              <w:bottom w:val="single" w:sz="2" w:space="0" w:color="000000"/>
            </w:tcBorders>
            <w:shd w:val="clear" w:color="auto" w:fill="auto"/>
            <w:tcMar>
              <w:top w:w="20" w:type="dxa"/>
              <w:left w:w="20" w:type="dxa"/>
              <w:bottom w:w="20" w:type="dxa"/>
              <w:right w:w="20" w:type="dxa"/>
            </w:tcMar>
            <w:vAlign w:val="bottom"/>
          </w:tcPr>
          <w:p w14:paraId="47725109" w14:textId="77777777" w:rsidR="00FF156A" w:rsidRPr="00D00EAB" w:rsidRDefault="00FF156A" w:rsidP="00097018">
            <w:pPr>
              <w:pStyle w:val="T1TableStyle"/>
              <w:jc w:val="right"/>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tcBorders>
              <w:bottom w:val="single" w:sz="2" w:space="0" w:color="000000"/>
            </w:tcBorders>
            <w:shd w:val="clear" w:color="auto" w:fill="auto"/>
            <w:tcMar>
              <w:top w:w="20" w:type="dxa"/>
              <w:left w:w="20" w:type="dxa"/>
              <w:bottom w:w="20" w:type="dxa"/>
              <w:right w:w="20" w:type="dxa"/>
            </w:tcMar>
            <w:vAlign w:val="bottom"/>
          </w:tcPr>
          <w:p w14:paraId="079BABF3" w14:textId="77777777" w:rsidR="00FF156A" w:rsidRPr="00D00EAB" w:rsidRDefault="00FF156A" w:rsidP="00097018">
            <w:pPr>
              <w:pStyle w:val="T1TableStyle"/>
              <w:jc w:val="right"/>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667" w:type="dxa"/>
            <w:tcBorders>
              <w:bottom w:val="single" w:sz="2" w:space="0" w:color="000000"/>
            </w:tcBorders>
          </w:tcPr>
          <w:p w14:paraId="7A204F68" w14:textId="77777777" w:rsidR="00FF156A" w:rsidRPr="00D00EAB" w:rsidRDefault="00FF156A" w:rsidP="00097018">
            <w:pPr>
              <w:pStyle w:val="T1TableStyle"/>
              <w:jc w:val="right"/>
              <w:rPr>
                <w:rFonts w:ascii="Verdana" w:eastAsia="Verdana" w:hAnsi="Verdana" w:cs="Verdana"/>
                <w:b/>
                <w:color w:val="000000"/>
                <w:sz w:val="16"/>
                <w:lang w:val="en-GB"/>
              </w:rPr>
            </w:pPr>
          </w:p>
        </w:tc>
        <w:tc>
          <w:tcPr>
            <w:tcW w:w="1563" w:type="dxa"/>
            <w:tcBorders>
              <w:bottom w:val="single" w:sz="2" w:space="0" w:color="000000"/>
            </w:tcBorders>
            <w:shd w:val="clear" w:color="auto" w:fill="auto"/>
            <w:tcMar>
              <w:top w:w="20" w:type="dxa"/>
              <w:left w:w="20" w:type="dxa"/>
              <w:bottom w:w="20" w:type="dxa"/>
              <w:right w:w="20" w:type="dxa"/>
            </w:tcMar>
            <w:vAlign w:val="bottom"/>
          </w:tcPr>
          <w:p w14:paraId="44934995" w14:textId="77777777"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£000</w:t>
            </w:r>
          </w:p>
        </w:tc>
      </w:tr>
      <w:tr w:rsidR="00FF156A" w:rsidRPr="00D00EAB" w14:paraId="1B1D159F" w14:textId="77777777" w:rsidTr="00097018">
        <w:trPr>
          <w:trHeight w:val="279"/>
        </w:trPr>
        <w:tc>
          <w:tcPr>
            <w:tcW w:w="1563" w:type="dxa"/>
            <w:tcBorders>
              <w:top w:val="single" w:sz="2" w:space="0" w:color="000000"/>
              <w:bottom w:val="single" w:sz="4" w:space="0" w:color="auto"/>
            </w:tcBorders>
            <w:shd w:val="clear" w:color="auto" w:fill="auto"/>
            <w:tcMar>
              <w:top w:w="20" w:type="dxa"/>
              <w:left w:w="20" w:type="dxa"/>
              <w:bottom w:w="20" w:type="dxa"/>
              <w:right w:w="20" w:type="dxa"/>
            </w:tcMar>
          </w:tcPr>
          <w:p w14:paraId="3C9515BB" w14:textId="77777777" w:rsidR="00FF156A" w:rsidRPr="00D00EAB" w:rsidRDefault="00FF156A"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110</w:t>
            </w:r>
          </w:p>
        </w:tc>
        <w:tc>
          <w:tcPr>
            <w:tcW w:w="250" w:type="dxa"/>
            <w:tcBorders>
              <w:top w:val="single" w:sz="2" w:space="0" w:color="000000"/>
              <w:bottom w:val="single" w:sz="4" w:space="0" w:color="auto"/>
            </w:tcBorders>
            <w:shd w:val="clear" w:color="auto" w:fill="auto"/>
            <w:tcMar>
              <w:top w:w="20" w:type="dxa"/>
              <w:left w:w="20" w:type="dxa"/>
              <w:bottom w:w="20" w:type="dxa"/>
              <w:right w:w="20" w:type="dxa"/>
            </w:tcMar>
          </w:tcPr>
          <w:p w14:paraId="3E6F7409" w14:textId="77777777" w:rsidR="00FF156A" w:rsidRPr="00D00EAB" w:rsidRDefault="00FF156A" w:rsidP="00097018">
            <w:pPr>
              <w:pStyle w:val="T1TableStyle"/>
              <w:jc w:val="center"/>
              <w:rPr>
                <w:rFonts w:ascii="Verdana" w:eastAsia="Verdana" w:hAnsi="Verdana" w:cs="Verdana"/>
                <w:b/>
                <w:color w:val="000000"/>
                <w:sz w:val="2"/>
                <w:lang w:val="en-GB"/>
              </w:rPr>
            </w:pPr>
          </w:p>
        </w:tc>
        <w:tc>
          <w:tcPr>
            <w:tcW w:w="2206" w:type="dxa"/>
            <w:tcBorders>
              <w:top w:val="single" w:sz="2" w:space="0" w:color="000000"/>
              <w:bottom w:val="single" w:sz="4" w:space="0" w:color="auto"/>
            </w:tcBorders>
            <w:shd w:val="clear" w:color="auto" w:fill="auto"/>
            <w:tcMar>
              <w:top w:w="20" w:type="dxa"/>
              <w:left w:w="20" w:type="dxa"/>
              <w:bottom w:w="20" w:type="dxa"/>
              <w:right w:w="20" w:type="dxa"/>
            </w:tcMar>
          </w:tcPr>
          <w:p w14:paraId="54C35396" w14:textId="77777777" w:rsidR="00FF156A" w:rsidRPr="00D00EAB" w:rsidRDefault="00FF156A" w:rsidP="00097018">
            <w:pPr>
              <w:pStyle w:val="T1TableStyle"/>
              <w:rPr>
                <w:rFonts w:ascii="Verdana" w:eastAsia="Verdana" w:hAnsi="Verdana" w:cs="Verdana"/>
                <w:color w:val="000000"/>
                <w:sz w:val="16"/>
                <w:lang w:val="en-GB"/>
              </w:rPr>
            </w:pPr>
            <w:r w:rsidRPr="00D00EAB">
              <w:rPr>
                <w:rFonts w:ascii="Verdana" w:eastAsia="Verdana" w:hAnsi="Verdana" w:cs="Verdana"/>
                <w:color w:val="000000"/>
                <w:sz w:val="16"/>
                <w:lang w:val="en-GB"/>
              </w:rPr>
              <w:t>Short-Term Debtors</w:t>
            </w:r>
          </w:p>
        </w:tc>
        <w:tc>
          <w:tcPr>
            <w:tcW w:w="667" w:type="dxa"/>
            <w:tcBorders>
              <w:top w:val="single" w:sz="2" w:space="0" w:color="000000"/>
              <w:bottom w:val="single" w:sz="4" w:space="0" w:color="auto"/>
            </w:tcBorders>
            <w:vAlign w:val="center"/>
          </w:tcPr>
          <w:p w14:paraId="646A84EC" w14:textId="77777777" w:rsidR="00FF156A" w:rsidRPr="00D00EAB" w:rsidRDefault="00FF156A" w:rsidP="00097018">
            <w:pPr>
              <w:pStyle w:val="T1TableStyle"/>
              <w:jc w:val="center"/>
              <w:rPr>
                <w:rFonts w:ascii="Verdana" w:eastAsia="Verdana" w:hAnsi="Verdana" w:cs="Verdana"/>
                <w:color w:val="000000"/>
                <w:sz w:val="16"/>
                <w:lang w:val="en-GB"/>
              </w:rPr>
            </w:pPr>
            <w:r w:rsidRPr="00D00EAB">
              <w:rPr>
                <w:rFonts w:ascii="Verdana" w:eastAsia="Verdana" w:hAnsi="Verdana" w:cs="Verdana"/>
                <w:color w:val="000000"/>
                <w:sz w:val="16"/>
                <w:lang w:val="en-GB"/>
              </w:rPr>
              <w:t>9</w:t>
            </w:r>
          </w:p>
        </w:tc>
        <w:tc>
          <w:tcPr>
            <w:tcW w:w="1563" w:type="dxa"/>
            <w:tcBorders>
              <w:top w:val="single" w:sz="2" w:space="0" w:color="000000"/>
              <w:bottom w:val="single" w:sz="4" w:space="0" w:color="auto"/>
            </w:tcBorders>
            <w:shd w:val="clear" w:color="auto" w:fill="auto"/>
            <w:tcMar>
              <w:top w:w="20" w:type="dxa"/>
              <w:left w:w="20" w:type="dxa"/>
              <w:bottom w:w="20" w:type="dxa"/>
              <w:right w:w="20" w:type="dxa"/>
            </w:tcMar>
          </w:tcPr>
          <w:p w14:paraId="657A2CFF" w14:textId="77777777" w:rsidR="00FF156A" w:rsidRPr="00D00EAB" w:rsidRDefault="00FF156A"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110</w:t>
            </w:r>
          </w:p>
        </w:tc>
      </w:tr>
      <w:tr w:rsidR="00FF156A" w:rsidRPr="00D00EAB" w14:paraId="4711F301" w14:textId="77777777" w:rsidTr="00097018">
        <w:trPr>
          <w:trHeight w:val="279"/>
        </w:trPr>
        <w:tc>
          <w:tcPr>
            <w:tcW w:w="1563" w:type="dxa"/>
            <w:tcBorders>
              <w:top w:val="single" w:sz="4" w:space="0" w:color="auto"/>
            </w:tcBorders>
            <w:shd w:val="clear" w:color="auto" w:fill="auto"/>
            <w:tcMar>
              <w:top w:w="20" w:type="dxa"/>
              <w:left w:w="20" w:type="dxa"/>
              <w:bottom w:w="20" w:type="dxa"/>
              <w:right w:w="20" w:type="dxa"/>
            </w:tcMar>
          </w:tcPr>
          <w:p w14:paraId="45D32637" w14:textId="77777777"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110</w:t>
            </w:r>
          </w:p>
        </w:tc>
        <w:tc>
          <w:tcPr>
            <w:tcW w:w="250" w:type="dxa"/>
            <w:tcBorders>
              <w:top w:val="single" w:sz="4" w:space="0" w:color="auto"/>
            </w:tcBorders>
            <w:shd w:val="clear" w:color="auto" w:fill="auto"/>
            <w:tcMar>
              <w:top w:w="20" w:type="dxa"/>
              <w:left w:w="20" w:type="dxa"/>
              <w:bottom w:w="20" w:type="dxa"/>
              <w:right w:w="20" w:type="dxa"/>
            </w:tcMar>
          </w:tcPr>
          <w:p w14:paraId="506DE153" w14:textId="77777777" w:rsidR="00FF156A" w:rsidRPr="00D00EAB" w:rsidRDefault="00FF156A" w:rsidP="00097018">
            <w:pPr>
              <w:pStyle w:val="T1TableStyle"/>
              <w:jc w:val="center"/>
              <w:rPr>
                <w:rFonts w:ascii="Verdana" w:eastAsia="Verdana" w:hAnsi="Verdana" w:cs="Verdana"/>
                <w:b/>
                <w:color w:val="000000"/>
                <w:sz w:val="2"/>
                <w:lang w:val="en-GB"/>
              </w:rPr>
            </w:pPr>
          </w:p>
        </w:tc>
        <w:tc>
          <w:tcPr>
            <w:tcW w:w="2206" w:type="dxa"/>
            <w:tcBorders>
              <w:top w:val="single" w:sz="4" w:space="0" w:color="auto"/>
            </w:tcBorders>
            <w:shd w:val="clear" w:color="auto" w:fill="auto"/>
            <w:tcMar>
              <w:top w:w="20" w:type="dxa"/>
              <w:left w:w="20" w:type="dxa"/>
              <w:bottom w:w="20" w:type="dxa"/>
              <w:right w:w="20" w:type="dxa"/>
            </w:tcMar>
          </w:tcPr>
          <w:p w14:paraId="226A02B9" w14:textId="77777777" w:rsidR="00FF156A" w:rsidRPr="00D00EAB" w:rsidRDefault="00FF156A" w:rsidP="00097018">
            <w:pPr>
              <w:pStyle w:val="T1TableStyle"/>
              <w:rPr>
                <w:rFonts w:ascii="Verdana" w:eastAsia="Verdana" w:hAnsi="Verdana" w:cs="Verdana"/>
                <w:b/>
                <w:color w:val="000000"/>
                <w:sz w:val="16"/>
                <w:lang w:val="en-GB"/>
              </w:rPr>
            </w:pPr>
            <w:r w:rsidRPr="00D00EAB">
              <w:rPr>
                <w:rFonts w:ascii="Verdana" w:eastAsia="Verdana" w:hAnsi="Verdana" w:cs="Verdana"/>
                <w:b/>
                <w:color w:val="000000"/>
                <w:sz w:val="16"/>
                <w:lang w:val="en-GB"/>
              </w:rPr>
              <w:t>Current Assets</w:t>
            </w:r>
          </w:p>
        </w:tc>
        <w:tc>
          <w:tcPr>
            <w:tcW w:w="667" w:type="dxa"/>
            <w:tcBorders>
              <w:top w:val="single" w:sz="4" w:space="0" w:color="auto"/>
            </w:tcBorders>
            <w:vAlign w:val="center"/>
          </w:tcPr>
          <w:p w14:paraId="57F73751" w14:textId="77777777" w:rsidR="00FF156A" w:rsidRPr="00D00EAB" w:rsidRDefault="00FF156A" w:rsidP="00097018">
            <w:pPr>
              <w:pStyle w:val="T1TableStyle"/>
              <w:jc w:val="center"/>
              <w:rPr>
                <w:rFonts w:ascii="Verdana" w:eastAsia="Verdana" w:hAnsi="Verdana" w:cs="Verdana"/>
                <w:b/>
                <w:color w:val="000000"/>
                <w:sz w:val="16"/>
                <w:lang w:val="en-GB"/>
              </w:rPr>
            </w:pPr>
          </w:p>
        </w:tc>
        <w:tc>
          <w:tcPr>
            <w:tcW w:w="1563" w:type="dxa"/>
            <w:tcBorders>
              <w:top w:val="single" w:sz="4" w:space="0" w:color="auto"/>
            </w:tcBorders>
            <w:shd w:val="clear" w:color="auto" w:fill="auto"/>
            <w:tcMar>
              <w:top w:w="20" w:type="dxa"/>
              <w:left w:w="20" w:type="dxa"/>
              <w:bottom w:w="20" w:type="dxa"/>
              <w:right w:w="20" w:type="dxa"/>
            </w:tcMar>
          </w:tcPr>
          <w:p w14:paraId="4211FC89" w14:textId="77777777"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110</w:t>
            </w:r>
          </w:p>
        </w:tc>
      </w:tr>
      <w:tr w:rsidR="00FF156A" w:rsidRPr="00D00EAB" w14:paraId="0D84079B" w14:textId="77777777" w:rsidTr="00097018">
        <w:trPr>
          <w:trHeight w:val="279"/>
        </w:trPr>
        <w:tc>
          <w:tcPr>
            <w:tcW w:w="1563" w:type="dxa"/>
            <w:shd w:val="clear" w:color="auto" w:fill="auto"/>
            <w:tcMar>
              <w:top w:w="20" w:type="dxa"/>
              <w:left w:w="20" w:type="dxa"/>
              <w:bottom w:w="20" w:type="dxa"/>
              <w:right w:w="20" w:type="dxa"/>
            </w:tcMar>
          </w:tcPr>
          <w:p w14:paraId="16A44209" w14:textId="77777777" w:rsidR="00FF156A" w:rsidRPr="00D00EAB" w:rsidRDefault="00FF156A" w:rsidP="00097018">
            <w:pPr>
              <w:pStyle w:val="T1TableStyle"/>
              <w:jc w:val="right"/>
              <w:rPr>
                <w:rFonts w:ascii="Verdana" w:eastAsia="Verdana" w:hAnsi="Verdana" w:cs="Verdana"/>
                <w:color w:val="000000"/>
                <w:sz w:val="16"/>
                <w:lang w:val="en-GB"/>
              </w:rPr>
            </w:pPr>
          </w:p>
        </w:tc>
        <w:tc>
          <w:tcPr>
            <w:tcW w:w="250" w:type="dxa"/>
            <w:shd w:val="clear" w:color="auto" w:fill="auto"/>
            <w:tcMar>
              <w:top w:w="20" w:type="dxa"/>
              <w:left w:w="20" w:type="dxa"/>
              <w:bottom w:w="20" w:type="dxa"/>
              <w:right w:w="20" w:type="dxa"/>
            </w:tcMar>
          </w:tcPr>
          <w:p w14:paraId="3686107D" w14:textId="77777777" w:rsidR="00FF156A" w:rsidRPr="00D00EAB" w:rsidRDefault="00FF156A" w:rsidP="00097018">
            <w:pPr>
              <w:pStyle w:val="T1TableStyle"/>
              <w:jc w:val="center"/>
              <w:rPr>
                <w:rFonts w:ascii="Verdana" w:eastAsia="Verdana" w:hAnsi="Verdana" w:cs="Verdana"/>
                <w:b/>
                <w:color w:val="000000"/>
                <w:sz w:val="2"/>
                <w:lang w:val="en-GB"/>
              </w:rPr>
            </w:pPr>
          </w:p>
        </w:tc>
        <w:tc>
          <w:tcPr>
            <w:tcW w:w="2206" w:type="dxa"/>
            <w:shd w:val="clear" w:color="auto" w:fill="auto"/>
            <w:tcMar>
              <w:top w:w="20" w:type="dxa"/>
              <w:left w:w="20" w:type="dxa"/>
              <w:bottom w:w="20" w:type="dxa"/>
              <w:right w:w="20" w:type="dxa"/>
            </w:tcMar>
          </w:tcPr>
          <w:p w14:paraId="50334E3F" w14:textId="77777777" w:rsidR="00FF156A" w:rsidRPr="00D00EAB" w:rsidRDefault="00FF156A" w:rsidP="00097018">
            <w:pPr>
              <w:pStyle w:val="T1TableStyle"/>
              <w:rPr>
                <w:rFonts w:ascii="Verdana" w:eastAsia="Verdana" w:hAnsi="Verdana" w:cs="Verdana"/>
                <w:color w:val="000000"/>
                <w:sz w:val="16"/>
                <w:lang w:val="en-GB"/>
              </w:rPr>
            </w:pPr>
          </w:p>
        </w:tc>
        <w:tc>
          <w:tcPr>
            <w:tcW w:w="667" w:type="dxa"/>
            <w:vAlign w:val="center"/>
          </w:tcPr>
          <w:p w14:paraId="5B4DA1A0" w14:textId="77777777" w:rsidR="00FF156A" w:rsidRPr="00D00EAB" w:rsidRDefault="00FF156A" w:rsidP="00097018">
            <w:pPr>
              <w:pStyle w:val="T1TableStyle"/>
              <w:jc w:val="center"/>
              <w:rPr>
                <w:rFonts w:ascii="Verdana" w:eastAsia="Verdana" w:hAnsi="Verdana" w:cs="Verdana"/>
                <w:color w:val="000000"/>
                <w:sz w:val="16"/>
                <w:lang w:val="en-GB"/>
              </w:rPr>
            </w:pPr>
          </w:p>
        </w:tc>
        <w:tc>
          <w:tcPr>
            <w:tcW w:w="1563" w:type="dxa"/>
            <w:shd w:val="clear" w:color="auto" w:fill="auto"/>
            <w:tcMar>
              <w:top w:w="20" w:type="dxa"/>
              <w:left w:w="20" w:type="dxa"/>
              <w:bottom w:w="20" w:type="dxa"/>
              <w:right w:w="20" w:type="dxa"/>
            </w:tcMar>
          </w:tcPr>
          <w:p w14:paraId="4C3E4FB1" w14:textId="77777777" w:rsidR="00FF156A" w:rsidRPr="00D00EAB" w:rsidRDefault="00FF156A" w:rsidP="00097018">
            <w:pPr>
              <w:pStyle w:val="T1TableStyle"/>
              <w:jc w:val="right"/>
              <w:rPr>
                <w:rFonts w:ascii="Verdana" w:eastAsia="Verdana" w:hAnsi="Verdana" w:cs="Verdana"/>
                <w:color w:val="000000"/>
                <w:sz w:val="16"/>
                <w:lang w:val="en-GB"/>
              </w:rPr>
            </w:pPr>
          </w:p>
        </w:tc>
      </w:tr>
      <w:tr w:rsidR="00FF156A" w:rsidRPr="00D00EAB" w14:paraId="4DC315DC" w14:textId="77777777" w:rsidTr="00097018">
        <w:trPr>
          <w:trHeight w:val="279"/>
        </w:trPr>
        <w:tc>
          <w:tcPr>
            <w:tcW w:w="1563" w:type="dxa"/>
            <w:shd w:val="clear" w:color="auto" w:fill="auto"/>
            <w:tcMar>
              <w:top w:w="20" w:type="dxa"/>
              <w:left w:w="20" w:type="dxa"/>
              <w:bottom w:w="20" w:type="dxa"/>
              <w:right w:w="20" w:type="dxa"/>
            </w:tcMar>
          </w:tcPr>
          <w:p w14:paraId="1D2471AB" w14:textId="77777777" w:rsidR="00FF156A" w:rsidRPr="00D00EAB" w:rsidRDefault="007573D7"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(1,053</w:t>
            </w:r>
            <w:r w:rsidR="00FF156A" w:rsidRPr="00D00EAB">
              <w:rPr>
                <w:rFonts w:ascii="Verdana" w:eastAsia="Verdana" w:hAnsi="Verdana" w:cs="Verdana"/>
                <w:color w:val="000000"/>
                <w:sz w:val="16"/>
                <w:lang w:val="en-GB"/>
              </w:rPr>
              <w:t>)</w:t>
            </w:r>
          </w:p>
          <w:p w14:paraId="1A2974FB" w14:textId="77777777" w:rsidR="00FF156A" w:rsidRPr="00D00EAB" w:rsidRDefault="00FF156A"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(110)</w:t>
            </w:r>
          </w:p>
        </w:tc>
        <w:tc>
          <w:tcPr>
            <w:tcW w:w="250" w:type="dxa"/>
            <w:shd w:val="clear" w:color="auto" w:fill="auto"/>
            <w:tcMar>
              <w:top w:w="20" w:type="dxa"/>
              <w:left w:w="20" w:type="dxa"/>
              <w:bottom w:w="20" w:type="dxa"/>
              <w:right w:w="20" w:type="dxa"/>
            </w:tcMar>
          </w:tcPr>
          <w:p w14:paraId="43797C14"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shd w:val="clear" w:color="auto" w:fill="auto"/>
            <w:tcMar>
              <w:top w:w="20" w:type="dxa"/>
              <w:left w:w="20" w:type="dxa"/>
              <w:bottom w:w="20" w:type="dxa"/>
              <w:right w:w="20" w:type="dxa"/>
            </w:tcMar>
          </w:tcPr>
          <w:p w14:paraId="2699DC44" w14:textId="77777777" w:rsidR="00FF156A" w:rsidRPr="00D00EAB" w:rsidRDefault="00FF156A" w:rsidP="00097018">
            <w:pPr>
              <w:pStyle w:val="T1TableStyle"/>
              <w:rPr>
                <w:rFonts w:ascii="Verdana" w:eastAsia="Verdana" w:hAnsi="Verdana" w:cs="Verdana"/>
                <w:color w:val="000000"/>
                <w:sz w:val="16"/>
                <w:lang w:val="en-GB"/>
              </w:rPr>
            </w:pPr>
            <w:r w:rsidRPr="00D00EAB">
              <w:rPr>
                <w:rFonts w:ascii="Verdana" w:eastAsia="Verdana" w:hAnsi="Verdana" w:cs="Verdana"/>
                <w:color w:val="000000"/>
                <w:sz w:val="16"/>
                <w:lang w:val="en-GB"/>
              </w:rPr>
              <w:t>Short-Term Creditors</w:t>
            </w:r>
          </w:p>
          <w:p w14:paraId="77A3DDBD" w14:textId="77777777" w:rsidR="00FF156A" w:rsidRPr="00D00EAB" w:rsidRDefault="00FF156A" w:rsidP="00097018">
            <w:pPr>
              <w:pStyle w:val="T1TableStyle"/>
              <w:rPr>
                <w:rFonts w:ascii="Verdana" w:eastAsia="Verdana" w:hAnsi="Verdana" w:cs="Verdana"/>
                <w:color w:val="000000"/>
                <w:sz w:val="16"/>
                <w:lang w:val="en-GB"/>
              </w:rPr>
            </w:pPr>
            <w:r w:rsidRPr="00D00EAB">
              <w:rPr>
                <w:rFonts w:ascii="Verdana" w:eastAsia="Verdana" w:hAnsi="Verdana" w:cs="Verdana"/>
                <w:color w:val="000000"/>
                <w:sz w:val="16"/>
                <w:lang w:val="en-GB"/>
              </w:rPr>
              <w:t>Provisions</w:t>
            </w:r>
          </w:p>
        </w:tc>
        <w:tc>
          <w:tcPr>
            <w:tcW w:w="667" w:type="dxa"/>
            <w:vAlign w:val="center"/>
          </w:tcPr>
          <w:p w14:paraId="647E8EF9" w14:textId="77777777" w:rsidR="00FF156A" w:rsidRPr="00D00EAB" w:rsidRDefault="00FF156A" w:rsidP="00097018">
            <w:pPr>
              <w:pStyle w:val="T1TableStyle"/>
              <w:jc w:val="center"/>
              <w:rPr>
                <w:rFonts w:ascii="Verdana" w:eastAsia="Verdana" w:hAnsi="Verdana" w:cs="Verdana"/>
                <w:color w:val="000000"/>
                <w:sz w:val="16"/>
                <w:lang w:val="en-GB"/>
              </w:rPr>
            </w:pPr>
            <w:r w:rsidRPr="00D00EAB">
              <w:rPr>
                <w:rFonts w:ascii="Verdana" w:eastAsia="Verdana" w:hAnsi="Verdana" w:cs="Verdana"/>
                <w:color w:val="000000"/>
                <w:sz w:val="16"/>
                <w:lang w:val="en-GB"/>
              </w:rPr>
              <w:t>10</w:t>
            </w:r>
          </w:p>
          <w:p w14:paraId="663FD546" w14:textId="77777777" w:rsidR="00FF156A" w:rsidRPr="00D00EAB" w:rsidRDefault="00FF156A" w:rsidP="00097018">
            <w:pPr>
              <w:pStyle w:val="T1TableStyle"/>
              <w:jc w:val="center"/>
              <w:rPr>
                <w:rFonts w:ascii="Verdana" w:eastAsia="Verdana" w:hAnsi="Verdana" w:cs="Verdana"/>
                <w:color w:val="000000"/>
                <w:sz w:val="16"/>
                <w:lang w:val="en-GB"/>
              </w:rPr>
            </w:pPr>
            <w:r w:rsidRPr="00D00EAB">
              <w:rPr>
                <w:rFonts w:ascii="Verdana" w:eastAsia="Verdana" w:hAnsi="Verdana" w:cs="Verdana"/>
                <w:color w:val="000000"/>
                <w:sz w:val="16"/>
                <w:lang w:val="en-GB"/>
              </w:rPr>
              <w:t>11</w:t>
            </w:r>
          </w:p>
        </w:tc>
        <w:tc>
          <w:tcPr>
            <w:tcW w:w="1563" w:type="dxa"/>
            <w:shd w:val="clear" w:color="auto" w:fill="auto"/>
            <w:tcMar>
              <w:top w:w="20" w:type="dxa"/>
              <w:left w:w="20" w:type="dxa"/>
              <w:bottom w:w="20" w:type="dxa"/>
              <w:right w:w="20" w:type="dxa"/>
            </w:tcMar>
          </w:tcPr>
          <w:p w14:paraId="39E5D112" w14:textId="77777777" w:rsidR="00FF156A" w:rsidRPr="00D00EAB" w:rsidRDefault="00FF156A"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w:t>
            </w:r>
            <w:r w:rsidR="00D00EAB" w:rsidRPr="00D00EAB">
              <w:rPr>
                <w:rFonts w:ascii="Verdana" w:eastAsia="Verdana" w:hAnsi="Verdana" w:cs="Verdana"/>
                <w:color w:val="000000"/>
                <w:sz w:val="16"/>
                <w:lang w:val="en-GB"/>
              </w:rPr>
              <w:t>1,951</w:t>
            </w:r>
            <w:r w:rsidRPr="00D00EAB">
              <w:rPr>
                <w:rFonts w:ascii="Verdana" w:eastAsia="Verdana" w:hAnsi="Verdana" w:cs="Verdana"/>
                <w:color w:val="000000"/>
                <w:sz w:val="16"/>
                <w:lang w:val="en-GB"/>
              </w:rPr>
              <w:t>)</w:t>
            </w:r>
          </w:p>
          <w:p w14:paraId="409275EF" w14:textId="77777777" w:rsidR="00FF156A" w:rsidRPr="00D00EAB" w:rsidRDefault="00FF156A"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(110)</w:t>
            </w:r>
          </w:p>
        </w:tc>
      </w:tr>
      <w:tr w:rsidR="00FF156A" w:rsidRPr="00D00EAB" w14:paraId="1617FEE7" w14:textId="77777777" w:rsidTr="00097018">
        <w:trPr>
          <w:trHeight w:val="279"/>
        </w:trPr>
        <w:tc>
          <w:tcPr>
            <w:tcW w:w="1563" w:type="dxa"/>
            <w:tcBorders>
              <w:top w:val="single" w:sz="2" w:space="0" w:color="000000"/>
            </w:tcBorders>
            <w:shd w:val="clear" w:color="auto" w:fill="auto"/>
            <w:tcMar>
              <w:top w:w="20" w:type="dxa"/>
              <w:left w:w="20" w:type="dxa"/>
              <w:bottom w:w="20" w:type="dxa"/>
              <w:right w:w="20" w:type="dxa"/>
            </w:tcMar>
          </w:tcPr>
          <w:p w14:paraId="502A7010" w14:textId="77777777"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(1,</w:t>
            </w:r>
            <w:r w:rsidR="007573D7" w:rsidRPr="00D00EAB">
              <w:rPr>
                <w:rFonts w:ascii="Verdana" w:eastAsia="Verdana" w:hAnsi="Verdana" w:cs="Verdana"/>
                <w:b/>
                <w:color w:val="000000"/>
                <w:sz w:val="16"/>
                <w:lang w:val="en-GB"/>
              </w:rPr>
              <w:t>163</w:t>
            </w:r>
            <w:r w:rsidRPr="00D00EAB">
              <w:rPr>
                <w:rFonts w:ascii="Verdana" w:eastAsia="Verdana" w:hAnsi="Verdana" w:cs="Verdana"/>
                <w:b/>
                <w:color w:val="000000"/>
                <w:sz w:val="16"/>
                <w:lang w:val="en-GB"/>
              </w:rPr>
              <w:t>)</w:t>
            </w:r>
          </w:p>
        </w:tc>
        <w:tc>
          <w:tcPr>
            <w:tcW w:w="250" w:type="dxa"/>
            <w:tcBorders>
              <w:top w:val="single" w:sz="2" w:space="0" w:color="000000"/>
            </w:tcBorders>
            <w:shd w:val="clear" w:color="auto" w:fill="auto"/>
            <w:tcMar>
              <w:top w:w="20" w:type="dxa"/>
              <w:left w:w="20" w:type="dxa"/>
              <w:bottom w:w="20" w:type="dxa"/>
              <w:right w:w="20" w:type="dxa"/>
            </w:tcMar>
          </w:tcPr>
          <w:p w14:paraId="0719F92C"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tcBorders>
              <w:top w:val="single" w:sz="2" w:space="0" w:color="000000"/>
            </w:tcBorders>
            <w:shd w:val="clear" w:color="auto" w:fill="auto"/>
            <w:tcMar>
              <w:top w:w="20" w:type="dxa"/>
              <w:left w:w="20" w:type="dxa"/>
              <w:bottom w:w="20" w:type="dxa"/>
              <w:right w:w="20" w:type="dxa"/>
            </w:tcMar>
          </w:tcPr>
          <w:p w14:paraId="0A78BAEB" w14:textId="77777777" w:rsidR="00FF156A" w:rsidRPr="00D00EAB" w:rsidRDefault="00FF156A" w:rsidP="00097018">
            <w:pPr>
              <w:pStyle w:val="T1TableStyle"/>
              <w:rPr>
                <w:rFonts w:ascii="Verdana" w:eastAsia="Verdana" w:hAnsi="Verdana" w:cs="Verdana"/>
                <w:b/>
                <w:color w:val="000000"/>
                <w:sz w:val="16"/>
                <w:lang w:val="en-GB"/>
              </w:rPr>
            </w:pPr>
            <w:r w:rsidRPr="00D00EAB">
              <w:rPr>
                <w:rFonts w:ascii="Verdana" w:eastAsia="Verdana" w:hAnsi="Verdana" w:cs="Verdana"/>
                <w:b/>
                <w:color w:val="000000"/>
                <w:sz w:val="16"/>
                <w:lang w:val="en-GB"/>
              </w:rPr>
              <w:t>Current Liabilities</w:t>
            </w:r>
          </w:p>
        </w:tc>
        <w:tc>
          <w:tcPr>
            <w:tcW w:w="667" w:type="dxa"/>
            <w:tcBorders>
              <w:top w:val="single" w:sz="2" w:space="0" w:color="000000"/>
            </w:tcBorders>
            <w:vAlign w:val="center"/>
          </w:tcPr>
          <w:p w14:paraId="54A78A1C" w14:textId="77777777" w:rsidR="00FF156A" w:rsidRPr="00D00EAB" w:rsidRDefault="00FF156A" w:rsidP="00097018">
            <w:pPr>
              <w:pStyle w:val="T1TableStyle"/>
              <w:jc w:val="center"/>
              <w:rPr>
                <w:rFonts w:ascii="Verdana" w:eastAsia="Verdana" w:hAnsi="Verdana" w:cs="Verdana"/>
                <w:b/>
                <w:color w:val="000000"/>
                <w:sz w:val="16"/>
                <w:lang w:val="en-GB"/>
              </w:rPr>
            </w:pPr>
          </w:p>
        </w:tc>
        <w:tc>
          <w:tcPr>
            <w:tcW w:w="1563" w:type="dxa"/>
            <w:tcBorders>
              <w:top w:val="single" w:sz="2" w:space="0" w:color="000000"/>
            </w:tcBorders>
            <w:shd w:val="clear" w:color="auto" w:fill="auto"/>
            <w:tcMar>
              <w:top w:w="20" w:type="dxa"/>
              <w:left w:w="20" w:type="dxa"/>
              <w:bottom w:w="20" w:type="dxa"/>
              <w:right w:w="20" w:type="dxa"/>
            </w:tcMar>
          </w:tcPr>
          <w:p w14:paraId="3A6A2B9D" w14:textId="425DEABD"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w:t>
            </w:r>
            <w:r w:rsidR="0011744A">
              <w:rPr>
                <w:rFonts w:ascii="Verdana" w:eastAsia="Verdana" w:hAnsi="Verdana" w:cs="Verdana"/>
                <w:b/>
                <w:color w:val="000000"/>
                <w:sz w:val="16"/>
                <w:lang w:val="en-GB"/>
              </w:rPr>
              <w:t>2</w:t>
            </w:r>
            <w:r w:rsidRPr="00D00EAB">
              <w:rPr>
                <w:rFonts w:ascii="Verdana" w:eastAsia="Verdana" w:hAnsi="Verdana" w:cs="Verdana"/>
                <w:b/>
                <w:color w:val="000000"/>
                <w:sz w:val="16"/>
                <w:lang w:val="en-GB"/>
              </w:rPr>
              <w:t>,</w:t>
            </w:r>
            <w:r w:rsidR="0011744A">
              <w:rPr>
                <w:rFonts w:ascii="Verdana" w:eastAsia="Verdana" w:hAnsi="Verdana" w:cs="Verdana"/>
                <w:b/>
                <w:color w:val="000000"/>
                <w:sz w:val="16"/>
                <w:lang w:val="en-GB"/>
              </w:rPr>
              <w:t>061</w:t>
            </w:r>
            <w:r w:rsidRPr="00D00EAB">
              <w:rPr>
                <w:rFonts w:ascii="Verdana" w:eastAsia="Verdana" w:hAnsi="Verdana" w:cs="Verdana"/>
                <w:b/>
                <w:color w:val="000000"/>
                <w:sz w:val="16"/>
                <w:lang w:val="en-GB"/>
              </w:rPr>
              <w:t>)</w:t>
            </w:r>
          </w:p>
        </w:tc>
      </w:tr>
      <w:tr w:rsidR="00FF156A" w:rsidRPr="00252BD5" w14:paraId="0363431E" w14:textId="77777777" w:rsidTr="00097018">
        <w:trPr>
          <w:trHeight w:hRule="exact" w:val="279"/>
        </w:trPr>
        <w:tc>
          <w:tcPr>
            <w:tcW w:w="1563" w:type="dxa"/>
            <w:shd w:val="clear" w:color="auto" w:fill="auto"/>
            <w:tcMar>
              <w:top w:w="20" w:type="dxa"/>
              <w:left w:w="20" w:type="dxa"/>
              <w:bottom w:w="20" w:type="dxa"/>
              <w:right w:w="20" w:type="dxa"/>
            </w:tcMar>
          </w:tcPr>
          <w:p w14:paraId="319AA7BB"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50" w:type="dxa"/>
            <w:shd w:val="clear" w:color="auto" w:fill="auto"/>
            <w:tcMar>
              <w:top w:w="20" w:type="dxa"/>
              <w:left w:w="20" w:type="dxa"/>
              <w:bottom w:w="20" w:type="dxa"/>
              <w:right w:w="20" w:type="dxa"/>
            </w:tcMar>
          </w:tcPr>
          <w:p w14:paraId="1521732C"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shd w:val="clear" w:color="auto" w:fill="auto"/>
            <w:tcMar>
              <w:top w:w="20" w:type="dxa"/>
              <w:left w:w="20" w:type="dxa"/>
              <w:bottom w:w="20" w:type="dxa"/>
              <w:right w:w="20" w:type="dxa"/>
            </w:tcMar>
          </w:tcPr>
          <w:p w14:paraId="3F4C2857" w14:textId="77777777" w:rsidR="00FF156A" w:rsidRPr="00D00EAB" w:rsidRDefault="00FF156A" w:rsidP="00097018">
            <w:pPr>
              <w:pStyle w:val="T1TableStyle"/>
              <w:jc w:val="center"/>
              <w:rPr>
                <w:rFonts w:ascii="Verdana" w:eastAsia="Verdana" w:hAnsi="Verdana" w:cs="Verdana"/>
                <w:color w:val="000000"/>
                <w:sz w:val="2"/>
                <w:lang w:val="en-GB"/>
              </w:rPr>
            </w:pPr>
            <w:r w:rsidRPr="00D00EAB">
              <w:rPr>
                <w:rFonts w:ascii="Verdana" w:eastAsia="Verdana" w:hAnsi="Verdana" w:cs="Verdana"/>
                <w:color w:val="000000"/>
                <w:sz w:val="2"/>
                <w:lang w:val="en-GB"/>
              </w:rPr>
              <w:t xml:space="preserve"> </w:t>
            </w:r>
          </w:p>
        </w:tc>
        <w:tc>
          <w:tcPr>
            <w:tcW w:w="667" w:type="dxa"/>
            <w:vAlign w:val="center"/>
          </w:tcPr>
          <w:p w14:paraId="67B464C6" w14:textId="77777777" w:rsidR="00FF156A" w:rsidRPr="00D00EAB" w:rsidRDefault="00FF156A" w:rsidP="00097018">
            <w:pPr>
              <w:pStyle w:val="T1TableStyle"/>
              <w:jc w:val="center"/>
              <w:rPr>
                <w:rFonts w:ascii="Verdana" w:eastAsia="Verdana" w:hAnsi="Verdana" w:cs="Verdana"/>
                <w:color w:val="000000"/>
                <w:sz w:val="2"/>
                <w:lang w:val="en-GB"/>
              </w:rPr>
            </w:pPr>
          </w:p>
        </w:tc>
        <w:tc>
          <w:tcPr>
            <w:tcW w:w="1563" w:type="dxa"/>
            <w:shd w:val="clear" w:color="auto" w:fill="auto"/>
            <w:tcMar>
              <w:top w:w="20" w:type="dxa"/>
              <w:left w:w="20" w:type="dxa"/>
              <w:bottom w:w="20" w:type="dxa"/>
              <w:right w:w="20" w:type="dxa"/>
            </w:tcMar>
          </w:tcPr>
          <w:p w14:paraId="0E8AF199" w14:textId="77777777" w:rsidR="00FF156A" w:rsidRPr="00252BD5" w:rsidRDefault="00FF156A" w:rsidP="00097018">
            <w:pPr>
              <w:pStyle w:val="T1TableStyle"/>
              <w:jc w:val="center"/>
              <w:rPr>
                <w:rFonts w:ascii="Verdana" w:eastAsia="Verdana" w:hAnsi="Verdana" w:cs="Verdana"/>
                <w:color w:val="000000"/>
                <w:sz w:val="2"/>
                <w:highlight w:val="yellow"/>
                <w:lang w:val="en-GB"/>
              </w:rPr>
            </w:pPr>
            <w:r w:rsidRPr="00252BD5">
              <w:rPr>
                <w:rFonts w:ascii="Verdana" w:eastAsia="Verdana" w:hAnsi="Verdana" w:cs="Verdana"/>
                <w:color w:val="000000"/>
                <w:sz w:val="2"/>
                <w:highlight w:val="yellow"/>
                <w:lang w:val="en-GB"/>
              </w:rPr>
              <w:t xml:space="preserve"> </w:t>
            </w:r>
          </w:p>
        </w:tc>
      </w:tr>
      <w:tr w:rsidR="00FF156A" w:rsidRPr="00252BD5" w14:paraId="7FC70D00" w14:textId="77777777" w:rsidTr="00097018">
        <w:trPr>
          <w:trHeight w:val="279"/>
        </w:trPr>
        <w:tc>
          <w:tcPr>
            <w:tcW w:w="1563" w:type="dxa"/>
            <w:shd w:val="clear" w:color="auto" w:fill="auto"/>
            <w:tcMar>
              <w:top w:w="20" w:type="dxa"/>
              <w:left w:w="20" w:type="dxa"/>
              <w:bottom w:w="20" w:type="dxa"/>
              <w:right w:w="20" w:type="dxa"/>
            </w:tcMar>
          </w:tcPr>
          <w:p w14:paraId="121282C9" w14:textId="77777777" w:rsidR="00FF156A" w:rsidRPr="00D00EAB" w:rsidRDefault="00FF156A"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w:t>
            </w:r>
            <w:r w:rsidR="007573D7" w:rsidRPr="00D00EAB">
              <w:rPr>
                <w:rFonts w:ascii="Verdana" w:eastAsia="Verdana" w:hAnsi="Verdana" w:cs="Verdana"/>
                <w:color w:val="000000"/>
                <w:sz w:val="16"/>
                <w:lang w:val="en-GB"/>
              </w:rPr>
              <w:t>2,026,555</w:t>
            </w:r>
            <w:r w:rsidRPr="00D00EAB">
              <w:rPr>
                <w:rFonts w:ascii="Verdana" w:eastAsia="Verdana" w:hAnsi="Verdana" w:cs="Verdana"/>
                <w:color w:val="000000"/>
                <w:sz w:val="16"/>
                <w:lang w:val="en-GB"/>
              </w:rPr>
              <w:t>)</w:t>
            </w:r>
          </w:p>
        </w:tc>
        <w:tc>
          <w:tcPr>
            <w:tcW w:w="250" w:type="dxa"/>
            <w:shd w:val="clear" w:color="auto" w:fill="auto"/>
            <w:tcMar>
              <w:top w:w="20" w:type="dxa"/>
              <w:left w:w="20" w:type="dxa"/>
              <w:bottom w:w="20" w:type="dxa"/>
              <w:right w:w="20" w:type="dxa"/>
            </w:tcMar>
          </w:tcPr>
          <w:p w14:paraId="6B3004ED"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shd w:val="clear" w:color="auto" w:fill="auto"/>
            <w:tcMar>
              <w:top w:w="20" w:type="dxa"/>
              <w:left w:w="20" w:type="dxa"/>
              <w:bottom w:w="20" w:type="dxa"/>
              <w:right w:w="20" w:type="dxa"/>
            </w:tcMar>
          </w:tcPr>
          <w:p w14:paraId="2C39E2DF" w14:textId="77777777" w:rsidR="00FF156A" w:rsidRPr="00D00EAB" w:rsidRDefault="00FF156A" w:rsidP="00097018">
            <w:pPr>
              <w:pStyle w:val="T1TableStyle"/>
              <w:rPr>
                <w:rFonts w:ascii="Verdana" w:eastAsia="Verdana" w:hAnsi="Verdana" w:cs="Verdana"/>
                <w:color w:val="000000"/>
                <w:sz w:val="16"/>
                <w:lang w:val="en-GB"/>
              </w:rPr>
            </w:pPr>
            <w:r w:rsidRPr="00D00EAB">
              <w:rPr>
                <w:rFonts w:ascii="Verdana" w:eastAsia="Verdana" w:hAnsi="Verdana" w:cs="Verdana"/>
                <w:color w:val="000000"/>
                <w:sz w:val="16"/>
                <w:lang w:val="en-GB"/>
              </w:rPr>
              <w:t>Other Long-Term Liabilities</w:t>
            </w:r>
          </w:p>
        </w:tc>
        <w:tc>
          <w:tcPr>
            <w:tcW w:w="667" w:type="dxa"/>
            <w:vAlign w:val="center"/>
          </w:tcPr>
          <w:p w14:paraId="43C158B5" w14:textId="77777777" w:rsidR="00FF156A" w:rsidRPr="00D00EAB" w:rsidRDefault="00FF156A" w:rsidP="00097018">
            <w:pPr>
              <w:pStyle w:val="T1TableStyle"/>
              <w:jc w:val="center"/>
              <w:rPr>
                <w:rFonts w:ascii="Verdana" w:eastAsia="Verdana" w:hAnsi="Verdana" w:cs="Verdana"/>
                <w:color w:val="000000"/>
                <w:sz w:val="16"/>
                <w:lang w:val="en-GB"/>
              </w:rPr>
            </w:pPr>
          </w:p>
        </w:tc>
        <w:tc>
          <w:tcPr>
            <w:tcW w:w="1563" w:type="dxa"/>
            <w:shd w:val="clear" w:color="auto" w:fill="auto"/>
            <w:tcMar>
              <w:top w:w="20" w:type="dxa"/>
              <w:left w:w="20" w:type="dxa"/>
              <w:bottom w:w="20" w:type="dxa"/>
              <w:right w:w="20" w:type="dxa"/>
            </w:tcMar>
          </w:tcPr>
          <w:p w14:paraId="6B74ED78" w14:textId="19ECFC5B" w:rsidR="00FF156A" w:rsidRPr="00457B5C" w:rsidRDefault="00FF156A" w:rsidP="00097018">
            <w:pPr>
              <w:pStyle w:val="T1TableStyle"/>
              <w:jc w:val="right"/>
              <w:rPr>
                <w:rFonts w:ascii="Verdana" w:eastAsia="Verdana" w:hAnsi="Verdana" w:cs="Verdana"/>
                <w:color w:val="000000"/>
                <w:sz w:val="16"/>
                <w:lang w:val="en-GB"/>
              </w:rPr>
            </w:pPr>
            <w:r w:rsidRPr="00457B5C">
              <w:rPr>
                <w:rFonts w:ascii="Verdana" w:eastAsia="Verdana" w:hAnsi="Verdana" w:cs="Verdana"/>
                <w:color w:val="000000"/>
                <w:sz w:val="16"/>
                <w:lang w:val="en-GB"/>
              </w:rPr>
              <w:t>(</w:t>
            </w:r>
            <w:r w:rsidR="00457B5C" w:rsidRPr="00457B5C">
              <w:rPr>
                <w:rFonts w:ascii="Verdana" w:eastAsia="Verdana" w:hAnsi="Verdana" w:cs="Verdana"/>
                <w:color w:val="000000"/>
                <w:sz w:val="16"/>
                <w:lang w:val="en-GB"/>
              </w:rPr>
              <w:t>2,174,046</w:t>
            </w:r>
            <w:r w:rsidRPr="00457B5C">
              <w:rPr>
                <w:rFonts w:ascii="Verdana" w:eastAsia="Verdana" w:hAnsi="Verdana" w:cs="Verdana"/>
                <w:color w:val="000000"/>
                <w:sz w:val="16"/>
                <w:lang w:val="en-GB"/>
              </w:rPr>
              <w:t>)</w:t>
            </w:r>
          </w:p>
        </w:tc>
      </w:tr>
      <w:tr w:rsidR="00FF156A" w:rsidRPr="00252BD5" w14:paraId="13BEDA62" w14:textId="77777777" w:rsidTr="00097018">
        <w:trPr>
          <w:trHeight w:val="279"/>
        </w:trPr>
        <w:tc>
          <w:tcPr>
            <w:tcW w:w="1563" w:type="dxa"/>
            <w:tcBorders>
              <w:top w:val="single" w:sz="2" w:space="0" w:color="000000"/>
            </w:tcBorders>
            <w:shd w:val="clear" w:color="auto" w:fill="auto"/>
            <w:tcMar>
              <w:top w:w="20" w:type="dxa"/>
              <w:left w:w="20" w:type="dxa"/>
              <w:bottom w:w="20" w:type="dxa"/>
              <w:right w:w="20" w:type="dxa"/>
            </w:tcMar>
          </w:tcPr>
          <w:p w14:paraId="124AB54F" w14:textId="77777777"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w:t>
            </w:r>
            <w:r w:rsidR="007573D7" w:rsidRPr="00D00EAB">
              <w:rPr>
                <w:rFonts w:ascii="Verdana" w:eastAsia="Verdana" w:hAnsi="Verdana" w:cs="Verdana"/>
                <w:b/>
                <w:color w:val="000000"/>
                <w:sz w:val="16"/>
                <w:lang w:val="en-GB"/>
              </w:rPr>
              <w:t>2,026,555</w:t>
            </w:r>
            <w:r w:rsidRPr="00D00EAB">
              <w:rPr>
                <w:rFonts w:ascii="Verdana" w:eastAsia="Verdana" w:hAnsi="Verdana" w:cs="Verdana"/>
                <w:b/>
                <w:color w:val="000000"/>
                <w:sz w:val="16"/>
                <w:lang w:val="en-GB"/>
              </w:rPr>
              <w:t>)</w:t>
            </w:r>
          </w:p>
        </w:tc>
        <w:tc>
          <w:tcPr>
            <w:tcW w:w="250" w:type="dxa"/>
            <w:tcBorders>
              <w:top w:val="single" w:sz="2" w:space="0" w:color="000000"/>
            </w:tcBorders>
            <w:shd w:val="clear" w:color="auto" w:fill="auto"/>
            <w:tcMar>
              <w:top w:w="20" w:type="dxa"/>
              <w:left w:w="20" w:type="dxa"/>
              <w:bottom w:w="20" w:type="dxa"/>
              <w:right w:w="20" w:type="dxa"/>
            </w:tcMar>
          </w:tcPr>
          <w:p w14:paraId="571A585C"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tcBorders>
              <w:top w:val="single" w:sz="2" w:space="0" w:color="000000"/>
            </w:tcBorders>
            <w:shd w:val="clear" w:color="auto" w:fill="auto"/>
            <w:tcMar>
              <w:top w:w="20" w:type="dxa"/>
              <w:left w:w="20" w:type="dxa"/>
              <w:bottom w:w="20" w:type="dxa"/>
              <w:right w:w="20" w:type="dxa"/>
            </w:tcMar>
          </w:tcPr>
          <w:p w14:paraId="28BCB843" w14:textId="77777777" w:rsidR="00FF156A" w:rsidRPr="00D00EAB" w:rsidRDefault="00FF156A" w:rsidP="00097018">
            <w:pPr>
              <w:pStyle w:val="T1TableStyle"/>
              <w:rPr>
                <w:rFonts w:ascii="Verdana" w:eastAsia="Verdana" w:hAnsi="Verdana" w:cs="Verdana"/>
                <w:b/>
                <w:color w:val="000000"/>
                <w:sz w:val="16"/>
                <w:lang w:val="en-GB"/>
              </w:rPr>
            </w:pPr>
            <w:r w:rsidRPr="00D00EAB">
              <w:rPr>
                <w:rFonts w:ascii="Verdana" w:eastAsia="Verdana" w:hAnsi="Verdana" w:cs="Verdana"/>
                <w:b/>
                <w:color w:val="000000"/>
                <w:sz w:val="16"/>
                <w:lang w:val="en-GB"/>
              </w:rPr>
              <w:t>Long Term Liabilities</w:t>
            </w:r>
          </w:p>
        </w:tc>
        <w:tc>
          <w:tcPr>
            <w:tcW w:w="667" w:type="dxa"/>
            <w:tcBorders>
              <w:top w:val="single" w:sz="2" w:space="0" w:color="000000"/>
            </w:tcBorders>
            <w:vAlign w:val="center"/>
          </w:tcPr>
          <w:p w14:paraId="6AF598F6" w14:textId="77777777" w:rsidR="00FF156A" w:rsidRPr="00D00EAB" w:rsidRDefault="00FF156A" w:rsidP="00097018">
            <w:pPr>
              <w:pStyle w:val="T1TableStyle"/>
              <w:jc w:val="center"/>
              <w:rPr>
                <w:rFonts w:ascii="Verdana" w:eastAsia="Verdana" w:hAnsi="Verdana" w:cs="Verdana"/>
                <w:b/>
                <w:color w:val="000000"/>
                <w:sz w:val="16"/>
                <w:lang w:val="en-GB"/>
              </w:rPr>
            </w:pPr>
          </w:p>
        </w:tc>
        <w:tc>
          <w:tcPr>
            <w:tcW w:w="1563" w:type="dxa"/>
            <w:tcBorders>
              <w:top w:val="single" w:sz="2" w:space="0" w:color="000000"/>
            </w:tcBorders>
            <w:shd w:val="clear" w:color="auto" w:fill="auto"/>
            <w:tcMar>
              <w:top w:w="20" w:type="dxa"/>
              <w:left w:w="20" w:type="dxa"/>
              <w:bottom w:w="20" w:type="dxa"/>
              <w:right w:w="20" w:type="dxa"/>
            </w:tcMar>
          </w:tcPr>
          <w:p w14:paraId="6AF9FF2A" w14:textId="16C831E0" w:rsidR="00FF156A" w:rsidRPr="00457B5C" w:rsidRDefault="00FF156A" w:rsidP="00097018">
            <w:pPr>
              <w:pStyle w:val="T1TableStyle"/>
              <w:jc w:val="right"/>
              <w:rPr>
                <w:rFonts w:ascii="Verdana" w:eastAsia="Verdana" w:hAnsi="Verdana" w:cs="Verdana"/>
                <w:b/>
                <w:color w:val="000000"/>
                <w:sz w:val="16"/>
                <w:lang w:val="en-GB"/>
              </w:rPr>
            </w:pPr>
            <w:r w:rsidRPr="00457B5C">
              <w:rPr>
                <w:rFonts w:ascii="Verdana" w:eastAsia="Verdana" w:hAnsi="Verdana" w:cs="Verdana"/>
                <w:b/>
                <w:color w:val="000000"/>
                <w:sz w:val="16"/>
                <w:lang w:val="en-GB"/>
              </w:rPr>
              <w:t>(</w:t>
            </w:r>
            <w:r w:rsidR="00457B5C" w:rsidRPr="00457B5C">
              <w:rPr>
                <w:rFonts w:ascii="Verdana" w:eastAsia="Verdana" w:hAnsi="Verdana" w:cs="Verdana"/>
                <w:b/>
                <w:color w:val="000000"/>
                <w:sz w:val="16"/>
                <w:lang w:val="en-GB"/>
              </w:rPr>
              <w:t>2,174,046</w:t>
            </w:r>
            <w:r w:rsidRPr="00457B5C">
              <w:rPr>
                <w:rFonts w:ascii="Verdana" w:eastAsia="Verdana" w:hAnsi="Verdana" w:cs="Verdana"/>
                <w:b/>
                <w:color w:val="000000"/>
                <w:sz w:val="16"/>
                <w:lang w:val="en-GB"/>
              </w:rPr>
              <w:t>)</w:t>
            </w:r>
          </w:p>
        </w:tc>
      </w:tr>
      <w:tr w:rsidR="00FF156A" w:rsidRPr="00252BD5" w14:paraId="15334B49" w14:textId="77777777" w:rsidTr="00097018">
        <w:trPr>
          <w:trHeight w:hRule="exact" w:val="279"/>
        </w:trPr>
        <w:tc>
          <w:tcPr>
            <w:tcW w:w="1563" w:type="dxa"/>
            <w:shd w:val="clear" w:color="auto" w:fill="auto"/>
            <w:tcMar>
              <w:top w:w="20" w:type="dxa"/>
              <w:left w:w="20" w:type="dxa"/>
              <w:bottom w:w="20" w:type="dxa"/>
              <w:right w:w="20" w:type="dxa"/>
            </w:tcMar>
          </w:tcPr>
          <w:p w14:paraId="1BCC9947"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50" w:type="dxa"/>
            <w:shd w:val="clear" w:color="auto" w:fill="auto"/>
            <w:tcMar>
              <w:top w:w="20" w:type="dxa"/>
              <w:left w:w="20" w:type="dxa"/>
              <w:bottom w:w="20" w:type="dxa"/>
              <w:right w:w="20" w:type="dxa"/>
            </w:tcMar>
          </w:tcPr>
          <w:p w14:paraId="1320EAB3"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shd w:val="clear" w:color="auto" w:fill="auto"/>
            <w:tcMar>
              <w:top w:w="20" w:type="dxa"/>
              <w:left w:w="20" w:type="dxa"/>
              <w:bottom w:w="20" w:type="dxa"/>
              <w:right w:w="20" w:type="dxa"/>
            </w:tcMar>
          </w:tcPr>
          <w:p w14:paraId="70D88774"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667" w:type="dxa"/>
            <w:vAlign w:val="center"/>
          </w:tcPr>
          <w:p w14:paraId="3DD15059" w14:textId="77777777" w:rsidR="00FF156A" w:rsidRPr="00D00EAB" w:rsidRDefault="00FF156A" w:rsidP="00097018">
            <w:pPr>
              <w:pStyle w:val="T1TableStyle"/>
              <w:jc w:val="center"/>
              <w:rPr>
                <w:rFonts w:ascii="Verdana" w:eastAsia="Verdana" w:hAnsi="Verdana" w:cs="Verdana"/>
                <w:b/>
                <w:color w:val="000000"/>
                <w:sz w:val="2"/>
                <w:lang w:val="en-GB"/>
              </w:rPr>
            </w:pPr>
          </w:p>
        </w:tc>
        <w:tc>
          <w:tcPr>
            <w:tcW w:w="1563" w:type="dxa"/>
            <w:shd w:val="clear" w:color="auto" w:fill="auto"/>
            <w:tcMar>
              <w:top w:w="20" w:type="dxa"/>
              <w:left w:w="20" w:type="dxa"/>
              <w:bottom w:w="20" w:type="dxa"/>
              <w:right w:w="20" w:type="dxa"/>
            </w:tcMar>
          </w:tcPr>
          <w:p w14:paraId="22042CB1" w14:textId="77777777" w:rsidR="00FF156A" w:rsidRPr="00457B5C" w:rsidRDefault="00FF156A" w:rsidP="00097018">
            <w:pPr>
              <w:pStyle w:val="T1TableStyle"/>
              <w:jc w:val="center"/>
              <w:rPr>
                <w:rFonts w:ascii="Verdana" w:eastAsia="Verdana" w:hAnsi="Verdana" w:cs="Verdana"/>
                <w:b/>
                <w:color w:val="000000"/>
                <w:sz w:val="2"/>
                <w:lang w:val="en-GB"/>
              </w:rPr>
            </w:pPr>
            <w:r w:rsidRPr="00457B5C">
              <w:rPr>
                <w:rFonts w:ascii="Verdana" w:eastAsia="Verdana" w:hAnsi="Verdana" w:cs="Verdana"/>
                <w:b/>
                <w:color w:val="000000"/>
                <w:sz w:val="2"/>
                <w:lang w:val="en-GB"/>
              </w:rPr>
              <w:t xml:space="preserve"> </w:t>
            </w:r>
          </w:p>
        </w:tc>
      </w:tr>
      <w:tr w:rsidR="00FF156A" w:rsidRPr="00252BD5" w14:paraId="4871CEE6" w14:textId="77777777" w:rsidTr="00097018">
        <w:trPr>
          <w:trHeight w:val="279"/>
        </w:trPr>
        <w:tc>
          <w:tcPr>
            <w:tcW w:w="1563" w:type="dxa"/>
            <w:tcBorders>
              <w:top w:val="single" w:sz="2" w:space="0" w:color="000000"/>
              <w:bottom w:val="single" w:sz="12" w:space="0" w:color="000000"/>
            </w:tcBorders>
            <w:shd w:val="clear" w:color="auto" w:fill="auto"/>
            <w:tcMar>
              <w:top w:w="20" w:type="dxa"/>
              <w:left w:w="20" w:type="dxa"/>
              <w:bottom w:w="20" w:type="dxa"/>
              <w:right w:w="20" w:type="dxa"/>
            </w:tcMar>
          </w:tcPr>
          <w:p w14:paraId="6BDBDFD9" w14:textId="77777777" w:rsidR="00FF156A" w:rsidRPr="00D00EAB" w:rsidRDefault="00FF156A"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w:t>
            </w:r>
            <w:r w:rsidR="007573D7" w:rsidRPr="00D00EAB">
              <w:rPr>
                <w:rFonts w:ascii="Verdana" w:eastAsia="Verdana" w:hAnsi="Verdana" w:cs="Verdana"/>
                <w:b/>
                <w:color w:val="000000"/>
                <w:sz w:val="16"/>
                <w:lang w:val="en-GB"/>
              </w:rPr>
              <w:t>2,027,608</w:t>
            </w:r>
            <w:r w:rsidRPr="00D00EAB">
              <w:rPr>
                <w:rFonts w:ascii="Verdana" w:eastAsia="Verdana" w:hAnsi="Verdana" w:cs="Verdana"/>
                <w:b/>
                <w:color w:val="000000"/>
                <w:sz w:val="16"/>
                <w:lang w:val="en-GB"/>
              </w:rPr>
              <w:t>)</w:t>
            </w:r>
          </w:p>
        </w:tc>
        <w:tc>
          <w:tcPr>
            <w:tcW w:w="250" w:type="dxa"/>
            <w:tcBorders>
              <w:top w:val="single" w:sz="2" w:space="0" w:color="000000"/>
              <w:bottom w:val="single" w:sz="12" w:space="0" w:color="000000"/>
            </w:tcBorders>
            <w:shd w:val="clear" w:color="auto" w:fill="auto"/>
            <w:tcMar>
              <w:top w:w="20" w:type="dxa"/>
              <w:left w:w="20" w:type="dxa"/>
              <w:bottom w:w="20" w:type="dxa"/>
              <w:right w:w="20" w:type="dxa"/>
            </w:tcMar>
          </w:tcPr>
          <w:p w14:paraId="6D2767BD"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tcBorders>
              <w:top w:val="single" w:sz="2" w:space="0" w:color="000000"/>
              <w:bottom w:val="single" w:sz="12" w:space="0" w:color="000000"/>
            </w:tcBorders>
            <w:shd w:val="clear" w:color="auto" w:fill="auto"/>
            <w:tcMar>
              <w:top w:w="20" w:type="dxa"/>
              <w:left w:w="20" w:type="dxa"/>
              <w:bottom w:w="20" w:type="dxa"/>
              <w:right w:w="20" w:type="dxa"/>
            </w:tcMar>
          </w:tcPr>
          <w:p w14:paraId="1BC3AAAF" w14:textId="77777777" w:rsidR="00FF156A" w:rsidRPr="00D00EAB" w:rsidRDefault="00FF156A" w:rsidP="00097018">
            <w:pPr>
              <w:pStyle w:val="T1TableStyle"/>
              <w:rPr>
                <w:rFonts w:ascii="Verdana" w:eastAsia="Verdana" w:hAnsi="Verdana" w:cs="Verdana"/>
                <w:b/>
                <w:color w:val="000000"/>
                <w:sz w:val="16"/>
                <w:lang w:val="en-GB"/>
              </w:rPr>
            </w:pPr>
            <w:r w:rsidRPr="00D00EAB">
              <w:rPr>
                <w:rFonts w:ascii="Verdana" w:eastAsia="Verdana" w:hAnsi="Verdana" w:cs="Verdana"/>
                <w:b/>
                <w:color w:val="000000"/>
                <w:sz w:val="16"/>
                <w:lang w:val="en-GB"/>
              </w:rPr>
              <w:t>Net Liabilities</w:t>
            </w:r>
          </w:p>
        </w:tc>
        <w:tc>
          <w:tcPr>
            <w:tcW w:w="667" w:type="dxa"/>
            <w:tcBorders>
              <w:top w:val="single" w:sz="2" w:space="0" w:color="000000"/>
              <w:bottom w:val="single" w:sz="12" w:space="0" w:color="000000"/>
            </w:tcBorders>
            <w:vAlign w:val="center"/>
          </w:tcPr>
          <w:p w14:paraId="3C77BA24" w14:textId="77777777" w:rsidR="00FF156A" w:rsidRPr="00D00EAB" w:rsidRDefault="00FF156A" w:rsidP="00097018">
            <w:pPr>
              <w:pStyle w:val="T1TableStyle"/>
              <w:jc w:val="center"/>
              <w:rPr>
                <w:rFonts w:ascii="Verdana" w:eastAsia="Verdana" w:hAnsi="Verdana" w:cs="Verdana"/>
                <w:b/>
                <w:color w:val="000000"/>
                <w:sz w:val="16"/>
                <w:lang w:val="en-GB"/>
              </w:rPr>
            </w:pPr>
          </w:p>
        </w:tc>
        <w:tc>
          <w:tcPr>
            <w:tcW w:w="1563" w:type="dxa"/>
            <w:tcBorders>
              <w:top w:val="single" w:sz="2" w:space="0" w:color="000000"/>
              <w:bottom w:val="single" w:sz="12" w:space="0" w:color="000000"/>
            </w:tcBorders>
            <w:shd w:val="clear" w:color="auto" w:fill="auto"/>
            <w:tcMar>
              <w:top w:w="20" w:type="dxa"/>
              <w:left w:w="20" w:type="dxa"/>
              <w:bottom w:w="20" w:type="dxa"/>
              <w:right w:w="20" w:type="dxa"/>
            </w:tcMar>
          </w:tcPr>
          <w:p w14:paraId="582CC441" w14:textId="23D2E174" w:rsidR="00FF156A" w:rsidRPr="00457B5C" w:rsidRDefault="00FF156A" w:rsidP="00097018">
            <w:pPr>
              <w:pStyle w:val="T1TableStyle"/>
              <w:jc w:val="right"/>
              <w:rPr>
                <w:rFonts w:ascii="Verdana" w:eastAsia="Verdana" w:hAnsi="Verdana" w:cs="Verdana"/>
                <w:b/>
                <w:color w:val="000000"/>
                <w:sz w:val="16"/>
                <w:lang w:val="en-GB"/>
              </w:rPr>
            </w:pPr>
            <w:r w:rsidRPr="00457B5C">
              <w:rPr>
                <w:rFonts w:ascii="Verdana" w:eastAsia="Verdana" w:hAnsi="Verdana" w:cs="Verdana"/>
                <w:b/>
                <w:color w:val="000000"/>
                <w:sz w:val="16"/>
                <w:lang w:val="en-GB"/>
              </w:rPr>
              <w:t>(</w:t>
            </w:r>
            <w:r w:rsidR="00457B5C" w:rsidRPr="00457B5C">
              <w:rPr>
                <w:rFonts w:ascii="Verdana" w:eastAsia="Verdana" w:hAnsi="Verdana" w:cs="Verdana"/>
                <w:b/>
                <w:color w:val="000000"/>
                <w:sz w:val="16"/>
                <w:lang w:val="en-GB"/>
              </w:rPr>
              <w:t>2,175,997</w:t>
            </w:r>
            <w:r w:rsidRPr="00457B5C">
              <w:rPr>
                <w:rFonts w:ascii="Verdana" w:eastAsia="Verdana" w:hAnsi="Verdana" w:cs="Verdana"/>
                <w:b/>
                <w:color w:val="000000"/>
                <w:sz w:val="16"/>
                <w:lang w:val="en-GB"/>
              </w:rPr>
              <w:t>)</w:t>
            </w:r>
          </w:p>
        </w:tc>
      </w:tr>
      <w:tr w:rsidR="00FF156A" w:rsidRPr="00252BD5" w14:paraId="753CADAD" w14:textId="77777777" w:rsidTr="00097018">
        <w:trPr>
          <w:trHeight w:hRule="exact" w:val="279"/>
        </w:trPr>
        <w:tc>
          <w:tcPr>
            <w:tcW w:w="1563" w:type="dxa"/>
            <w:shd w:val="clear" w:color="auto" w:fill="auto"/>
            <w:tcMar>
              <w:top w:w="20" w:type="dxa"/>
              <w:left w:w="20" w:type="dxa"/>
              <w:bottom w:w="20" w:type="dxa"/>
              <w:right w:w="20" w:type="dxa"/>
            </w:tcMar>
          </w:tcPr>
          <w:p w14:paraId="511B2CDD"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50" w:type="dxa"/>
            <w:shd w:val="clear" w:color="auto" w:fill="auto"/>
            <w:tcMar>
              <w:top w:w="20" w:type="dxa"/>
              <w:left w:w="20" w:type="dxa"/>
              <w:bottom w:w="20" w:type="dxa"/>
              <w:right w:w="20" w:type="dxa"/>
            </w:tcMar>
          </w:tcPr>
          <w:p w14:paraId="1A94F5ED"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shd w:val="clear" w:color="auto" w:fill="auto"/>
            <w:tcMar>
              <w:top w:w="20" w:type="dxa"/>
              <w:left w:w="20" w:type="dxa"/>
              <w:bottom w:w="20" w:type="dxa"/>
              <w:right w:w="20" w:type="dxa"/>
            </w:tcMar>
          </w:tcPr>
          <w:p w14:paraId="5FAB3E31"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667" w:type="dxa"/>
            <w:vAlign w:val="center"/>
          </w:tcPr>
          <w:p w14:paraId="477DC760" w14:textId="77777777" w:rsidR="00FF156A" w:rsidRPr="00D00EAB" w:rsidRDefault="00FF156A" w:rsidP="00097018">
            <w:pPr>
              <w:pStyle w:val="T1TableStyle"/>
              <w:jc w:val="center"/>
              <w:rPr>
                <w:rFonts w:ascii="Verdana" w:eastAsia="Verdana" w:hAnsi="Verdana" w:cs="Verdana"/>
                <w:b/>
                <w:color w:val="000000"/>
                <w:sz w:val="2"/>
                <w:lang w:val="en-GB"/>
              </w:rPr>
            </w:pPr>
          </w:p>
        </w:tc>
        <w:tc>
          <w:tcPr>
            <w:tcW w:w="1563" w:type="dxa"/>
            <w:shd w:val="clear" w:color="auto" w:fill="auto"/>
            <w:tcMar>
              <w:top w:w="20" w:type="dxa"/>
              <w:left w:w="20" w:type="dxa"/>
              <w:bottom w:w="20" w:type="dxa"/>
              <w:right w:w="20" w:type="dxa"/>
            </w:tcMar>
          </w:tcPr>
          <w:p w14:paraId="3F568518" w14:textId="77777777" w:rsidR="00FF156A" w:rsidRPr="00457B5C" w:rsidRDefault="00FF156A" w:rsidP="00097018">
            <w:pPr>
              <w:pStyle w:val="T1TableStyle"/>
              <w:jc w:val="center"/>
              <w:rPr>
                <w:rFonts w:ascii="Verdana" w:eastAsia="Verdana" w:hAnsi="Verdana" w:cs="Verdana"/>
                <w:b/>
                <w:color w:val="000000"/>
                <w:sz w:val="2"/>
                <w:lang w:val="en-GB"/>
              </w:rPr>
            </w:pPr>
            <w:r w:rsidRPr="00457B5C">
              <w:rPr>
                <w:rFonts w:ascii="Verdana" w:eastAsia="Verdana" w:hAnsi="Verdana" w:cs="Verdana"/>
                <w:b/>
                <w:color w:val="000000"/>
                <w:sz w:val="2"/>
                <w:lang w:val="en-GB"/>
              </w:rPr>
              <w:t xml:space="preserve"> </w:t>
            </w:r>
          </w:p>
        </w:tc>
      </w:tr>
      <w:tr w:rsidR="00FF156A" w:rsidRPr="00252BD5" w14:paraId="3487D2D9" w14:textId="77777777" w:rsidTr="00097018">
        <w:trPr>
          <w:trHeight w:val="279"/>
        </w:trPr>
        <w:tc>
          <w:tcPr>
            <w:tcW w:w="1563" w:type="dxa"/>
            <w:shd w:val="clear" w:color="auto" w:fill="auto"/>
            <w:tcMar>
              <w:top w:w="20" w:type="dxa"/>
              <w:left w:w="20" w:type="dxa"/>
              <w:bottom w:w="20" w:type="dxa"/>
              <w:right w:w="20" w:type="dxa"/>
            </w:tcMar>
          </w:tcPr>
          <w:p w14:paraId="33DFBC63" w14:textId="77777777" w:rsidR="00FF156A" w:rsidRPr="00D00EAB" w:rsidRDefault="007573D7" w:rsidP="00097018">
            <w:pPr>
              <w:pStyle w:val="T1TableStyle"/>
              <w:jc w:val="right"/>
              <w:rPr>
                <w:rFonts w:ascii="Verdana" w:eastAsia="Verdana" w:hAnsi="Verdana" w:cs="Verdana"/>
                <w:color w:val="000000"/>
                <w:sz w:val="16"/>
                <w:lang w:val="en-GB"/>
              </w:rPr>
            </w:pPr>
            <w:r w:rsidRPr="00D00EAB">
              <w:rPr>
                <w:rFonts w:ascii="Verdana" w:eastAsia="Verdana" w:hAnsi="Verdana" w:cs="Verdana"/>
                <w:color w:val="000000"/>
                <w:sz w:val="16"/>
                <w:lang w:val="en-GB"/>
              </w:rPr>
              <w:t>2,027,608</w:t>
            </w:r>
          </w:p>
        </w:tc>
        <w:tc>
          <w:tcPr>
            <w:tcW w:w="250" w:type="dxa"/>
            <w:shd w:val="clear" w:color="auto" w:fill="auto"/>
            <w:tcMar>
              <w:top w:w="20" w:type="dxa"/>
              <w:left w:w="20" w:type="dxa"/>
              <w:bottom w:w="20" w:type="dxa"/>
              <w:right w:w="20" w:type="dxa"/>
            </w:tcMar>
          </w:tcPr>
          <w:p w14:paraId="294AE33B"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shd w:val="clear" w:color="auto" w:fill="auto"/>
            <w:tcMar>
              <w:top w:w="20" w:type="dxa"/>
              <w:left w:w="20" w:type="dxa"/>
              <w:bottom w:w="20" w:type="dxa"/>
              <w:right w:w="20" w:type="dxa"/>
            </w:tcMar>
          </w:tcPr>
          <w:p w14:paraId="38FC09ED" w14:textId="77777777" w:rsidR="00FF156A" w:rsidRPr="00D00EAB" w:rsidRDefault="00FF156A" w:rsidP="00097018">
            <w:pPr>
              <w:pStyle w:val="T1TableStyle"/>
              <w:rPr>
                <w:rFonts w:ascii="Verdana" w:eastAsia="Verdana" w:hAnsi="Verdana" w:cs="Verdana"/>
                <w:color w:val="000000"/>
                <w:sz w:val="16"/>
                <w:lang w:val="en-GB"/>
              </w:rPr>
            </w:pPr>
            <w:r w:rsidRPr="00D00EAB">
              <w:rPr>
                <w:rFonts w:ascii="Verdana" w:eastAsia="Verdana" w:hAnsi="Verdana" w:cs="Verdana"/>
                <w:color w:val="000000"/>
                <w:sz w:val="16"/>
                <w:lang w:val="en-GB"/>
              </w:rPr>
              <w:t>Unusable Reserves</w:t>
            </w:r>
          </w:p>
        </w:tc>
        <w:tc>
          <w:tcPr>
            <w:tcW w:w="667" w:type="dxa"/>
            <w:vAlign w:val="center"/>
          </w:tcPr>
          <w:p w14:paraId="3815AB7B" w14:textId="77777777" w:rsidR="00FF156A" w:rsidRPr="00D00EAB" w:rsidRDefault="00FF156A" w:rsidP="00097018">
            <w:pPr>
              <w:pStyle w:val="T1TableStyle"/>
              <w:jc w:val="center"/>
              <w:rPr>
                <w:rFonts w:ascii="Verdana" w:eastAsia="Verdana" w:hAnsi="Verdana" w:cs="Verdana"/>
                <w:color w:val="000000"/>
                <w:sz w:val="16"/>
                <w:lang w:val="en-GB"/>
              </w:rPr>
            </w:pPr>
            <w:r w:rsidRPr="00D00EAB">
              <w:rPr>
                <w:rFonts w:ascii="Verdana" w:eastAsia="Verdana" w:hAnsi="Verdana" w:cs="Verdana"/>
                <w:color w:val="000000"/>
                <w:sz w:val="16"/>
                <w:lang w:val="en-GB"/>
              </w:rPr>
              <w:t>8</w:t>
            </w:r>
          </w:p>
        </w:tc>
        <w:tc>
          <w:tcPr>
            <w:tcW w:w="1563" w:type="dxa"/>
            <w:shd w:val="clear" w:color="auto" w:fill="auto"/>
            <w:tcMar>
              <w:top w:w="20" w:type="dxa"/>
              <w:left w:w="20" w:type="dxa"/>
              <w:bottom w:w="20" w:type="dxa"/>
              <w:right w:w="20" w:type="dxa"/>
            </w:tcMar>
          </w:tcPr>
          <w:p w14:paraId="3260541E" w14:textId="1D58B0CA" w:rsidR="00FF156A" w:rsidRPr="00457B5C" w:rsidRDefault="00457B5C" w:rsidP="00097018">
            <w:pPr>
              <w:pStyle w:val="T1TableStyle"/>
              <w:jc w:val="right"/>
              <w:rPr>
                <w:rFonts w:ascii="Verdana" w:eastAsia="Verdana" w:hAnsi="Verdana" w:cs="Verdana"/>
                <w:color w:val="000000"/>
                <w:sz w:val="16"/>
                <w:lang w:val="en-GB"/>
              </w:rPr>
            </w:pPr>
            <w:r w:rsidRPr="00457B5C">
              <w:rPr>
                <w:rFonts w:ascii="Verdana" w:eastAsia="Verdana" w:hAnsi="Verdana" w:cs="Verdana"/>
                <w:color w:val="000000"/>
                <w:sz w:val="16"/>
                <w:lang w:val="en-GB"/>
              </w:rPr>
              <w:t>2,175,997</w:t>
            </w:r>
          </w:p>
        </w:tc>
      </w:tr>
      <w:tr w:rsidR="00FF156A" w:rsidRPr="00252BD5" w14:paraId="03EF1278" w14:textId="77777777" w:rsidTr="00097018">
        <w:trPr>
          <w:trHeight w:val="279"/>
        </w:trPr>
        <w:tc>
          <w:tcPr>
            <w:tcW w:w="1563" w:type="dxa"/>
            <w:tcBorders>
              <w:top w:val="single" w:sz="2" w:space="0" w:color="000000"/>
              <w:bottom w:val="single" w:sz="12" w:space="0" w:color="000000"/>
            </w:tcBorders>
            <w:shd w:val="clear" w:color="auto" w:fill="auto"/>
            <w:tcMar>
              <w:top w:w="20" w:type="dxa"/>
              <w:left w:w="20" w:type="dxa"/>
              <w:bottom w:w="20" w:type="dxa"/>
              <w:right w:w="20" w:type="dxa"/>
            </w:tcMar>
          </w:tcPr>
          <w:p w14:paraId="59B0A167" w14:textId="77777777" w:rsidR="00FF156A" w:rsidRPr="00D00EAB" w:rsidRDefault="007573D7" w:rsidP="00097018">
            <w:pPr>
              <w:pStyle w:val="T1TableStyle"/>
              <w:jc w:val="right"/>
              <w:rPr>
                <w:rFonts w:ascii="Verdana" w:eastAsia="Verdana" w:hAnsi="Verdana" w:cs="Verdana"/>
                <w:b/>
                <w:color w:val="000000"/>
                <w:sz w:val="16"/>
                <w:lang w:val="en-GB"/>
              </w:rPr>
            </w:pPr>
            <w:r w:rsidRPr="00D00EAB">
              <w:rPr>
                <w:rFonts w:ascii="Verdana" w:eastAsia="Verdana" w:hAnsi="Verdana" w:cs="Verdana"/>
                <w:b/>
                <w:color w:val="000000"/>
                <w:sz w:val="16"/>
                <w:lang w:val="en-GB"/>
              </w:rPr>
              <w:t>2,027,608</w:t>
            </w:r>
          </w:p>
        </w:tc>
        <w:tc>
          <w:tcPr>
            <w:tcW w:w="250" w:type="dxa"/>
            <w:tcBorders>
              <w:top w:val="single" w:sz="2" w:space="0" w:color="000000"/>
              <w:bottom w:val="single" w:sz="12" w:space="0" w:color="000000"/>
            </w:tcBorders>
            <w:shd w:val="clear" w:color="auto" w:fill="auto"/>
            <w:tcMar>
              <w:top w:w="20" w:type="dxa"/>
              <w:left w:w="20" w:type="dxa"/>
              <w:bottom w:w="20" w:type="dxa"/>
              <w:right w:w="20" w:type="dxa"/>
            </w:tcMar>
          </w:tcPr>
          <w:p w14:paraId="682CCCB3" w14:textId="77777777" w:rsidR="00FF156A" w:rsidRPr="00D00EAB" w:rsidRDefault="00FF156A" w:rsidP="00097018">
            <w:pPr>
              <w:pStyle w:val="T1TableStyle"/>
              <w:jc w:val="center"/>
              <w:rPr>
                <w:rFonts w:ascii="Verdana" w:eastAsia="Verdana" w:hAnsi="Verdana" w:cs="Verdana"/>
                <w:b/>
                <w:color w:val="000000"/>
                <w:sz w:val="2"/>
                <w:lang w:val="en-GB"/>
              </w:rPr>
            </w:pPr>
            <w:r w:rsidRPr="00D00EAB">
              <w:rPr>
                <w:rFonts w:ascii="Verdana" w:eastAsia="Verdana" w:hAnsi="Verdana" w:cs="Verdana"/>
                <w:b/>
                <w:color w:val="000000"/>
                <w:sz w:val="2"/>
                <w:lang w:val="en-GB"/>
              </w:rPr>
              <w:t xml:space="preserve"> </w:t>
            </w:r>
          </w:p>
        </w:tc>
        <w:tc>
          <w:tcPr>
            <w:tcW w:w="2206" w:type="dxa"/>
            <w:tcBorders>
              <w:top w:val="single" w:sz="2" w:space="0" w:color="000000"/>
              <w:bottom w:val="single" w:sz="12" w:space="0" w:color="000000"/>
            </w:tcBorders>
            <w:shd w:val="clear" w:color="auto" w:fill="auto"/>
            <w:tcMar>
              <w:top w:w="20" w:type="dxa"/>
              <w:left w:w="20" w:type="dxa"/>
              <w:bottom w:w="20" w:type="dxa"/>
              <w:right w:w="20" w:type="dxa"/>
            </w:tcMar>
          </w:tcPr>
          <w:p w14:paraId="19B5D887" w14:textId="77777777" w:rsidR="00FF156A" w:rsidRPr="00D00EAB" w:rsidRDefault="00FF156A" w:rsidP="00097018">
            <w:pPr>
              <w:pStyle w:val="T1TableStyle"/>
              <w:rPr>
                <w:rFonts w:ascii="Verdana" w:eastAsia="Verdana" w:hAnsi="Verdana" w:cs="Verdana"/>
                <w:b/>
                <w:color w:val="000000"/>
                <w:sz w:val="16"/>
                <w:lang w:val="en-GB"/>
              </w:rPr>
            </w:pPr>
            <w:r w:rsidRPr="00D00EAB">
              <w:rPr>
                <w:rFonts w:ascii="Verdana" w:eastAsia="Verdana" w:hAnsi="Verdana" w:cs="Verdana"/>
                <w:b/>
                <w:color w:val="000000"/>
                <w:sz w:val="16"/>
                <w:lang w:val="en-GB"/>
              </w:rPr>
              <w:t>Total Reserves</w:t>
            </w:r>
          </w:p>
        </w:tc>
        <w:tc>
          <w:tcPr>
            <w:tcW w:w="667" w:type="dxa"/>
            <w:tcBorders>
              <w:top w:val="single" w:sz="2" w:space="0" w:color="000000"/>
              <w:bottom w:val="single" w:sz="12" w:space="0" w:color="000000"/>
            </w:tcBorders>
          </w:tcPr>
          <w:p w14:paraId="7040834A" w14:textId="77777777" w:rsidR="00FF156A" w:rsidRPr="00D00EAB" w:rsidRDefault="00FF156A" w:rsidP="00097018">
            <w:pPr>
              <w:pStyle w:val="T1TableStyle"/>
              <w:jc w:val="right"/>
              <w:rPr>
                <w:rFonts w:ascii="Verdana" w:eastAsia="Verdana" w:hAnsi="Verdana" w:cs="Verdana"/>
                <w:b/>
                <w:color w:val="000000"/>
                <w:sz w:val="16"/>
                <w:lang w:val="en-GB"/>
              </w:rPr>
            </w:pPr>
          </w:p>
        </w:tc>
        <w:tc>
          <w:tcPr>
            <w:tcW w:w="1563" w:type="dxa"/>
            <w:tcBorders>
              <w:top w:val="single" w:sz="2" w:space="0" w:color="000000"/>
              <w:bottom w:val="single" w:sz="12" w:space="0" w:color="000000"/>
            </w:tcBorders>
            <w:shd w:val="clear" w:color="auto" w:fill="auto"/>
            <w:tcMar>
              <w:top w:w="20" w:type="dxa"/>
              <w:left w:w="20" w:type="dxa"/>
              <w:bottom w:w="20" w:type="dxa"/>
              <w:right w:w="20" w:type="dxa"/>
            </w:tcMar>
          </w:tcPr>
          <w:p w14:paraId="75F99C53" w14:textId="27E62C62" w:rsidR="00FF156A" w:rsidRPr="00457B5C" w:rsidRDefault="00FF156A" w:rsidP="00097018">
            <w:pPr>
              <w:pStyle w:val="T1TableStyle"/>
              <w:jc w:val="right"/>
              <w:rPr>
                <w:rFonts w:ascii="Verdana" w:eastAsia="Verdana" w:hAnsi="Verdana" w:cs="Verdana"/>
                <w:b/>
                <w:color w:val="000000"/>
                <w:sz w:val="16"/>
                <w:lang w:val="en-GB"/>
              </w:rPr>
            </w:pPr>
            <w:r w:rsidRPr="00457B5C">
              <w:rPr>
                <w:rFonts w:ascii="Verdana" w:eastAsia="Verdana" w:hAnsi="Verdana" w:cs="Verdana"/>
                <w:b/>
                <w:color w:val="000000"/>
                <w:sz w:val="16"/>
                <w:lang w:val="en-GB"/>
              </w:rPr>
              <w:t>2</w:t>
            </w:r>
            <w:r w:rsidR="00457B5C" w:rsidRPr="00457B5C">
              <w:rPr>
                <w:rFonts w:ascii="Verdana" w:eastAsia="Verdana" w:hAnsi="Verdana" w:cs="Verdana"/>
                <w:b/>
                <w:color w:val="000000"/>
                <w:sz w:val="16"/>
                <w:lang w:val="en-GB"/>
              </w:rPr>
              <w:t>,175,997</w:t>
            </w:r>
          </w:p>
        </w:tc>
      </w:tr>
    </w:tbl>
    <w:p w14:paraId="05A431E1" w14:textId="77777777" w:rsidR="00FF156A" w:rsidRPr="00DC1077" w:rsidRDefault="00FF156A" w:rsidP="00097018">
      <w:pPr>
        <w:pStyle w:val="Normal0"/>
        <w:spacing w:after="160"/>
        <w:jc w:val="both"/>
        <w:rPr>
          <w:rFonts w:ascii="Verdana" w:eastAsia="Verdana" w:hAnsi="Verdana" w:cs="Verdana"/>
          <w:sz w:val="22"/>
          <w:szCs w:val="22"/>
          <w:highlight w:val="yellow"/>
          <w:lang w:val="en-GB"/>
        </w:rPr>
      </w:pPr>
    </w:p>
    <w:p w14:paraId="071A45A1" w14:textId="77777777" w:rsidR="00F227D9" w:rsidRPr="00457B5C" w:rsidRDefault="00F227D9" w:rsidP="00097018">
      <w:pPr>
        <w:pStyle w:val="Normal0"/>
        <w:spacing w:after="160"/>
        <w:rPr>
          <w:rFonts w:ascii="Verdana" w:eastAsia="Verdana" w:hAnsi="Verdana" w:cs="Verdana"/>
          <w:sz w:val="22"/>
          <w:szCs w:val="22"/>
          <w:u w:val="single"/>
          <w:lang w:val="en-GB"/>
        </w:rPr>
      </w:pPr>
    </w:p>
    <w:p w14:paraId="15EDF082" w14:textId="56A22DAF" w:rsidR="00F227D9" w:rsidRDefault="00B8692E" w:rsidP="00097018">
      <w:pPr>
        <w:pStyle w:val="Normal0"/>
        <w:spacing w:after="160"/>
        <w:jc w:val="both"/>
        <w:rPr>
          <w:rFonts w:ascii="Verdana" w:eastAsia="Verdana" w:hAnsi="Verdana" w:cs="Verdana"/>
          <w:sz w:val="22"/>
          <w:szCs w:val="22"/>
          <w:highlight w:val="yellow"/>
          <w:lang w:val="en-GB"/>
        </w:rPr>
      </w:pPr>
      <w:r w:rsidRPr="00457B5C">
        <w:rPr>
          <w:rFonts w:ascii="Verdana" w:eastAsia="Verdana" w:hAnsi="Verdana" w:cs="Verdana"/>
          <w:sz w:val="22"/>
          <w:szCs w:val="22"/>
          <w:lang w:val="en-GB"/>
        </w:rPr>
        <w:t xml:space="preserve">I certify that the </w:t>
      </w:r>
      <w:r w:rsidR="00E60EB5">
        <w:rPr>
          <w:rFonts w:ascii="Verdana" w:eastAsia="Verdana" w:hAnsi="Verdana" w:cs="Verdana"/>
          <w:sz w:val="22"/>
          <w:szCs w:val="22"/>
          <w:lang w:val="en-GB"/>
        </w:rPr>
        <w:t xml:space="preserve">Draft </w:t>
      </w:r>
      <w:r w:rsidRPr="00457B5C">
        <w:rPr>
          <w:rFonts w:ascii="Verdana" w:eastAsia="Verdana" w:hAnsi="Verdana" w:cs="Verdana"/>
          <w:sz w:val="22"/>
          <w:szCs w:val="22"/>
          <w:lang w:val="en-GB"/>
        </w:rPr>
        <w:t>Statement of Accounts gives a true and fair view of the financial position of the Chief Constable of Surrey at the accounting date and of the income and expenditure for the year ended 31 March 202</w:t>
      </w:r>
      <w:r w:rsidR="00457B5C" w:rsidRPr="00457B5C">
        <w:rPr>
          <w:rFonts w:ascii="Verdana" w:eastAsia="Verdana" w:hAnsi="Verdana" w:cs="Verdana"/>
          <w:sz w:val="22"/>
          <w:szCs w:val="22"/>
          <w:lang w:val="en-GB"/>
        </w:rPr>
        <w:t>1</w:t>
      </w:r>
      <w:r w:rsidRPr="00457B5C">
        <w:rPr>
          <w:rFonts w:ascii="Verdana" w:eastAsia="Verdana" w:hAnsi="Verdana" w:cs="Verdana"/>
          <w:sz w:val="22"/>
          <w:szCs w:val="22"/>
          <w:lang w:val="en-GB"/>
        </w:rPr>
        <w:t xml:space="preserve">. </w:t>
      </w:r>
    </w:p>
    <w:p w14:paraId="546655B7" w14:textId="74F33361" w:rsidR="00E60EB5" w:rsidRDefault="00E60EB5" w:rsidP="00097018">
      <w:pPr>
        <w:pStyle w:val="Normal0"/>
        <w:spacing w:after="160"/>
        <w:jc w:val="both"/>
        <w:rPr>
          <w:rFonts w:ascii="Verdana" w:eastAsia="Verdana" w:hAnsi="Verdana" w:cs="Verdana"/>
          <w:sz w:val="22"/>
          <w:szCs w:val="22"/>
          <w:highlight w:val="yellow"/>
          <w:lang w:val="en-GB"/>
        </w:rPr>
      </w:pPr>
    </w:p>
    <w:p w14:paraId="310711A4" w14:textId="77777777" w:rsidR="00E60EB5" w:rsidRPr="00DC1077" w:rsidRDefault="00E60EB5" w:rsidP="00097018">
      <w:pPr>
        <w:pStyle w:val="Normal0"/>
        <w:spacing w:after="160"/>
        <w:jc w:val="both"/>
        <w:rPr>
          <w:rFonts w:ascii="Verdana" w:eastAsia="Verdana" w:hAnsi="Verdana" w:cs="Verdana"/>
          <w:sz w:val="22"/>
          <w:szCs w:val="22"/>
          <w:highlight w:val="yellow"/>
          <w:lang w:val="en-GB"/>
        </w:rPr>
      </w:pPr>
    </w:p>
    <w:p w14:paraId="6430557C" w14:textId="646D029A" w:rsidR="00B8692E" w:rsidRPr="00E60EB5" w:rsidRDefault="00B8692E" w:rsidP="00097018">
      <w:pPr>
        <w:pStyle w:val="Normal0"/>
        <w:spacing w:after="160"/>
        <w:rPr>
          <w:noProof/>
          <w:lang w:val="en-GB" w:eastAsia="en-GB"/>
        </w:rPr>
      </w:pPr>
    </w:p>
    <w:p w14:paraId="4509CBD3" w14:textId="77777777" w:rsidR="00E60EB5" w:rsidRPr="00E60EB5" w:rsidRDefault="00E60EB5" w:rsidP="00097018">
      <w:pPr>
        <w:pStyle w:val="Normal0"/>
        <w:spacing w:after="160"/>
        <w:rPr>
          <w:rFonts w:ascii="Verdana" w:eastAsia="Verdana" w:hAnsi="Verdana" w:cs="Verdana"/>
          <w:sz w:val="22"/>
          <w:szCs w:val="22"/>
          <w:lang w:val="en-GB"/>
        </w:rPr>
      </w:pPr>
    </w:p>
    <w:p w14:paraId="2D4C60F9" w14:textId="77777777" w:rsidR="00B8692E" w:rsidRPr="00E60EB5" w:rsidRDefault="00F227D9" w:rsidP="00097018">
      <w:pPr>
        <w:pStyle w:val="Normal0"/>
        <w:spacing w:after="160"/>
        <w:rPr>
          <w:rFonts w:ascii="Verdana" w:eastAsia="Verdana" w:hAnsi="Verdana" w:cs="Verdana"/>
          <w:sz w:val="22"/>
          <w:szCs w:val="22"/>
          <w:lang w:val="en-GB"/>
        </w:rPr>
      </w:pPr>
      <w:r w:rsidRPr="00E60EB5">
        <w:rPr>
          <w:rFonts w:ascii="Verdana" w:eastAsia="Verdana" w:hAnsi="Verdana" w:cs="Verdana"/>
          <w:b/>
          <w:sz w:val="22"/>
          <w:szCs w:val="22"/>
          <w:lang w:val="en-GB"/>
        </w:rPr>
        <w:t>Peter Gillett</w:t>
      </w:r>
      <w:r w:rsidR="00B8692E" w:rsidRPr="00E60EB5">
        <w:rPr>
          <w:rFonts w:ascii="Verdana" w:eastAsia="Verdana" w:hAnsi="Verdana" w:cs="Verdana"/>
          <w:sz w:val="22"/>
          <w:szCs w:val="22"/>
          <w:lang w:val="en-GB"/>
        </w:rPr>
        <w:t xml:space="preserve"> CPFA</w:t>
      </w:r>
    </w:p>
    <w:p w14:paraId="6630EBA6" w14:textId="77777777" w:rsidR="00F227D9" w:rsidRPr="00E60EB5" w:rsidRDefault="00F227D9" w:rsidP="00097018">
      <w:pPr>
        <w:pStyle w:val="Normal0"/>
        <w:spacing w:after="160"/>
        <w:rPr>
          <w:rFonts w:ascii="Verdana" w:eastAsia="Verdana" w:hAnsi="Verdana" w:cs="Verdana"/>
          <w:sz w:val="22"/>
          <w:szCs w:val="22"/>
          <w:lang w:val="en-GB"/>
        </w:rPr>
      </w:pPr>
      <w:r w:rsidRPr="00E60EB5">
        <w:rPr>
          <w:rFonts w:ascii="Verdana" w:eastAsia="Verdana" w:hAnsi="Verdana" w:cs="Verdana"/>
          <w:sz w:val="22"/>
          <w:szCs w:val="22"/>
          <w:lang w:val="en-GB"/>
        </w:rPr>
        <w:t>Executive Dire</w:t>
      </w:r>
      <w:r w:rsidR="00B60B19" w:rsidRPr="00E60EB5">
        <w:rPr>
          <w:rFonts w:ascii="Verdana" w:eastAsia="Verdana" w:hAnsi="Verdana" w:cs="Verdana"/>
          <w:sz w:val="22"/>
          <w:szCs w:val="22"/>
          <w:lang w:val="en-GB"/>
        </w:rPr>
        <w:t>ctor of Commercial and Finance</w:t>
      </w:r>
      <w:r w:rsidRPr="00E60EB5">
        <w:rPr>
          <w:rFonts w:ascii="Verdana" w:eastAsia="Verdana" w:hAnsi="Verdana" w:cs="Verdana"/>
          <w:sz w:val="22"/>
          <w:szCs w:val="22"/>
          <w:lang w:val="en-GB"/>
        </w:rPr>
        <w:t xml:space="preserve"> Services</w:t>
      </w:r>
      <w:r w:rsidR="00B60B19" w:rsidRPr="00E60EB5">
        <w:rPr>
          <w:rFonts w:ascii="Verdana" w:eastAsia="Verdana" w:hAnsi="Verdana" w:cs="Verdana"/>
          <w:sz w:val="22"/>
          <w:szCs w:val="22"/>
          <w:lang w:val="en-GB"/>
        </w:rPr>
        <w:t>, Chief Finance Officer</w:t>
      </w:r>
    </w:p>
    <w:p w14:paraId="7DCD2C2C" w14:textId="014F02FF" w:rsidR="00F227D9" w:rsidRPr="00E60EB5" w:rsidRDefault="00F227D9" w:rsidP="00097018">
      <w:pPr>
        <w:pStyle w:val="Normal0"/>
        <w:spacing w:after="160"/>
        <w:rPr>
          <w:rFonts w:ascii="Verdana" w:eastAsia="Verdana" w:hAnsi="Verdana" w:cs="Verdana"/>
          <w:sz w:val="22"/>
          <w:szCs w:val="22"/>
          <w:lang w:val="en-GB"/>
        </w:rPr>
        <w:sectPr w:rsidR="00F227D9" w:rsidRPr="00E60EB5" w:rsidSect="00B54A0C">
          <w:type w:val="continuous"/>
          <w:pgSz w:w="16840" w:h="11900" w:orient="landscape"/>
          <w:pgMar w:top="709" w:right="720" w:bottom="567" w:left="720" w:header="708" w:footer="708" w:gutter="0"/>
          <w:cols w:num="2" w:space="708"/>
          <w:docGrid w:linePitch="360"/>
        </w:sectPr>
      </w:pPr>
      <w:r w:rsidRPr="00E60EB5">
        <w:rPr>
          <w:rFonts w:ascii="Verdana" w:eastAsia="Verdana" w:hAnsi="Verdana" w:cs="Verdana"/>
          <w:sz w:val="22"/>
          <w:szCs w:val="22"/>
          <w:lang w:val="en-GB"/>
        </w:rPr>
        <w:t>Date:</w:t>
      </w:r>
      <w:r w:rsidR="00B8692E" w:rsidRPr="00E60EB5">
        <w:rPr>
          <w:rFonts w:ascii="Verdana" w:eastAsia="Verdana" w:hAnsi="Verdana" w:cs="Verdana"/>
          <w:sz w:val="22"/>
          <w:szCs w:val="22"/>
          <w:lang w:val="en-GB"/>
        </w:rPr>
        <w:t xml:space="preserve">  </w:t>
      </w:r>
      <w:r w:rsidR="00E72A2D" w:rsidRPr="00E60EB5">
        <w:rPr>
          <w:rFonts w:ascii="Verdana" w:eastAsia="Verdana" w:hAnsi="Verdana" w:cs="Verdana"/>
          <w:sz w:val="22"/>
          <w:szCs w:val="22"/>
          <w:lang w:val="en-GB"/>
        </w:rPr>
        <w:t xml:space="preserve"> </w:t>
      </w:r>
    </w:p>
    <w:p w14:paraId="43249144" w14:textId="77777777" w:rsidR="00A450DF" w:rsidRDefault="00A450DF" w:rsidP="00F227D9">
      <w:pPr>
        <w:pStyle w:val="Heading1"/>
        <w:spacing w:line="259" w:lineRule="auto"/>
        <w:rPr>
          <w:highlight w:val="yellow"/>
          <w:lang w:val="pt-BR"/>
        </w:rPr>
      </w:pPr>
    </w:p>
    <w:p w14:paraId="6CE5AC27" w14:textId="77777777" w:rsidR="00A450DF" w:rsidRDefault="00A450DF" w:rsidP="00F227D9">
      <w:pPr>
        <w:pStyle w:val="Heading1"/>
        <w:spacing w:line="259" w:lineRule="auto"/>
        <w:rPr>
          <w:highlight w:val="yellow"/>
          <w:lang w:val="pt-BR"/>
        </w:rPr>
      </w:pPr>
    </w:p>
    <w:p w14:paraId="420A34D3" w14:textId="77777777" w:rsidR="00F227D9" w:rsidRPr="00A450DF" w:rsidRDefault="00F227D9" w:rsidP="00F227D9">
      <w:pPr>
        <w:pStyle w:val="Heading1"/>
        <w:spacing w:line="259" w:lineRule="auto"/>
        <w:rPr>
          <w:lang w:val="pt-BR"/>
        </w:rPr>
      </w:pPr>
      <w:bookmarkStart w:id="8" w:name="_Toc77095559"/>
      <w:r w:rsidRPr="00A450DF">
        <w:rPr>
          <w:lang w:val="pt-BR"/>
        </w:rPr>
        <w:t>Cash Flow Statement</w:t>
      </w:r>
      <w:bookmarkEnd w:id="8"/>
    </w:p>
    <w:p w14:paraId="1C9968C8" w14:textId="77777777" w:rsidR="00F227D9" w:rsidRPr="00DC1077" w:rsidRDefault="00F227D9" w:rsidP="00F227D9">
      <w:pPr>
        <w:pStyle w:val="Normal0"/>
        <w:spacing w:after="160" w:line="259" w:lineRule="auto"/>
        <w:rPr>
          <w:sz w:val="22"/>
          <w:szCs w:val="22"/>
          <w:highlight w:val="yellow"/>
          <w:lang w:val="pt-BR"/>
        </w:rPr>
      </w:pPr>
    </w:p>
    <w:p w14:paraId="44558A3C" w14:textId="77777777" w:rsidR="00F227D9" w:rsidRPr="00A450DF" w:rsidRDefault="00F227D9" w:rsidP="00EB0483">
      <w:pPr>
        <w:pStyle w:val="Normal0"/>
        <w:spacing w:after="160" w:line="259" w:lineRule="auto"/>
        <w:jc w:val="both"/>
        <w:rPr>
          <w:rFonts w:ascii="Verdana" w:hAnsi="Verdana"/>
          <w:sz w:val="22"/>
          <w:szCs w:val="22"/>
          <w:lang w:val="pt-BR"/>
        </w:rPr>
      </w:pPr>
      <w:r w:rsidRPr="00A450DF">
        <w:rPr>
          <w:rFonts w:ascii="Verdana" w:eastAsia="Calibri" w:hAnsi="Verdana" w:cs="Arial"/>
          <w:sz w:val="22"/>
          <w:szCs w:val="22"/>
          <w:lang w:val="pt-BR"/>
        </w:rPr>
        <w:t xml:space="preserve">The Cash Flow Statement shows the changes in cash and cash equivalents of the Chief Constable during the reporting period. </w:t>
      </w:r>
    </w:p>
    <w:p w14:paraId="20A507E0" w14:textId="77777777" w:rsidR="00F227D9" w:rsidRPr="00A450DF" w:rsidRDefault="00F227D9" w:rsidP="00EB0483">
      <w:pPr>
        <w:pStyle w:val="Normal0"/>
        <w:spacing w:after="160" w:line="259" w:lineRule="auto"/>
        <w:jc w:val="both"/>
        <w:rPr>
          <w:rFonts w:ascii="Verdana" w:hAnsi="Verdana"/>
          <w:sz w:val="22"/>
          <w:szCs w:val="22"/>
          <w:lang w:val="pt-BR"/>
        </w:rPr>
      </w:pPr>
      <w:r w:rsidRPr="00A450DF">
        <w:rPr>
          <w:rFonts w:ascii="Verdana" w:eastAsia="Calibri" w:hAnsi="Verdana" w:cs="Arial"/>
          <w:sz w:val="22"/>
          <w:szCs w:val="22"/>
          <w:lang w:val="pt-BR"/>
        </w:rPr>
        <w:t>All cash payments are made from the Police Fund which is held by the Police and Crime Commissioner for Surrey. Similarly all income receipts and funding are received by the PCC during the year. This is why the statement doesn't show any cash transactions for the year.</w:t>
      </w:r>
    </w:p>
    <w:p w14:paraId="762BDB50" w14:textId="77777777" w:rsidR="00F227D9" w:rsidRPr="00A450DF" w:rsidRDefault="00F227D9" w:rsidP="00EB0483">
      <w:pPr>
        <w:pStyle w:val="Normal0"/>
        <w:spacing w:after="160" w:line="259" w:lineRule="auto"/>
        <w:jc w:val="both"/>
        <w:rPr>
          <w:rFonts w:ascii="Verdana" w:hAnsi="Verdana"/>
          <w:sz w:val="22"/>
          <w:szCs w:val="22"/>
          <w:lang w:val="pt-BR"/>
        </w:rPr>
      </w:pPr>
      <w:r w:rsidRPr="00A450DF">
        <w:rPr>
          <w:rFonts w:ascii="Verdana" w:eastAsia="Calibri" w:hAnsi="Verdana" w:cs="Arial"/>
          <w:sz w:val="22"/>
          <w:szCs w:val="22"/>
          <w:lang w:val="pt-BR"/>
        </w:rPr>
        <w:t>The financial consequences of the Chief Constable's policing activities included in the table above are included in the net (surplus)/defecit as non-cash movements. These can be seen in the Comprehensive Income &amp; Expenditure Account.</w:t>
      </w:r>
    </w:p>
    <w:tbl>
      <w:tblPr>
        <w:tblW w:w="0" w:type="auto"/>
        <w:jc w:val="center"/>
        <w:tblLayout w:type="fixed"/>
        <w:tblLook w:val="04A0" w:firstRow="1" w:lastRow="0" w:firstColumn="1" w:lastColumn="0" w:noHBand="0" w:noVBand="1"/>
      </w:tblPr>
      <w:tblGrid>
        <w:gridCol w:w="1690"/>
        <w:gridCol w:w="246"/>
        <w:gridCol w:w="6208"/>
        <w:gridCol w:w="1690"/>
      </w:tblGrid>
      <w:tr w:rsidR="0053376B" w:rsidRPr="00A450DF" w14:paraId="5925C6B6" w14:textId="77777777" w:rsidTr="00DF1D30">
        <w:trPr>
          <w:trHeight w:val="463"/>
          <w:jc w:val="center"/>
        </w:trPr>
        <w:tc>
          <w:tcPr>
            <w:tcW w:w="1690" w:type="dxa"/>
            <w:shd w:val="clear" w:color="auto" w:fill="auto"/>
            <w:tcMar>
              <w:top w:w="20" w:type="dxa"/>
              <w:left w:w="20" w:type="dxa"/>
              <w:bottom w:w="20" w:type="dxa"/>
              <w:right w:w="20" w:type="dxa"/>
            </w:tcMar>
            <w:vAlign w:val="bottom"/>
          </w:tcPr>
          <w:p w14:paraId="0B897C15" w14:textId="77777777" w:rsidR="0053376B" w:rsidRPr="00A450DF" w:rsidRDefault="00F227D9" w:rsidP="00AB41DA">
            <w:pPr>
              <w:pStyle w:val="T1TableStyle"/>
              <w:jc w:val="center"/>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201</w:t>
            </w:r>
            <w:r w:rsidR="00AB41DA" w:rsidRPr="00A450DF">
              <w:rPr>
                <w:rFonts w:ascii="Verdana" w:eastAsia="Verdana" w:hAnsi="Verdana" w:cs="Verdana"/>
                <w:b/>
                <w:color w:val="000000"/>
                <w:sz w:val="16"/>
                <w:szCs w:val="22"/>
                <w:lang w:val="en-GB"/>
              </w:rPr>
              <w:t>9</w:t>
            </w:r>
            <w:r w:rsidRPr="00A450DF">
              <w:rPr>
                <w:rFonts w:ascii="Verdana" w:eastAsia="Verdana" w:hAnsi="Verdana" w:cs="Verdana"/>
                <w:b/>
                <w:color w:val="000000"/>
                <w:sz w:val="16"/>
                <w:szCs w:val="22"/>
                <w:lang w:val="en-GB"/>
              </w:rPr>
              <w:t>/</w:t>
            </w:r>
            <w:r w:rsidR="00AB41DA" w:rsidRPr="00A450DF">
              <w:rPr>
                <w:rFonts w:ascii="Verdana" w:eastAsia="Verdana" w:hAnsi="Verdana" w:cs="Verdana"/>
                <w:b/>
                <w:color w:val="000000"/>
                <w:sz w:val="16"/>
                <w:szCs w:val="22"/>
                <w:lang w:val="en-GB"/>
              </w:rPr>
              <w:t>20</w:t>
            </w:r>
          </w:p>
        </w:tc>
        <w:tc>
          <w:tcPr>
            <w:tcW w:w="246" w:type="dxa"/>
            <w:shd w:val="clear" w:color="auto" w:fill="auto"/>
            <w:tcMar>
              <w:top w:w="20" w:type="dxa"/>
              <w:left w:w="20" w:type="dxa"/>
              <w:bottom w:w="20" w:type="dxa"/>
              <w:right w:w="20" w:type="dxa"/>
            </w:tcMar>
            <w:vAlign w:val="center"/>
          </w:tcPr>
          <w:p w14:paraId="3469FA63" w14:textId="77777777" w:rsidR="0053376B" w:rsidRPr="00A450DF" w:rsidRDefault="00F227D9" w:rsidP="00F227D9">
            <w:pPr>
              <w:pStyle w:val="T1TableStyle"/>
              <w:jc w:val="center"/>
              <w:rPr>
                <w:rFonts w:ascii="Calibri" w:eastAsia="Calibri" w:hAnsi="Calibri" w:cs="Calibri"/>
                <w:color w:val="000000"/>
                <w:sz w:val="2"/>
                <w:szCs w:val="22"/>
                <w:lang w:val="en-GB"/>
              </w:rPr>
            </w:pPr>
            <w:r w:rsidRPr="00A450DF">
              <w:rPr>
                <w:rFonts w:ascii="Calibri" w:eastAsia="Calibri" w:hAnsi="Calibri" w:cs="Calibri"/>
                <w:color w:val="000000"/>
                <w:sz w:val="2"/>
                <w:szCs w:val="22"/>
                <w:lang w:val="en-GB"/>
              </w:rPr>
              <w:t xml:space="preserve"> </w:t>
            </w:r>
          </w:p>
        </w:tc>
        <w:tc>
          <w:tcPr>
            <w:tcW w:w="6208" w:type="dxa"/>
            <w:shd w:val="clear" w:color="auto" w:fill="auto"/>
            <w:tcMar>
              <w:top w:w="20" w:type="dxa"/>
              <w:left w:w="20" w:type="dxa"/>
              <w:bottom w:w="20" w:type="dxa"/>
              <w:right w:w="20" w:type="dxa"/>
            </w:tcMar>
            <w:vAlign w:val="center"/>
          </w:tcPr>
          <w:p w14:paraId="60B769C0" w14:textId="77777777" w:rsidR="0053376B" w:rsidRPr="00A450DF" w:rsidRDefault="00F227D9" w:rsidP="00F227D9">
            <w:pPr>
              <w:pStyle w:val="T1TableStyle"/>
              <w:jc w:val="center"/>
              <w:rPr>
                <w:rFonts w:ascii="Calibri" w:eastAsia="Calibri" w:hAnsi="Calibri" w:cs="Calibri"/>
                <w:color w:val="000000"/>
                <w:sz w:val="2"/>
                <w:szCs w:val="22"/>
                <w:lang w:val="en-GB"/>
              </w:rPr>
            </w:pPr>
            <w:r w:rsidRPr="00A450DF">
              <w:rPr>
                <w:rFonts w:ascii="Calibri" w:eastAsia="Calibri" w:hAnsi="Calibri" w:cs="Calibri"/>
                <w:color w:val="000000"/>
                <w:sz w:val="2"/>
                <w:szCs w:val="22"/>
                <w:lang w:val="en-GB"/>
              </w:rPr>
              <w:t xml:space="preserve"> </w:t>
            </w:r>
          </w:p>
        </w:tc>
        <w:tc>
          <w:tcPr>
            <w:tcW w:w="1690" w:type="dxa"/>
            <w:shd w:val="clear" w:color="auto" w:fill="auto"/>
            <w:tcMar>
              <w:top w:w="20" w:type="dxa"/>
              <w:left w:w="20" w:type="dxa"/>
              <w:bottom w:w="20" w:type="dxa"/>
              <w:right w:w="20" w:type="dxa"/>
            </w:tcMar>
            <w:vAlign w:val="bottom"/>
          </w:tcPr>
          <w:p w14:paraId="7760D705" w14:textId="77777777" w:rsidR="0053376B" w:rsidRPr="00A450DF" w:rsidRDefault="00F227D9" w:rsidP="00AB41DA">
            <w:pPr>
              <w:pStyle w:val="T1TableStyle"/>
              <w:jc w:val="center"/>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20</w:t>
            </w:r>
            <w:r w:rsidR="00AB41DA" w:rsidRPr="00A450DF">
              <w:rPr>
                <w:rFonts w:ascii="Verdana" w:eastAsia="Verdana" w:hAnsi="Verdana" w:cs="Verdana"/>
                <w:b/>
                <w:color w:val="000000"/>
                <w:sz w:val="16"/>
                <w:szCs w:val="22"/>
                <w:lang w:val="en-GB"/>
              </w:rPr>
              <w:t>20</w:t>
            </w:r>
            <w:r w:rsidRPr="00A450DF">
              <w:rPr>
                <w:rFonts w:ascii="Verdana" w:eastAsia="Verdana" w:hAnsi="Verdana" w:cs="Verdana"/>
                <w:b/>
                <w:color w:val="000000"/>
                <w:sz w:val="16"/>
                <w:szCs w:val="22"/>
                <w:lang w:val="en-GB"/>
              </w:rPr>
              <w:t>/2</w:t>
            </w:r>
            <w:r w:rsidR="00AB41DA" w:rsidRPr="00A450DF">
              <w:rPr>
                <w:rFonts w:ascii="Verdana" w:eastAsia="Verdana" w:hAnsi="Verdana" w:cs="Verdana"/>
                <w:b/>
                <w:color w:val="000000"/>
                <w:sz w:val="16"/>
                <w:szCs w:val="22"/>
                <w:lang w:val="en-GB"/>
              </w:rPr>
              <w:t>1</w:t>
            </w:r>
          </w:p>
        </w:tc>
      </w:tr>
      <w:tr w:rsidR="0053376B" w:rsidRPr="00A450DF" w14:paraId="306490FD" w14:textId="77777777" w:rsidTr="00B24845">
        <w:trPr>
          <w:trHeight w:val="273"/>
          <w:jc w:val="center"/>
        </w:trPr>
        <w:tc>
          <w:tcPr>
            <w:tcW w:w="1690" w:type="dxa"/>
            <w:tcBorders>
              <w:bottom w:val="single" w:sz="2" w:space="0" w:color="000000"/>
            </w:tcBorders>
            <w:shd w:val="clear" w:color="auto" w:fill="auto"/>
            <w:tcMar>
              <w:top w:w="20" w:type="dxa"/>
              <w:left w:w="20" w:type="dxa"/>
              <w:bottom w:w="20" w:type="dxa"/>
              <w:right w:w="20" w:type="dxa"/>
            </w:tcMar>
            <w:vAlign w:val="bottom"/>
          </w:tcPr>
          <w:p w14:paraId="1945238A" w14:textId="77777777" w:rsidR="0053376B" w:rsidRPr="00A450DF" w:rsidRDefault="00F227D9" w:rsidP="00F227D9">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£000</w:t>
            </w:r>
          </w:p>
        </w:tc>
        <w:tc>
          <w:tcPr>
            <w:tcW w:w="246" w:type="dxa"/>
            <w:tcBorders>
              <w:bottom w:val="single" w:sz="2" w:space="0" w:color="000000"/>
            </w:tcBorders>
            <w:shd w:val="clear" w:color="auto" w:fill="auto"/>
            <w:tcMar>
              <w:top w:w="20" w:type="dxa"/>
              <w:left w:w="20" w:type="dxa"/>
              <w:bottom w:w="20" w:type="dxa"/>
              <w:right w:w="20" w:type="dxa"/>
            </w:tcMar>
            <w:vAlign w:val="bottom"/>
          </w:tcPr>
          <w:p w14:paraId="0C711C6F" w14:textId="77777777" w:rsidR="0053376B" w:rsidRPr="00A450DF" w:rsidRDefault="00F227D9" w:rsidP="00F227D9">
            <w:pPr>
              <w:pStyle w:val="T1TableStyle"/>
              <w:jc w:val="right"/>
              <w:rPr>
                <w:rFonts w:ascii="Verdana" w:eastAsia="Verdana" w:hAnsi="Verdana" w:cs="Verdana"/>
                <w:b/>
                <w:color w:val="000000"/>
                <w:sz w:val="2"/>
                <w:szCs w:val="22"/>
                <w:lang w:val="en-GB"/>
              </w:rPr>
            </w:pPr>
            <w:r w:rsidRPr="00A450DF">
              <w:rPr>
                <w:rFonts w:ascii="Verdana" w:eastAsia="Verdana" w:hAnsi="Verdana" w:cs="Verdana"/>
                <w:b/>
                <w:color w:val="000000"/>
                <w:sz w:val="2"/>
                <w:szCs w:val="22"/>
                <w:lang w:val="en-GB"/>
              </w:rPr>
              <w:t xml:space="preserve"> </w:t>
            </w:r>
          </w:p>
        </w:tc>
        <w:tc>
          <w:tcPr>
            <w:tcW w:w="6208" w:type="dxa"/>
            <w:tcBorders>
              <w:bottom w:val="single" w:sz="2" w:space="0" w:color="000000"/>
            </w:tcBorders>
            <w:shd w:val="clear" w:color="auto" w:fill="auto"/>
            <w:tcMar>
              <w:top w:w="20" w:type="dxa"/>
              <w:left w:w="20" w:type="dxa"/>
              <w:bottom w:w="20" w:type="dxa"/>
              <w:right w:w="20" w:type="dxa"/>
            </w:tcMar>
            <w:vAlign w:val="bottom"/>
          </w:tcPr>
          <w:p w14:paraId="6A5C83BF" w14:textId="77777777" w:rsidR="0053376B" w:rsidRPr="00A450DF" w:rsidRDefault="00F227D9" w:rsidP="00F227D9">
            <w:pPr>
              <w:pStyle w:val="T1TableStyle"/>
              <w:jc w:val="right"/>
              <w:rPr>
                <w:rFonts w:ascii="Verdana" w:eastAsia="Verdana" w:hAnsi="Verdana" w:cs="Verdana"/>
                <w:b/>
                <w:color w:val="000000"/>
                <w:sz w:val="2"/>
                <w:szCs w:val="22"/>
                <w:lang w:val="en-GB"/>
              </w:rPr>
            </w:pPr>
            <w:r w:rsidRPr="00A450DF">
              <w:rPr>
                <w:rFonts w:ascii="Verdana" w:eastAsia="Verdana" w:hAnsi="Verdana" w:cs="Verdana"/>
                <w:b/>
                <w:color w:val="000000"/>
                <w:sz w:val="2"/>
                <w:szCs w:val="22"/>
                <w:lang w:val="en-GB"/>
              </w:rPr>
              <w:t xml:space="preserve"> </w:t>
            </w:r>
          </w:p>
        </w:tc>
        <w:tc>
          <w:tcPr>
            <w:tcW w:w="1690" w:type="dxa"/>
            <w:tcBorders>
              <w:bottom w:val="single" w:sz="2" w:space="0" w:color="000000"/>
            </w:tcBorders>
            <w:shd w:val="clear" w:color="auto" w:fill="auto"/>
            <w:tcMar>
              <w:top w:w="20" w:type="dxa"/>
              <w:left w:w="20" w:type="dxa"/>
              <w:bottom w:w="20" w:type="dxa"/>
              <w:right w:w="20" w:type="dxa"/>
            </w:tcMar>
            <w:vAlign w:val="bottom"/>
          </w:tcPr>
          <w:p w14:paraId="7A3723C7" w14:textId="77777777" w:rsidR="0053376B" w:rsidRPr="00A450DF" w:rsidRDefault="00F227D9" w:rsidP="00F227D9">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£000</w:t>
            </w:r>
          </w:p>
        </w:tc>
      </w:tr>
      <w:tr w:rsidR="00AB41DA" w:rsidRPr="00A450DF" w14:paraId="014D7D99" w14:textId="77777777" w:rsidTr="00DF1D30">
        <w:trPr>
          <w:trHeight w:val="209"/>
          <w:jc w:val="center"/>
        </w:trPr>
        <w:tc>
          <w:tcPr>
            <w:tcW w:w="1690" w:type="dxa"/>
            <w:shd w:val="clear" w:color="auto" w:fill="auto"/>
            <w:tcMar>
              <w:top w:w="20" w:type="dxa"/>
              <w:left w:w="20" w:type="dxa"/>
              <w:bottom w:w="20" w:type="dxa"/>
              <w:right w:w="20" w:type="dxa"/>
            </w:tcMar>
          </w:tcPr>
          <w:p w14:paraId="1D1B11F4"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63,031</w:t>
            </w:r>
          </w:p>
        </w:tc>
        <w:tc>
          <w:tcPr>
            <w:tcW w:w="246" w:type="dxa"/>
            <w:shd w:val="clear" w:color="auto" w:fill="auto"/>
            <w:tcMar>
              <w:top w:w="20" w:type="dxa"/>
              <w:left w:w="20" w:type="dxa"/>
              <w:bottom w:w="20" w:type="dxa"/>
              <w:right w:w="20" w:type="dxa"/>
            </w:tcMar>
          </w:tcPr>
          <w:p w14:paraId="328C8187"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6208" w:type="dxa"/>
            <w:shd w:val="clear" w:color="auto" w:fill="auto"/>
            <w:tcMar>
              <w:top w:w="20" w:type="dxa"/>
              <w:left w:w="20" w:type="dxa"/>
              <w:bottom w:w="20" w:type="dxa"/>
              <w:right w:w="20" w:type="dxa"/>
            </w:tcMar>
          </w:tcPr>
          <w:p w14:paraId="5351E13F" w14:textId="77777777" w:rsidR="00AB41DA" w:rsidRPr="00A450DF" w:rsidRDefault="00AB41DA" w:rsidP="00AB41DA">
            <w:pPr>
              <w:pStyle w:val="T1TableStyle"/>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Net (surplus) or deficit on the provision of services</w:t>
            </w:r>
          </w:p>
        </w:tc>
        <w:tc>
          <w:tcPr>
            <w:tcW w:w="1690" w:type="dxa"/>
            <w:shd w:val="clear" w:color="auto" w:fill="auto"/>
            <w:tcMar>
              <w:top w:w="20" w:type="dxa"/>
              <w:left w:w="20" w:type="dxa"/>
              <w:bottom w:w="20" w:type="dxa"/>
              <w:right w:w="20" w:type="dxa"/>
            </w:tcMar>
          </w:tcPr>
          <w:p w14:paraId="073B197D" w14:textId="77777777" w:rsidR="00AB41DA" w:rsidRPr="00A450DF" w:rsidRDefault="00B93478"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68,528</w:t>
            </w:r>
          </w:p>
        </w:tc>
      </w:tr>
      <w:tr w:rsidR="00AB41DA" w:rsidRPr="00A450DF" w14:paraId="23ECDC4D" w14:textId="77777777" w:rsidTr="00DF1D30">
        <w:trPr>
          <w:trHeight w:val="369"/>
          <w:jc w:val="center"/>
        </w:trPr>
        <w:tc>
          <w:tcPr>
            <w:tcW w:w="1690" w:type="dxa"/>
            <w:shd w:val="clear" w:color="auto" w:fill="auto"/>
            <w:tcMar>
              <w:top w:w="20" w:type="dxa"/>
              <w:left w:w="20" w:type="dxa"/>
              <w:bottom w:w="20" w:type="dxa"/>
              <w:right w:w="20" w:type="dxa"/>
            </w:tcMar>
          </w:tcPr>
          <w:p w14:paraId="14D7F801"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(63,031)</w:t>
            </w:r>
          </w:p>
        </w:tc>
        <w:tc>
          <w:tcPr>
            <w:tcW w:w="246" w:type="dxa"/>
            <w:shd w:val="clear" w:color="auto" w:fill="auto"/>
            <w:tcMar>
              <w:top w:w="20" w:type="dxa"/>
              <w:left w:w="20" w:type="dxa"/>
              <w:bottom w:w="20" w:type="dxa"/>
              <w:right w:w="20" w:type="dxa"/>
            </w:tcMar>
          </w:tcPr>
          <w:p w14:paraId="3C51F24A"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6208" w:type="dxa"/>
            <w:shd w:val="clear" w:color="auto" w:fill="auto"/>
            <w:tcMar>
              <w:top w:w="20" w:type="dxa"/>
              <w:left w:w="20" w:type="dxa"/>
              <w:bottom w:w="20" w:type="dxa"/>
              <w:right w:w="20" w:type="dxa"/>
            </w:tcMar>
          </w:tcPr>
          <w:p w14:paraId="2EC8E181" w14:textId="77777777" w:rsidR="00AB41DA" w:rsidRPr="00A450DF" w:rsidRDefault="00AB41DA" w:rsidP="00AB41DA">
            <w:pPr>
              <w:pStyle w:val="T1TableStyle"/>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Adjustment to surplus or deficit on the provision of services for noncash movements</w:t>
            </w:r>
          </w:p>
        </w:tc>
        <w:tc>
          <w:tcPr>
            <w:tcW w:w="1690" w:type="dxa"/>
            <w:shd w:val="clear" w:color="auto" w:fill="auto"/>
            <w:tcMar>
              <w:top w:w="20" w:type="dxa"/>
              <w:left w:w="20" w:type="dxa"/>
              <w:bottom w:w="20" w:type="dxa"/>
              <w:right w:w="20" w:type="dxa"/>
            </w:tcMar>
          </w:tcPr>
          <w:p w14:paraId="6B7FE123" w14:textId="77777777" w:rsidR="00AB41DA" w:rsidRPr="00A450DF" w:rsidRDefault="00A450DF"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(68,528)</w:t>
            </w:r>
          </w:p>
        </w:tc>
      </w:tr>
      <w:tr w:rsidR="00AB41DA" w:rsidRPr="00A450DF" w14:paraId="3B8A4E6A" w14:textId="77777777" w:rsidTr="00DF1D30">
        <w:trPr>
          <w:trHeight w:val="228"/>
          <w:jc w:val="center"/>
        </w:trPr>
        <w:tc>
          <w:tcPr>
            <w:tcW w:w="1690" w:type="dxa"/>
            <w:tcBorders>
              <w:top w:val="single" w:sz="2" w:space="0" w:color="000000"/>
              <w:bottom w:val="single" w:sz="12" w:space="0" w:color="000000"/>
            </w:tcBorders>
            <w:shd w:val="clear" w:color="auto" w:fill="auto"/>
            <w:tcMar>
              <w:top w:w="20" w:type="dxa"/>
              <w:left w:w="20" w:type="dxa"/>
              <w:bottom w:w="20" w:type="dxa"/>
              <w:right w:w="20" w:type="dxa"/>
            </w:tcMar>
          </w:tcPr>
          <w:p w14:paraId="50CC2EB1" w14:textId="77777777" w:rsidR="00AB41DA" w:rsidRPr="00A450DF" w:rsidRDefault="00AB41DA" w:rsidP="00AB41DA">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w:t>
            </w:r>
          </w:p>
        </w:tc>
        <w:tc>
          <w:tcPr>
            <w:tcW w:w="246" w:type="dxa"/>
            <w:tcBorders>
              <w:top w:val="single" w:sz="2" w:space="0" w:color="000000"/>
              <w:bottom w:val="single" w:sz="12" w:space="0" w:color="000000"/>
            </w:tcBorders>
            <w:shd w:val="clear" w:color="auto" w:fill="auto"/>
            <w:tcMar>
              <w:top w:w="20" w:type="dxa"/>
              <w:left w:w="20" w:type="dxa"/>
              <w:bottom w:w="20" w:type="dxa"/>
              <w:right w:w="20" w:type="dxa"/>
            </w:tcMar>
          </w:tcPr>
          <w:p w14:paraId="44282965" w14:textId="77777777" w:rsidR="00AB41DA" w:rsidRPr="00A450DF" w:rsidRDefault="00AB41DA" w:rsidP="00AB41DA">
            <w:pPr>
              <w:pStyle w:val="T1TableStyle"/>
              <w:jc w:val="center"/>
              <w:rPr>
                <w:rFonts w:ascii="Verdana" w:eastAsia="Verdana" w:hAnsi="Verdana" w:cs="Verdana"/>
                <w:b/>
                <w:color w:val="000000"/>
                <w:sz w:val="2"/>
                <w:szCs w:val="22"/>
                <w:lang w:val="en-GB"/>
              </w:rPr>
            </w:pPr>
            <w:r w:rsidRPr="00A450DF">
              <w:rPr>
                <w:rFonts w:ascii="Verdana" w:eastAsia="Verdana" w:hAnsi="Verdana" w:cs="Verdana"/>
                <w:b/>
                <w:color w:val="000000"/>
                <w:sz w:val="2"/>
                <w:szCs w:val="22"/>
                <w:lang w:val="en-GB"/>
              </w:rPr>
              <w:t xml:space="preserve"> </w:t>
            </w:r>
          </w:p>
        </w:tc>
        <w:tc>
          <w:tcPr>
            <w:tcW w:w="6208" w:type="dxa"/>
            <w:tcBorders>
              <w:top w:val="single" w:sz="2" w:space="0" w:color="000000"/>
              <w:bottom w:val="single" w:sz="12" w:space="0" w:color="000000"/>
            </w:tcBorders>
            <w:shd w:val="clear" w:color="auto" w:fill="auto"/>
            <w:tcMar>
              <w:top w:w="20" w:type="dxa"/>
              <w:left w:w="20" w:type="dxa"/>
              <w:bottom w:w="20" w:type="dxa"/>
              <w:right w:w="20" w:type="dxa"/>
            </w:tcMar>
          </w:tcPr>
          <w:p w14:paraId="53C8F383" w14:textId="77777777" w:rsidR="00AB41DA" w:rsidRPr="00A450DF" w:rsidRDefault="00AB41DA" w:rsidP="00AB41DA">
            <w:pPr>
              <w:pStyle w:val="T1TableStyle"/>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Net cash flows from operating activities</w:t>
            </w:r>
          </w:p>
        </w:tc>
        <w:tc>
          <w:tcPr>
            <w:tcW w:w="1690" w:type="dxa"/>
            <w:tcBorders>
              <w:top w:val="single" w:sz="2" w:space="0" w:color="000000"/>
              <w:bottom w:val="single" w:sz="12" w:space="0" w:color="000000"/>
            </w:tcBorders>
            <w:shd w:val="clear" w:color="auto" w:fill="auto"/>
            <w:tcMar>
              <w:top w:w="20" w:type="dxa"/>
              <w:left w:w="20" w:type="dxa"/>
              <w:bottom w:w="20" w:type="dxa"/>
              <w:right w:w="20" w:type="dxa"/>
            </w:tcMar>
          </w:tcPr>
          <w:p w14:paraId="5F32D10A" w14:textId="77777777" w:rsidR="00AB41DA" w:rsidRPr="00A450DF" w:rsidRDefault="00AB41DA" w:rsidP="00AB41DA">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w:t>
            </w:r>
          </w:p>
        </w:tc>
      </w:tr>
      <w:tr w:rsidR="00AB41DA" w:rsidRPr="00A450DF" w14:paraId="21B5C31C" w14:textId="77777777" w:rsidTr="00DF1D30">
        <w:trPr>
          <w:trHeight w:hRule="exact" w:val="159"/>
          <w:jc w:val="center"/>
        </w:trPr>
        <w:tc>
          <w:tcPr>
            <w:tcW w:w="1690" w:type="dxa"/>
            <w:shd w:val="clear" w:color="auto" w:fill="auto"/>
            <w:tcMar>
              <w:top w:w="20" w:type="dxa"/>
              <w:left w:w="20" w:type="dxa"/>
              <w:bottom w:w="20" w:type="dxa"/>
              <w:right w:w="20" w:type="dxa"/>
            </w:tcMar>
            <w:vAlign w:val="bottom"/>
          </w:tcPr>
          <w:p w14:paraId="43EF13EC"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246" w:type="dxa"/>
            <w:shd w:val="clear" w:color="auto" w:fill="auto"/>
            <w:tcMar>
              <w:top w:w="20" w:type="dxa"/>
              <w:left w:w="20" w:type="dxa"/>
              <w:bottom w:w="20" w:type="dxa"/>
              <w:right w:w="20" w:type="dxa"/>
            </w:tcMar>
            <w:vAlign w:val="bottom"/>
          </w:tcPr>
          <w:p w14:paraId="45DC0F4A"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6208" w:type="dxa"/>
            <w:shd w:val="clear" w:color="auto" w:fill="auto"/>
            <w:tcMar>
              <w:top w:w="20" w:type="dxa"/>
              <w:left w:w="20" w:type="dxa"/>
              <w:bottom w:w="20" w:type="dxa"/>
              <w:right w:w="20" w:type="dxa"/>
            </w:tcMar>
            <w:vAlign w:val="bottom"/>
          </w:tcPr>
          <w:p w14:paraId="26435975"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1690" w:type="dxa"/>
            <w:shd w:val="clear" w:color="auto" w:fill="auto"/>
            <w:tcMar>
              <w:top w:w="20" w:type="dxa"/>
              <w:left w:w="20" w:type="dxa"/>
              <w:bottom w:w="20" w:type="dxa"/>
              <w:right w:w="20" w:type="dxa"/>
            </w:tcMar>
            <w:vAlign w:val="bottom"/>
          </w:tcPr>
          <w:p w14:paraId="00CBB39A"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r>
      <w:tr w:rsidR="00AB41DA" w:rsidRPr="00A450DF" w14:paraId="1E78CA4C" w14:textId="77777777" w:rsidTr="00DF1D30">
        <w:trPr>
          <w:trHeight w:val="211"/>
          <w:jc w:val="center"/>
        </w:trPr>
        <w:tc>
          <w:tcPr>
            <w:tcW w:w="1690" w:type="dxa"/>
            <w:shd w:val="clear" w:color="auto" w:fill="auto"/>
            <w:tcMar>
              <w:top w:w="20" w:type="dxa"/>
              <w:left w:w="20" w:type="dxa"/>
              <w:bottom w:w="20" w:type="dxa"/>
              <w:right w:w="20" w:type="dxa"/>
            </w:tcMar>
          </w:tcPr>
          <w:p w14:paraId="550ACA6F"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0</w:t>
            </w:r>
          </w:p>
        </w:tc>
        <w:tc>
          <w:tcPr>
            <w:tcW w:w="246" w:type="dxa"/>
            <w:shd w:val="clear" w:color="auto" w:fill="auto"/>
            <w:tcMar>
              <w:top w:w="20" w:type="dxa"/>
              <w:left w:w="20" w:type="dxa"/>
              <w:bottom w:w="20" w:type="dxa"/>
              <w:right w:w="20" w:type="dxa"/>
            </w:tcMar>
          </w:tcPr>
          <w:p w14:paraId="1A04F1AF"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6208" w:type="dxa"/>
            <w:shd w:val="clear" w:color="auto" w:fill="auto"/>
            <w:tcMar>
              <w:top w:w="20" w:type="dxa"/>
              <w:left w:w="20" w:type="dxa"/>
              <w:bottom w:w="20" w:type="dxa"/>
              <w:right w:w="20" w:type="dxa"/>
            </w:tcMar>
          </w:tcPr>
          <w:p w14:paraId="4AB89134" w14:textId="77777777" w:rsidR="00AB41DA" w:rsidRPr="00A450DF" w:rsidRDefault="00AB41DA" w:rsidP="00AB41DA">
            <w:pPr>
              <w:pStyle w:val="T1TableStyle"/>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Net cash flows from investing activities</w:t>
            </w:r>
          </w:p>
        </w:tc>
        <w:tc>
          <w:tcPr>
            <w:tcW w:w="1690" w:type="dxa"/>
            <w:shd w:val="clear" w:color="auto" w:fill="auto"/>
            <w:tcMar>
              <w:top w:w="20" w:type="dxa"/>
              <w:left w:w="20" w:type="dxa"/>
              <w:bottom w:w="20" w:type="dxa"/>
              <w:right w:w="20" w:type="dxa"/>
            </w:tcMar>
          </w:tcPr>
          <w:p w14:paraId="25A74E6F"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0</w:t>
            </w:r>
          </w:p>
        </w:tc>
      </w:tr>
      <w:tr w:rsidR="00AB41DA" w:rsidRPr="00A450DF" w14:paraId="1E27ECB7" w14:textId="77777777" w:rsidTr="00DF1D30">
        <w:trPr>
          <w:trHeight w:val="60"/>
          <w:jc w:val="center"/>
        </w:trPr>
        <w:tc>
          <w:tcPr>
            <w:tcW w:w="1690" w:type="dxa"/>
            <w:shd w:val="clear" w:color="auto" w:fill="auto"/>
            <w:tcMar>
              <w:top w:w="20" w:type="dxa"/>
              <w:left w:w="20" w:type="dxa"/>
              <w:bottom w:w="20" w:type="dxa"/>
              <w:right w:w="20" w:type="dxa"/>
            </w:tcMar>
          </w:tcPr>
          <w:p w14:paraId="1AF59483"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0</w:t>
            </w:r>
          </w:p>
        </w:tc>
        <w:tc>
          <w:tcPr>
            <w:tcW w:w="246" w:type="dxa"/>
            <w:shd w:val="clear" w:color="auto" w:fill="auto"/>
            <w:tcMar>
              <w:top w:w="20" w:type="dxa"/>
              <w:left w:w="20" w:type="dxa"/>
              <w:bottom w:w="20" w:type="dxa"/>
              <w:right w:w="20" w:type="dxa"/>
            </w:tcMar>
          </w:tcPr>
          <w:p w14:paraId="5A4F2354"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6208" w:type="dxa"/>
            <w:shd w:val="clear" w:color="auto" w:fill="auto"/>
            <w:tcMar>
              <w:top w:w="20" w:type="dxa"/>
              <w:left w:w="20" w:type="dxa"/>
              <w:bottom w:w="20" w:type="dxa"/>
              <w:right w:w="20" w:type="dxa"/>
            </w:tcMar>
          </w:tcPr>
          <w:p w14:paraId="290B4122" w14:textId="77777777" w:rsidR="00AB41DA" w:rsidRPr="00A450DF" w:rsidRDefault="00AB41DA" w:rsidP="00AB41DA">
            <w:pPr>
              <w:pStyle w:val="T1TableStyle"/>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Net cash flows from financing activities</w:t>
            </w:r>
          </w:p>
        </w:tc>
        <w:tc>
          <w:tcPr>
            <w:tcW w:w="1690" w:type="dxa"/>
            <w:shd w:val="clear" w:color="auto" w:fill="auto"/>
            <w:tcMar>
              <w:top w:w="20" w:type="dxa"/>
              <w:left w:w="20" w:type="dxa"/>
              <w:bottom w:w="20" w:type="dxa"/>
              <w:right w:w="20" w:type="dxa"/>
            </w:tcMar>
          </w:tcPr>
          <w:p w14:paraId="2FCE733E"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0</w:t>
            </w:r>
          </w:p>
        </w:tc>
      </w:tr>
      <w:tr w:rsidR="00AB41DA" w:rsidRPr="00A450DF" w14:paraId="34D6444F" w14:textId="77777777" w:rsidTr="00DF1D30">
        <w:trPr>
          <w:trHeight w:val="242"/>
          <w:jc w:val="center"/>
        </w:trPr>
        <w:tc>
          <w:tcPr>
            <w:tcW w:w="1690" w:type="dxa"/>
            <w:tcBorders>
              <w:top w:val="single" w:sz="2" w:space="0" w:color="000000"/>
              <w:bottom w:val="single" w:sz="12" w:space="0" w:color="000000"/>
            </w:tcBorders>
            <w:shd w:val="clear" w:color="auto" w:fill="auto"/>
            <w:tcMar>
              <w:top w:w="20" w:type="dxa"/>
              <w:left w:w="20" w:type="dxa"/>
              <w:bottom w:w="20" w:type="dxa"/>
              <w:right w:w="20" w:type="dxa"/>
            </w:tcMar>
          </w:tcPr>
          <w:p w14:paraId="7CB0DE20" w14:textId="77777777" w:rsidR="00AB41DA" w:rsidRPr="00A450DF" w:rsidRDefault="00AB41DA" w:rsidP="00AB41DA">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w:t>
            </w:r>
          </w:p>
        </w:tc>
        <w:tc>
          <w:tcPr>
            <w:tcW w:w="246" w:type="dxa"/>
            <w:tcBorders>
              <w:top w:val="single" w:sz="2" w:space="0" w:color="000000"/>
              <w:bottom w:val="single" w:sz="12" w:space="0" w:color="000000"/>
            </w:tcBorders>
            <w:shd w:val="clear" w:color="auto" w:fill="auto"/>
            <w:tcMar>
              <w:top w:w="20" w:type="dxa"/>
              <w:left w:w="20" w:type="dxa"/>
              <w:bottom w:w="20" w:type="dxa"/>
              <w:right w:w="20" w:type="dxa"/>
            </w:tcMar>
          </w:tcPr>
          <w:p w14:paraId="284673ED" w14:textId="77777777" w:rsidR="00AB41DA" w:rsidRPr="00A450DF" w:rsidRDefault="00AB41DA" w:rsidP="00AB41DA">
            <w:pPr>
              <w:pStyle w:val="T1TableStyle"/>
              <w:jc w:val="center"/>
              <w:rPr>
                <w:rFonts w:ascii="Verdana" w:eastAsia="Verdana" w:hAnsi="Verdana" w:cs="Verdana"/>
                <w:b/>
                <w:color w:val="000000"/>
                <w:sz w:val="2"/>
                <w:szCs w:val="22"/>
                <w:lang w:val="en-GB"/>
              </w:rPr>
            </w:pPr>
            <w:r w:rsidRPr="00A450DF">
              <w:rPr>
                <w:rFonts w:ascii="Verdana" w:eastAsia="Verdana" w:hAnsi="Verdana" w:cs="Verdana"/>
                <w:b/>
                <w:color w:val="000000"/>
                <w:sz w:val="2"/>
                <w:szCs w:val="22"/>
                <w:lang w:val="en-GB"/>
              </w:rPr>
              <w:t xml:space="preserve"> </w:t>
            </w:r>
          </w:p>
        </w:tc>
        <w:tc>
          <w:tcPr>
            <w:tcW w:w="6208" w:type="dxa"/>
            <w:tcBorders>
              <w:top w:val="single" w:sz="2" w:space="0" w:color="000000"/>
              <w:bottom w:val="single" w:sz="12" w:space="0" w:color="000000"/>
            </w:tcBorders>
            <w:shd w:val="clear" w:color="auto" w:fill="auto"/>
            <w:tcMar>
              <w:top w:w="20" w:type="dxa"/>
              <w:left w:w="20" w:type="dxa"/>
              <w:bottom w:w="20" w:type="dxa"/>
              <w:right w:w="20" w:type="dxa"/>
            </w:tcMar>
          </w:tcPr>
          <w:p w14:paraId="31DA2024" w14:textId="77777777" w:rsidR="00AB41DA" w:rsidRPr="00A450DF" w:rsidRDefault="00AB41DA" w:rsidP="00AB41DA">
            <w:pPr>
              <w:pStyle w:val="T1TableStyle"/>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Net (increase) or decrease in cash and cash equivalents</w:t>
            </w:r>
          </w:p>
        </w:tc>
        <w:tc>
          <w:tcPr>
            <w:tcW w:w="1690" w:type="dxa"/>
            <w:tcBorders>
              <w:top w:val="single" w:sz="2" w:space="0" w:color="000000"/>
              <w:bottom w:val="single" w:sz="12" w:space="0" w:color="000000"/>
            </w:tcBorders>
            <w:shd w:val="clear" w:color="auto" w:fill="auto"/>
            <w:tcMar>
              <w:top w:w="20" w:type="dxa"/>
              <w:left w:w="20" w:type="dxa"/>
              <w:bottom w:w="20" w:type="dxa"/>
              <w:right w:w="20" w:type="dxa"/>
            </w:tcMar>
          </w:tcPr>
          <w:p w14:paraId="180FE524" w14:textId="77777777" w:rsidR="00AB41DA" w:rsidRPr="00A450DF" w:rsidRDefault="00AB41DA" w:rsidP="00AB41DA">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w:t>
            </w:r>
          </w:p>
        </w:tc>
      </w:tr>
      <w:tr w:rsidR="00AB41DA" w:rsidRPr="00A450DF" w14:paraId="66500A03" w14:textId="77777777" w:rsidTr="00DF1D30">
        <w:trPr>
          <w:trHeight w:hRule="exact" w:val="145"/>
          <w:jc w:val="center"/>
        </w:trPr>
        <w:tc>
          <w:tcPr>
            <w:tcW w:w="1690" w:type="dxa"/>
            <w:shd w:val="clear" w:color="auto" w:fill="auto"/>
            <w:tcMar>
              <w:top w:w="20" w:type="dxa"/>
              <w:left w:w="20" w:type="dxa"/>
              <w:bottom w:w="20" w:type="dxa"/>
              <w:right w:w="20" w:type="dxa"/>
            </w:tcMar>
          </w:tcPr>
          <w:p w14:paraId="1B076750"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246" w:type="dxa"/>
            <w:shd w:val="clear" w:color="auto" w:fill="auto"/>
            <w:tcMar>
              <w:top w:w="20" w:type="dxa"/>
              <w:left w:w="20" w:type="dxa"/>
              <w:bottom w:w="20" w:type="dxa"/>
              <w:right w:w="20" w:type="dxa"/>
            </w:tcMar>
          </w:tcPr>
          <w:p w14:paraId="06132F06"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6208" w:type="dxa"/>
            <w:shd w:val="clear" w:color="auto" w:fill="auto"/>
            <w:tcMar>
              <w:top w:w="20" w:type="dxa"/>
              <w:left w:w="20" w:type="dxa"/>
              <w:bottom w:w="20" w:type="dxa"/>
              <w:right w:w="20" w:type="dxa"/>
            </w:tcMar>
          </w:tcPr>
          <w:p w14:paraId="28FFAD2F"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1690" w:type="dxa"/>
            <w:shd w:val="clear" w:color="auto" w:fill="auto"/>
            <w:tcMar>
              <w:top w:w="20" w:type="dxa"/>
              <w:left w:w="20" w:type="dxa"/>
              <w:bottom w:w="20" w:type="dxa"/>
              <w:right w:w="20" w:type="dxa"/>
            </w:tcMar>
          </w:tcPr>
          <w:p w14:paraId="73A399CC"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r>
      <w:tr w:rsidR="00AB41DA" w:rsidRPr="00A450DF" w14:paraId="669EE9A6" w14:textId="77777777" w:rsidTr="00DF1D30">
        <w:trPr>
          <w:trHeight w:val="211"/>
          <w:jc w:val="center"/>
        </w:trPr>
        <w:tc>
          <w:tcPr>
            <w:tcW w:w="1690" w:type="dxa"/>
            <w:shd w:val="clear" w:color="auto" w:fill="auto"/>
            <w:tcMar>
              <w:top w:w="20" w:type="dxa"/>
              <w:left w:w="20" w:type="dxa"/>
              <w:bottom w:w="20" w:type="dxa"/>
              <w:right w:w="20" w:type="dxa"/>
            </w:tcMar>
          </w:tcPr>
          <w:p w14:paraId="279D0C4D"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0</w:t>
            </w:r>
          </w:p>
        </w:tc>
        <w:tc>
          <w:tcPr>
            <w:tcW w:w="246" w:type="dxa"/>
            <w:shd w:val="clear" w:color="auto" w:fill="auto"/>
            <w:tcMar>
              <w:top w:w="20" w:type="dxa"/>
              <w:left w:w="20" w:type="dxa"/>
              <w:bottom w:w="20" w:type="dxa"/>
              <w:right w:w="20" w:type="dxa"/>
            </w:tcMar>
          </w:tcPr>
          <w:p w14:paraId="4EEDBF70" w14:textId="77777777" w:rsidR="00AB41DA" w:rsidRPr="00A450DF" w:rsidRDefault="00AB41DA" w:rsidP="00AB41DA">
            <w:pPr>
              <w:pStyle w:val="T1TableStyle"/>
              <w:jc w:val="center"/>
              <w:rPr>
                <w:rFonts w:ascii="Verdana" w:eastAsia="Verdana" w:hAnsi="Verdana" w:cs="Verdana"/>
                <w:color w:val="000000"/>
                <w:sz w:val="2"/>
                <w:szCs w:val="22"/>
                <w:lang w:val="en-GB"/>
              </w:rPr>
            </w:pPr>
            <w:r w:rsidRPr="00A450DF">
              <w:rPr>
                <w:rFonts w:ascii="Verdana" w:eastAsia="Verdana" w:hAnsi="Verdana" w:cs="Verdana"/>
                <w:color w:val="000000"/>
                <w:sz w:val="2"/>
                <w:szCs w:val="22"/>
                <w:lang w:val="en-GB"/>
              </w:rPr>
              <w:t xml:space="preserve"> </w:t>
            </w:r>
          </w:p>
        </w:tc>
        <w:tc>
          <w:tcPr>
            <w:tcW w:w="6208" w:type="dxa"/>
            <w:shd w:val="clear" w:color="auto" w:fill="auto"/>
            <w:tcMar>
              <w:top w:w="20" w:type="dxa"/>
              <w:left w:w="20" w:type="dxa"/>
              <w:bottom w:w="20" w:type="dxa"/>
              <w:right w:w="20" w:type="dxa"/>
            </w:tcMar>
          </w:tcPr>
          <w:p w14:paraId="11D600E2" w14:textId="77777777" w:rsidR="00AB41DA" w:rsidRPr="00A450DF" w:rsidRDefault="00AB41DA" w:rsidP="00AB41DA">
            <w:pPr>
              <w:pStyle w:val="T1TableStyle"/>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Cash and cash equivalents at the beginning of the reporting period</w:t>
            </w:r>
          </w:p>
        </w:tc>
        <w:tc>
          <w:tcPr>
            <w:tcW w:w="1690" w:type="dxa"/>
            <w:shd w:val="clear" w:color="auto" w:fill="auto"/>
            <w:tcMar>
              <w:top w:w="20" w:type="dxa"/>
              <w:left w:w="20" w:type="dxa"/>
              <w:bottom w:w="20" w:type="dxa"/>
              <w:right w:w="20" w:type="dxa"/>
            </w:tcMar>
          </w:tcPr>
          <w:p w14:paraId="59ECA5BB" w14:textId="77777777" w:rsidR="00AB41DA" w:rsidRPr="00A450DF" w:rsidRDefault="00AB41DA" w:rsidP="00AB41DA">
            <w:pPr>
              <w:pStyle w:val="T1TableStyle"/>
              <w:jc w:val="right"/>
              <w:rPr>
                <w:rFonts w:ascii="Verdana" w:eastAsia="Verdana" w:hAnsi="Verdana" w:cs="Verdana"/>
                <w:color w:val="000000"/>
                <w:sz w:val="16"/>
                <w:szCs w:val="22"/>
                <w:lang w:val="en-GB"/>
              </w:rPr>
            </w:pPr>
            <w:r w:rsidRPr="00A450DF">
              <w:rPr>
                <w:rFonts w:ascii="Verdana" w:eastAsia="Verdana" w:hAnsi="Verdana" w:cs="Verdana"/>
                <w:color w:val="000000"/>
                <w:sz w:val="16"/>
                <w:szCs w:val="22"/>
                <w:lang w:val="en-GB"/>
              </w:rPr>
              <w:t>0</w:t>
            </w:r>
          </w:p>
        </w:tc>
      </w:tr>
      <w:tr w:rsidR="00AB41DA" w:rsidRPr="00A450DF" w14:paraId="7F2DD323" w14:textId="77777777" w:rsidTr="00B24845">
        <w:trPr>
          <w:trHeight w:val="279"/>
          <w:jc w:val="center"/>
        </w:trPr>
        <w:tc>
          <w:tcPr>
            <w:tcW w:w="1690" w:type="dxa"/>
            <w:tcBorders>
              <w:top w:val="single" w:sz="2" w:space="0" w:color="000000"/>
              <w:bottom w:val="single" w:sz="12" w:space="0" w:color="000000"/>
            </w:tcBorders>
            <w:shd w:val="clear" w:color="auto" w:fill="auto"/>
            <w:tcMar>
              <w:top w:w="20" w:type="dxa"/>
              <w:left w:w="20" w:type="dxa"/>
              <w:bottom w:w="20" w:type="dxa"/>
              <w:right w:w="20" w:type="dxa"/>
            </w:tcMar>
          </w:tcPr>
          <w:p w14:paraId="797662AA" w14:textId="77777777" w:rsidR="00AB41DA" w:rsidRPr="00A450DF" w:rsidRDefault="00AB41DA" w:rsidP="00AB41DA">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w:t>
            </w:r>
          </w:p>
        </w:tc>
        <w:tc>
          <w:tcPr>
            <w:tcW w:w="246" w:type="dxa"/>
            <w:tcBorders>
              <w:top w:val="single" w:sz="2" w:space="0" w:color="000000"/>
              <w:bottom w:val="single" w:sz="12" w:space="0" w:color="000000"/>
            </w:tcBorders>
            <w:shd w:val="clear" w:color="auto" w:fill="auto"/>
            <w:tcMar>
              <w:top w:w="20" w:type="dxa"/>
              <w:left w:w="20" w:type="dxa"/>
              <w:bottom w:w="20" w:type="dxa"/>
              <w:right w:w="20" w:type="dxa"/>
            </w:tcMar>
          </w:tcPr>
          <w:p w14:paraId="4DB3FA09" w14:textId="77777777" w:rsidR="00AB41DA" w:rsidRPr="00A450DF" w:rsidRDefault="00AB41DA" w:rsidP="00AB41DA">
            <w:pPr>
              <w:pStyle w:val="T1TableStyle"/>
              <w:jc w:val="center"/>
              <w:rPr>
                <w:rFonts w:ascii="Verdana" w:eastAsia="Verdana" w:hAnsi="Verdana" w:cs="Verdana"/>
                <w:b/>
                <w:color w:val="000000"/>
                <w:sz w:val="2"/>
                <w:szCs w:val="22"/>
                <w:lang w:val="en-GB"/>
              </w:rPr>
            </w:pPr>
            <w:r w:rsidRPr="00A450DF">
              <w:rPr>
                <w:rFonts w:ascii="Verdana" w:eastAsia="Verdana" w:hAnsi="Verdana" w:cs="Verdana"/>
                <w:b/>
                <w:color w:val="000000"/>
                <w:sz w:val="2"/>
                <w:szCs w:val="22"/>
                <w:lang w:val="en-GB"/>
              </w:rPr>
              <w:t xml:space="preserve"> </w:t>
            </w:r>
          </w:p>
        </w:tc>
        <w:tc>
          <w:tcPr>
            <w:tcW w:w="6208" w:type="dxa"/>
            <w:tcBorders>
              <w:top w:val="single" w:sz="2" w:space="0" w:color="000000"/>
              <w:bottom w:val="single" w:sz="12" w:space="0" w:color="000000"/>
            </w:tcBorders>
            <w:shd w:val="clear" w:color="auto" w:fill="auto"/>
            <w:tcMar>
              <w:top w:w="20" w:type="dxa"/>
              <w:left w:w="20" w:type="dxa"/>
              <w:bottom w:w="20" w:type="dxa"/>
              <w:right w:w="20" w:type="dxa"/>
            </w:tcMar>
          </w:tcPr>
          <w:p w14:paraId="0C8C02DD" w14:textId="77777777" w:rsidR="00AB41DA" w:rsidRPr="00A450DF" w:rsidRDefault="00AB41DA" w:rsidP="00AB41DA">
            <w:pPr>
              <w:pStyle w:val="T1TableStyle"/>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Cash and cash equivalents at the end of the reporting period</w:t>
            </w:r>
          </w:p>
        </w:tc>
        <w:tc>
          <w:tcPr>
            <w:tcW w:w="1690" w:type="dxa"/>
            <w:tcBorders>
              <w:top w:val="single" w:sz="2" w:space="0" w:color="000000"/>
              <w:bottom w:val="single" w:sz="12" w:space="0" w:color="000000"/>
            </w:tcBorders>
            <w:shd w:val="clear" w:color="auto" w:fill="auto"/>
            <w:tcMar>
              <w:top w:w="20" w:type="dxa"/>
              <w:left w:w="20" w:type="dxa"/>
              <w:bottom w:w="20" w:type="dxa"/>
              <w:right w:w="20" w:type="dxa"/>
            </w:tcMar>
          </w:tcPr>
          <w:p w14:paraId="725698B9" w14:textId="77777777" w:rsidR="00AB41DA" w:rsidRPr="00A450DF" w:rsidRDefault="00AB41DA" w:rsidP="00AB41DA">
            <w:pPr>
              <w:pStyle w:val="T1TableStyle"/>
              <w:jc w:val="right"/>
              <w:rPr>
                <w:rFonts w:ascii="Verdana" w:eastAsia="Verdana" w:hAnsi="Verdana" w:cs="Verdana"/>
                <w:b/>
                <w:color w:val="000000"/>
                <w:sz w:val="16"/>
                <w:szCs w:val="22"/>
                <w:lang w:val="en-GB"/>
              </w:rPr>
            </w:pPr>
            <w:r w:rsidRPr="00A450DF">
              <w:rPr>
                <w:rFonts w:ascii="Verdana" w:eastAsia="Verdana" w:hAnsi="Verdana" w:cs="Verdana"/>
                <w:b/>
                <w:color w:val="000000"/>
                <w:sz w:val="16"/>
                <w:szCs w:val="22"/>
                <w:lang w:val="en-GB"/>
              </w:rPr>
              <w:t>0</w:t>
            </w:r>
          </w:p>
        </w:tc>
      </w:tr>
    </w:tbl>
    <w:p w14:paraId="1C09CF24" w14:textId="77777777" w:rsidR="00F227D9" w:rsidRPr="00EA23A9" w:rsidRDefault="00F227D9">
      <w:pPr>
        <w:pStyle w:val="Normal0"/>
        <w:spacing w:after="160" w:line="259" w:lineRule="auto"/>
        <w:rPr>
          <w:rFonts w:ascii="Verdana" w:hAnsi="Verdana"/>
          <w:sz w:val="22"/>
          <w:szCs w:val="22"/>
          <w:lang w:val="pt-BR"/>
        </w:rPr>
        <w:sectPr w:rsidR="00F227D9" w:rsidRPr="00EA23A9" w:rsidSect="00B54A0C">
          <w:type w:val="continuous"/>
          <w:pgSz w:w="16840" w:h="11900" w:orient="landscape"/>
          <w:pgMar w:top="709" w:right="720" w:bottom="567" w:left="720" w:header="708" w:footer="708" w:gutter="0"/>
          <w:cols w:space="708"/>
          <w:docGrid w:linePitch="360"/>
        </w:sectPr>
      </w:pPr>
    </w:p>
    <w:p w14:paraId="3F5C616F" w14:textId="77777777" w:rsidR="00F227D9" w:rsidRPr="00EA23A9" w:rsidRDefault="00F227D9" w:rsidP="00F227D9">
      <w:pPr>
        <w:pStyle w:val="Heading1"/>
        <w:spacing w:after="240"/>
        <w:rPr>
          <w:lang w:val="pt-BR"/>
        </w:rPr>
      </w:pPr>
      <w:bookmarkStart w:id="9" w:name="_Toc77095560"/>
      <w:r w:rsidRPr="00EA23A9">
        <w:rPr>
          <w:lang w:val="pt-BR"/>
        </w:rPr>
        <w:t>Note 1 - Critical Judgements in Applying Accounting Policies</w:t>
      </w:r>
      <w:bookmarkEnd w:id="9"/>
      <w:r w:rsidRPr="00EA23A9">
        <w:rPr>
          <w:lang w:val="pt-BR"/>
        </w:rPr>
        <w:t xml:space="preserve"> </w:t>
      </w:r>
    </w:p>
    <w:p w14:paraId="5612B27E" w14:textId="77777777" w:rsidR="00EB0483" w:rsidRPr="00EA23A9" w:rsidRDefault="00EB0483" w:rsidP="00EB0483">
      <w:pPr>
        <w:pStyle w:val="Normal0"/>
        <w:spacing w:after="160"/>
        <w:jc w:val="both"/>
        <w:rPr>
          <w:rFonts w:ascii="Verdana" w:eastAsia="Verdana" w:hAnsi="Verdana" w:cs="Verdana"/>
          <w:sz w:val="22"/>
          <w:szCs w:val="22"/>
          <w:lang w:val="en-GB"/>
        </w:rPr>
      </w:pPr>
      <w:r w:rsidRPr="00EA23A9">
        <w:rPr>
          <w:rFonts w:ascii="Verdana" w:eastAsia="Verdana" w:hAnsi="Verdana" w:cs="Verdana"/>
          <w:sz w:val="22"/>
          <w:szCs w:val="22"/>
          <w:lang w:val="en-GB"/>
        </w:rPr>
        <w:t>The preparation of the financial statements requires the Group to make judgements, estimates and assumptions that affect the application of policies and reporting amounts of assets and liabilities, income and expenditure. The estimates and associated assumptions are based on historical experience and various other factors, the results of which form the basis of making judgements about the carrying values of assets and liabilities that are not readily apparent from other sources.</w:t>
      </w:r>
    </w:p>
    <w:p w14:paraId="26567D71" w14:textId="77777777" w:rsidR="00F227D9" w:rsidRPr="00EA23A9" w:rsidRDefault="00F227D9" w:rsidP="007D3C35">
      <w:pPr>
        <w:pStyle w:val="Normal0"/>
        <w:spacing w:after="160"/>
        <w:jc w:val="both"/>
        <w:rPr>
          <w:rFonts w:ascii="Verdana" w:eastAsia="Verdana" w:hAnsi="Verdana" w:cs="Verdana"/>
          <w:sz w:val="22"/>
          <w:szCs w:val="22"/>
          <w:lang w:val="en-GB"/>
        </w:rPr>
      </w:pPr>
      <w:r w:rsidRPr="00EA23A9">
        <w:rPr>
          <w:rFonts w:ascii="Verdana" w:eastAsia="Verdana" w:hAnsi="Verdana" w:cs="Verdana"/>
          <w:sz w:val="22"/>
          <w:szCs w:val="22"/>
          <w:lang w:val="en-GB"/>
        </w:rPr>
        <w:t>In applying the accounting policies</w:t>
      </w:r>
      <w:r w:rsidR="00EB0483" w:rsidRPr="00EA23A9">
        <w:rPr>
          <w:rFonts w:ascii="Verdana" w:eastAsia="Verdana" w:hAnsi="Verdana" w:cs="Verdana"/>
          <w:sz w:val="22"/>
          <w:szCs w:val="22"/>
          <w:lang w:val="en-GB"/>
        </w:rPr>
        <w:t xml:space="preserve"> set out in </w:t>
      </w:r>
      <w:r w:rsidR="00EB0483" w:rsidRPr="00DC1077">
        <w:rPr>
          <w:rFonts w:ascii="Verdana" w:eastAsia="Verdana" w:hAnsi="Verdana" w:cs="Verdana"/>
          <w:sz w:val="22"/>
          <w:szCs w:val="22"/>
          <w:highlight w:val="yellow"/>
          <w:lang w:val="en-GB"/>
        </w:rPr>
        <w:t xml:space="preserve">Note </w:t>
      </w:r>
      <w:r w:rsidR="00CC6FE1" w:rsidRPr="00DC1077">
        <w:rPr>
          <w:rFonts w:ascii="Verdana" w:eastAsia="Verdana" w:hAnsi="Verdana" w:cs="Verdana"/>
          <w:sz w:val="22"/>
          <w:szCs w:val="22"/>
          <w:highlight w:val="yellow"/>
          <w:lang w:val="en-GB"/>
        </w:rPr>
        <w:t>22</w:t>
      </w:r>
      <w:r w:rsidRPr="00EA23A9">
        <w:rPr>
          <w:rFonts w:ascii="Verdana" w:eastAsia="Verdana" w:hAnsi="Verdana" w:cs="Verdana"/>
          <w:sz w:val="22"/>
          <w:szCs w:val="22"/>
          <w:lang w:val="en-GB"/>
        </w:rPr>
        <w:t>, the PCC Group has had to make certain judgements about complex transactions or those involving uncertainty about future events. The judgements made by the PCC are included in the PCC Group accounts, those relevant to the Chief Constable’s finance statements are:</w:t>
      </w:r>
    </w:p>
    <w:p w14:paraId="5F172094" w14:textId="77777777" w:rsidR="00F227D9" w:rsidRPr="00EA23A9" w:rsidRDefault="00F227D9" w:rsidP="007D3C35">
      <w:pPr>
        <w:pStyle w:val="Normal0"/>
        <w:spacing w:after="160"/>
        <w:jc w:val="both"/>
        <w:rPr>
          <w:rFonts w:ascii="Verdana" w:eastAsia="Verdana" w:hAnsi="Verdana" w:cs="Verdana"/>
          <w:sz w:val="22"/>
          <w:szCs w:val="22"/>
          <w:lang w:val="en-GB"/>
        </w:rPr>
      </w:pPr>
      <w:r w:rsidRPr="00EA23A9">
        <w:rPr>
          <w:rFonts w:ascii="Verdana" w:eastAsia="Verdana" w:hAnsi="Verdana" w:cs="Verdana"/>
          <w:sz w:val="22"/>
          <w:szCs w:val="22"/>
          <w:lang w:val="en-GB"/>
        </w:rPr>
        <w:t>•</w:t>
      </w:r>
      <w:r w:rsidRPr="00EA23A9">
        <w:rPr>
          <w:rFonts w:ascii="Verdana" w:eastAsia="Verdana" w:hAnsi="Verdana" w:cs="Verdana"/>
          <w:sz w:val="22"/>
          <w:szCs w:val="22"/>
          <w:lang w:val="en-GB"/>
        </w:rPr>
        <w:tab/>
      </w:r>
      <w:r w:rsidRPr="00EA23A9">
        <w:rPr>
          <w:rFonts w:ascii="Verdana" w:eastAsia="Verdana" w:hAnsi="Verdana" w:cs="Verdana"/>
          <w:b/>
          <w:sz w:val="22"/>
          <w:szCs w:val="22"/>
          <w:lang w:val="en-GB"/>
        </w:rPr>
        <w:t>Future levels</w:t>
      </w:r>
      <w:r w:rsidR="00EB0483" w:rsidRPr="00EA23A9">
        <w:rPr>
          <w:rFonts w:ascii="Verdana" w:eastAsia="Verdana" w:hAnsi="Verdana" w:cs="Verdana"/>
          <w:b/>
          <w:sz w:val="22"/>
          <w:szCs w:val="22"/>
          <w:lang w:val="en-GB"/>
        </w:rPr>
        <w:t xml:space="preserve"> of funding for Local Government</w:t>
      </w:r>
      <w:r w:rsidRPr="00EA23A9">
        <w:rPr>
          <w:rFonts w:ascii="Verdana" w:eastAsia="Verdana" w:hAnsi="Verdana" w:cs="Verdana"/>
          <w:sz w:val="22"/>
          <w:szCs w:val="22"/>
          <w:lang w:val="en-GB"/>
        </w:rPr>
        <w:t xml:space="preserve"> – there is a degree of uncertainty about future levels of funding for Police and Crime Commissioners. However, the Group has determined that this uncertainty is not yet sufficient to provide an indication that the assets of the Group might be impaired as a result of a need to close facilities and reduce levels of service provision.</w:t>
      </w:r>
    </w:p>
    <w:p w14:paraId="1549C761" w14:textId="77777777" w:rsidR="00F227D9" w:rsidRPr="00EA23A9" w:rsidRDefault="00F227D9" w:rsidP="007D3C35">
      <w:pPr>
        <w:pStyle w:val="Normal0"/>
        <w:spacing w:after="160"/>
        <w:jc w:val="both"/>
        <w:rPr>
          <w:rFonts w:ascii="Verdana" w:eastAsia="Verdana" w:hAnsi="Verdana" w:cs="Verdana"/>
          <w:sz w:val="22"/>
          <w:szCs w:val="22"/>
          <w:lang w:val="en-GB"/>
        </w:rPr>
      </w:pPr>
      <w:r w:rsidRPr="00EA23A9">
        <w:rPr>
          <w:rFonts w:ascii="Verdana" w:eastAsia="Verdana" w:hAnsi="Verdana" w:cs="Verdana"/>
          <w:sz w:val="22"/>
          <w:szCs w:val="22"/>
          <w:lang w:val="en-GB"/>
        </w:rPr>
        <w:t>•</w:t>
      </w:r>
      <w:r w:rsidRPr="00EA23A9">
        <w:rPr>
          <w:rFonts w:ascii="Verdana" w:eastAsia="Verdana" w:hAnsi="Verdana" w:cs="Verdana"/>
          <w:sz w:val="22"/>
          <w:szCs w:val="22"/>
          <w:lang w:val="en-GB"/>
        </w:rPr>
        <w:tab/>
      </w:r>
      <w:r w:rsidRPr="00EA23A9">
        <w:rPr>
          <w:rFonts w:ascii="Verdana" w:eastAsia="Verdana" w:hAnsi="Verdana" w:cs="Verdana"/>
          <w:b/>
          <w:sz w:val="22"/>
          <w:szCs w:val="22"/>
          <w:lang w:val="en-GB"/>
        </w:rPr>
        <w:t>Income &amp; Expenditure</w:t>
      </w:r>
      <w:r w:rsidRPr="00EA23A9">
        <w:rPr>
          <w:rFonts w:ascii="Verdana" w:eastAsia="Verdana" w:hAnsi="Verdana" w:cs="Verdana"/>
          <w:sz w:val="22"/>
          <w:szCs w:val="22"/>
          <w:lang w:val="en-GB"/>
        </w:rPr>
        <w:t xml:space="preserve"> – a judgement has been made regarding the recognition of income and expenditure between the Police and Crime Commissioner’s and Chief Constable’s accounts to reflect financial resources of the </w:t>
      </w:r>
      <w:r w:rsidR="00D81043" w:rsidRPr="00EA23A9">
        <w:rPr>
          <w:rFonts w:ascii="Verdana" w:eastAsia="Verdana" w:hAnsi="Verdana" w:cs="Verdana"/>
          <w:sz w:val="22"/>
          <w:szCs w:val="22"/>
          <w:lang w:val="en-GB"/>
        </w:rPr>
        <w:t>PCC</w:t>
      </w:r>
      <w:r w:rsidRPr="00EA23A9">
        <w:rPr>
          <w:rFonts w:ascii="Verdana" w:eastAsia="Verdana" w:hAnsi="Verdana" w:cs="Verdana"/>
          <w:sz w:val="22"/>
          <w:szCs w:val="22"/>
          <w:lang w:val="en-GB"/>
        </w:rPr>
        <w:t xml:space="preserve"> consumed at the request of the Chief Constable. </w:t>
      </w:r>
      <w:r w:rsidR="00D02B10" w:rsidRPr="00EA23A9">
        <w:rPr>
          <w:rFonts w:ascii="Verdana" w:eastAsia="Verdana" w:hAnsi="Verdana" w:cs="Verdana"/>
          <w:sz w:val="22"/>
          <w:szCs w:val="22"/>
          <w:lang w:val="en-GB"/>
        </w:rPr>
        <w:t xml:space="preserve">The basis adopted for this allocation was determined by the Group in accordance with the subjective activities for each corporate body included in the CIES. In arriving at this approach, interested parties, including senior management in both corporate bodies were consulted and careful consideration given to the Police Reform and Social Responsibility Act 2011 and Home Office guidance. All income/expenditure is received/paid by the PCC, and no actual cash transaction or events take place between the two entities. </w:t>
      </w:r>
      <w:r w:rsidRPr="00EA23A9">
        <w:rPr>
          <w:rFonts w:ascii="Verdana" w:eastAsia="Verdana" w:hAnsi="Verdana" w:cs="Verdana"/>
          <w:sz w:val="22"/>
          <w:szCs w:val="22"/>
          <w:lang w:val="en-GB"/>
        </w:rPr>
        <w:t xml:space="preserve"> </w:t>
      </w:r>
    </w:p>
    <w:p w14:paraId="4A728025" w14:textId="77777777" w:rsidR="00F227D9" w:rsidRPr="00EA23A9" w:rsidRDefault="00F227D9" w:rsidP="007D3C35">
      <w:pPr>
        <w:pStyle w:val="Normal0"/>
        <w:spacing w:after="160"/>
        <w:jc w:val="both"/>
        <w:rPr>
          <w:rFonts w:ascii="Verdana" w:eastAsia="Verdana" w:hAnsi="Verdana" w:cs="Verdana"/>
          <w:sz w:val="22"/>
          <w:szCs w:val="22"/>
          <w:lang w:val="en-GB"/>
        </w:rPr>
      </w:pPr>
      <w:r w:rsidRPr="00EA23A9">
        <w:rPr>
          <w:rFonts w:ascii="Verdana" w:eastAsia="Verdana" w:hAnsi="Verdana" w:cs="Verdana"/>
          <w:sz w:val="22"/>
          <w:szCs w:val="22"/>
          <w:lang w:val="en-GB"/>
        </w:rPr>
        <w:t>•</w:t>
      </w:r>
      <w:r w:rsidRPr="00EA23A9">
        <w:rPr>
          <w:rFonts w:ascii="Verdana" w:eastAsia="Verdana" w:hAnsi="Verdana" w:cs="Verdana"/>
          <w:sz w:val="22"/>
          <w:szCs w:val="22"/>
          <w:lang w:val="en-GB"/>
        </w:rPr>
        <w:tab/>
      </w:r>
      <w:r w:rsidRPr="00EA23A9">
        <w:rPr>
          <w:rFonts w:ascii="Verdana" w:eastAsia="Verdana" w:hAnsi="Verdana" w:cs="Verdana"/>
          <w:b/>
          <w:sz w:val="22"/>
          <w:szCs w:val="22"/>
          <w:lang w:val="en-GB"/>
        </w:rPr>
        <w:t>Comprehensive Income and Expenditure Statement (CIES)</w:t>
      </w:r>
      <w:r w:rsidRPr="00EA23A9">
        <w:rPr>
          <w:rFonts w:ascii="Verdana" w:eastAsia="Verdana" w:hAnsi="Verdana" w:cs="Verdana"/>
          <w:sz w:val="22"/>
          <w:szCs w:val="22"/>
          <w:lang w:val="en-GB"/>
        </w:rPr>
        <w:t xml:space="preserve"> - Under CIPFA guidance the CIES is reported on the basis of organisation structure, reflecting the way in which the organisation operates or manages its services. For Surrey Police the CIES has been set out to show costs subjectively, reflecting the reporting basis for the monthly corporate report that is written for both the Chief Officer Group and the PCC.</w:t>
      </w:r>
    </w:p>
    <w:p w14:paraId="25AAF637" w14:textId="77777777" w:rsidR="00F227D9" w:rsidRPr="00EA23A9" w:rsidRDefault="00F227D9" w:rsidP="007D3C35">
      <w:pPr>
        <w:pStyle w:val="Normal0"/>
        <w:spacing w:after="160"/>
        <w:jc w:val="both"/>
        <w:rPr>
          <w:rFonts w:ascii="Verdana" w:eastAsia="Verdana" w:hAnsi="Verdana" w:cs="Verdana"/>
          <w:sz w:val="22"/>
          <w:szCs w:val="22"/>
          <w:lang w:val="en-GB"/>
        </w:rPr>
      </w:pPr>
      <w:r w:rsidRPr="00EA23A9">
        <w:rPr>
          <w:rFonts w:ascii="Verdana" w:eastAsia="Verdana" w:hAnsi="Verdana" w:cs="Verdana"/>
          <w:sz w:val="22"/>
          <w:szCs w:val="22"/>
          <w:lang w:val="en-GB"/>
        </w:rPr>
        <w:t>•</w:t>
      </w:r>
      <w:r w:rsidRPr="00EA23A9">
        <w:rPr>
          <w:rFonts w:ascii="Verdana" w:eastAsia="Verdana" w:hAnsi="Verdana" w:cs="Verdana"/>
          <w:sz w:val="22"/>
          <w:szCs w:val="22"/>
          <w:lang w:val="en-GB"/>
        </w:rPr>
        <w:tab/>
      </w:r>
      <w:r w:rsidRPr="00EA23A9">
        <w:rPr>
          <w:rFonts w:ascii="Verdana" w:eastAsia="Verdana" w:hAnsi="Verdana" w:cs="Verdana"/>
          <w:b/>
          <w:sz w:val="22"/>
          <w:szCs w:val="22"/>
          <w:lang w:val="en-GB"/>
        </w:rPr>
        <w:t>Working capital</w:t>
      </w:r>
      <w:r w:rsidRPr="00EA23A9">
        <w:rPr>
          <w:rFonts w:ascii="Verdana" w:eastAsia="Verdana" w:hAnsi="Verdana" w:cs="Verdana"/>
          <w:sz w:val="22"/>
          <w:szCs w:val="22"/>
          <w:lang w:val="en-GB"/>
        </w:rPr>
        <w:t xml:space="preserve"> – </w:t>
      </w:r>
      <w:r w:rsidR="00D81043" w:rsidRPr="00EA23A9">
        <w:rPr>
          <w:rFonts w:ascii="Verdana" w:eastAsia="Verdana" w:hAnsi="Verdana" w:cs="Verdana"/>
          <w:sz w:val="22"/>
          <w:szCs w:val="22"/>
          <w:lang w:val="en-GB"/>
        </w:rPr>
        <w:t>W</w:t>
      </w:r>
      <w:r w:rsidR="00D02B10" w:rsidRPr="00EA23A9">
        <w:rPr>
          <w:rFonts w:ascii="Verdana" w:eastAsia="Verdana" w:hAnsi="Verdana" w:cs="Verdana"/>
          <w:sz w:val="22"/>
          <w:szCs w:val="22"/>
          <w:lang w:val="en-GB"/>
        </w:rPr>
        <w:t xml:space="preserve">orking capital </w:t>
      </w:r>
      <w:r w:rsidR="00D81043" w:rsidRPr="00EA23A9">
        <w:rPr>
          <w:rFonts w:ascii="Verdana" w:eastAsia="Verdana" w:hAnsi="Verdana" w:cs="Verdana"/>
          <w:sz w:val="22"/>
          <w:szCs w:val="22"/>
          <w:lang w:val="en-GB"/>
        </w:rPr>
        <w:t>has been judged as being</w:t>
      </w:r>
      <w:r w:rsidR="00D02B10" w:rsidRPr="00EA23A9">
        <w:rPr>
          <w:rFonts w:ascii="Verdana" w:eastAsia="Verdana" w:hAnsi="Verdana" w:cs="Verdana"/>
          <w:sz w:val="22"/>
          <w:szCs w:val="22"/>
          <w:lang w:val="en-GB"/>
        </w:rPr>
        <w:t xml:space="preserve"> attributable</w:t>
      </w:r>
      <w:r w:rsidR="00D81043" w:rsidRPr="00EA23A9">
        <w:rPr>
          <w:rFonts w:ascii="Verdana" w:eastAsia="Verdana" w:hAnsi="Verdana" w:cs="Verdana"/>
          <w:sz w:val="22"/>
          <w:szCs w:val="22"/>
          <w:lang w:val="en-GB"/>
        </w:rPr>
        <w:t xml:space="preserve"> in full</w:t>
      </w:r>
      <w:r w:rsidR="00D02B10" w:rsidRPr="00EA23A9">
        <w:rPr>
          <w:rFonts w:ascii="Verdana" w:eastAsia="Verdana" w:hAnsi="Verdana" w:cs="Verdana"/>
          <w:sz w:val="22"/>
          <w:szCs w:val="22"/>
          <w:lang w:val="en-GB"/>
        </w:rPr>
        <w:t xml:space="preserve"> to the P</w:t>
      </w:r>
      <w:r w:rsidR="00D81043" w:rsidRPr="00EA23A9">
        <w:rPr>
          <w:rFonts w:ascii="Verdana" w:eastAsia="Verdana" w:hAnsi="Verdana" w:cs="Verdana"/>
          <w:sz w:val="22"/>
          <w:szCs w:val="22"/>
          <w:lang w:val="en-GB"/>
        </w:rPr>
        <w:t>CC</w:t>
      </w:r>
      <w:r w:rsidR="00D02B10" w:rsidRPr="00EA23A9">
        <w:rPr>
          <w:rFonts w:ascii="Verdana" w:eastAsia="Verdana" w:hAnsi="Verdana" w:cs="Verdana"/>
          <w:sz w:val="22"/>
          <w:szCs w:val="22"/>
          <w:lang w:val="en-GB"/>
        </w:rPr>
        <w:t>.  The PCC controls the treasury management function and all bank accounts, therefore no working capital balances (cash, current debtors and liabilities) are recognised in the Chief Constable’s Balance Sheet</w:t>
      </w:r>
      <w:r w:rsidRPr="00EA23A9">
        <w:rPr>
          <w:rFonts w:ascii="Verdana" w:eastAsia="Verdana" w:hAnsi="Verdana" w:cs="Verdana"/>
          <w:sz w:val="22"/>
          <w:szCs w:val="22"/>
          <w:lang w:val="en-GB"/>
        </w:rPr>
        <w:t xml:space="preserve">. </w:t>
      </w:r>
    </w:p>
    <w:p w14:paraId="2AB46F9A" w14:textId="77777777" w:rsidR="00D02B10" w:rsidRPr="00C158F9" w:rsidRDefault="00D02B10" w:rsidP="00D02B10">
      <w:pPr>
        <w:pStyle w:val="Normal0"/>
        <w:spacing w:after="160"/>
        <w:jc w:val="both"/>
        <w:rPr>
          <w:rFonts w:ascii="Verdana" w:eastAsia="Verdana" w:hAnsi="Verdana" w:cs="Verdana"/>
          <w:sz w:val="22"/>
          <w:szCs w:val="22"/>
          <w:lang w:val="en-GB"/>
        </w:rPr>
      </w:pPr>
      <w:r w:rsidRPr="00EA23A9">
        <w:rPr>
          <w:rFonts w:ascii="Verdana" w:eastAsia="Verdana" w:hAnsi="Verdana" w:cs="Verdana"/>
          <w:sz w:val="22"/>
          <w:szCs w:val="22"/>
          <w:lang w:val="en-GB"/>
        </w:rPr>
        <w:t>•</w:t>
      </w:r>
      <w:r w:rsidRPr="00EA23A9">
        <w:rPr>
          <w:rFonts w:ascii="Verdana" w:eastAsia="Verdana" w:hAnsi="Verdana" w:cs="Verdana"/>
          <w:sz w:val="22"/>
          <w:szCs w:val="22"/>
          <w:lang w:val="en-GB"/>
        </w:rPr>
        <w:tab/>
      </w:r>
      <w:r w:rsidR="00D81043" w:rsidRPr="00EA23A9">
        <w:rPr>
          <w:rFonts w:ascii="Verdana" w:eastAsia="Verdana" w:hAnsi="Verdana" w:cs="Verdana"/>
          <w:b/>
          <w:sz w:val="22"/>
          <w:szCs w:val="22"/>
          <w:lang w:val="en-GB"/>
        </w:rPr>
        <w:t>Employee benefit accrual for</w:t>
      </w:r>
      <w:r w:rsidR="00D81043" w:rsidRPr="00EA23A9">
        <w:rPr>
          <w:rFonts w:ascii="Verdana" w:eastAsia="Verdana" w:hAnsi="Verdana" w:cs="Verdana"/>
          <w:sz w:val="22"/>
          <w:szCs w:val="22"/>
          <w:lang w:val="en-GB"/>
        </w:rPr>
        <w:t xml:space="preserve"> </w:t>
      </w:r>
      <w:r w:rsidR="00D81043" w:rsidRPr="00EA23A9">
        <w:rPr>
          <w:rFonts w:ascii="Verdana" w:eastAsia="Verdana" w:hAnsi="Verdana" w:cs="Verdana"/>
          <w:b/>
          <w:sz w:val="22"/>
          <w:szCs w:val="22"/>
          <w:lang w:val="en-GB"/>
        </w:rPr>
        <w:t>a</w:t>
      </w:r>
      <w:r w:rsidRPr="00EA23A9">
        <w:rPr>
          <w:rFonts w:ascii="Verdana" w:eastAsia="Verdana" w:hAnsi="Verdana" w:cs="Verdana"/>
          <w:b/>
          <w:sz w:val="22"/>
          <w:szCs w:val="22"/>
          <w:lang w:val="en-GB"/>
        </w:rPr>
        <w:t>ccumulated absences</w:t>
      </w:r>
      <w:r w:rsidRPr="00EA23A9">
        <w:rPr>
          <w:rFonts w:ascii="Verdana" w:eastAsia="Verdana" w:hAnsi="Verdana" w:cs="Verdana"/>
          <w:sz w:val="22"/>
          <w:szCs w:val="22"/>
          <w:lang w:val="en-GB"/>
        </w:rPr>
        <w:t xml:space="preserve"> - the PCC has to determine whether the leave accrual should be accounted for in the PCC or Chief Constables accounts. As the majority of employee costs are accounted for in the Chief Constables accounts the leave accrual has been accordingly matched and accounted for on the Chief Constables Balance Sheet. The calculation is based on staff annual leave records and an average cost for </w:t>
      </w:r>
      <w:r w:rsidRPr="00C158F9">
        <w:rPr>
          <w:rFonts w:ascii="Verdana" w:eastAsia="Verdana" w:hAnsi="Verdana" w:cs="Verdana"/>
          <w:sz w:val="22"/>
          <w:szCs w:val="22"/>
          <w:lang w:val="en-GB"/>
        </w:rPr>
        <w:t>each grade.</w:t>
      </w:r>
    </w:p>
    <w:p w14:paraId="595AC3D5" w14:textId="72177D2A" w:rsidR="00951FF1" w:rsidRPr="00C158F9" w:rsidRDefault="00951FF1" w:rsidP="00EA23A9">
      <w:pPr>
        <w:pStyle w:val="Normal0"/>
        <w:spacing w:after="160"/>
        <w:jc w:val="both"/>
        <w:rPr>
          <w:rFonts w:ascii="Verdana" w:hAnsi="Verdana"/>
          <w:sz w:val="22"/>
          <w:szCs w:val="22"/>
          <w:lang w:val="en-GB"/>
        </w:rPr>
      </w:pPr>
      <w:r w:rsidRPr="00C158F9">
        <w:rPr>
          <w:rFonts w:ascii="Verdana" w:eastAsia="Verdana" w:hAnsi="Verdana" w:cs="Verdana"/>
          <w:sz w:val="22"/>
          <w:szCs w:val="22"/>
          <w:lang w:val="en-GB"/>
        </w:rPr>
        <w:t>•</w:t>
      </w:r>
      <w:r w:rsidRPr="00C158F9">
        <w:rPr>
          <w:rFonts w:ascii="Verdana" w:eastAsia="Verdana" w:hAnsi="Verdana" w:cs="Verdana"/>
          <w:sz w:val="22"/>
          <w:szCs w:val="22"/>
          <w:lang w:val="en-GB"/>
        </w:rPr>
        <w:tab/>
      </w:r>
      <w:r w:rsidRPr="00C158F9">
        <w:rPr>
          <w:rFonts w:ascii="Verdana" w:hAnsi="Verdana"/>
          <w:b/>
          <w:sz w:val="22"/>
          <w:szCs w:val="22"/>
          <w:lang w:val="en-GB"/>
        </w:rPr>
        <w:t>Pensions Actuarial Assumptions</w:t>
      </w:r>
      <w:r w:rsidRPr="00C158F9">
        <w:rPr>
          <w:rFonts w:ascii="Verdana" w:hAnsi="Verdana"/>
          <w:sz w:val="22"/>
          <w:szCs w:val="22"/>
          <w:lang w:val="en-GB"/>
        </w:rPr>
        <w:t xml:space="preserve"> – The value of the liabilities for IAS19 purposes is heavily dependent on assumptions made by the Group’s actuaries, Hymans Robertson and GAD. The financial assumptions reflect market expectations at the reporting date. Changes in market conditions that result in changes in the net discount rate (essentially the difference between the discount rate and the assumed rates of increase of salaries, deferred pension revaluation or pension-in-payment) can have a significant effect on the value of the liabilities reported. A reduction in the net discount rate will increase the assessed value of liabilities as a higher value is placed on benefits paid in the future. A rise in the net discount rate will have an opposite effect of similar magnitude. The effect of a change in the net discount rate on the value placed on the liabilities of each scheme is shown in the sensitivity analysis schedule below. There is also uncertainty around the life expectancy of the UK population. The value of current and future pension benefits will depend on how long they are assumed to be in-payment.  The mortality assumptions have changed from the previous accounting period to take account of recent mortality experience.  Life expectancy is based on the Fund’s VitaCurves with improvements in line with the CMI 2018 model, an allowance for smoothing of recent mortality experience and long term rates of improvement of 1.5% p.a. for males and females.</w:t>
      </w:r>
    </w:p>
    <w:p w14:paraId="0A1797E0" w14:textId="77777777" w:rsidR="00951FF1" w:rsidRPr="00C158F9" w:rsidRDefault="00951FF1" w:rsidP="00951FF1">
      <w:pPr>
        <w:jc w:val="both"/>
        <w:rPr>
          <w:rFonts w:ascii="Verdana" w:hAnsi="Verdana"/>
          <w:sz w:val="22"/>
          <w:szCs w:val="22"/>
          <w:lang w:val="en-GB"/>
        </w:rPr>
      </w:pPr>
    </w:p>
    <w:p w14:paraId="462A2984" w14:textId="77777777" w:rsidR="00951FF1" w:rsidRPr="00C158F9" w:rsidRDefault="00951FF1" w:rsidP="00951FF1">
      <w:pPr>
        <w:spacing w:after="160" w:line="256" w:lineRule="auto"/>
        <w:jc w:val="both"/>
        <w:rPr>
          <w:rFonts w:ascii="Verdana" w:eastAsia="Verdana" w:hAnsi="Verdana" w:cs="Verdana"/>
          <w:sz w:val="22"/>
          <w:szCs w:val="22"/>
          <w:lang w:val="en-GB"/>
        </w:rPr>
      </w:pPr>
      <w:r w:rsidRPr="00C158F9">
        <w:rPr>
          <w:rFonts w:ascii="Verdana" w:eastAsia="Verdana" w:hAnsi="Verdana" w:cs="Verdana"/>
          <w:sz w:val="22"/>
          <w:szCs w:val="22"/>
          <w:lang w:val="en-GB"/>
        </w:rPr>
        <w:t>•</w:t>
      </w:r>
      <w:r w:rsidRPr="00C158F9">
        <w:rPr>
          <w:rFonts w:ascii="Verdana" w:eastAsia="Verdana" w:hAnsi="Verdana" w:cs="Verdana"/>
          <w:sz w:val="22"/>
          <w:szCs w:val="22"/>
          <w:lang w:val="en-GB"/>
        </w:rPr>
        <w:tab/>
      </w:r>
      <w:r w:rsidRPr="00C158F9">
        <w:rPr>
          <w:rFonts w:ascii="Verdana" w:eastAsia="Verdana" w:hAnsi="Verdana" w:cs="Verdana"/>
          <w:b/>
          <w:sz w:val="22"/>
          <w:szCs w:val="22"/>
          <w:lang w:val="en-GB"/>
        </w:rPr>
        <w:t>Pensions Impact of McCloud/Sargeant court of appeal</w:t>
      </w:r>
      <w:r w:rsidRPr="00C158F9">
        <w:rPr>
          <w:rFonts w:ascii="Verdana" w:eastAsia="Verdana" w:hAnsi="Verdana" w:cs="Verdana"/>
          <w:sz w:val="22"/>
          <w:szCs w:val="22"/>
          <w:lang w:val="en-GB"/>
        </w:rPr>
        <w:t xml:space="preserve"> - </w:t>
      </w:r>
    </w:p>
    <w:p w14:paraId="5A878F2F" w14:textId="77777777" w:rsidR="00951FF1" w:rsidRPr="00C158F9" w:rsidRDefault="00951FF1" w:rsidP="00951FF1">
      <w:pPr>
        <w:jc w:val="both"/>
        <w:rPr>
          <w:rFonts w:ascii="Verdana" w:hAnsi="Verdana"/>
          <w:sz w:val="22"/>
          <w:szCs w:val="22"/>
        </w:rPr>
      </w:pPr>
      <w:r w:rsidRPr="00C158F9">
        <w:rPr>
          <w:rFonts w:ascii="Verdana" w:hAnsi="Verdana"/>
          <w:sz w:val="22"/>
          <w:szCs w:val="22"/>
        </w:rPr>
        <w:t xml:space="preserve">The McCloud and Sargeant judgements concerned the introduction of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 </w:t>
      </w:r>
    </w:p>
    <w:p w14:paraId="1D8CDCF0" w14:textId="77777777" w:rsidR="00951FF1" w:rsidRPr="00C158F9" w:rsidRDefault="00951FF1" w:rsidP="00951FF1">
      <w:pPr>
        <w:jc w:val="both"/>
        <w:rPr>
          <w:rFonts w:ascii="Verdana" w:hAnsi="Verdana"/>
          <w:sz w:val="22"/>
          <w:szCs w:val="22"/>
        </w:rPr>
      </w:pPr>
    </w:p>
    <w:p w14:paraId="40049504" w14:textId="77777777" w:rsidR="00951FF1" w:rsidRPr="00C158F9" w:rsidRDefault="00951FF1" w:rsidP="00951FF1">
      <w:pPr>
        <w:jc w:val="both"/>
        <w:rPr>
          <w:rFonts w:ascii="Verdana" w:hAnsi="Verdana"/>
          <w:sz w:val="22"/>
          <w:szCs w:val="22"/>
        </w:rPr>
      </w:pPr>
      <w:r w:rsidRPr="00C158F9">
        <w:rPr>
          <w:rFonts w:ascii="Verdana" w:hAnsi="Verdana"/>
          <w:sz w:val="22"/>
          <w:szCs w:val="22"/>
        </w:rPr>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14:paraId="0AD58C47" w14:textId="77777777" w:rsidR="00951FF1" w:rsidRPr="00C158F9" w:rsidRDefault="00951FF1" w:rsidP="00951FF1">
      <w:pPr>
        <w:jc w:val="both"/>
        <w:rPr>
          <w:rFonts w:ascii="Verdana" w:hAnsi="Verdana"/>
          <w:iCs/>
          <w:sz w:val="22"/>
          <w:szCs w:val="22"/>
        </w:rPr>
      </w:pPr>
    </w:p>
    <w:p w14:paraId="5161AC8B" w14:textId="77777777" w:rsidR="00C158F9" w:rsidRPr="00C158F9" w:rsidRDefault="00C158F9" w:rsidP="00C158F9">
      <w:pPr>
        <w:jc w:val="both"/>
        <w:rPr>
          <w:rFonts w:ascii="Verdana" w:hAnsi="Verdana"/>
          <w:sz w:val="22"/>
          <w:szCs w:val="22"/>
        </w:rPr>
      </w:pPr>
      <w:r w:rsidRPr="00C158F9">
        <w:rPr>
          <w:rFonts w:ascii="Verdana" w:hAnsi="Verdana"/>
          <w:sz w:val="22"/>
          <w:szCs w:val="22"/>
        </w:rPr>
        <w:t>In respect of the Police pension schemes, a case management was held in October 2019 resulted in an Order including an interim declaration that claimants are entitled to be treated as if they had been given full transitional protection and had remained in their existing scheme after 1 April 2015. The Government later issued a Ministerial Statement on 25 March 2020 that non-claimants would also be treated in the same way. On 16 July 2020, HM Treasury issued a consultation on transitional arrangements for public sector pensions to eliminate discrimination identified via McCloud/Sargeant cases. This meant that members of the pension scheme on or before 31 March 2012 and on or after 1April to be eligible for the remedy.</w:t>
      </w:r>
    </w:p>
    <w:p w14:paraId="2B2524A4" w14:textId="77777777" w:rsidR="00C158F9" w:rsidRPr="00C158F9" w:rsidRDefault="00C158F9" w:rsidP="00C158F9">
      <w:pPr>
        <w:jc w:val="both"/>
        <w:rPr>
          <w:rFonts w:ascii="Verdana" w:hAnsi="Verdana"/>
          <w:sz w:val="22"/>
          <w:szCs w:val="22"/>
        </w:rPr>
      </w:pPr>
    </w:p>
    <w:p w14:paraId="4AFB80BE" w14:textId="77777777" w:rsidR="00C158F9" w:rsidRPr="00C158F9" w:rsidRDefault="00C158F9" w:rsidP="00C158F9">
      <w:pPr>
        <w:jc w:val="both"/>
        <w:rPr>
          <w:rFonts w:ascii="Verdana" w:hAnsi="Verdana"/>
          <w:sz w:val="22"/>
          <w:szCs w:val="22"/>
        </w:rPr>
      </w:pPr>
      <w:r w:rsidRPr="00C158F9">
        <w:rPr>
          <w:rFonts w:ascii="Verdana" w:hAnsi="Verdana"/>
          <w:sz w:val="22"/>
          <w:szCs w:val="22"/>
        </w:rPr>
        <w:t xml:space="preserve">On 4 February 2021, HM Treasury issued a response to the consultation confirming remedy arrangement requirements that were set out in the consultation with members being given a choice as to whether they retain benefits from their legacy pension scheme, or their new scheme, during the remedy period of 2015 to 2022 so as not to disadvantage any of those members. This choice will be deferred for members until retirement which creates further uncertainty of impact for employers. The legacy pension schemes will then be removed from April 2022 and replaced by the new pension schemes originally introduced in 2015 as it was only the transitional arrangements that were found to be discriminatory, not the actual new pension schemes. </w:t>
      </w:r>
    </w:p>
    <w:p w14:paraId="2D86D8B5" w14:textId="77777777" w:rsidR="00C158F9" w:rsidRPr="00C158F9" w:rsidRDefault="00C158F9" w:rsidP="00C158F9">
      <w:pPr>
        <w:jc w:val="both"/>
        <w:rPr>
          <w:rFonts w:ascii="Verdana" w:hAnsi="Verdana"/>
          <w:iCs/>
          <w:sz w:val="22"/>
          <w:szCs w:val="22"/>
        </w:rPr>
      </w:pPr>
    </w:p>
    <w:p w14:paraId="451F335E" w14:textId="5BB488DD" w:rsidR="00951FF1" w:rsidRPr="00C158F9" w:rsidRDefault="00C158F9" w:rsidP="00C158F9">
      <w:pPr>
        <w:spacing w:after="160" w:line="256" w:lineRule="auto"/>
        <w:jc w:val="both"/>
        <w:rPr>
          <w:rFonts w:ascii="Verdana" w:eastAsia="Verdana" w:hAnsi="Verdana" w:cs="Verdana"/>
          <w:sz w:val="22"/>
          <w:szCs w:val="22"/>
          <w:lang w:val="en-GB"/>
        </w:rPr>
      </w:pPr>
      <w:r w:rsidRPr="00C158F9">
        <w:rPr>
          <w:rFonts w:ascii="Verdana" w:hAnsi="Verdana"/>
          <w:iCs/>
          <w:sz w:val="22"/>
          <w:szCs w:val="22"/>
        </w:rPr>
        <w:t>IAS 19 pension actuarial reports include these impacts and provide for them within the 2020/21 accounts of the PCC Group for both police and staff pension schemes.</w:t>
      </w:r>
    </w:p>
    <w:p w14:paraId="59028872" w14:textId="77777777" w:rsidR="00F227D9" w:rsidRPr="00C158F9" w:rsidRDefault="00F227D9" w:rsidP="00F227D9">
      <w:pPr>
        <w:pStyle w:val="Normal0"/>
        <w:spacing w:after="160"/>
        <w:rPr>
          <w:rFonts w:ascii="Verdana" w:hAnsi="Verdana"/>
          <w:sz w:val="22"/>
          <w:szCs w:val="22"/>
          <w:lang w:val="pt-BR"/>
        </w:rPr>
      </w:pPr>
    </w:p>
    <w:p w14:paraId="51395B73" w14:textId="77777777" w:rsidR="00EB0483" w:rsidRPr="00C158F9" w:rsidRDefault="00EB0483" w:rsidP="00EB0483">
      <w:pPr>
        <w:pStyle w:val="Heading1"/>
        <w:spacing w:after="240"/>
        <w:rPr>
          <w:lang w:val="pt-BR"/>
        </w:rPr>
      </w:pPr>
      <w:bookmarkStart w:id="10" w:name="_Toc77095561"/>
      <w:r w:rsidRPr="00C158F9">
        <w:rPr>
          <w:lang w:val="pt-BR"/>
        </w:rPr>
        <w:t>Note 2 – Going Concern</w:t>
      </w:r>
      <w:bookmarkEnd w:id="10"/>
      <w:r w:rsidRPr="00C158F9">
        <w:rPr>
          <w:lang w:val="pt-BR"/>
        </w:rPr>
        <w:t xml:space="preserve"> </w:t>
      </w:r>
    </w:p>
    <w:p w14:paraId="2076230C" w14:textId="77777777" w:rsidR="0098712B" w:rsidRPr="00C158F9" w:rsidRDefault="0098712B" w:rsidP="0098712B">
      <w:pPr>
        <w:spacing w:after="160" w:line="259" w:lineRule="auto"/>
        <w:rPr>
          <w:rFonts w:ascii="Verdana" w:eastAsia="Calibri" w:hAnsi="Verdana" w:cs="Times New Roman"/>
          <w:b/>
          <w:sz w:val="22"/>
          <w:szCs w:val="22"/>
          <w:lang w:val="en-GB"/>
        </w:rPr>
      </w:pPr>
      <w:r w:rsidRPr="00C158F9">
        <w:rPr>
          <w:rFonts w:ascii="Verdana" w:eastAsia="Calibri" w:hAnsi="Verdana" w:cs="Times New Roman"/>
          <w:b/>
          <w:sz w:val="22"/>
          <w:szCs w:val="22"/>
          <w:lang w:val="en-GB"/>
        </w:rPr>
        <w:t xml:space="preserve">Underlying Principle </w:t>
      </w:r>
    </w:p>
    <w:p w14:paraId="6F2B35C9" w14:textId="77777777" w:rsidR="0098712B" w:rsidRPr="00C158F9" w:rsidRDefault="0098712B" w:rsidP="0098712B">
      <w:pPr>
        <w:spacing w:after="160" w:line="259" w:lineRule="auto"/>
        <w:jc w:val="both"/>
        <w:rPr>
          <w:rFonts w:ascii="Verdana" w:eastAsia="Calibri" w:hAnsi="Verdana" w:cs="Times New Roman"/>
          <w:sz w:val="22"/>
          <w:szCs w:val="22"/>
          <w:lang w:val="en-GB"/>
        </w:rPr>
      </w:pPr>
      <w:r w:rsidRPr="00C158F9">
        <w:rPr>
          <w:rFonts w:ascii="Verdana" w:eastAsia="Calibri" w:hAnsi="Verdana" w:cs="Times New Roman"/>
          <w:sz w:val="22"/>
          <w:szCs w:val="22"/>
          <w:lang w:val="en-GB"/>
        </w:rPr>
        <w:t xml:space="preserve">These accounts have been prepared on a going concern basis that the authority will continue in operational existence for the foreseeable future. </w:t>
      </w:r>
    </w:p>
    <w:p w14:paraId="67BB4339" w14:textId="77777777" w:rsidR="0098712B" w:rsidRPr="00C158F9" w:rsidRDefault="0098712B" w:rsidP="0098712B">
      <w:pPr>
        <w:spacing w:after="160" w:line="259" w:lineRule="auto"/>
        <w:jc w:val="both"/>
        <w:rPr>
          <w:rFonts w:ascii="Verdana" w:eastAsia="Calibri" w:hAnsi="Verdana" w:cs="Times New Roman"/>
          <w:sz w:val="22"/>
          <w:szCs w:val="22"/>
          <w:lang w:val="en-GB"/>
        </w:rPr>
      </w:pPr>
      <w:r w:rsidRPr="00C158F9">
        <w:rPr>
          <w:rFonts w:ascii="Verdana" w:eastAsia="Calibri" w:hAnsi="Verdana" w:cs="Times New Roman"/>
          <w:sz w:val="22"/>
          <w:szCs w:val="22"/>
          <w:lang w:val="en-GB"/>
        </w:rPr>
        <w:t xml:space="preserve">The provisions in the Code of Audit Practice in respect of going concern reporting requirements reflect the economic and statutory environment in which local authorities operate. These provisions confirm that, as policing bodies cannot be created or dissolved without statutory prescription, they must prepare their financial statements on a going concern basis of accounting. Local authorities and policing bodies carry out functions essential to the local community and are themselves revenue-raising bodies (with limits on their revenue-raising powers arising only at the discretion of central government). If a policing body were in financial difficulty, the prospects are thus that alternative arrangements might be made by central government either for the continuation of the services it provides or for assistance with the recovery of a deficit over more than one financial year. As a result of this, it would not therefore be appropriate for the financial statements of a policing body to be provided on anything other than a going concern basis. Accounts drawn up under the Code therefore assume that policing services will continue to operate for the foreseeable future. Surrey Police accounts therefore assume that Surrey Police will continue to operate for the foreseeable future. </w:t>
      </w:r>
    </w:p>
    <w:p w14:paraId="37F371BC" w14:textId="22F4ACF6" w:rsidR="00C158F9" w:rsidRPr="00DC1077" w:rsidRDefault="00C158F9" w:rsidP="0098712B">
      <w:pPr>
        <w:spacing w:after="160" w:line="259" w:lineRule="auto"/>
        <w:jc w:val="both"/>
        <w:rPr>
          <w:rFonts w:ascii="Verdana" w:eastAsia="Calibri" w:hAnsi="Verdana" w:cs="Times New Roman"/>
          <w:sz w:val="22"/>
          <w:szCs w:val="22"/>
          <w:highlight w:val="yellow"/>
          <w:lang w:val="en-GB"/>
        </w:rPr>
      </w:pPr>
      <w:r>
        <w:rPr>
          <w:rFonts w:ascii="Verdana" w:eastAsia="Calibri" w:hAnsi="Verdana" w:cs="Times New Roman"/>
          <w:sz w:val="22"/>
          <w:szCs w:val="22"/>
          <w:highlight w:val="yellow"/>
          <w:lang w:val="en-GB"/>
        </w:rPr>
        <w:t>NB: Further information to be added for final version accounts</w:t>
      </w:r>
    </w:p>
    <w:p w14:paraId="16743668" w14:textId="77777777" w:rsidR="00EB0483" w:rsidRPr="00C158F9" w:rsidRDefault="00EB0483" w:rsidP="00F227D9">
      <w:pPr>
        <w:pStyle w:val="Normal0"/>
        <w:spacing w:after="160"/>
        <w:rPr>
          <w:rFonts w:ascii="Verdana" w:hAnsi="Verdana"/>
          <w:sz w:val="4"/>
          <w:szCs w:val="4"/>
          <w:lang w:val="pt-BR"/>
        </w:rPr>
      </w:pPr>
    </w:p>
    <w:p w14:paraId="0357E29E" w14:textId="77777777" w:rsidR="00EB0483" w:rsidRPr="00C158F9" w:rsidRDefault="00EB0483" w:rsidP="00F227D9">
      <w:pPr>
        <w:pStyle w:val="Normal0"/>
        <w:spacing w:after="160"/>
        <w:rPr>
          <w:rFonts w:ascii="Verdana" w:hAnsi="Verdana"/>
          <w:sz w:val="4"/>
          <w:szCs w:val="4"/>
          <w:lang w:val="pt-BR"/>
        </w:rPr>
      </w:pPr>
    </w:p>
    <w:p w14:paraId="5D9D68AA" w14:textId="77777777" w:rsidR="00F227D9" w:rsidRPr="00C158F9" w:rsidRDefault="00F227D9" w:rsidP="007D3C35">
      <w:pPr>
        <w:pStyle w:val="Heading1"/>
        <w:spacing w:after="240"/>
        <w:jc w:val="both"/>
        <w:rPr>
          <w:lang w:val="pt-BR"/>
        </w:rPr>
      </w:pPr>
      <w:bookmarkStart w:id="11" w:name="_Toc77095562"/>
      <w:r w:rsidRPr="00C158F9">
        <w:rPr>
          <w:lang w:val="pt-BR"/>
        </w:rPr>
        <w:t xml:space="preserve">Note </w:t>
      </w:r>
      <w:r w:rsidR="00EB0483" w:rsidRPr="00C158F9">
        <w:rPr>
          <w:lang w:val="pt-BR"/>
        </w:rPr>
        <w:t>3</w:t>
      </w:r>
      <w:r w:rsidRPr="00C158F9">
        <w:rPr>
          <w:lang w:val="pt-BR"/>
        </w:rPr>
        <w:t xml:space="preserve"> - Events After the Balance Sheet Date</w:t>
      </w:r>
      <w:bookmarkEnd w:id="11"/>
      <w:r w:rsidRPr="00C158F9">
        <w:rPr>
          <w:lang w:val="pt-BR"/>
        </w:rPr>
        <w:t xml:space="preserve"> </w:t>
      </w:r>
    </w:p>
    <w:p w14:paraId="7AC53478" w14:textId="77777777" w:rsidR="00F227D9" w:rsidRDefault="00F227D9" w:rsidP="007D3C35">
      <w:pPr>
        <w:pStyle w:val="Normal0"/>
        <w:spacing w:after="160"/>
        <w:jc w:val="both"/>
        <w:rPr>
          <w:rFonts w:ascii="Verdana" w:eastAsia="Verdana" w:hAnsi="Verdana" w:cs="Verdana"/>
          <w:sz w:val="22"/>
          <w:szCs w:val="22"/>
          <w:lang w:val="en-GB"/>
        </w:rPr>
      </w:pPr>
      <w:r w:rsidRPr="00C158F9">
        <w:rPr>
          <w:rFonts w:ascii="Verdana" w:eastAsia="Verdana" w:hAnsi="Verdana" w:cs="Verdana"/>
          <w:sz w:val="22"/>
          <w:szCs w:val="22"/>
          <w:lang w:val="en-GB"/>
        </w:rPr>
        <w:t>When an event occurs after the Balance Sheet date which provides evidence of conditions that existed at the Balance Sheet date an adjusting event occurs and the amounts recognised in the Statement of Accounts will be adjusted to take into account any values that reflect the adjusting event.  Where an event occurs after the Balance Sheet date that is indicative of conditions that arose after the Balance Sheet date, the amounts recognised in the Statement of Accounts are not adjusted but disclosed as a separate note to the accounts.  Events after the Balance Sheet date are reflected up to the date when the Statement of Accounts is authorised for issue and published.</w:t>
      </w:r>
    </w:p>
    <w:p w14:paraId="6E18BCBF" w14:textId="77777777" w:rsidR="00C158F9" w:rsidRPr="00C158F9" w:rsidRDefault="00C158F9" w:rsidP="00C158F9">
      <w:pPr>
        <w:spacing w:after="160" w:line="256" w:lineRule="auto"/>
        <w:jc w:val="both"/>
        <w:rPr>
          <w:rFonts w:ascii="Verdana" w:eastAsia="Verdana" w:hAnsi="Verdana" w:cs="Verdana"/>
          <w:sz w:val="22"/>
          <w:szCs w:val="22"/>
          <w:lang w:val="en-GB"/>
        </w:rPr>
      </w:pPr>
      <w:r w:rsidRPr="00C158F9">
        <w:rPr>
          <w:rFonts w:ascii="Verdana" w:eastAsia="Verdana" w:hAnsi="Verdana" w:cs="Verdana"/>
          <w:sz w:val="22"/>
          <w:szCs w:val="22"/>
          <w:lang w:val="en-GB"/>
        </w:rPr>
        <w:t xml:space="preserve">The Draft Statement of Accounts was authorised for issue by the Chief Finance Officer on </w:t>
      </w:r>
      <w:r w:rsidRPr="00C158F9">
        <w:rPr>
          <w:rFonts w:ascii="Verdana" w:eastAsia="Verdana" w:hAnsi="Verdana" w:cs="Verdana"/>
          <w:sz w:val="22"/>
          <w:szCs w:val="22"/>
          <w:highlight w:val="yellow"/>
          <w:lang w:val="en-GB"/>
        </w:rPr>
        <w:t xml:space="preserve">Date 2021.  </w:t>
      </w:r>
      <w:r w:rsidRPr="00C158F9">
        <w:rPr>
          <w:rFonts w:ascii="Verdana" w:eastAsia="Verdana" w:hAnsi="Verdana" w:cs="Verdana"/>
          <w:sz w:val="22"/>
          <w:szCs w:val="22"/>
          <w:lang w:val="en-GB"/>
        </w:rPr>
        <w:t>Events taking place after this date are not reflected in the financial statements or notes.  Where events taking place before this date provide information about conditions existing at 31 March 2021, the figures in the financial statements and notes have been adjusted in all material respects to reflect the impact of this information.</w:t>
      </w:r>
    </w:p>
    <w:p w14:paraId="456C7D89" w14:textId="460DCC45" w:rsidR="00C158F9" w:rsidRPr="00C158F9" w:rsidRDefault="00C158F9" w:rsidP="00C158F9">
      <w:pPr>
        <w:pStyle w:val="Normal0"/>
        <w:spacing w:after="160"/>
        <w:jc w:val="both"/>
        <w:rPr>
          <w:rFonts w:ascii="Verdana" w:eastAsia="Verdana" w:hAnsi="Verdana" w:cs="Verdana"/>
          <w:sz w:val="22"/>
          <w:szCs w:val="22"/>
          <w:lang w:val="en-GB"/>
        </w:rPr>
      </w:pPr>
      <w:r w:rsidRPr="00C158F9">
        <w:rPr>
          <w:rFonts w:ascii="Verdana" w:eastAsia="Verdana" w:hAnsi="Verdana" w:cs="Verdana"/>
          <w:sz w:val="22"/>
          <w:szCs w:val="22"/>
          <w:lang w:val="en-GB"/>
        </w:rPr>
        <w:t>There are no material non-adjusted events to report.</w:t>
      </w:r>
    </w:p>
    <w:p w14:paraId="1A6247AA" w14:textId="77777777" w:rsidR="00C158F9" w:rsidRPr="00C158F9" w:rsidRDefault="00C158F9" w:rsidP="00C158F9">
      <w:pPr>
        <w:pStyle w:val="Normal0"/>
        <w:spacing w:after="160"/>
        <w:jc w:val="both"/>
        <w:rPr>
          <w:rFonts w:ascii="Verdana" w:eastAsia="Verdana" w:hAnsi="Verdana" w:cs="Verdana"/>
          <w:sz w:val="22"/>
          <w:szCs w:val="22"/>
          <w:lang w:val="en-GB"/>
        </w:rPr>
      </w:pPr>
    </w:p>
    <w:p w14:paraId="12BBE8CC" w14:textId="77777777" w:rsidR="00F227D9" w:rsidRPr="00C158F9" w:rsidRDefault="00F227D9" w:rsidP="007D3C35">
      <w:pPr>
        <w:pStyle w:val="Heading1"/>
        <w:spacing w:after="240"/>
        <w:jc w:val="both"/>
        <w:rPr>
          <w:lang w:val="pt-BR"/>
        </w:rPr>
      </w:pPr>
      <w:bookmarkStart w:id="12" w:name="_Toc77095563"/>
      <w:r w:rsidRPr="00C158F9">
        <w:rPr>
          <w:lang w:val="pt-BR"/>
        </w:rPr>
        <w:t xml:space="preserve">Note </w:t>
      </w:r>
      <w:r w:rsidR="00EB0483" w:rsidRPr="00C158F9">
        <w:rPr>
          <w:lang w:val="pt-BR"/>
        </w:rPr>
        <w:t>4</w:t>
      </w:r>
      <w:r w:rsidRPr="00C158F9">
        <w:rPr>
          <w:lang w:val="pt-BR"/>
        </w:rPr>
        <w:t xml:space="preserve"> - Assumptions Made about the Future and Other Major Sources of Estimation Uncertainty</w:t>
      </w:r>
      <w:bookmarkEnd w:id="12"/>
      <w:r w:rsidRPr="00C158F9">
        <w:rPr>
          <w:lang w:val="pt-BR"/>
        </w:rPr>
        <w:t xml:space="preserve"> </w:t>
      </w:r>
    </w:p>
    <w:p w14:paraId="4DDEA1F7" w14:textId="77777777" w:rsidR="00F227D9" w:rsidRPr="00C158F9" w:rsidRDefault="00F227D9" w:rsidP="007D3C35">
      <w:pPr>
        <w:pStyle w:val="Normal0"/>
        <w:spacing w:after="160"/>
        <w:jc w:val="both"/>
        <w:rPr>
          <w:rFonts w:ascii="Verdana" w:eastAsia="Verdana" w:hAnsi="Verdana" w:cs="Verdana"/>
          <w:sz w:val="22"/>
          <w:szCs w:val="22"/>
          <w:lang w:val="en-GB"/>
        </w:rPr>
      </w:pPr>
      <w:r w:rsidRPr="00C158F9">
        <w:rPr>
          <w:rFonts w:ascii="Verdana" w:eastAsia="Verdana" w:hAnsi="Verdana" w:cs="Verdana"/>
          <w:sz w:val="22"/>
          <w:szCs w:val="22"/>
          <w:lang w:val="en-GB"/>
        </w:rPr>
        <w:t>The Statement of Accounts contains estimated figures that are based on assumptions made by the Chief Constable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14:paraId="70F861FC" w14:textId="61A142AF" w:rsidR="00F227D9" w:rsidRPr="00C158F9" w:rsidRDefault="00F227D9" w:rsidP="007D3C35">
      <w:pPr>
        <w:pStyle w:val="Normal0"/>
        <w:spacing w:after="160"/>
        <w:jc w:val="both"/>
        <w:rPr>
          <w:rFonts w:ascii="Verdana" w:eastAsia="Verdana" w:hAnsi="Verdana" w:cs="Verdana"/>
          <w:sz w:val="22"/>
          <w:szCs w:val="22"/>
          <w:lang w:val="en-GB"/>
        </w:rPr>
      </w:pPr>
      <w:r w:rsidRPr="00C158F9">
        <w:rPr>
          <w:rFonts w:ascii="Verdana" w:eastAsia="Verdana" w:hAnsi="Verdana" w:cs="Verdana"/>
          <w:sz w:val="22"/>
          <w:szCs w:val="22"/>
          <w:lang w:val="en-GB"/>
        </w:rPr>
        <w:t>The items in the Chief Constable's Balance Sheet at 31 March 20</w:t>
      </w:r>
      <w:r w:rsidR="006224E3" w:rsidRPr="00C158F9">
        <w:rPr>
          <w:rFonts w:ascii="Verdana" w:eastAsia="Verdana" w:hAnsi="Verdana" w:cs="Verdana"/>
          <w:sz w:val="22"/>
          <w:szCs w:val="22"/>
          <w:lang w:val="en-GB"/>
        </w:rPr>
        <w:t>2</w:t>
      </w:r>
      <w:r w:rsidR="00C158F9" w:rsidRPr="00C158F9">
        <w:rPr>
          <w:rFonts w:ascii="Verdana" w:eastAsia="Verdana" w:hAnsi="Verdana" w:cs="Verdana"/>
          <w:sz w:val="22"/>
          <w:szCs w:val="22"/>
          <w:lang w:val="en-GB"/>
        </w:rPr>
        <w:t>1</w:t>
      </w:r>
      <w:r w:rsidRPr="00C158F9">
        <w:rPr>
          <w:rFonts w:ascii="Verdana" w:eastAsia="Verdana" w:hAnsi="Verdana" w:cs="Verdana"/>
          <w:sz w:val="22"/>
          <w:szCs w:val="22"/>
          <w:lang w:val="en-GB"/>
        </w:rPr>
        <w:t xml:space="preserve"> for which there is a significant risk of material adjustment in the forthcoming financial year are as follows:</w:t>
      </w:r>
    </w:p>
    <w:tbl>
      <w:tblPr>
        <w:tblW w:w="15320" w:type="dxa"/>
        <w:tblInd w:w="108" w:type="dxa"/>
        <w:tblLook w:val="04A0" w:firstRow="1" w:lastRow="0" w:firstColumn="1" w:lastColumn="0" w:noHBand="0" w:noVBand="1"/>
      </w:tblPr>
      <w:tblGrid>
        <w:gridCol w:w="2457"/>
        <w:gridCol w:w="6147"/>
        <w:gridCol w:w="6716"/>
      </w:tblGrid>
      <w:tr w:rsidR="00C20BD8" w:rsidRPr="00DC1077" w14:paraId="1140B151" w14:textId="77777777" w:rsidTr="00C158F9">
        <w:trPr>
          <w:trHeight w:val="289"/>
        </w:trPr>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3F7E9" w14:textId="77777777" w:rsidR="00C20BD8" w:rsidRPr="00C158F9" w:rsidRDefault="00C20BD8" w:rsidP="007C11F3">
            <w:pPr>
              <w:pStyle w:val="Normal0"/>
              <w:spacing w:line="240" w:lineRule="auto"/>
              <w:jc w:val="both"/>
              <w:rPr>
                <w:rFonts w:ascii="Arial" w:eastAsia="Times New Roman" w:hAnsi="Arial" w:cs="Arial"/>
                <w:b/>
                <w:bCs/>
                <w:color w:val="000000"/>
                <w:sz w:val="18"/>
                <w:szCs w:val="18"/>
                <w:lang w:eastAsia="en-GB"/>
              </w:rPr>
            </w:pPr>
            <w:r w:rsidRPr="00C158F9">
              <w:rPr>
                <w:rFonts w:ascii="Arial" w:eastAsia="Times New Roman" w:hAnsi="Arial" w:cs="Arial"/>
                <w:b/>
                <w:bCs/>
                <w:color w:val="000000"/>
                <w:sz w:val="18"/>
                <w:szCs w:val="18"/>
                <w:lang w:eastAsia="en-GB"/>
              </w:rPr>
              <w:t xml:space="preserve">Item </w:t>
            </w:r>
          </w:p>
        </w:tc>
        <w:tc>
          <w:tcPr>
            <w:tcW w:w="6147" w:type="dxa"/>
            <w:tcBorders>
              <w:top w:val="single" w:sz="4" w:space="0" w:color="auto"/>
              <w:left w:val="nil"/>
              <w:bottom w:val="single" w:sz="4" w:space="0" w:color="auto"/>
              <w:right w:val="single" w:sz="4" w:space="0" w:color="auto"/>
            </w:tcBorders>
            <w:shd w:val="clear" w:color="auto" w:fill="auto"/>
            <w:vAlign w:val="center"/>
            <w:hideMark/>
          </w:tcPr>
          <w:p w14:paraId="75DA66C1" w14:textId="77777777" w:rsidR="00C20BD8" w:rsidRPr="00C158F9" w:rsidRDefault="00C20BD8" w:rsidP="007C11F3">
            <w:pPr>
              <w:pStyle w:val="Normal0"/>
              <w:spacing w:line="240" w:lineRule="auto"/>
              <w:jc w:val="both"/>
              <w:rPr>
                <w:rFonts w:ascii="Arial" w:eastAsia="Times New Roman" w:hAnsi="Arial" w:cs="Arial"/>
                <w:b/>
                <w:bCs/>
                <w:color w:val="000000"/>
                <w:sz w:val="18"/>
                <w:szCs w:val="18"/>
                <w:lang w:eastAsia="en-GB"/>
              </w:rPr>
            </w:pPr>
            <w:r w:rsidRPr="00C158F9">
              <w:rPr>
                <w:rFonts w:ascii="Arial" w:eastAsia="Times New Roman" w:hAnsi="Arial" w:cs="Arial"/>
                <w:b/>
                <w:bCs/>
                <w:color w:val="000000"/>
                <w:sz w:val="18"/>
                <w:szCs w:val="18"/>
                <w:lang w:eastAsia="en-GB"/>
              </w:rPr>
              <w:t xml:space="preserve">Uncertainties </w:t>
            </w:r>
          </w:p>
        </w:tc>
        <w:tc>
          <w:tcPr>
            <w:tcW w:w="6716" w:type="dxa"/>
            <w:tcBorders>
              <w:top w:val="single" w:sz="4" w:space="0" w:color="auto"/>
              <w:left w:val="nil"/>
              <w:bottom w:val="single" w:sz="4" w:space="0" w:color="auto"/>
              <w:right w:val="single" w:sz="4" w:space="0" w:color="auto"/>
            </w:tcBorders>
            <w:shd w:val="clear" w:color="auto" w:fill="auto"/>
            <w:vAlign w:val="center"/>
            <w:hideMark/>
          </w:tcPr>
          <w:p w14:paraId="56A4F465" w14:textId="77777777" w:rsidR="00C20BD8" w:rsidRPr="00DC1077" w:rsidRDefault="00C20BD8" w:rsidP="007C11F3">
            <w:pPr>
              <w:pStyle w:val="Normal0"/>
              <w:spacing w:line="240" w:lineRule="auto"/>
              <w:jc w:val="both"/>
              <w:rPr>
                <w:rFonts w:ascii="Arial" w:eastAsia="Times New Roman" w:hAnsi="Arial" w:cs="Arial"/>
                <w:b/>
                <w:bCs/>
                <w:color w:val="000000"/>
                <w:sz w:val="18"/>
                <w:szCs w:val="18"/>
                <w:highlight w:val="yellow"/>
                <w:lang w:eastAsia="en-GB"/>
              </w:rPr>
            </w:pPr>
            <w:r w:rsidRPr="00C158F9">
              <w:rPr>
                <w:rFonts w:ascii="Arial" w:eastAsia="Times New Roman" w:hAnsi="Arial" w:cs="Arial"/>
                <w:b/>
                <w:bCs/>
                <w:color w:val="000000"/>
                <w:sz w:val="18"/>
                <w:szCs w:val="18"/>
                <w:lang w:eastAsia="en-GB"/>
              </w:rPr>
              <w:t xml:space="preserve">Effect if Actual Results Differ from Assumptions </w:t>
            </w:r>
          </w:p>
        </w:tc>
      </w:tr>
      <w:tr w:rsidR="00C20BD8" w:rsidRPr="00DC1077" w14:paraId="3BE60532" w14:textId="77777777" w:rsidTr="00C158F9">
        <w:trPr>
          <w:trHeight w:val="1257"/>
        </w:trPr>
        <w:tc>
          <w:tcPr>
            <w:tcW w:w="2457" w:type="dxa"/>
            <w:tcBorders>
              <w:top w:val="nil"/>
              <w:left w:val="single" w:sz="4" w:space="0" w:color="auto"/>
              <w:bottom w:val="single" w:sz="4" w:space="0" w:color="auto"/>
              <w:right w:val="single" w:sz="4" w:space="0" w:color="auto"/>
            </w:tcBorders>
            <w:shd w:val="clear" w:color="auto" w:fill="auto"/>
            <w:hideMark/>
          </w:tcPr>
          <w:p w14:paraId="79DF361B" w14:textId="77777777" w:rsidR="00C20BD8" w:rsidRPr="00C158F9" w:rsidRDefault="00C20BD8" w:rsidP="007C11F3">
            <w:pPr>
              <w:pStyle w:val="Normal0"/>
              <w:spacing w:line="240" w:lineRule="auto"/>
              <w:jc w:val="both"/>
              <w:rPr>
                <w:rFonts w:ascii="Verdana" w:eastAsia="Times New Roman" w:hAnsi="Verdana" w:cs="Arial"/>
                <w:b/>
                <w:bCs/>
                <w:color w:val="000000"/>
                <w:sz w:val="18"/>
                <w:szCs w:val="18"/>
                <w:lang w:eastAsia="en-GB"/>
              </w:rPr>
            </w:pPr>
            <w:r w:rsidRPr="00C158F9">
              <w:rPr>
                <w:rFonts w:ascii="Verdana" w:eastAsia="Times New Roman" w:hAnsi="Verdana" w:cs="Arial"/>
                <w:b/>
                <w:bCs/>
                <w:color w:val="000000"/>
                <w:sz w:val="18"/>
                <w:szCs w:val="18"/>
                <w:lang w:eastAsia="en-GB"/>
              </w:rPr>
              <w:t xml:space="preserve">Pensions Liability </w:t>
            </w:r>
          </w:p>
        </w:tc>
        <w:tc>
          <w:tcPr>
            <w:tcW w:w="6147" w:type="dxa"/>
            <w:tcBorders>
              <w:top w:val="nil"/>
              <w:left w:val="nil"/>
              <w:bottom w:val="single" w:sz="4" w:space="0" w:color="auto"/>
              <w:right w:val="single" w:sz="4" w:space="0" w:color="auto"/>
            </w:tcBorders>
            <w:shd w:val="clear" w:color="auto" w:fill="auto"/>
            <w:hideMark/>
          </w:tcPr>
          <w:p w14:paraId="032BA72B" w14:textId="77777777" w:rsidR="00C20BD8" w:rsidRPr="00C158F9" w:rsidRDefault="00C20BD8" w:rsidP="007C11F3">
            <w:pPr>
              <w:pStyle w:val="Normal0"/>
              <w:spacing w:line="240" w:lineRule="auto"/>
              <w:jc w:val="both"/>
              <w:rPr>
                <w:rFonts w:ascii="Verdana" w:eastAsia="Times New Roman" w:hAnsi="Verdana" w:cs="Arial"/>
                <w:color w:val="000000"/>
                <w:sz w:val="18"/>
                <w:szCs w:val="18"/>
                <w:lang w:eastAsia="en-GB"/>
              </w:rPr>
            </w:pPr>
            <w:r w:rsidRPr="00C158F9">
              <w:rPr>
                <w:rFonts w:ascii="Verdana" w:eastAsia="Times New Roman" w:hAnsi="Verdana" w:cs="Arial"/>
                <w:color w:val="000000"/>
                <w:sz w:val="18"/>
                <w:szCs w:val="18"/>
                <w:lang w:eastAsia="en-GB"/>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The Governments Actuary's Department have been engaged to provide the Group with expert advice about the assumptions to be applied for the Police Pension Schemes and Hymans Robertson LLP provides the same advice for the Police Staff Pension Scheme. </w:t>
            </w:r>
          </w:p>
          <w:p w14:paraId="3CB8CBC0" w14:textId="77777777" w:rsidR="00C20BD8" w:rsidRPr="00C158F9" w:rsidRDefault="00C20BD8" w:rsidP="007C11F3">
            <w:pPr>
              <w:pStyle w:val="Normal0"/>
              <w:spacing w:line="240" w:lineRule="auto"/>
              <w:jc w:val="both"/>
              <w:rPr>
                <w:rFonts w:ascii="Verdana" w:eastAsia="Times New Roman" w:hAnsi="Verdana" w:cs="Arial"/>
                <w:color w:val="000000"/>
                <w:sz w:val="18"/>
                <w:szCs w:val="18"/>
                <w:lang w:eastAsia="en-GB"/>
              </w:rPr>
            </w:pPr>
          </w:p>
          <w:p w14:paraId="5D2020A0" w14:textId="72E5441D" w:rsidR="00C20BD8" w:rsidRPr="00C158F9" w:rsidRDefault="00C20BD8" w:rsidP="00C158F9">
            <w:pPr>
              <w:pStyle w:val="Normal0"/>
              <w:spacing w:line="240" w:lineRule="auto"/>
              <w:jc w:val="both"/>
              <w:rPr>
                <w:rFonts w:ascii="Verdana" w:eastAsia="Times New Roman" w:hAnsi="Verdana" w:cs="Arial"/>
                <w:color w:val="000000"/>
                <w:sz w:val="18"/>
                <w:szCs w:val="18"/>
                <w:lang w:eastAsia="en-GB"/>
              </w:rPr>
            </w:pPr>
            <w:r w:rsidRPr="00C158F9">
              <w:rPr>
                <w:rFonts w:ascii="Verdana" w:eastAsia="Times New Roman" w:hAnsi="Verdana" w:cs="Arial"/>
                <w:color w:val="000000"/>
                <w:sz w:val="18"/>
                <w:szCs w:val="18"/>
                <w:lang w:eastAsia="en-GB"/>
              </w:rPr>
              <w:t>Pension assumptions now include the impact of ‘McCloud/Sargeant’ transitional protections for both officer and staff pension schemes to better reflect the Fund’s local assumptions, particularly those for salary increases and withdrawal rates. The Fund’s actuary also carried out calculations in order to estimate the impact that the Guaranteed Minimum Pension (GMP) equalisation will have on the pension fund liabilities.</w:t>
            </w:r>
          </w:p>
        </w:tc>
        <w:tc>
          <w:tcPr>
            <w:tcW w:w="6716" w:type="dxa"/>
            <w:tcBorders>
              <w:top w:val="nil"/>
              <w:left w:val="nil"/>
              <w:bottom w:val="single" w:sz="4" w:space="0" w:color="auto"/>
              <w:right w:val="single" w:sz="4" w:space="0" w:color="auto"/>
            </w:tcBorders>
            <w:shd w:val="clear" w:color="auto" w:fill="auto"/>
            <w:hideMark/>
          </w:tcPr>
          <w:p w14:paraId="34907324" w14:textId="289B113F" w:rsidR="00C20BD8" w:rsidRPr="00B54A0C" w:rsidRDefault="00C20BD8" w:rsidP="007C11F3">
            <w:pPr>
              <w:pStyle w:val="NoSpacing"/>
              <w:rPr>
                <w:sz w:val="18"/>
                <w:szCs w:val="18"/>
                <w:lang w:val="en-GB" w:eastAsia="en-GB"/>
              </w:rPr>
            </w:pPr>
            <w:r w:rsidRPr="00C158F9">
              <w:rPr>
                <w:sz w:val="18"/>
                <w:szCs w:val="18"/>
                <w:lang w:val="en-GB" w:eastAsia="en-GB"/>
              </w:rPr>
              <w:t xml:space="preserve">The effects on the net pension liability of changes in individual assumptions can </w:t>
            </w:r>
            <w:r w:rsidR="00CC6FE1" w:rsidRPr="00C158F9">
              <w:rPr>
                <w:sz w:val="18"/>
                <w:szCs w:val="18"/>
                <w:lang w:val="en-GB" w:eastAsia="en-GB"/>
              </w:rPr>
              <w:t xml:space="preserve">be measured. For instance, a </w:t>
            </w:r>
            <w:r w:rsidR="0098712B" w:rsidRPr="00C158F9">
              <w:rPr>
                <w:sz w:val="18"/>
                <w:szCs w:val="18"/>
                <w:lang w:val="en-GB" w:eastAsia="en-GB"/>
              </w:rPr>
              <w:t>0.5</w:t>
            </w:r>
            <w:r w:rsidRPr="00C158F9">
              <w:rPr>
                <w:sz w:val="18"/>
                <w:szCs w:val="18"/>
                <w:lang w:val="en-GB" w:eastAsia="en-GB"/>
              </w:rPr>
              <w:t xml:space="preserve">% decrease in the real discount rate </w:t>
            </w:r>
            <w:r w:rsidRPr="00B54A0C">
              <w:rPr>
                <w:sz w:val="18"/>
                <w:szCs w:val="18"/>
                <w:lang w:val="en-GB" w:eastAsia="en-GB"/>
              </w:rPr>
              <w:t>assumption would result in an increase in the staff scheme pension liability of £</w:t>
            </w:r>
            <w:r w:rsidR="00C158F9" w:rsidRPr="00B54A0C">
              <w:rPr>
                <w:sz w:val="18"/>
                <w:szCs w:val="18"/>
                <w:lang w:val="en-GB" w:eastAsia="en-GB"/>
              </w:rPr>
              <w:t>74.2</w:t>
            </w:r>
            <w:r w:rsidRPr="00B54A0C">
              <w:rPr>
                <w:sz w:val="18"/>
                <w:szCs w:val="18"/>
                <w:lang w:val="en-GB" w:eastAsia="en-GB"/>
              </w:rPr>
              <w:t>m and an increase in the police officer pension scheme pension liability of £</w:t>
            </w:r>
            <w:r w:rsidR="00B54A0C" w:rsidRPr="00B54A0C">
              <w:rPr>
                <w:sz w:val="18"/>
                <w:szCs w:val="18"/>
                <w:lang w:val="en-GB" w:eastAsia="en-GB"/>
              </w:rPr>
              <w:t>202</w:t>
            </w:r>
            <w:r w:rsidR="00A42AC5" w:rsidRPr="00B54A0C">
              <w:rPr>
                <w:sz w:val="18"/>
                <w:szCs w:val="18"/>
                <w:lang w:val="en-GB" w:eastAsia="en-GB"/>
              </w:rPr>
              <w:t>.0</w:t>
            </w:r>
            <w:r w:rsidRPr="00B54A0C">
              <w:rPr>
                <w:sz w:val="18"/>
                <w:szCs w:val="18"/>
                <w:lang w:val="en-GB" w:eastAsia="en-GB"/>
              </w:rPr>
              <w:t xml:space="preserve">m. However, the assumptions interact in complex ways. During 2019/20, the </w:t>
            </w:r>
            <w:r w:rsidR="004E070E" w:rsidRPr="00B54A0C">
              <w:rPr>
                <w:sz w:val="18"/>
                <w:szCs w:val="18"/>
                <w:lang w:val="en-GB" w:eastAsia="en-GB"/>
              </w:rPr>
              <w:t>CC</w:t>
            </w:r>
            <w:r w:rsidRPr="00B54A0C">
              <w:rPr>
                <w:sz w:val="18"/>
                <w:szCs w:val="18"/>
                <w:lang w:val="en-GB" w:eastAsia="en-GB"/>
              </w:rPr>
              <w:t>'s actuaries advised that the net pension liability</w:t>
            </w:r>
            <w:r w:rsidR="00B33F2E" w:rsidRPr="00B54A0C">
              <w:rPr>
                <w:sz w:val="18"/>
                <w:szCs w:val="18"/>
                <w:lang w:val="en-GB" w:eastAsia="en-GB"/>
              </w:rPr>
              <w:t xml:space="preserve"> had decreased in total by £1</w:t>
            </w:r>
            <w:r w:rsidR="00B54A0C" w:rsidRPr="00B54A0C">
              <w:rPr>
                <w:sz w:val="18"/>
                <w:szCs w:val="18"/>
                <w:lang w:val="en-GB" w:eastAsia="en-GB"/>
              </w:rPr>
              <w:t>47</w:t>
            </w:r>
            <w:r w:rsidR="007C4FDE" w:rsidRPr="00B54A0C">
              <w:rPr>
                <w:sz w:val="18"/>
                <w:szCs w:val="18"/>
                <w:lang w:val="en-GB" w:eastAsia="en-GB"/>
              </w:rPr>
              <w:t>.</w:t>
            </w:r>
            <w:r w:rsidR="00B54A0C" w:rsidRPr="00B54A0C">
              <w:rPr>
                <w:sz w:val="18"/>
                <w:szCs w:val="18"/>
                <w:lang w:val="en-GB" w:eastAsia="en-GB"/>
              </w:rPr>
              <w:t>5</w:t>
            </w:r>
            <w:r w:rsidRPr="00B54A0C">
              <w:rPr>
                <w:sz w:val="18"/>
                <w:szCs w:val="18"/>
                <w:lang w:val="en-GB" w:eastAsia="en-GB"/>
              </w:rPr>
              <w:t>m as a result of revised actuarial assumptions.</w:t>
            </w:r>
          </w:p>
          <w:p w14:paraId="5C1F6802" w14:textId="5FF160A5" w:rsidR="00C20BD8" w:rsidRPr="00DC1077" w:rsidRDefault="00C20BD8" w:rsidP="007C11F3">
            <w:pPr>
              <w:pStyle w:val="Normal0"/>
              <w:spacing w:line="240" w:lineRule="auto"/>
              <w:jc w:val="both"/>
              <w:rPr>
                <w:rFonts w:ascii="Verdana" w:eastAsia="Times New Roman" w:hAnsi="Verdana" w:cs="Arial"/>
                <w:color w:val="000000"/>
                <w:sz w:val="18"/>
                <w:szCs w:val="18"/>
                <w:highlight w:val="yellow"/>
                <w:lang w:eastAsia="en-GB"/>
              </w:rPr>
            </w:pPr>
          </w:p>
        </w:tc>
      </w:tr>
      <w:tr w:rsidR="00C20BD8" w:rsidRPr="00DC1077" w14:paraId="100F576D" w14:textId="77777777" w:rsidTr="00C158F9">
        <w:trPr>
          <w:trHeight w:val="883"/>
        </w:trPr>
        <w:tc>
          <w:tcPr>
            <w:tcW w:w="2457" w:type="dxa"/>
            <w:tcBorders>
              <w:top w:val="single" w:sz="4" w:space="0" w:color="auto"/>
              <w:left w:val="single" w:sz="4" w:space="0" w:color="auto"/>
              <w:bottom w:val="single" w:sz="4" w:space="0" w:color="auto"/>
              <w:right w:val="single" w:sz="4" w:space="0" w:color="auto"/>
            </w:tcBorders>
            <w:vAlign w:val="center"/>
          </w:tcPr>
          <w:p w14:paraId="02621B4C" w14:textId="77777777" w:rsidR="00C20BD8" w:rsidRPr="00C158F9" w:rsidRDefault="00C20BD8" w:rsidP="007C11F3">
            <w:pPr>
              <w:pStyle w:val="NoSpacing"/>
              <w:rPr>
                <w:b/>
                <w:sz w:val="18"/>
                <w:szCs w:val="18"/>
                <w:lang w:val="en-GB" w:eastAsia="en-GB"/>
              </w:rPr>
            </w:pPr>
            <w:r w:rsidRPr="00C158F9">
              <w:rPr>
                <w:b/>
                <w:sz w:val="18"/>
                <w:szCs w:val="18"/>
                <w:lang w:val="en-GB" w:eastAsia="en-GB"/>
              </w:rPr>
              <w:t xml:space="preserve">Pensions Costs  </w:t>
            </w:r>
          </w:p>
        </w:tc>
        <w:tc>
          <w:tcPr>
            <w:tcW w:w="6147" w:type="dxa"/>
            <w:tcBorders>
              <w:top w:val="single" w:sz="4" w:space="0" w:color="auto"/>
              <w:left w:val="single" w:sz="4" w:space="0" w:color="auto"/>
              <w:bottom w:val="single" w:sz="4" w:space="0" w:color="auto"/>
              <w:right w:val="single" w:sz="4" w:space="0" w:color="auto"/>
            </w:tcBorders>
            <w:vAlign w:val="center"/>
          </w:tcPr>
          <w:p w14:paraId="08BDD4B5" w14:textId="77777777" w:rsidR="00C20BD8" w:rsidRPr="00C158F9" w:rsidRDefault="00C20BD8" w:rsidP="007C11F3">
            <w:pPr>
              <w:pStyle w:val="NoSpacing"/>
              <w:jc w:val="both"/>
              <w:rPr>
                <w:sz w:val="18"/>
                <w:szCs w:val="18"/>
                <w:lang w:val="en-GB" w:eastAsia="en-GB"/>
              </w:rPr>
            </w:pPr>
            <w:r w:rsidRPr="00C158F9">
              <w:rPr>
                <w:sz w:val="18"/>
                <w:szCs w:val="18"/>
                <w:lang w:val="en-GB" w:eastAsia="en-GB"/>
              </w:rPr>
              <w:t>There are three pension schemes for police officers, the 2006 Police Officer Pension Scheme (NPPS), the Police Pension Scheme (</w:t>
            </w:r>
            <w:smartTag w:uri="urn:schemas-microsoft-com:office:smarttags" w:element="stockticker">
              <w:r w:rsidRPr="00C158F9">
                <w:rPr>
                  <w:sz w:val="18"/>
                  <w:szCs w:val="18"/>
                  <w:lang w:val="en-GB" w:eastAsia="en-GB"/>
                </w:rPr>
                <w:t>PPS</w:t>
              </w:r>
            </w:smartTag>
            <w:r w:rsidRPr="00C158F9">
              <w:rPr>
                <w:sz w:val="18"/>
                <w:szCs w:val="18"/>
                <w:lang w:val="en-GB" w:eastAsia="en-GB"/>
              </w:rPr>
              <w:t xml:space="preserve">) and the Police Pension Scheme 2015 (2015 scheme); all of which are unfunded, defined benefit schemes. An unfunded scheme treated as a defined benefit scheme has no investment assets to meet its pension liability the Group must generate cash to meet the actual pension payments as they fall due. </w:t>
            </w:r>
          </w:p>
        </w:tc>
        <w:tc>
          <w:tcPr>
            <w:tcW w:w="6716" w:type="dxa"/>
            <w:tcBorders>
              <w:top w:val="single" w:sz="4" w:space="0" w:color="auto"/>
              <w:left w:val="single" w:sz="4" w:space="0" w:color="auto"/>
              <w:bottom w:val="single" w:sz="4" w:space="0" w:color="auto"/>
              <w:right w:val="single" w:sz="4" w:space="0" w:color="auto"/>
            </w:tcBorders>
            <w:vAlign w:val="center"/>
          </w:tcPr>
          <w:p w14:paraId="7595C9AB" w14:textId="5DE23093" w:rsidR="00C20BD8" w:rsidRPr="00C158F9" w:rsidRDefault="00C20BD8" w:rsidP="007C11F3">
            <w:pPr>
              <w:pStyle w:val="NoSpacing"/>
              <w:jc w:val="both"/>
              <w:rPr>
                <w:sz w:val="18"/>
                <w:szCs w:val="18"/>
                <w:lang w:val="en-GB" w:eastAsia="en-GB"/>
              </w:rPr>
            </w:pPr>
            <w:r w:rsidRPr="00C158F9">
              <w:rPr>
                <w:sz w:val="18"/>
                <w:szCs w:val="18"/>
                <w:lang w:val="en-GB" w:eastAsia="en-GB"/>
              </w:rPr>
              <w:t>The benefits payable are funded by contributions from employers and police officers and any shortfall is met by a top up grant from the Home Office</w:t>
            </w:r>
            <w:r w:rsidR="00C158F9" w:rsidRPr="00C158F9">
              <w:rPr>
                <w:sz w:val="18"/>
                <w:szCs w:val="18"/>
                <w:lang w:val="en-GB" w:eastAsia="en-GB"/>
              </w:rPr>
              <w:t xml:space="preserve"> of £13.3m</w:t>
            </w:r>
            <w:r w:rsidRPr="00C158F9">
              <w:rPr>
                <w:sz w:val="18"/>
                <w:szCs w:val="18"/>
                <w:lang w:val="en-GB" w:eastAsia="en-GB"/>
              </w:rPr>
              <w:t xml:space="preserve"> (£17.3m for 2019/20) and other Pension Grant to the PCC. Further details of the schemes can be found in the Police Officer Pension Fund Accounts.</w:t>
            </w:r>
          </w:p>
          <w:p w14:paraId="0E669283" w14:textId="77777777" w:rsidR="00C20BD8" w:rsidRPr="00C158F9" w:rsidRDefault="00C20BD8" w:rsidP="007C11F3">
            <w:pPr>
              <w:pStyle w:val="Normal0"/>
              <w:jc w:val="both"/>
              <w:rPr>
                <w:rFonts w:ascii="Verdana" w:eastAsia="Calibri" w:hAnsi="Verdana"/>
                <w:sz w:val="18"/>
                <w:szCs w:val="18"/>
                <w:lang w:val="en-GB" w:eastAsia="en-GB"/>
              </w:rPr>
            </w:pPr>
          </w:p>
        </w:tc>
      </w:tr>
    </w:tbl>
    <w:p w14:paraId="3799AE0A" w14:textId="77777777" w:rsidR="00C20BD8" w:rsidRPr="00DC1077" w:rsidRDefault="00C20BD8" w:rsidP="007D3C35">
      <w:pPr>
        <w:pStyle w:val="Normal0"/>
        <w:spacing w:after="160"/>
        <w:jc w:val="both"/>
        <w:rPr>
          <w:rFonts w:ascii="Verdana" w:eastAsia="Verdana" w:hAnsi="Verdana" w:cs="Verdana"/>
          <w:sz w:val="22"/>
          <w:szCs w:val="22"/>
          <w:highlight w:val="yellow"/>
          <w:lang w:val="en-GB"/>
        </w:rPr>
      </w:pPr>
    </w:p>
    <w:p w14:paraId="1DB68D60" w14:textId="77777777" w:rsidR="00C20BD8" w:rsidRPr="00DC1077" w:rsidRDefault="00C20BD8" w:rsidP="007D3C35">
      <w:pPr>
        <w:pStyle w:val="Normal0"/>
        <w:spacing w:after="160"/>
        <w:jc w:val="both"/>
        <w:rPr>
          <w:rFonts w:ascii="Verdana" w:eastAsia="Verdana" w:hAnsi="Verdana" w:cs="Verdana"/>
          <w:sz w:val="22"/>
          <w:szCs w:val="22"/>
          <w:highlight w:val="yellow"/>
          <w:lang w:val="en-GB"/>
        </w:rPr>
      </w:pPr>
    </w:p>
    <w:p w14:paraId="7F5A6A3F" w14:textId="77777777" w:rsidR="00C20BD8" w:rsidRPr="00DC1077" w:rsidRDefault="00C20BD8" w:rsidP="007D3C35">
      <w:pPr>
        <w:pStyle w:val="Normal0"/>
        <w:spacing w:after="160"/>
        <w:jc w:val="both"/>
        <w:rPr>
          <w:rFonts w:ascii="Verdana" w:eastAsia="Verdana" w:hAnsi="Verdana" w:cs="Verdana"/>
          <w:sz w:val="22"/>
          <w:szCs w:val="22"/>
          <w:highlight w:val="yellow"/>
          <w:lang w:val="en-GB"/>
        </w:rPr>
      </w:pPr>
    </w:p>
    <w:p w14:paraId="4AAAF2F0" w14:textId="77777777" w:rsidR="00F227D9" w:rsidRPr="00DC1077" w:rsidRDefault="00F227D9" w:rsidP="00F227D9">
      <w:pPr>
        <w:pStyle w:val="Normal0"/>
        <w:spacing w:after="160"/>
        <w:rPr>
          <w:rFonts w:ascii="Verdana" w:hAnsi="Verdana"/>
          <w:sz w:val="4"/>
          <w:szCs w:val="4"/>
          <w:highlight w:val="yellow"/>
          <w:lang w:val="pt-BR"/>
        </w:rPr>
      </w:pPr>
    </w:p>
    <w:p w14:paraId="1B36CB5D" w14:textId="77777777" w:rsidR="00F227D9" w:rsidRPr="00DC1077" w:rsidRDefault="00F227D9">
      <w:pPr>
        <w:pStyle w:val="Normal0"/>
        <w:rPr>
          <w:highlight w:val="yellow"/>
          <w:lang w:val="en-GB"/>
        </w:rPr>
      </w:pPr>
    </w:p>
    <w:p w14:paraId="20247106" w14:textId="77777777" w:rsidR="00EB0483" w:rsidRPr="00DC1077" w:rsidRDefault="00EB0483">
      <w:pPr>
        <w:pStyle w:val="Normal0"/>
        <w:rPr>
          <w:highlight w:val="yellow"/>
          <w:lang w:val="en-GB"/>
        </w:rPr>
      </w:pPr>
    </w:p>
    <w:p w14:paraId="3110BC89" w14:textId="77777777" w:rsidR="00EB0483" w:rsidRPr="00DC1077" w:rsidRDefault="00EB0483">
      <w:pPr>
        <w:pStyle w:val="Normal0"/>
        <w:rPr>
          <w:highlight w:val="yellow"/>
          <w:lang w:val="en-GB"/>
        </w:rPr>
        <w:sectPr w:rsidR="00EB0483" w:rsidRPr="00DC1077" w:rsidSect="00B54A0C">
          <w:type w:val="nextColumn"/>
          <w:pgSz w:w="16840" w:h="11900" w:orient="landscape"/>
          <w:pgMar w:top="709" w:right="720" w:bottom="567" w:left="720" w:header="708" w:footer="708" w:gutter="0"/>
          <w:cols w:space="708"/>
          <w:docGrid w:linePitch="360"/>
        </w:sectPr>
      </w:pPr>
    </w:p>
    <w:p w14:paraId="6A1DA6F0" w14:textId="77777777" w:rsidR="00F227D9" w:rsidRPr="00B93478" w:rsidRDefault="00F227D9" w:rsidP="00F227D9">
      <w:pPr>
        <w:pStyle w:val="Heading1"/>
        <w:spacing w:line="259" w:lineRule="auto"/>
        <w:rPr>
          <w:lang w:val="en-GB"/>
        </w:rPr>
      </w:pPr>
      <w:bookmarkStart w:id="13" w:name="_Toc77095564"/>
      <w:r w:rsidRPr="00B93478">
        <w:rPr>
          <w:lang w:val="en-GB"/>
        </w:rPr>
        <w:t>Note 5 -Expenditure and Funding Analysis</w:t>
      </w:r>
      <w:bookmarkEnd w:id="13"/>
    </w:p>
    <w:p w14:paraId="0E9A36DB" w14:textId="77777777" w:rsidR="00F227D9" w:rsidRPr="00DC1077" w:rsidRDefault="00F227D9" w:rsidP="00F227D9">
      <w:pPr>
        <w:pStyle w:val="Normal0"/>
        <w:spacing w:line="240" w:lineRule="auto"/>
        <w:rPr>
          <w:rFonts w:ascii="Verdana" w:hAnsi="Verdana"/>
          <w:sz w:val="22"/>
          <w:szCs w:val="22"/>
          <w:highlight w:val="yellow"/>
          <w:lang w:val="en-GB"/>
        </w:rPr>
      </w:pPr>
    </w:p>
    <w:p w14:paraId="4D373817" w14:textId="77777777" w:rsidR="00F227D9" w:rsidRPr="00DC1077" w:rsidRDefault="00F227D9" w:rsidP="00F227D9">
      <w:pPr>
        <w:pStyle w:val="Normal0"/>
        <w:spacing w:line="240" w:lineRule="auto"/>
        <w:rPr>
          <w:rFonts w:ascii="Verdana" w:hAnsi="Verdana"/>
          <w:sz w:val="22"/>
          <w:szCs w:val="22"/>
          <w:highlight w:val="yellow"/>
          <w:lang w:val="en-GB"/>
        </w:rPr>
      </w:pPr>
    </w:p>
    <w:tbl>
      <w:tblPr>
        <w:tblW w:w="0" w:type="auto"/>
        <w:jc w:val="center"/>
        <w:tblLayout w:type="fixed"/>
        <w:tblLook w:val="04A0" w:firstRow="1" w:lastRow="0" w:firstColumn="1" w:lastColumn="0" w:noHBand="0" w:noVBand="1"/>
      </w:tblPr>
      <w:tblGrid>
        <w:gridCol w:w="1482"/>
        <w:gridCol w:w="1482"/>
        <w:gridCol w:w="1484"/>
        <w:gridCol w:w="1949"/>
        <w:gridCol w:w="1482"/>
        <w:gridCol w:w="1482"/>
        <w:gridCol w:w="1484"/>
      </w:tblGrid>
      <w:tr w:rsidR="00AB41DA" w:rsidRPr="00DC1077" w14:paraId="5D9CEEBB" w14:textId="77777777" w:rsidTr="00B24845">
        <w:trPr>
          <w:trHeight w:val="245"/>
          <w:jc w:val="center"/>
        </w:trPr>
        <w:tc>
          <w:tcPr>
            <w:tcW w:w="4448" w:type="dxa"/>
            <w:gridSpan w:val="3"/>
            <w:shd w:val="clear" w:color="auto" w:fill="auto"/>
            <w:tcMar>
              <w:top w:w="20" w:type="dxa"/>
              <w:left w:w="20" w:type="dxa"/>
              <w:bottom w:w="20" w:type="dxa"/>
              <w:right w:w="20" w:type="dxa"/>
            </w:tcMar>
            <w:vAlign w:val="bottom"/>
          </w:tcPr>
          <w:p w14:paraId="5A6F9D99" w14:textId="77777777" w:rsidR="00AB41DA" w:rsidRPr="004D57BE" w:rsidRDefault="00AB41DA" w:rsidP="00AB41DA">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2019/20</w:t>
            </w:r>
          </w:p>
        </w:tc>
        <w:tc>
          <w:tcPr>
            <w:tcW w:w="1949" w:type="dxa"/>
            <w:shd w:val="clear" w:color="auto" w:fill="auto"/>
            <w:tcMar>
              <w:top w:w="20" w:type="dxa"/>
              <w:left w:w="20" w:type="dxa"/>
              <w:bottom w:w="20" w:type="dxa"/>
              <w:right w:w="20" w:type="dxa"/>
            </w:tcMar>
            <w:vAlign w:val="bottom"/>
          </w:tcPr>
          <w:p w14:paraId="06FDEF38" w14:textId="77777777" w:rsidR="00AB41DA" w:rsidRPr="004D57BE" w:rsidRDefault="00AB41DA" w:rsidP="00AB41DA">
            <w:pPr>
              <w:pStyle w:val="T1TableStyle"/>
              <w:jc w:val="center"/>
              <w:rPr>
                <w:rFonts w:ascii="Verdana" w:eastAsia="Verdana" w:hAnsi="Verdana" w:cs="Verdana"/>
                <w:b/>
                <w:color w:val="000000"/>
                <w:sz w:val="2"/>
                <w:lang w:val="en-GB"/>
              </w:rPr>
            </w:pPr>
          </w:p>
        </w:tc>
        <w:tc>
          <w:tcPr>
            <w:tcW w:w="4448" w:type="dxa"/>
            <w:gridSpan w:val="3"/>
            <w:shd w:val="clear" w:color="auto" w:fill="auto"/>
            <w:tcMar>
              <w:top w:w="20" w:type="dxa"/>
              <w:left w:w="20" w:type="dxa"/>
              <w:bottom w:w="20" w:type="dxa"/>
              <w:right w:w="20" w:type="dxa"/>
            </w:tcMar>
            <w:vAlign w:val="bottom"/>
          </w:tcPr>
          <w:p w14:paraId="56CEFBC1" w14:textId="77777777" w:rsidR="00AB41DA" w:rsidRPr="004D57BE" w:rsidRDefault="00AB41DA" w:rsidP="00AB41DA">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2020/21</w:t>
            </w:r>
          </w:p>
        </w:tc>
      </w:tr>
      <w:tr w:rsidR="00AB41DA" w:rsidRPr="00DC1077" w14:paraId="11C50808" w14:textId="77777777" w:rsidTr="009D3BDC">
        <w:trPr>
          <w:trHeight w:val="991"/>
          <w:jc w:val="center"/>
        </w:trPr>
        <w:tc>
          <w:tcPr>
            <w:tcW w:w="1482" w:type="dxa"/>
            <w:shd w:val="clear" w:color="auto" w:fill="auto"/>
            <w:tcMar>
              <w:top w:w="20" w:type="dxa"/>
              <w:left w:w="20" w:type="dxa"/>
              <w:bottom w:w="20" w:type="dxa"/>
              <w:right w:w="20" w:type="dxa"/>
            </w:tcMar>
          </w:tcPr>
          <w:p w14:paraId="687F710B" w14:textId="77777777" w:rsidR="00AB41DA" w:rsidRPr="004D57BE" w:rsidRDefault="00AB41DA" w:rsidP="00AB41DA">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Net Expenditure Chargeable to the General Fund Balance</w:t>
            </w:r>
          </w:p>
        </w:tc>
        <w:tc>
          <w:tcPr>
            <w:tcW w:w="1482" w:type="dxa"/>
            <w:shd w:val="clear" w:color="auto" w:fill="auto"/>
            <w:tcMar>
              <w:top w:w="20" w:type="dxa"/>
              <w:left w:w="20" w:type="dxa"/>
              <w:bottom w:w="20" w:type="dxa"/>
              <w:right w:w="20" w:type="dxa"/>
            </w:tcMar>
          </w:tcPr>
          <w:p w14:paraId="7C20AF86" w14:textId="77777777" w:rsidR="00AB41DA" w:rsidRPr="004D57BE" w:rsidRDefault="00AB41DA" w:rsidP="00AB41DA">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Adjustments</w:t>
            </w:r>
          </w:p>
        </w:tc>
        <w:tc>
          <w:tcPr>
            <w:tcW w:w="1484" w:type="dxa"/>
            <w:shd w:val="clear" w:color="auto" w:fill="auto"/>
            <w:tcMar>
              <w:top w:w="20" w:type="dxa"/>
              <w:left w:w="20" w:type="dxa"/>
              <w:bottom w:w="20" w:type="dxa"/>
              <w:right w:w="20" w:type="dxa"/>
            </w:tcMar>
          </w:tcPr>
          <w:p w14:paraId="0CFAA38A" w14:textId="77777777" w:rsidR="00AB41DA" w:rsidRPr="004D57BE" w:rsidRDefault="00AB41DA" w:rsidP="00AB41DA">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Net Expenditure in the CIES</w:t>
            </w:r>
          </w:p>
        </w:tc>
        <w:tc>
          <w:tcPr>
            <w:tcW w:w="1949" w:type="dxa"/>
            <w:shd w:val="clear" w:color="auto" w:fill="auto"/>
            <w:tcMar>
              <w:top w:w="20" w:type="dxa"/>
              <w:left w:w="20" w:type="dxa"/>
              <w:bottom w:w="20" w:type="dxa"/>
              <w:right w:w="20" w:type="dxa"/>
            </w:tcMar>
            <w:vAlign w:val="bottom"/>
          </w:tcPr>
          <w:p w14:paraId="0660A25A" w14:textId="77777777" w:rsidR="00AB41DA" w:rsidRPr="004D57BE" w:rsidRDefault="00AB41DA" w:rsidP="00AB41DA">
            <w:pPr>
              <w:pStyle w:val="T1TableStyle"/>
              <w:jc w:val="center"/>
              <w:rPr>
                <w:rFonts w:ascii="Verdana" w:eastAsia="Verdana" w:hAnsi="Verdana" w:cs="Verdana"/>
                <w:b/>
                <w:color w:val="000000"/>
                <w:sz w:val="2"/>
                <w:lang w:val="en-GB"/>
              </w:rPr>
            </w:pPr>
            <w:r w:rsidRPr="004D57BE">
              <w:rPr>
                <w:rFonts w:ascii="Verdana" w:eastAsia="Verdana" w:hAnsi="Verdana" w:cs="Verdana"/>
                <w:b/>
                <w:color w:val="000000"/>
                <w:sz w:val="2"/>
                <w:lang w:val="en-GB"/>
              </w:rPr>
              <w:t xml:space="preserve"> </w:t>
            </w:r>
          </w:p>
        </w:tc>
        <w:tc>
          <w:tcPr>
            <w:tcW w:w="1482" w:type="dxa"/>
            <w:shd w:val="clear" w:color="auto" w:fill="auto"/>
            <w:tcMar>
              <w:top w:w="20" w:type="dxa"/>
              <w:left w:w="20" w:type="dxa"/>
              <w:bottom w:w="20" w:type="dxa"/>
              <w:right w:w="20" w:type="dxa"/>
            </w:tcMar>
          </w:tcPr>
          <w:p w14:paraId="44411988" w14:textId="77777777" w:rsidR="00AB41DA" w:rsidRPr="004D57BE" w:rsidRDefault="00AB41DA" w:rsidP="00AB41DA">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Net Expenditure Chargeable to the General Fund Balance</w:t>
            </w:r>
          </w:p>
        </w:tc>
        <w:tc>
          <w:tcPr>
            <w:tcW w:w="1482" w:type="dxa"/>
            <w:shd w:val="clear" w:color="auto" w:fill="auto"/>
            <w:tcMar>
              <w:top w:w="20" w:type="dxa"/>
              <w:left w:w="20" w:type="dxa"/>
              <w:bottom w:w="20" w:type="dxa"/>
              <w:right w:w="20" w:type="dxa"/>
            </w:tcMar>
          </w:tcPr>
          <w:p w14:paraId="107D5126" w14:textId="77777777" w:rsidR="00AB41DA" w:rsidRPr="00E1691B" w:rsidRDefault="00AB41DA" w:rsidP="00AB41DA">
            <w:pPr>
              <w:pStyle w:val="T1TableStyle"/>
              <w:jc w:val="center"/>
              <w:rPr>
                <w:rFonts w:ascii="Verdana" w:eastAsia="Verdana" w:hAnsi="Verdana" w:cs="Verdana"/>
                <w:b/>
                <w:color w:val="000000"/>
                <w:sz w:val="16"/>
                <w:lang w:val="en-GB"/>
              </w:rPr>
            </w:pPr>
            <w:r w:rsidRPr="00E1691B">
              <w:rPr>
                <w:rFonts w:ascii="Verdana" w:eastAsia="Verdana" w:hAnsi="Verdana" w:cs="Verdana"/>
                <w:b/>
                <w:color w:val="000000"/>
                <w:sz w:val="16"/>
                <w:lang w:val="en-GB"/>
              </w:rPr>
              <w:t>Adjustments</w:t>
            </w:r>
          </w:p>
        </w:tc>
        <w:tc>
          <w:tcPr>
            <w:tcW w:w="1484" w:type="dxa"/>
            <w:shd w:val="clear" w:color="auto" w:fill="auto"/>
            <w:tcMar>
              <w:top w:w="20" w:type="dxa"/>
              <w:left w:w="20" w:type="dxa"/>
              <w:bottom w:w="20" w:type="dxa"/>
              <w:right w:w="20" w:type="dxa"/>
            </w:tcMar>
          </w:tcPr>
          <w:p w14:paraId="329ED102" w14:textId="77777777" w:rsidR="00AB41DA" w:rsidRPr="00E1691B" w:rsidRDefault="00AB41DA" w:rsidP="00AB41DA">
            <w:pPr>
              <w:pStyle w:val="T1TableStyle"/>
              <w:jc w:val="center"/>
              <w:rPr>
                <w:rFonts w:ascii="Verdana" w:eastAsia="Verdana" w:hAnsi="Verdana" w:cs="Verdana"/>
                <w:b/>
                <w:color w:val="000000"/>
                <w:sz w:val="16"/>
                <w:lang w:val="en-GB"/>
              </w:rPr>
            </w:pPr>
            <w:r w:rsidRPr="00E1691B">
              <w:rPr>
                <w:rFonts w:ascii="Verdana" w:eastAsia="Verdana" w:hAnsi="Verdana" w:cs="Verdana"/>
                <w:b/>
                <w:color w:val="000000"/>
                <w:sz w:val="16"/>
                <w:lang w:val="en-GB"/>
              </w:rPr>
              <w:t>Net Expenditure in the CIES</w:t>
            </w:r>
          </w:p>
        </w:tc>
      </w:tr>
      <w:tr w:rsidR="00AB41DA" w:rsidRPr="00DC1077" w14:paraId="18052DC1" w14:textId="77777777" w:rsidTr="009D3BDC">
        <w:trPr>
          <w:trHeight w:val="245"/>
          <w:jc w:val="center"/>
        </w:trPr>
        <w:tc>
          <w:tcPr>
            <w:tcW w:w="1482" w:type="dxa"/>
            <w:tcBorders>
              <w:bottom w:val="single" w:sz="2" w:space="0" w:color="000000"/>
            </w:tcBorders>
            <w:shd w:val="clear" w:color="auto" w:fill="auto"/>
            <w:tcMar>
              <w:top w:w="20" w:type="dxa"/>
              <w:left w:w="20" w:type="dxa"/>
              <w:bottom w:w="20" w:type="dxa"/>
              <w:right w:w="20" w:type="dxa"/>
            </w:tcMar>
            <w:vAlign w:val="bottom"/>
          </w:tcPr>
          <w:p w14:paraId="4ED1C743" w14:textId="77777777" w:rsidR="00AB41DA" w:rsidRPr="004D57BE" w:rsidRDefault="00AB41DA" w:rsidP="00AB41DA">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£000</w:t>
            </w:r>
          </w:p>
        </w:tc>
        <w:tc>
          <w:tcPr>
            <w:tcW w:w="1482" w:type="dxa"/>
            <w:tcBorders>
              <w:bottom w:val="single" w:sz="2" w:space="0" w:color="000000"/>
            </w:tcBorders>
            <w:shd w:val="clear" w:color="auto" w:fill="auto"/>
            <w:tcMar>
              <w:top w:w="20" w:type="dxa"/>
              <w:left w:w="20" w:type="dxa"/>
              <w:bottom w:w="20" w:type="dxa"/>
              <w:right w:w="20" w:type="dxa"/>
            </w:tcMar>
            <w:vAlign w:val="bottom"/>
          </w:tcPr>
          <w:p w14:paraId="60D6438F" w14:textId="77777777" w:rsidR="00AB41DA" w:rsidRPr="004D57BE" w:rsidRDefault="00AB41DA" w:rsidP="00AB41DA">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£000</w:t>
            </w:r>
          </w:p>
        </w:tc>
        <w:tc>
          <w:tcPr>
            <w:tcW w:w="1484" w:type="dxa"/>
            <w:tcBorders>
              <w:bottom w:val="single" w:sz="2" w:space="0" w:color="000000"/>
            </w:tcBorders>
            <w:shd w:val="clear" w:color="auto" w:fill="auto"/>
            <w:tcMar>
              <w:top w:w="20" w:type="dxa"/>
              <w:left w:w="20" w:type="dxa"/>
              <w:bottom w:w="20" w:type="dxa"/>
              <w:right w:w="20" w:type="dxa"/>
            </w:tcMar>
            <w:vAlign w:val="bottom"/>
          </w:tcPr>
          <w:p w14:paraId="16EAA635" w14:textId="77777777" w:rsidR="00AB41DA" w:rsidRPr="004D57BE" w:rsidRDefault="00AB41DA" w:rsidP="00AB41DA">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£000</w:t>
            </w:r>
          </w:p>
        </w:tc>
        <w:tc>
          <w:tcPr>
            <w:tcW w:w="1949" w:type="dxa"/>
            <w:tcBorders>
              <w:bottom w:val="single" w:sz="2" w:space="0" w:color="000000"/>
            </w:tcBorders>
            <w:shd w:val="clear" w:color="auto" w:fill="auto"/>
            <w:tcMar>
              <w:top w:w="20" w:type="dxa"/>
              <w:left w:w="20" w:type="dxa"/>
              <w:bottom w:w="20" w:type="dxa"/>
              <w:right w:w="20" w:type="dxa"/>
            </w:tcMar>
            <w:vAlign w:val="bottom"/>
          </w:tcPr>
          <w:p w14:paraId="42F71040" w14:textId="77777777" w:rsidR="00AB41DA" w:rsidRPr="004D57BE" w:rsidRDefault="00AB41DA" w:rsidP="00AB41DA">
            <w:pPr>
              <w:pStyle w:val="T1TableStyle"/>
              <w:jc w:val="right"/>
              <w:rPr>
                <w:rFonts w:ascii="Verdana" w:eastAsia="Verdana" w:hAnsi="Verdana" w:cs="Verdana"/>
                <w:b/>
                <w:color w:val="000000"/>
                <w:sz w:val="2"/>
                <w:lang w:val="en-GB"/>
              </w:rPr>
            </w:pPr>
            <w:r w:rsidRPr="004D57BE">
              <w:rPr>
                <w:rFonts w:ascii="Verdana" w:eastAsia="Verdana" w:hAnsi="Verdana" w:cs="Verdana"/>
                <w:b/>
                <w:color w:val="000000"/>
                <w:sz w:val="2"/>
                <w:lang w:val="en-GB"/>
              </w:rPr>
              <w:t xml:space="preserve"> </w:t>
            </w:r>
          </w:p>
        </w:tc>
        <w:tc>
          <w:tcPr>
            <w:tcW w:w="1482" w:type="dxa"/>
            <w:tcBorders>
              <w:bottom w:val="single" w:sz="2" w:space="0" w:color="000000"/>
            </w:tcBorders>
            <w:shd w:val="clear" w:color="auto" w:fill="auto"/>
            <w:tcMar>
              <w:top w:w="20" w:type="dxa"/>
              <w:left w:w="20" w:type="dxa"/>
              <w:bottom w:w="20" w:type="dxa"/>
              <w:right w:w="20" w:type="dxa"/>
            </w:tcMar>
            <w:vAlign w:val="bottom"/>
          </w:tcPr>
          <w:p w14:paraId="1B374EA7" w14:textId="77777777" w:rsidR="00AB41DA" w:rsidRPr="004D57BE" w:rsidRDefault="00AB41DA" w:rsidP="00AB41DA">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£000</w:t>
            </w:r>
          </w:p>
        </w:tc>
        <w:tc>
          <w:tcPr>
            <w:tcW w:w="1482" w:type="dxa"/>
            <w:tcBorders>
              <w:bottom w:val="single" w:sz="2" w:space="0" w:color="000000"/>
            </w:tcBorders>
            <w:shd w:val="clear" w:color="auto" w:fill="auto"/>
            <w:tcMar>
              <w:top w:w="20" w:type="dxa"/>
              <w:left w:w="20" w:type="dxa"/>
              <w:bottom w:w="20" w:type="dxa"/>
              <w:right w:w="20" w:type="dxa"/>
            </w:tcMar>
            <w:vAlign w:val="bottom"/>
          </w:tcPr>
          <w:p w14:paraId="33D1299F" w14:textId="77777777" w:rsidR="00AB41DA" w:rsidRPr="00E1691B" w:rsidRDefault="00AB41DA" w:rsidP="00AB41DA">
            <w:pPr>
              <w:pStyle w:val="T1TableStyle"/>
              <w:jc w:val="right"/>
              <w:rPr>
                <w:rFonts w:ascii="Verdana" w:eastAsia="Verdana" w:hAnsi="Verdana" w:cs="Verdana"/>
                <w:b/>
                <w:color w:val="000000"/>
                <w:sz w:val="16"/>
                <w:lang w:val="en-GB"/>
              </w:rPr>
            </w:pPr>
            <w:r w:rsidRPr="00E1691B">
              <w:rPr>
                <w:rFonts w:ascii="Verdana" w:eastAsia="Verdana" w:hAnsi="Verdana" w:cs="Verdana"/>
                <w:b/>
                <w:color w:val="000000"/>
                <w:sz w:val="16"/>
                <w:lang w:val="en-GB"/>
              </w:rPr>
              <w:t>£000</w:t>
            </w:r>
          </w:p>
        </w:tc>
        <w:tc>
          <w:tcPr>
            <w:tcW w:w="1484" w:type="dxa"/>
            <w:tcBorders>
              <w:bottom w:val="single" w:sz="2" w:space="0" w:color="000000"/>
            </w:tcBorders>
            <w:shd w:val="clear" w:color="auto" w:fill="auto"/>
            <w:tcMar>
              <w:top w:w="20" w:type="dxa"/>
              <w:left w:w="20" w:type="dxa"/>
              <w:bottom w:w="20" w:type="dxa"/>
              <w:right w:w="20" w:type="dxa"/>
            </w:tcMar>
            <w:vAlign w:val="bottom"/>
          </w:tcPr>
          <w:p w14:paraId="7A368124" w14:textId="77777777" w:rsidR="00AB41DA" w:rsidRPr="00E1691B" w:rsidRDefault="00AB41DA" w:rsidP="00AB41DA">
            <w:pPr>
              <w:pStyle w:val="T1TableStyle"/>
              <w:jc w:val="right"/>
              <w:rPr>
                <w:rFonts w:ascii="Verdana" w:eastAsia="Verdana" w:hAnsi="Verdana" w:cs="Verdana"/>
                <w:b/>
                <w:color w:val="000000"/>
                <w:sz w:val="16"/>
                <w:lang w:val="en-GB"/>
              </w:rPr>
            </w:pPr>
            <w:r w:rsidRPr="00E1691B">
              <w:rPr>
                <w:rFonts w:ascii="Verdana" w:eastAsia="Verdana" w:hAnsi="Verdana" w:cs="Verdana"/>
                <w:b/>
                <w:color w:val="000000"/>
                <w:sz w:val="16"/>
                <w:lang w:val="en-GB"/>
              </w:rPr>
              <w:t>£000</w:t>
            </w:r>
          </w:p>
        </w:tc>
      </w:tr>
      <w:tr w:rsidR="00AB41DA" w:rsidRPr="00DC1077" w14:paraId="623655EA" w14:textId="77777777" w:rsidTr="009D3BDC">
        <w:trPr>
          <w:trHeight w:val="245"/>
          <w:jc w:val="center"/>
        </w:trPr>
        <w:tc>
          <w:tcPr>
            <w:tcW w:w="1482" w:type="dxa"/>
            <w:shd w:val="clear" w:color="auto" w:fill="auto"/>
            <w:tcMar>
              <w:top w:w="20" w:type="dxa"/>
              <w:left w:w="20" w:type="dxa"/>
              <w:bottom w:w="20" w:type="dxa"/>
              <w:right w:w="20" w:type="dxa"/>
            </w:tcMar>
          </w:tcPr>
          <w:p w14:paraId="19B8F957"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81,044</w:t>
            </w:r>
          </w:p>
        </w:tc>
        <w:tc>
          <w:tcPr>
            <w:tcW w:w="1482" w:type="dxa"/>
            <w:shd w:val="clear" w:color="auto" w:fill="auto"/>
            <w:tcMar>
              <w:top w:w="20" w:type="dxa"/>
              <w:left w:w="20" w:type="dxa"/>
              <w:bottom w:w="20" w:type="dxa"/>
              <w:right w:w="20" w:type="dxa"/>
            </w:tcMar>
          </w:tcPr>
          <w:p w14:paraId="6842493B"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49,188</w:t>
            </w:r>
          </w:p>
        </w:tc>
        <w:tc>
          <w:tcPr>
            <w:tcW w:w="1484" w:type="dxa"/>
            <w:shd w:val="clear" w:color="auto" w:fill="auto"/>
            <w:tcMar>
              <w:top w:w="20" w:type="dxa"/>
              <w:left w:w="20" w:type="dxa"/>
              <w:bottom w:w="20" w:type="dxa"/>
              <w:right w:w="20" w:type="dxa"/>
            </w:tcMar>
          </w:tcPr>
          <w:p w14:paraId="52005957"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130,232</w:t>
            </w:r>
          </w:p>
        </w:tc>
        <w:tc>
          <w:tcPr>
            <w:tcW w:w="1949" w:type="dxa"/>
            <w:shd w:val="clear" w:color="auto" w:fill="auto"/>
            <w:tcMar>
              <w:top w:w="20" w:type="dxa"/>
              <w:left w:w="20" w:type="dxa"/>
              <w:bottom w:w="20" w:type="dxa"/>
              <w:right w:w="20" w:type="dxa"/>
            </w:tcMar>
          </w:tcPr>
          <w:p w14:paraId="72703093" w14:textId="77777777" w:rsidR="00AB41DA" w:rsidRPr="004D57BE" w:rsidRDefault="00AB41DA" w:rsidP="00AB41DA">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Police Payroll</w:t>
            </w:r>
          </w:p>
        </w:tc>
        <w:tc>
          <w:tcPr>
            <w:tcW w:w="1482" w:type="dxa"/>
            <w:shd w:val="clear" w:color="auto" w:fill="auto"/>
            <w:tcMar>
              <w:top w:w="20" w:type="dxa"/>
              <w:left w:w="20" w:type="dxa"/>
              <w:bottom w:w="20" w:type="dxa"/>
              <w:right w:w="20" w:type="dxa"/>
            </w:tcMar>
          </w:tcPr>
          <w:p w14:paraId="55046CAA" w14:textId="77777777" w:rsidR="00AB41DA"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90,334</w:t>
            </w:r>
          </w:p>
        </w:tc>
        <w:tc>
          <w:tcPr>
            <w:tcW w:w="1482" w:type="dxa"/>
            <w:shd w:val="clear" w:color="auto" w:fill="auto"/>
            <w:tcMar>
              <w:top w:w="20" w:type="dxa"/>
              <w:left w:w="20" w:type="dxa"/>
              <w:bottom w:w="20" w:type="dxa"/>
              <w:right w:w="20" w:type="dxa"/>
            </w:tcMar>
          </w:tcPr>
          <w:p w14:paraId="25C999F0" w14:textId="77777777" w:rsidR="00AB41DA"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58,090</w:t>
            </w:r>
          </w:p>
        </w:tc>
        <w:tc>
          <w:tcPr>
            <w:tcW w:w="1484" w:type="dxa"/>
            <w:shd w:val="clear" w:color="auto" w:fill="auto"/>
            <w:tcMar>
              <w:top w:w="20" w:type="dxa"/>
              <w:left w:w="20" w:type="dxa"/>
              <w:bottom w:w="20" w:type="dxa"/>
              <w:right w:w="20" w:type="dxa"/>
            </w:tcMar>
          </w:tcPr>
          <w:p w14:paraId="42236068" w14:textId="77777777" w:rsidR="00AB41DA"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148,424</w:t>
            </w:r>
          </w:p>
        </w:tc>
      </w:tr>
      <w:tr w:rsidR="00AB41DA" w:rsidRPr="00DC1077" w14:paraId="74DB32A6" w14:textId="77777777" w:rsidTr="009D3BDC">
        <w:trPr>
          <w:trHeight w:val="245"/>
          <w:jc w:val="center"/>
        </w:trPr>
        <w:tc>
          <w:tcPr>
            <w:tcW w:w="1482" w:type="dxa"/>
            <w:shd w:val="clear" w:color="auto" w:fill="auto"/>
            <w:tcMar>
              <w:top w:w="20" w:type="dxa"/>
              <w:left w:w="20" w:type="dxa"/>
              <w:bottom w:w="20" w:type="dxa"/>
              <w:right w:w="20" w:type="dxa"/>
            </w:tcMar>
          </w:tcPr>
          <w:p w14:paraId="598ACD92"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5,377</w:t>
            </w:r>
          </w:p>
        </w:tc>
        <w:tc>
          <w:tcPr>
            <w:tcW w:w="1482" w:type="dxa"/>
            <w:shd w:val="clear" w:color="auto" w:fill="auto"/>
            <w:tcMar>
              <w:top w:w="20" w:type="dxa"/>
              <w:left w:w="20" w:type="dxa"/>
              <w:bottom w:w="20" w:type="dxa"/>
              <w:right w:w="20" w:type="dxa"/>
            </w:tcMar>
          </w:tcPr>
          <w:p w14:paraId="3CFD3288"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588852BD"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5,377</w:t>
            </w:r>
          </w:p>
        </w:tc>
        <w:tc>
          <w:tcPr>
            <w:tcW w:w="1949" w:type="dxa"/>
            <w:shd w:val="clear" w:color="auto" w:fill="auto"/>
            <w:tcMar>
              <w:top w:w="20" w:type="dxa"/>
              <w:left w:w="20" w:type="dxa"/>
              <w:bottom w:w="20" w:type="dxa"/>
              <w:right w:w="20" w:type="dxa"/>
            </w:tcMar>
          </w:tcPr>
          <w:p w14:paraId="00DAF382" w14:textId="77777777" w:rsidR="00AB41DA" w:rsidRPr="004D57BE" w:rsidRDefault="00AB41DA" w:rsidP="00AB41DA">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Police Overtime</w:t>
            </w:r>
          </w:p>
        </w:tc>
        <w:tc>
          <w:tcPr>
            <w:tcW w:w="1482" w:type="dxa"/>
            <w:shd w:val="clear" w:color="auto" w:fill="auto"/>
            <w:tcMar>
              <w:top w:w="20" w:type="dxa"/>
              <w:left w:w="20" w:type="dxa"/>
              <w:bottom w:w="20" w:type="dxa"/>
              <w:right w:w="20" w:type="dxa"/>
            </w:tcMar>
          </w:tcPr>
          <w:p w14:paraId="6ABC6358" w14:textId="77777777" w:rsidR="00AB41DA"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6,26</w:t>
            </w:r>
            <w:r w:rsidR="0033722E" w:rsidRPr="004D57BE">
              <w:rPr>
                <w:rFonts w:ascii="Verdana" w:eastAsia="Verdana" w:hAnsi="Verdana" w:cs="Verdana"/>
                <w:color w:val="000000"/>
                <w:sz w:val="16"/>
                <w:lang w:val="en-GB"/>
              </w:rPr>
              <w:t>9</w:t>
            </w:r>
          </w:p>
        </w:tc>
        <w:tc>
          <w:tcPr>
            <w:tcW w:w="1482" w:type="dxa"/>
            <w:shd w:val="clear" w:color="auto" w:fill="auto"/>
            <w:tcMar>
              <w:top w:w="20" w:type="dxa"/>
              <w:left w:w="20" w:type="dxa"/>
              <w:bottom w:w="20" w:type="dxa"/>
              <w:right w:w="20" w:type="dxa"/>
            </w:tcMar>
          </w:tcPr>
          <w:p w14:paraId="583C0BBF" w14:textId="77777777" w:rsidR="00AB41DA" w:rsidRPr="009D3BDC" w:rsidRDefault="00201546" w:rsidP="00AB41D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129B8F75" w14:textId="77777777" w:rsidR="00AB41DA"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6,26</w:t>
            </w:r>
            <w:r w:rsidR="0033722E">
              <w:rPr>
                <w:rFonts w:ascii="Verdana" w:eastAsia="Verdana" w:hAnsi="Verdana" w:cs="Verdana"/>
                <w:color w:val="000000"/>
                <w:sz w:val="16"/>
                <w:lang w:val="en-GB"/>
              </w:rPr>
              <w:t>9</w:t>
            </w:r>
          </w:p>
        </w:tc>
      </w:tr>
      <w:tr w:rsidR="00AB41DA" w:rsidRPr="00DC1077" w14:paraId="4B34D378" w14:textId="77777777" w:rsidTr="009D3BDC">
        <w:trPr>
          <w:trHeight w:val="245"/>
          <w:jc w:val="center"/>
        </w:trPr>
        <w:tc>
          <w:tcPr>
            <w:tcW w:w="1482" w:type="dxa"/>
            <w:shd w:val="clear" w:color="auto" w:fill="auto"/>
            <w:tcMar>
              <w:top w:w="20" w:type="dxa"/>
              <w:left w:w="20" w:type="dxa"/>
              <w:bottom w:w="20" w:type="dxa"/>
              <w:right w:w="20" w:type="dxa"/>
            </w:tcMar>
          </w:tcPr>
          <w:p w14:paraId="1832FE85"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61,953</w:t>
            </w:r>
          </w:p>
        </w:tc>
        <w:tc>
          <w:tcPr>
            <w:tcW w:w="1482" w:type="dxa"/>
            <w:shd w:val="clear" w:color="auto" w:fill="auto"/>
            <w:tcMar>
              <w:top w:w="20" w:type="dxa"/>
              <w:left w:w="20" w:type="dxa"/>
              <w:bottom w:w="20" w:type="dxa"/>
              <w:right w:w="20" w:type="dxa"/>
            </w:tcMar>
          </w:tcPr>
          <w:p w14:paraId="775B03AA"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13,844</w:t>
            </w:r>
          </w:p>
        </w:tc>
        <w:tc>
          <w:tcPr>
            <w:tcW w:w="1484" w:type="dxa"/>
            <w:shd w:val="clear" w:color="auto" w:fill="auto"/>
            <w:tcMar>
              <w:top w:w="20" w:type="dxa"/>
              <w:left w:w="20" w:type="dxa"/>
              <w:bottom w:w="20" w:type="dxa"/>
              <w:right w:w="20" w:type="dxa"/>
            </w:tcMar>
          </w:tcPr>
          <w:p w14:paraId="79A8784E" w14:textId="77777777" w:rsidR="00AB41DA" w:rsidRPr="004D57BE" w:rsidRDefault="00AB41DA" w:rsidP="00AB41DA">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75,797</w:t>
            </w:r>
          </w:p>
        </w:tc>
        <w:tc>
          <w:tcPr>
            <w:tcW w:w="1949" w:type="dxa"/>
            <w:shd w:val="clear" w:color="auto" w:fill="auto"/>
            <w:tcMar>
              <w:top w:w="20" w:type="dxa"/>
              <w:left w:w="20" w:type="dxa"/>
              <w:bottom w:w="20" w:type="dxa"/>
              <w:right w:w="20" w:type="dxa"/>
            </w:tcMar>
          </w:tcPr>
          <w:p w14:paraId="4F1C49BD" w14:textId="77777777" w:rsidR="00AB41DA" w:rsidRPr="004D57BE" w:rsidRDefault="00AB41DA" w:rsidP="00AB41DA">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Staff Payroll</w:t>
            </w:r>
          </w:p>
        </w:tc>
        <w:tc>
          <w:tcPr>
            <w:tcW w:w="1482" w:type="dxa"/>
            <w:shd w:val="clear" w:color="auto" w:fill="auto"/>
            <w:tcMar>
              <w:top w:w="20" w:type="dxa"/>
              <w:left w:w="20" w:type="dxa"/>
              <w:bottom w:w="20" w:type="dxa"/>
              <w:right w:w="20" w:type="dxa"/>
            </w:tcMar>
          </w:tcPr>
          <w:p w14:paraId="0B45A5D0" w14:textId="77777777" w:rsidR="00AB41DA"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70,299</w:t>
            </w:r>
          </w:p>
        </w:tc>
        <w:tc>
          <w:tcPr>
            <w:tcW w:w="1482" w:type="dxa"/>
            <w:shd w:val="clear" w:color="auto" w:fill="auto"/>
            <w:tcMar>
              <w:top w:w="20" w:type="dxa"/>
              <w:left w:w="20" w:type="dxa"/>
              <w:bottom w:w="20" w:type="dxa"/>
              <w:right w:w="20" w:type="dxa"/>
            </w:tcMar>
          </w:tcPr>
          <w:p w14:paraId="09F6E15A" w14:textId="77777777" w:rsidR="00AB41DA"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10,438</w:t>
            </w:r>
          </w:p>
        </w:tc>
        <w:tc>
          <w:tcPr>
            <w:tcW w:w="1484" w:type="dxa"/>
            <w:shd w:val="clear" w:color="auto" w:fill="auto"/>
            <w:tcMar>
              <w:top w:w="20" w:type="dxa"/>
              <w:left w:w="20" w:type="dxa"/>
              <w:bottom w:w="20" w:type="dxa"/>
              <w:right w:w="20" w:type="dxa"/>
            </w:tcMar>
          </w:tcPr>
          <w:p w14:paraId="5F2FE36E" w14:textId="77777777" w:rsidR="00AB41DA"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80,737</w:t>
            </w:r>
          </w:p>
        </w:tc>
      </w:tr>
      <w:tr w:rsidR="009D3BDC" w:rsidRPr="00DC1077" w14:paraId="3A219B9B" w14:textId="77777777" w:rsidTr="009D3BDC">
        <w:trPr>
          <w:trHeight w:val="245"/>
          <w:jc w:val="center"/>
        </w:trPr>
        <w:tc>
          <w:tcPr>
            <w:tcW w:w="1482" w:type="dxa"/>
            <w:shd w:val="clear" w:color="auto" w:fill="auto"/>
            <w:tcMar>
              <w:top w:w="20" w:type="dxa"/>
              <w:left w:w="20" w:type="dxa"/>
              <w:bottom w:w="20" w:type="dxa"/>
              <w:right w:w="20" w:type="dxa"/>
            </w:tcMar>
          </w:tcPr>
          <w:p w14:paraId="44A17AA2"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1,695</w:t>
            </w:r>
          </w:p>
        </w:tc>
        <w:tc>
          <w:tcPr>
            <w:tcW w:w="1482" w:type="dxa"/>
            <w:shd w:val="clear" w:color="auto" w:fill="auto"/>
            <w:tcMar>
              <w:top w:w="20" w:type="dxa"/>
              <w:left w:w="20" w:type="dxa"/>
              <w:bottom w:w="20" w:type="dxa"/>
              <w:right w:w="20" w:type="dxa"/>
            </w:tcMar>
          </w:tcPr>
          <w:p w14:paraId="01EA831B"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1CB445A7"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1,695</w:t>
            </w:r>
          </w:p>
        </w:tc>
        <w:tc>
          <w:tcPr>
            <w:tcW w:w="1949" w:type="dxa"/>
            <w:shd w:val="clear" w:color="auto" w:fill="auto"/>
            <w:tcMar>
              <w:top w:w="20" w:type="dxa"/>
              <w:left w:w="20" w:type="dxa"/>
              <w:bottom w:w="20" w:type="dxa"/>
              <w:right w:w="20" w:type="dxa"/>
            </w:tcMar>
          </w:tcPr>
          <w:p w14:paraId="4AE0DCE7"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Staff Overtime</w:t>
            </w:r>
          </w:p>
        </w:tc>
        <w:tc>
          <w:tcPr>
            <w:tcW w:w="1482" w:type="dxa"/>
            <w:shd w:val="clear" w:color="auto" w:fill="auto"/>
            <w:tcMar>
              <w:top w:w="20" w:type="dxa"/>
              <w:left w:w="20" w:type="dxa"/>
              <w:bottom w:w="20" w:type="dxa"/>
              <w:right w:w="20" w:type="dxa"/>
            </w:tcMar>
          </w:tcPr>
          <w:p w14:paraId="2F877478" w14:textId="77777777" w:rsidR="009D3BDC"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1,90</w:t>
            </w:r>
            <w:r w:rsidR="0033722E" w:rsidRPr="004D57BE">
              <w:rPr>
                <w:rFonts w:ascii="Verdana" w:eastAsia="Verdana" w:hAnsi="Verdana" w:cs="Verdana"/>
                <w:color w:val="000000"/>
                <w:sz w:val="16"/>
                <w:lang w:val="en-GB"/>
              </w:rPr>
              <w:t>4</w:t>
            </w:r>
          </w:p>
        </w:tc>
        <w:tc>
          <w:tcPr>
            <w:tcW w:w="1482" w:type="dxa"/>
            <w:shd w:val="clear" w:color="auto" w:fill="auto"/>
            <w:tcMar>
              <w:top w:w="20" w:type="dxa"/>
              <w:left w:w="20" w:type="dxa"/>
              <w:bottom w:w="20" w:type="dxa"/>
              <w:right w:w="20" w:type="dxa"/>
            </w:tcMar>
          </w:tcPr>
          <w:p w14:paraId="7A8BDE4E"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62DC57CF" w14:textId="77777777" w:rsidR="009D3BDC"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1,90</w:t>
            </w:r>
            <w:r w:rsidR="0033722E">
              <w:rPr>
                <w:rFonts w:ascii="Verdana" w:eastAsia="Verdana" w:hAnsi="Verdana" w:cs="Verdana"/>
                <w:color w:val="000000"/>
                <w:sz w:val="16"/>
                <w:lang w:val="en-GB"/>
              </w:rPr>
              <w:t>4</w:t>
            </w:r>
          </w:p>
        </w:tc>
      </w:tr>
      <w:tr w:rsidR="009D3BDC" w:rsidRPr="00DC1077" w14:paraId="00007D01" w14:textId="77777777" w:rsidTr="009D3BDC">
        <w:trPr>
          <w:trHeight w:val="245"/>
          <w:jc w:val="center"/>
        </w:trPr>
        <w:tc>
          <w:tcPr>
            <w:tcW w:w="1482" w:type="dxa"/>
            <w:shd w:val="clear" w:color="auto" w:fill="auto"/>
            <w:tcMar>
              <w:top w:w="20" w:type="dxa"/>
              <w:left w:w="20" w:type="dxa"/>
              <w:bottom w:w="20" w:type="dxa"/>
              <w:right w:w="20" w:type="dxa"/>
            </w:tcMar>
          </w:tcPr>
          <w:p w14:paraId="365B695E"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2,014</w:t>
            </w:r>
          </w:p>
        </w:tc>
        <w:tc>
          <w:tcPr>
            <w:tcW w:w="1482" w:type="dxa"/>
            <w:shd w:val="clear" w:color="auto" w:fill="auto"/>
            <w:tcMar>
              <w:top w:w="20" w:type="dxa"/>
              <w:left w:w="20" w:type="dxa"/>
              <w:bottom w:w="20" w:type="dxa"/>
              <w:right w:w="20" w:type="dxa"/>
            </w:tcMar>
          </w:tcPr>
          <w:p w14:paraId="6BE60FBD"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73F6C8A2"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2,014</w:t>
            </w:r>
          </w:p>
        </w:tc>
        <w:tc>
          <w:tcPr>
            <w:tcW w:w="1949" w:type="dxa"/>
            <w:shd w:val="clear" w:color="auto" w:fill="auto"/>
            <w:tcMar>
              <w:top w:w="20" w:type="dxa"/>
              <w:left w:w="20" w:type="dxa"/>
              <w:bottom w:w="20" w:type="dxa"/>
              <w:right w:w="20" w:type="dxa"/>
            </w:tcMar>
          </w:tcPr>
          <w:p w14:paraId="5D7BDC2C"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Agency</w:t>
            </w:r>
          </w:p>
        </w:tc>
        <w:tc>
          <w:tcPr>
            <w:tcW w:w="1482" w:type="dxa"/>
            <w:shd w:val="clear" w:color="auto" w:fill="auto"/>
            <w:tcMar>
              <w:top w:w="20" w:type="dxa"/>
              <w:left w:w="20" w:type="dxa"/>
              <w:bottom w:w="20" w:type="dxa"/>
              <w:right w:w="20" w:type="dxa"/>
            </w:tcMar>
          </w:tcPr>
          <w:p w14:paraId="73BA5E6C"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3,</w:t>
            </w:r>
            <w:r w:rsidR="007A3A39" w:rsidRPr="004D57BE">
              <w:rPr>
                <w:rFonts w:ascii="Verdana" w:eastAsia="Verdana" w:hAnsi="Verdana" w:cs="Verdana"/>
                <w:color w:val="000000"/>
                <w:sz w:val="16"/>
                <w:lang w:val="en-GB"/>
              </w:rPr>
              <w:t>414</w:t>
            </w:r>
          </w:p>
          <w:p w14:paraId="4FC5384A" w14:textId="77777777" w:rsidR="009D3BDC" w:rsidRPr="004D57BE" w:rsidRDefault="009D3BDC" w:rsidP="009D3BDC">
            <w:pPr>
              <w:pStyle w:val="T1TableStyle"/>
              <w:jc w:val="right"/>
              <w:rPr>
                <w:rFonts w:ascii="Verdana" w:eastAsia="Verdana" w:hAnsi="Verdana" w:cs="Verdana"/>
                <w:color w:val="000000"/>
                <w:sz w:val="16"/>
                <w:lang w:val="en-GB"/>
              </w:rPr>
            </w:pPr>
          </w:p>
        </w:tc>
        <w:tc>
          <w:tcPr>
            <w:tcW w:w="1482" w:type="dxa"/>
            <w:shd w:val="clear" w:color="auto" w:fill="auto"/>
            <w:tcMar>
              <w:top w:w="20" w:type="dxa"/>
              <w:left w:w="20" w:type="dxa"/>
              <w:bottom w:w="20" w:type="dxa"/>
              <w:right w:w="20" w:type="dxa"/>
            </w:tcMar>
          </w:tcPr>
          <w:p w14:paraId="5C0D4DD1"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056F2A17" w14:textId="77777777" w:rsidR="009D3BDC" w:rsidRPr="009D3BDC" w:rsidRDefault="009D3BDC" w:rsidP="009D3BDC">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3,</w:t>
            </w:r>
            <w:r w:rsidR="007A3A39">
              <w:rPr>
                <w:rFonts w:ascii="Verdana" w:eastAsia="Verdana" w:hAnsi="Verdana" w:cs="Verdana"/>
                <w:color w:val="000000"/>
                <w:sz w:val="16"/>
                <w:lang w:val="en-GB"/>
              </w:rPr>
              <w:t>414</w:t>
            </w:r>
          </w:p>
          <w:p w14:paraId="14AE5BB2" w14:textId="77777777" w:rsidR="009D3BDC" w:rsidRPr="009D3BDC" w:rsidRDefault="009D3BDC" w:rsidP="009D3BDC">
            <w:pPr>
              <w:pStyle w:val="T1TableStyle"/>
              <w:jc w:val="right"/>
              <w:rPr>
                <w:rFonts w:ascii="Verdana" w:eastAsia="Verdana" w:hAnsi="Verdana" w:cs="Verdana"/>
                <w:color w:val="000000"/>
                <w:sz w:val="16"/>
                <w:lang w:val="en-GB"/>
              </w:rPr>
            </w:pPr>
          </w:p>
        </w:tc>
      </w:tr>
      <w:tr w:rsidR="009D3BDC" w:rsidRPr="00DC1077" w14:paraId="76E0E8AF" w14:textId="77777777" w:rsidTr="009D3BDC">
        <w:trPr>
          <w:trHeight w:val="245"/>
          <w:jc w:val="center"/>
        </w:trPr>
        <w:tc>
          <w:tcPr>
            <w:tcW w:w="1482" w:type="dxa"/>
            <w:shd w:val="clear" w:color="auto" w:fill="auto"/>
            <w:tcMar>
              <w:top w:w="20" w:type="dxa"/>
              <w:left w:w="20" w:type="dxa"/>
              <w:bottom w:w="20" w:type="dxa"/>
              <w:right w:w="20" w:type="dxa"/>
            </w:tcMar>
          </w:tcPr>
          <w:p w14:paraId="2DC851D3"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1,144</w:t>
            </w:r>
          </w:p>
        </w:tc>
        <w:tc>
          <w:tcPr>
            <w:tcW w:w="1482" w:type="dxa"/>
            <w:shd w:val="clear" w:color="auto" w:fill="auto"/>
            <w:tcMar>
              <w:top w:w="20" w:type="dxa"/>
              <w:left w:w="20" w:type="dxa"/>
              <w:bottom w:w="20" w:type="dxa"/>
              <w:right w:w="20" w:type="dxa"/>
            </w:tcMar>
          </w:tcPr>
          <w:p w14:paraId="78F7E9E9"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59D58A9A"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1,144</w:t>
            </w:r>
          </w:p>
        </w:tc>
        <w:tc>
          <w:tcPr>
            <w:tcW w:w="1949" w:type="dxa"/>
            <w:shd w:val="clear" w:color="auto" w:fill="auto"/>
            <w:tcMar>
              <w:top w:w="20" w:type="dxa"/>
              <w:left w:w="20" w:type="dxa"/>
              <w:bottom w:w="20" w:type="dxa"/>
              <w:right w:w="20" w:type="dxa"/>
            </w:tcMar>
          </w:tcPr>
          <w:p w14:paraId="703312A1"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Training</w:t>
            </w:r>
          </w:p>
        </w:tc>
        <w:tc>
          <w:tcPr>
            <w:tcW w:w="1482" w:type="dxa"/>
            <w:shd w:val="clear" w:color="auto" w:fill="auto"/>
            <w:tcMar>
              <w:top w:w="20" w:type="dxa"/>
              <w:left w:w="20" w:type="dxa"/>
              <w:bottom w:w="20" w:type="dxa"/>
              <w:right w:w="20" w:type="dxa"/>
            </w:tcMar>
          </w:tcPr>
          <w:p w14:paraId="725E9EC6" w14:textId="77777777" w:rsidR="009D3BDC"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2,366</w:t>
            </w:r>
          </w:p>
        </w:tc>
        <w:tc>
          <w:tcPr>
            <w:tcW w:w="1482" w:type="dxa"/>
            <w:shd w:val="clear" w:color="auto" w:fill="auto"/>
            <w:tcMar>
              <w:top w:w="20" w:type="dxa"/>
              <w:left w:w="20" w:type="dxa"/>
              <w:bottom w:w="20" w:type="dxa"/>
              <w:right w:w="20" w:type="dxa"/>
            </w:tcMar>
          </w:tcPr>
          <w:p w14:paraId="32FE0E89"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57807A4E" w14:textId="77777777" w:rsidR="009D3BDC"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2,366</w:t>
            </w:r>
          </w:p>
        </w:tc>
      </w:tr>
      <w:tr w:rsidR="009D3BDC" w:rsidRPr="00DC1077" w14:paraId="498EDD1E" w14:textId="77777777" w:rsidTr="009D3BDC">
        <w:trPr>
          <w:trHeight w:val="245"/>
          <w:jc w:val="center"/>
        </w:trPr>
        <w:tc>
          <w:tcPr>
            <w:tcW w:w="1482" w:type="dxa"/>
            <w:shd w:val="clear" w:color="auto" w:fill="auto"/>
            <w:tcMar>
              <w:top w:w="20" w:type="dxa"/>
              <w:left w:w="20" w:type="dxa"/>
              <w:bottom w:w="20" w:type="dxa"/>
              <w:right w:w="20" w:type="dxa"/>
            </w:tcMar>
          </w:tcPr>
          <w:p w14:paraId="2D4B866C"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1,736</w:t>
            </w:r>
          </w:p>
        </w:tc>
        <w:tc>
          <w:tcPr>
            <w:tcW w:w="1482" w:type="dxa"/>
            <w:shd w:val="clear" w:color="auto" w:fill="auto"/>
            <w:tcMar>
              <w:top w:w="20" w:type="dxa"/>
              <w:left w:w="20" w:type="dxa"/>
              <w:bottom w:w="20" w:type="dxa"/>
              <w:right w:w="20" w:type="dxa"/>
            </w:tcMar>
          </w:tcPr>
          <w:p w14:paraId="4570B906"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1076E237"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1,736</w:t>
            </w:r>
          </w:p>
        </w:tc>
        <w:tc>
          <w:tcPr>
            <w:tcW w:w="1949" w:type="dxa"/>
            <w:shd w:val="clear" w:color="auto" w:fill="auto"/>
            <w:tcMar>
              <w:top w:w="20" w:type="dxa"/>
              <w:left w:w="20" w:type="dxa"/>
              <w:bottom w:w="20" w:type="dxa"/>
              <w:right w:w="20" w:type="dxa"/>
            </w:tcMar>
          </w:tcPr>
          <w:p w14:paraId="3BD112F3"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Other Payroll Costs</w:t>
            </w:r>
          </w:p>
        </w:tc>
        <w:tc>
          <w:tcPr>
            <w:tcW w:w="1482" w:type="dxa"/>
            <w:shd w:val="clear" w:color="auto" w:fill="auto"/>
            <w:tcMar>
              <w:top w:w="20" w:type="dxa"/>
              <w:left w:w="20" w:type="dxa"/>
              <w:bottom w:w="20" w:type="dxa"/>
              <w:right w:w="20" w:type="dxa"/>
            </w:tcMar>
          </w:tcPr>
          <w:p w14:paraId="5ED0CC3E" w14:textId="77777777" w:rsidR="009D3BDC"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2,29</w:t>
            </w:r>
            <w:r w:rsidR="0033722E" w:rsidRPr="004D57BE">
              <w:rPr>
                <w:rFonts w:ascii="Verdana" w:eastAsia="Verdana" w:hAnsi="Verdana" w:cs="Verdana"/>
                <w:color w:val="000000"/>
                <w:sz w:val="16"/>
                <w:lang w:val="en-GB"/>
              </w:rPr>
              <w:t>8</w:t>
            </w:r>
          </w:p>
        </w:tc>
        <w:tc>
          <w:tcPr>
            <w:tcW w:w="1482" w:type="dxa"/>
            <w:shd w:val="clear" w:color="auto" w:fill="auto"/>
            <w:tcMar>
              <w:top w:w="20" w:type="dxa"/>
              <w:left w:w="20" w:type="dxa"/>
              <w:bottom w:w="20" w:type="dxa"/>
              <w:right w:w="20" w:type="dxa"/>
            </w:tcMar>
          </w:tcPr>
          <w:p w14:paraId="0B3849CF"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0974312A" w14:textId="77777777" w:rsidR="009D3BDC"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2,29</w:t>
            </w:r>
            <w:r w:rsidR="0033722E">
              <w:rPr>
                <w:rFonts w:ascii="Verdana" w:eastAsia="Verdana" w:hAnsi="Verdana" w:cs="Verdana"/>
                <w:color w:val="000000"/>
                <w:sz w:val="16"/>
                <w:lang w:val="en-GB"/>
              </w:rPr>
              <w:t>8</w:t>
            </w:r>
          </w:p>
        </w:tc>
      </w:tr>
      <w:tr w:rsidR="009D3BDC" w:rsidRPr="00DC1077" w14:paraId="594BC6C1" w14:textId="77777777" w:rsidTr="009D3BDC">
        <w:trPr>
          <w:trHeight w:val="245"/>
          <w:jc w:val="center"/>
        </w:trPr>
        <w:tc>
          <w:tcPr>
            <w:tcW w:w="1482" w:type="dxa"/>
            <w:shd w:val="clear" w:color="auto" w:fill="auto"/>
            <w:tcMar>
              <w:top w:w="20" w:type="dxa"/>
              <w:left w:w="20" w:type="dxa"/>
              <w:bottom w:w="20" w:type="dxa"/>
              <w:right w:w="20" w:type="dxa"/>
            </w:tcMar>
          </w:tcPr>
          <w:p w14:paraId="08C59EF8"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12,643</w:t>
            </w:r>
          </w:p>
        </w:tc>
        <w:tc>
          <w:tcPr>
            <w:tcW w:w="1482" w:type="dxa"/>
            <w:shd w:val="clear" w:color="auto" w:fill="auto"/>
            <w:tcMar>
              <w:top w:w="20" w:type="dxa"/>
              <w:left w:w="20" w:type="dxa"/>
              <w:bottom w:w="20" w:type="dxa"/>
              <w:right w:w="20" w:type="dxa"/>
            </w:tcMar>
          </w:tcPr>
          <w:p w14:paraId="2070461F"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0E3EC551"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12,643</w:t>
            </w:r>
          </w:p>
        </w:tc>
        <w:tc>
          <w:tcPr>
            <w:tcW w:w="1949" w:type="dxa"/>
            <w:shd w:val="clear" w:color="auto" w:fill="auto"/>
            <w:tcMar>
              <w:top w:w="20" w:type="dxa"/>
              <w:left w:w="20" w:type="dxa"/>
              <w:bottom w:w="20" w:type="dxa"/>
              <w:right w:w="20" w:type="dxa"/>
            </w:tcMar>
          </w:tcPr>
          <w:p w14:paraId="192474CB"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Premises</w:t>
            </w:r>
          </w:p>
        </w:tc>
        <w:tc>
          <w:tcPr>
            <w:tcW w:w="1482" w:type="dxa"/>
            <w:shd w:val="clear" w:color="auto" w:fill="auto"/>
            <w:tcMar>
              <w:top w:w="20" w:type="dxa"/>
              <w:left w:w="20" w:type="dxa"/>
              <w:bottom w:w="20" w:type="dxa"/>
              <w:right w:w="20" w:type="dxa"/>
            </w:tcMar>
          </w:tcPr>
          <w:p w14:paraId="26A14459" w14:textId="77777777" w:rsidR="009D3BDC"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9,435</w:t>
            </w:r>
          </w:p>
        </w:tc>
        <w:tc>
          <w:tcPr>
            <w:tcW w:w="1482" w:type="dxa"/>
            <w:shd w:val="clear" w:color="auto" w:fill="auto"/>
            <w:tcMar>
              <w:top w:w="20" w:type="dxa"/>
              <w:left w:w="20" w:type="dxa"/>
              <w:bottom w:w="20" w:type="dxa"/>
              <w:right w:w="20" w:type="dxa"/>
            </w:tcMar>
          </w:tcPr>
          <w:p w14:paraId="13C7D171"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73BA9DFC" w14:textId="77777777" w:rsidR="009D3BDC"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9,435</w:t>
            </w:r>
          </w:p>
        </w:tc>
      </w:tr>
      <w:tr w:rsidR="009D3BDC" w:rsidRPr="00DC1077" w14:paraId="2073F7BC" w14:textId="77777777" w:rsidTr="009D3BDC">
        <w:trPr>
          <w:trHeight w:val="245"/>
          <w:jc w:val="center"/>
        </w:trPr>
        <w:tc>
          <w:tcPr>
            <w:tcW w:w="1482" w:type="dxa"/>
            <w:shd w:val="clear" w:color="auto" w:fill="auto"/>
            <w:tcMar>
              <w:top w:w="20" w:type="dxa"/>
              <w:left w:w="20" w:type="dxa"/>
              <w:bottom w:w="20" w:type="dxa"/>
              <w:right w:w="20" w:type="dxa"/>
            </w:tcMar>
          </w:tcPr>
          <w:p w14:paraId="4B14BDD8"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26,876</w:t>
            </w:r>
          </w:p>
        </w:tc>
        <w:tc>
          <w:tcPr>
            <w:tcW w:w="1482" w:type="dxa"/>
            <w:shd w:val="clear" w:color="auto" w:fill="auto"/>
            <w:tcMar>
              <w:top w:w="20" w:type="dxa"/>
              <w:left w:w="20" w:type="dxa"/>
              <w:bottom w:w="20" w:type="dxa"/>
              <w:right w:w="20" w:type="dxa"/>
            </w:tcMar>
          </w:tcPr>
          <w:p w14:paraId="75C3D83D"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754B9504"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26,876</w:t>
            </w:r>
          </w:p>
        </w:tc>
        <w:tc>
          <w:tcPr>
            <w:tcW w:w="1949" w:type="dxa"/>
            <w:shd w:val="clear" w:color="auto" w:fill="auto"/>
            <w:tcMar>
              <w:top w:w="20" w:type="dxa"/>
              <w:left w:w="20" w:type="dxa"/>
              <w:bottom w:w="20" w:type="dxa"/>
              <w:right w:w="20" w:type="dxa"/>
            </w:tcMar>
          </w:tcPr>
          <w:p w14:paraId="6FA0BA34"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Supplies and Services</w:t>
            </w:r>
          </w:p>
        </w:tc>
        <w:tc>
          <w:tcPr>
            <w:tcW w:w="1482" w:type="dxa"/>
            <w:shd w:val="clear" w:color="auto" w:fill="auto"/>
            <w:tcMar>
              <w:top w:w="20" w:type="dxa"/>
              <w:left w:w="20" w:type="dxa"/>
              <w:bottom w:w="20" w:type="dxa"/>
              <w:right w:w="20" w:type="dxa"/>
            </w:tcMar>
          </w:tcPr>
          <w:p w14:paraId="0414518F" w14:textId="28031C12" w:rsidR="009D3BDC" w:rsidRPr="004D57BE" w:rsidRDefault="00DB179E" w:rsidP="0033722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29,579</w:t>
            </w:r>
          </w:p>
        </w:tc>
        <w:tc>
          <w:tcPr>
            <w:tcW w:w="1482" w:type="dxa"/>
            <w:shd w:val="clear" w:color="auto" w:fill="auto"/>
            <w:tcMar>
              <w:top w:w="20" w:type="dxa"/>
              <w:left w:w="20" w:type="dxa"/>
              <w:bottom w:w="20" w:type="dxa"/>
              <w:right w:w="20" w:type="dxa"/>
            </w:tcMar>
          </w:tcPr>
          <w:p w14:paraId="1A898762"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291B896E" w14:textId="1A5895FD" w:rsidR="009D3BDC" w:rsidRPr="009D3BDC" w:rsidRDefault="00DB179E" w:rsidP="0033722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29,579</w:t>
            </w:r>
          </w:p>
        </w:tc>
      </w:tr>
      <w:tr w:rsidR="009D3BDC" w:rsidRPr="00DC1077" w14:paraId="681D7DF7" w14:textId="77777777" w:rsidTr="009D3BDC">
        <w:trPr>
          <w:trHeight w:val="245"/>
          <w:jc w:val="center"/>
        </w:trPr>
        <w:tc>
          <w:tcPr>
            <w:tcW w:w="1482" w:type="dxa"/>
            <w:shd w:val="clear" w:color="auto" w:fill="auto"/>
            <w:tcMar>
              <w:top w:w="20" w:type="dxa"/>
              <w:left w:w="20" w:type="dxa"/>
              <w:bottom w:w="20" w:type="dxa"/>
              <w:right w:w="20" w:type="dxa"/>
            </w:tcMar>
          </w:tcPr>
          <w:p w14:paraId="1BF3B8AC"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5,273</w:t>
            </w:r>
          </w:p>
        </w:tc>
        <w:tc>
          <w:tcPr>
            <w:tcW w:w="1482" w:type="dxa"/>
            <w:shd w:val="clear" w:color="auto" w:fill="auto"/>
            <w:tcMar>
              <w:top w:w="20" w:type="dxa"/>
              <w:left w:w="20" w:type="dxa"/>
              <w:bottom w:w="20" w:type="dxa"/>
              <w:right w:w="20" w:type="dxa"/>
            </w:tcMar>
          </w:tcPr>
          <w:p w14:paraId="70005BFF"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58D64AB5"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5,273</w:t>
            </w:r>
          </w:p>
        </w:tc>
        <w:tc>
          <w:tcPr>
            <w:tcW w:w="1949" w:type="dxa"/>
            <w:shd w:val="clear" w:color="auto" w:fill="auto"/>
            <w:tcMar>
              <w:top w:w="20" w:type="dxa"/>
              <w:left w:w="20" w:type="dxa"/>
              <w:bottom w:w="20" w:type="dxa"/>
              <w:right w:w="20" w:type="dxa"/>
            </w:tcMar>
          </w:tcPr>
          <w:p w14:paraId="2FFCF25F"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Transport</w:t>
            </w:r>
          </w:p>
        </w:tc>
        <w:tc>
          <w:tcPr>
            <w:tcW w:w="1482" w:type="dxa"/>
            <w:shd w:val="clear" w:color="auto" w:fill="auto"/>
            <w:tcMar>
              <w:top w:w="20" w:type="dxa"/>
              <w:left w:w="20" w:type="dxa"/>
              <w:bottom w:w="20" w:type="dxa"/>
              <w:right w:w="20" w:type="dxa"/>
            </w:tcMar>
          </w:tcPr>
          <w:p w14:paraId="15EB0094" w14:textId="77777777" w:rsidR="009D3BDC"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5,75</w:t>
            </w:r>
            <w:r w:rsidR="0033722E" w:rsidRPr="004D57BE">
              <w:rPr>
                <w:rFonts w:ascii="Verdana" w:eastAsia="Verdana" w:hAnsi="Verdana" w:cs="Verdana"/>
                <w:color w:val="000000"/>
                <w:sz w:val="16"/>
                <w:lang w:val="en-GB"/>
              </w:rPr>
              <w:t>6</w:t>
            </w:r>
          </w:p>
        </w:tc>
        <w:tc>
          <w:tcPr>
            <w:tcW w:w="1482" w:type="dxa"/>
            <w:shd w:val="clear" w:color="auto" w:fill="auto"/>
            <w:tcMar>
              <w:top w:w="20" w:type="dxa"/>
              <w:left w:w="20" w:type="dxa"/>
              <w:bottom w:w="20" w:type="dxa"/>
              <w:right w:w="20" w:type="dxa"/>
            </w:tcMar>
          </w:tcPr>
          <w:p w14:paraId="7381EDFA"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5A938335" w14:textId="77777777" w:rsidR="009D3BDC" w:rsidRPr="009D3BDC" w:rsidRDefault="009D3BDC" w:rsidP="0033722E">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5,75</w:t>
            </w:r>
            <w:r w:rsidR="0033722E">
              <w:rPr>
                <w:rFonts w:ascii="Verdana" w:eastAsia="Verdana" w:hAnsi="Verdana" w:cs="Verdana"/>
                <w:color w:val="000000"/>
                <w:sz w:val="16"/>
                <w:lang w:val="en-GB"/>
              </w:rPr>
              <w:t>6</w:t>
            </w:r>
          </w:p>
        </w:tc>
      </w:tr>
      <w:tr w:rsidR="009D3BDC" w:rsidRPr="00DC1077" w14:paraId="1C9FA250" w14:textId="77777777" w:rsidTr="009D3BDC">
        <w:trPr>
          <w:trHeight w:val="245"/>
          <w:jc w:val="center"/>
        </w:trPr>
        <w:tc>
          <w:tcPr>
            <w:tcW w:w="1482" w:type="dxa"/>
            <w:shd w:val="clear" w:color="auto" w:fill="auto"/>
            <w:tcMar>
              <w:top w:w="20" w:type="dxa"/>
              <w:left w:w="20" w:type="dxa"/>
              <w:bottom w:w="20" w:type="dxa"/>
              <w:right w:w="20" w:type="dxa"/>
            </w:tcMar>
          </w:tcPr>
          <w:p w14:paraId="4E765448"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11,196</w:t>
            </w:r>
          </w:p>
        </w:tc>
        <w:tc>
          <w:tcPr>
            <w:tcW w:w="1482" w:type="dxa"/>
            <w:shd w:val="clear" w:color="auto" w:fill="auto"/>
            <w:tcMar>
              <w:top w:w="20" w:type="dxa"/>
              <w:left w:w="20" w:type="dxa"/>
              <w:bottom w:w="20" w:type="dxa"/>
              <w:right w:w="20" w:type="dxa"/>
            </w:tcMar>
          </w:tcPr>
          <w:p w14:paraId="2C8C290C"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180F7180"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11,196</w:t>
            </w:r>
          </w:p>
        </w:tc>
        <w:tc>
          <w:tcPr>
            <w:tcW w:w="1949" w:type="dxa"/>
            <w:shd w:val="clear" w:color="auto" w:fill="auto"/>
            <w:tcMar>
              <w:top w:w="20" w:type="dxa"/>
              <w:left w:w="20" w:type="dxa"/>
              <w:bottom w:w="20" w:type="dxa"/>
              <w:right w:w="20" w:type="dxa"/>
            </w:tcMar>
          </w:tcPr>
          <w:p w14:paraId="2382018F"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*Depreciation/Amortisation (Proxy)</w:t>
            </w:r>
          </w:p>
        </w:tc>
        <w:tc>
          <w:tcPr>
            <w:tcW w:w="1482" w:type="dxa"/>
            <w:shd w:val="clear" w:color="auto" w:fill="auto"/>
            <w:tcMar>
              <w:top w:w="20" w:type="dxa"/>
              <w:left w:w="20" w:type="dxa"/>
              <w:bottom w:w="20" w:type="dxa"/>
              <w:right w:w="20" w:type="dxa"/>
            </w:tcMar>
          </w:tcPr>
          <w:p w14:paraId="4D829E6B" w14:textId="77777777" w:rsidR="009D3BDC" w:rsidRPr="004D57BE" w:rsidRDefault="00A30DA8" w:rsidP="0033722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p>
        </w:tc>
        <w:tc>
          <w:tcPr>
            <w:tcW w:w="1482" w:type="dxa"/>
            <w:shd w:val="clear" w:color="auto" w:fill="auto"/>
            <w:tcMar>
              <w:top w:w="20" w:type="dxa"/>
              <w:left w:w="20" w:type="dxa"/>
              <w:bottom w:w="20" w:type="dxa"/>
              <w:right w:w="20" w:type="dxa"/>
            </w:tcMar>
          </w:tcPr>
          <w:p w14:paraId="2704560D"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6C65E8C4" w14:textId="77777777" w:rsidR="009D3BDC" w:rsidRPr="009D3BDC" w:rsidRDefault="00A30DA8" w:rsidP="0033722E">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p>
        </w:tc>
      </w:tr>
      <w:tr w:rsidR="009D3BDC" w:rsidRPr="00DC1077" w14:paraId="413D6F80" w14:textId="77777777" w:rsidTr="009D3BDC">
        <w:trPr>
          <w:trHeight w:val="245"/>
          <w:jc w:val="center"/>
        </w:trPr>
        <w:tc>
          <w:tcPr>
            <w:tcW w:w="1482" w:type="dxa"/>
            <w:shd w:val="clear" w:color="auto" w:fill="auto"/>
            <w:tcMar>
              <w:top w:w="20" w:type="dxa"/>
              <w:left w:w="20" w:type="dxa"/>
              <w:bottom w:w="20" w:type="dxa"/>
              <w:right w:w="20" w:type="dxa"/>
            </w:tcMar>
          </w:tcPr>
          <w:p w14:paraId="33229B53"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(13,233)</w:t>
            </w:r>
          </w:p>
        </w:tc>
        <w:tc>
          <w:tcPr>
            <w:tcW w:w="1482" w:type="dxa"/>
            <w:shd w:val="clear" w:color="auto" w:fill="auto"/>
            <w:tcMar>
              <w:top w:w="20" w:type="dxa"/>
              <w:left w:w="20" w:type="dxa"/>
              <w:bottom w:w="20" w:type="dxa"/>
              <w:right w:w="20" w:type="dxa"/>
            </w:tcMar>
          </w:tcPr>
          <w:p w14:paraId="51AD84D6"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08CDDCBD"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(13,233)</w:t>
            </w:r>
          </w:p>
        </w:tc>
        <w:tc>
          <w:tcPr>
            <w:tcW w:w="1949" w:type="dxa"/>
            <w:shd w:val="clear" w:color="auto" w:fill="auto"/>
            <w:tcMar>
              <w:top w:w="20" w:type="dxa"/>
              <w:left w:w="20" w:type="dxa"/>
              <w:bottom w:w="20" w:type="dxa"/>
              <w:right w:w="20" w:type="dxa"/>
            </w:tcMar>
          </w:tcPr>
          <w:p w14:paraId="5C99EDB7"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Income</w:t>
            </w:r>
          </w:p>
        </w:tc>
        <w:tc>
          <w:tcPr>
            <w:tcW w:w="1482" w:type="dxa"/>
            <w:shd w:val="clear" w:color="auto" w:fill="auto"/>
            <w:tcMar>
              <w:top w:w="20" w:type="dxa"/>
              <w:left w:w="20" w:type="dxa"/>
              <w:bottom w:w="20" w:type="dxa"/>
              <w:right w:w="20" w:type="dxa"/>
            </w:tcMar>
          </w:tcPr>
          <w:p w14:paraId="18416205" w14:textId="42BC1238" w:rsidR="009D3BDC" w:rsidRPr="004D57BE" w:rsidRDefault="009D3BDC" w:rsidP="0033722E">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w:t>
            </w:r>
            <w:r w:rsidR="0039141E">
              <w:rPr>
                <w:rFonts w:ascii="Verdana" w:eastAsia="Verdana" w:hAnsi="Verdana" w:cs="Verdana"/>
                <w:color w:val="000000"/>
                <w:sz w:val="16"/>
                <w:lang w:val="en-GB"/>
              </w:rPr>
              <w:t>7,197</w:t>
            </w:r>
            <w:r w:rsidRPr="004D57BE">
              <w:rPr>
                <w:rFonts w:ascii="Verdana" w:eastAsia="Verdana" w:hAnsi="Verdana" w:cs="Verdana"/>
                <w:color w:val="000000"/>
                <w:sz w:val="16"/>
                <w:lang w:val="en-GB"/>
              </w:rPr>
              <w:t>)</w:t>
            </w:r>
          </w:p>
        </w:tc>
        <w:tc>
          <w:tcPr>
            <w:tcW w:w="1482" w:type="dxa"/>
            <w:shd w:val="clear" w:color="auto" w:fill="auto"/>
            <w:tcMar>
              <w:top w:w="20" w:type="dxa"/>
              <w:left w:w="20" w:type="dxa"/>
              <w:bottom w:w="20" w:type="dxa"/>
              <w:right w:w="20" w:type="dxa"/>
            </w:tcMar>
          </w:tcPr>
          <w:p w14:paraId="1F5A19CF" w14:textId="77777777" w:rsidR="009D3BDC" w:rsidRPr="009D3BDC"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5E9CD252" w14:textId="472FB685" w:rsidR="009D3BDC" w:rsidRPr="009D3BDC" w:rsidRDefault="009D3BDC">
            <w:pPr>
              <w:pStyle w:val="T1TableStyle"/>
              <w:jc w:val="right"/>
              <w:rPr>
                <w:rFonts w:ascii="Verdana" w:eastAsia="Verdana" w:hAnsi="Verdana" w:cs="Verdana"/>
                <w:color w:val="000000"/>
                <w:sz w:val="16"/>
                <w:lang w:val="en-GB"/>
              </w:rPr>
            </w:pPr>
            <w:r w:rsidRPr="009D3BDC">
              <w:rPr>
                <w:rFonts w:ascii="Verdana" w:eastAsia="Verdana" w:hAnsi="Verdana" w:cs="Verdana"/>
                <w:color w:val="000000"/>
                <w:sz w:val="16"/>
                <w:lang w:val="en-GB"/>
              </w:rPr>
              <w:t>(1</w:t>
            </w:r>
            <w:r w:rsidR="0039141E">
              <w:rPr>
                <w:rFonts w:ascii="Verdana" w:eastAsia="Verdana" w:hAnsi="Verdana" w:cs="Verdana"/>
                <w:color w:val="000000"/>
                <w:sz w:val="16"/>
                <w:lang w:val="en-GB"/>
              </w:rPr>
              <w:t>7</w:t>
            </w:r>
            <w:r w:rsidRPr="009D3BDC">
              <w:rPr>
                <w:rFonts w:ascii="Verdana" w:eastAsia="Verdana" w:hAnsi="Verdana" w:cs="Verdana"/>
                <w:color w:val="000000"/>
                <w:sz w:val="16"/>
                <w:lang w:val="en-GB"/>
              </w:rPr>
              <w:t>,1</w:t>
            </w:r>
            <w:r w:rsidR="0039141E">
              <w:rPr>
                <w:rFonts w:ascii="Verdana" w:eastAsia="Verdana" w:hAnsi="Verdana" w:cs="Verdana"/>
                <w:color w:val="000000"/>
                <w:sz w:val="16"/>
                <w:lang w:val="en-GB"/>
              </w:rPr>
              <w:t>97</w:t>
            </w:r>
            <w:r w:rsidRPr="009D3BDC">
              <w:rPr>
                <w:rFonts w:ascii="Verdana" w:eastAsia="Verdana" w:hAnsi="Verdana" w:cs="Verdana"/>
                <w:color w:val="000000"/>
                <w:sz w:val="16"/>
                <w:lang w:val="en-GB"/>
              </w:rPr>
              <w:t>)</w:t>
            </w:r>
          </w:p>
        </w:tc>
      </w:tr>
      <w:tr w:rsidR="009D3BDC" w:rsidRPr="00DC1077" w14:paraId="58048570" w14:textId="77777777" w:rsidTr="009D3BDC">
        <w:trPr>
          <w:trHeight w:val="245"/>
          <w:jc w:val="center"/>
        </w:trPr>
        <w:tc>
          <w:tcPr>
            <w:tcW w:w="1482" w:type="dxa"/>
            <w:shd w:val="clear" w:color="auto" w:fill="auto"/>
            <w:tcMar>
              <w:top w:w="20" w:type="dxa"/>
              <w:left w:w="20" w:type="dxa"/>
              <w:bottom w:w="20" w:type="dxa"/>
              <w:right w:w="20" w:type="dxa"/>
            </w:tcMar>
          </w:tcPr>
          <w:p w14:paraId="6CEB67ED" w14:textId="77777777" w:rsidR="009D3BDC" w:rsidRPr="004D57BE" w:rsidRDefault="009D3BDC" w:rsidP="009D3BDC">
            <w:pPr>
              <w:pStyle w:val="T1TableStyle"/>
              <w:jc w:val="right"/>
              <w:rPr>
                <w:rFonts w:ascii="Verdana" w:eastAsia="Verdana" w:hAnsi="Verdana" w:cs="Verdana"/>
                <w:color w:val="000000"/>
                <w:sz w:val="16"/>
                <w:lang w:val="en-GB"/>
              </w:rPr>
            </w:pPr>
          </w:p>
        </w:tc>
        <w:tc>
          <w:tcPr>
            <w:tcW w:w="1482" w:type="dxa"/>
            <w:shd w:val="clear" w:color="auto" w:fill="auto"/>
            <w:tcMar>
              <w:top w:w="20" w:type="dxa"/>
              <w:left w:w="20" w:type="dxa"/>
              <w:bottom w:w="20" w:type="dxa"/>
              <w:right w:w="20" w:type="dxa"/>
            </w:tcMar>
          </w:tcPr>
          <w:p w14:paraId="1DFED48E"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w:t>
            </w:r>
          </w:p>
        </w:tc>
        <w:tc>
          <w:tcPr>
            <w:tcW w:w="1484" w:type="dxa"/>
            <w:shd w:val="clear" w:color="auto" w:fill="auto"/>
            <w:tcMar>
              <w:top w:w="20" w:type="dxa"/>
              <w:left w:w="20" w:type="dxa"/>
              <w:bottom w:w="20" w:type="dxa"/>
              <w:right w:w="20" w:type="dxa"/>
            </w:tcMar>
          </w:tcPr>
          <w:p w14:paraId="542CFCF6"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 xml:space="preserve">        (1)</w:t>
            </w:r>
          </w:p>
        </w:tc>
        <w:tc>
          <w:tcPr>
            <w:tcW w:w="1949" w:type="dxa"/>
            <w:shd w:val="clear" w:color="auto" w:fill="auto"/>
            <w:tcMar>
              <w:top w:w="20" w:type="dxa"/>
              <w:left w:w="20" w:type="dxa"/>
              <w:bottom w:w="20" w:type="dxa"/>
              <w:right w:w="20" w:type="dxa"/>
            </w:tcMar>
          </w:tcPr>
          <w:p w14:paraId="5CF15E1B"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Rounding</w:t>
            </w:r>
          </w:p>
        </w:tc>
        <w:tc>
          <w:tcPr>
            <w:tcW w:w="1482" w:type="dxa"/>
            <w:shd w:val="clear" w:color="auto" w:fill="auto"/>
            <w:tcMar>
              <w:top w:w="20" w:type="dxa"/>
              <w:left w:w="20" w:type="dxa"/>
              <w:bottom w:w="20" w:type="dxa"/>
              <w:right w:w="20" w:type="dxa"/>
            </w:tcMar>
          </w:tcPr>
          <w:p w14:paraId="32B40B80" w14:textId="0C79ECC1" w:rsidR="009D3BDC" w:rsidRPr="004D57BE" w:rsidRDefault="0039141E"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2" w:type="dxa"/>
            <w:shd w:val="clear" w:color="auto" w:fill="auto"/>
            <w:tcMar>
              <w:top w:w="20" w:type="dxa"/>
              <w:left w:w="20" w:type="dxa"/>
              <w:bottom w:w="20" w:type="dxa"/>
              <w:right w:w="20" w:type="dxa"/>
            </w:tcMar>
          </w:tcPr>
          <w:p w14:paraId="4029F13C" w14:textId="77777777" w:rsidR="009D3BDC" w:rsidRPr="00567D01" w:rsidRDefault="00201546"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84" w:type="dxa"/>
            <w:shd w:val="clear" w:color="auto" w:fill="auto"/>
            <w:tcMar>
              <w:top w:w="20" w:type="dxa"/>
              <w:left w:w="20" w:type="dxa"/>
              <w:bottom w:w="20" w:type="dxa"/>
              <w:right w:w="20" w:type="dxa"/>
            </w:tcMar>
          </w:tcPr>
          <w:p w14:paraId="24186C6E" w14:textId="3C7C52D3" w:rsidR="009D3BDC" w:rsidRPr="00567D01" w:rsidRDefault="0039141E" w:rsidP="009D3BD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9D3BDC" w:rsidRPr="00DC1077" w14:paraId="04CF7356" w14:textId="77777777" w:rsidTr="00C10622">
        <w:trPr>
          <w:trHeight w:val="132"/>
          <w:jc w:val="center"/>
        </w:trPr>
        <w:tc>
          <w:tcPr>
            <w:tcW w:w="1482" w:type="dxa"/>
            <w:tcBorders>
              <w:top w:val="single" w:sz="2" w:space="0" w:color="000000"/>
              <w:bottom w:val="single" w:sz="12" w:space="0" w:color="000000"/>
            </w:tcBorders>
            <w:shd w:val="clear" w:color="auto" w:fill="auto"/>
            <w:tcMar>
              <w:top w:w="20" w:type="dxa"/>
              <w:left w:w="20" w:type="dxa"/>
              <w:bottom w:w="20" w:type="dxa"/>
              <w:right w:w="20" w:type="dxa"/>
            </w:tcMar>
          </w:tcPr>
          <w:p w14:paraId="407FEC7C" w14:textId="77777777" w:rsidR="009D3BDC" w:rsidRPr="004D57BE" w:rsidRDefault="009D3BDC" w:rsidP="009D3BDC">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197,718</w:t>
            </w:r>
          </w:p>
        </w:tc>
        <w:tc>
          <w:tcPr>
            <w:tcW w:w="1482" w:type="dxa"/>
            <w:tcBorders>
              <w:top w:val="single" w:sz="2" w:space="0" w:color="000000"/>
              <w:bottom w:val="single" w:sz="12" w:space="0" w:color="000000"/>
            </w:tcBorders>
            <w:shd w:val="clear" w:color="auto" w:fill="auto"/>
            <w:tcMar>
              <w:top w:w="20" w:type="dxa"/>
              <w:left w:w="20" w:type="dxa"/>
              <w:bottom w:w="20" w:type="dxa"/>
              <w:right w:w="20" w:type="dxa"/>
            </w:tcMar>
          </w:tcPr>
          <w:p w14:paraId="06A01FE0" w14:textId="77777777" w:rsidR="009D3BDC" w:rsidRPr="004D57BE" w:rsidRDefault="009D3BDC" w:rsidP="009D3BDC">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63,031</w:t>
            </w:r>
          </w:p>
        </w:tc>
        <w:tc>
          <w:tcPr>
            <w:tcW w:w="1484" w:type="dxa"/>
            <w:tcBorders>
              <w:top w:val="single" w:sz="2" w:space="0" w:color="000000"/>
              <w:bottom w:val="single" w:sz="12" w:space="0" w:color="000000"/>
            </w:tcBorders>
            <w:shd w:val="clear" w:color="auto" w:fill="auto"/>
            <w:tcMar>
              <w:top w:w="20" w:type="dxa"/>
              <w:left w:w="20" w:type="dxa"/>
              <w:bottom w:w="20" w:type="dxa"/>
              <w:right w:w="20" w:type="dxa"/>
            </w:tcMar>
          </w:tcPr>
          <w:p w14:paraId="47F38B26" w14:textId="77777777" w:rsidR="009D3BDC" w:rsidRPr="004D57BE" w:rsidRDefault="009D3BDC" w:rsidP="009D3BDC">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260,749</w:t>
            </w:r>
          </w:p>
          <w:p w14:paraId="652E022D" w14:textId="77777777" w:rsidR="009D3BDC" w:rsidRPr="004D57BE" w:rsidRDefault="009D3BDC" w:rsidP="009D3BDC">
            <w:pPr>
              <w:pStyle w:val="T1TableStyle"/>
              <w:jc w:val="right"/>
              <w:rPr>
                <w:rFonts w:ascii="Verdana" w:eastAsia="Verdana" w:hAnsi="Verdana" w:cs="Verdana"/>
                <w:b/>
                <w:color w:val="000000"/>
                <w:sz w:val="16"/>
                <w:lang w:val="en-GB"/>
              </w:rPr>
            </w:pPr>
          </w:p>
        </w:tc>
        <w:tc>
          <w:tcPr>
            <w:tcW w:w="1949" w:type="dxa"/>
            <w:tcBorders>
              <w:top w:val="single" w:sz="2" w:space="0" w:color="000000"/>
              <w:bottom w:val="single" w:sz="12" w:space="0" w:color="000000"/>
            </w:tcBorders>
            <w:shd w:val="clear" w:color="auto" w:fill="auto"/>
            <w:tcMar>
              <w:top w:w="20" w:type="dxa"/>
              <w:left w:w="20" w:type="dxa"/>
              <w:bottom w:w="20" w:type="dxa"/>
              <w:right w:w="20" w:type="dxa"/>
            </w:tcMar>
          </w:tcPr>
          <w:p w14:paraId="31165C3A" w14:textId="77777777" w:rsidR="009D3BDC" w:rsidRPr="004D57BE" w:rsidRDefault="009D3BDC" w:rsidP="009D3BDC">
            <w:pPr>
              <w:pStyle w:val="T1TableStyle"/>
              <w:rPr>
                <w:rFonts w:ascii="Verdana" w:eastAsia="Verdana" w:hAnsi="Verdana" w:cs="Verdana"/>
                <w:b/>
                <w:color w:val="000000"/>
                <w:sz w:val="16"/>
                <w:lang w:val="en-GB"/>
              </w:rPr>
            </w:pPr>
            <w:r w:rsidRPr="004D57BE">
              <w:rPr>
                <w:rFonts w:ascii="Verdana" w:eastAsia="Verdana" w:hAnsi="Verdana" w:cs="Verdana"/>
                <w:b/>
                <w:color w:val="000000"/>
                <w:sz w:val="16"/>
                <w:lang w:val="en-GB"/>
              </w:rPr>
              <w:t>Net Cost of Services</w:t>
            </w:r>
          </w:p>
        </w:tc>
        <w:tc>
          <w:tcPr>
            <w:tcW w:w="1482" w:type="dxa"/>
            <w:tcBorders>
              <w:top w:val="single" w:sz="2" w:space="0" w:color="000000"/>
              <w:bottom w:val="single" w:sz="12" w:space="0" w:color="000000"/>
            </w:tcBorders>
            <w:shd w:val="clear" w:color="auto" w:fill="auto"/>
            <w:tcMar>
              <w:top w:w="20" w:type="dxa"/>
              <w:left w:w="20" w:type="dxa"/>
              <w:bottom w:w="20" w:type="dxa"/>
              <w:right w:w="20" w:type="dxa"/>
            </w:tcMar>
          </w:tcPr>
          <w:p w14:paraId="41DCFBC8" w14:textId="699267CD" w:rsidR="009D3BDC" w:rsidRPr="004D57BE" w:rsidRDefault="00E9330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214,978</w:t>
            </w:r>
          </w:p>
        </w:tc>
        <w:tc>
          <w:tcPr>
            <w:tcW w:w="1482" w:type="dxa"/>
            <w:tcBorders>
              <w:top w:val="single" w:sz="2" w:space="0" w:color="000000"/>
              <w:bottom w:val="single" w:sz="12" w:space="0" w:color="000000"/>
            </w:tcBorders>
            <w:shd w:val="clear" w:color="auto" w:fill="auto"/>
            <w:tcMar>
              <w:top w:w="20" w:type="dxa"/>
              <w:left w:w="20" w:type="dxa"/>
              <w:bottom w:w="20" w:type="dxa"/>
              <w:right w:w="20" w:type="dxa"/>
            </w:tcMar>
          </w:tcPr>
          <w:p w14:paraId="55B3F1E9" w14:textId="77777777" w:rsidR="009D3BDC" w:rsidRPr="00385AF4" w:rsidRDefault="009D3BDC" w:rsidP="0033722E">
            <w:pPr>
              <w:pStyle w:val="T1TableStyle"/>
              <w:jc w:val="right"/>
              <w:rPr>
                <w:rFonts w:ascii="Verdana" w:eastAsia="Verdana" w:hAnsi="Verdana" w:cs="Verdana"/>
                <w:b/>
                <w:color w:val="000000"/>
                <w:sz w:val="16"/>
                <w:lang w:val="en-GB"/>
              </w:rPr>
            </w:pPr>
            <w:r w:rsidRPr="00385AF4">
              <w:rPr>
                <w:rFonts w:ascii="Verdana" w:eastAsia="Verdana" w:hAnsi="Verdana" w:cs="Verdana"/>
                <w:b/>
                <w:color w:val="000000"/>
                <w:sz w:val="16"/>
                <w:lang w:val="en-GB"/>
              </w:rPr>
              <w:t>68,528</w:t>
            </w:r>
          </w:p>
        </w:tc>
        <w:tc>
          <w:tcPr>
            <w:tcW w:w="1484" w:type="dxa"/>
            <w:tcBorders>
              <w:top w:val="single" w:sz="2" w:space="0" w:color="000000"/>
              <w:bottom w:val="single" w:sz="12" w:space="0" w:color="000000"/>
            </w:tcBorders>
            <w:shd w:val="clear" w:color="auto" w:fill="auto"/>
            <w:tcMar>
              <w:top w:w="20" w:type="dxa"/>
              <w:left w:w="20" w:type="dxa"/>
              <w:bottom w:w="20" w:type="dxa"/>
              <w:right w:w="20" w:type="dxa"/>
            </w:tcMar>
          </w:tcPr>
          <w:p w14:paraId="735451B5" w14:textId="6391C00B" w:rsidR="009D3BDC" w:rsidRPr="00385AF4" w:rsidRDefault="00E9330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283,506</w:t>
            </w:r>
          </w:p>
        </w:tc>
      </w:tr>
      <w:tr w:rsidR="009D3BDC" w:rsidRPr="004648C0" w14:paraId="0543A7F2" w14:textId="77777777" w:rsidTr="00C10622">
        <w:trPr>
          <w:trHeight w:val="404"/>
          <w:jc w:val="center"/>
        </w:trPr>
        <w:tc>
          <w:tcPr>
            <w:tcW w:w="1482" w:type="dxa"/>
            <w:tcBorders>
              <w:top w:val="single" w:sz="12" w:space="0" w:color="000000"/>
              <w:bottom w:val="single" w:sz="4" w:space="0" w:color="000000"/>
            </w:tcBorders>
            <w:shd w:val="clear" w:color="auto" w:fill="auto"/>
            <w:tcMar>
              <w:top w:w="20" w:type="dxa"/>
              <w:left w:w="20" w:type="dxa"/>
              <w:bottom w:w="20" w:type="dxa"/>
              <w:right w:w="20" w:type="dxa"/>
            </w:tcMar>
          </w:tcPr>
          <w:p w14:paraId="258850FB"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(197,718)</w:t>
            </w:r>
          </w:p>
        </w:tc>
        <w:tc>
          <w:tcPr>
            <w:tcW w:w="1482" w:type="dxa"/>
            <w:tcBorders>
              <w:top w:val="single" w:sz="12" w:space="0" w:color="000000"/>
              <w:bottom w:val="single" w:sz="4" w:space="0" w:color="000000"/>
            </w:tcBorders>
            <w:shd w:val="clear" w:color="auto" w:fill="auto"/>
            <w:tcMar>
              <w:top w:w="20" w:type="dxa"/>
              <w:left w:w="20" w:type="dxa"/>
              <w:bottom w:w="20" w:type="dxa"/>
              <w:right w:w="20" w:type="dxa"/>
            </w:tcMar>
          </w:tcPr>
          <w:p w14:paraId="7997837F"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0</w:t>
            </w:r>
          </w:p>
        </w:tc>
        <w:tc>
          <w:tcPr>
            <w:tcW w:w="1484" w:type="dxa"/>
            <w:tcBorders>
              <w:top w:val="single" w:sz="12" w:space="0" w:color="000000"/>
              <w:bottom w:val="single" w:sz="4" w:space="0" w:color="000000"/>
            </w:tcBorders>
            <w:shd w:val="clear" w:color="auto" w:fill="auto"/>
            <w:tcMar>
              <w:top w:w="20" w:type="dxa"/>
              <w:left w:w="20" w:type="dxa"/>
              <w:bottom w:w="20" w:type="dxa"/>
              <w:right w:w="20" w:type="dxa"/>
            </w:tcMar>
          </w:tcPr>
          <w:p w14:paraId="449CA8EE" w14:textId="77777777" w:rsidR="009D3BDC" w:rsidRPr="004D57BE" w:rsidRDefault="009D3BDC" w:rsidP="009D3BDC">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(197,718)</w:t>
            </w:r>
          </w:p>
        </w:tc>
        <w:tc>
          <w:tcPr>
            <w:tcW w:w="1949" w:type="dxa"/>
            <w:tcBorders>
              <w:top w:val="single" w:sz="12" w:space="0" w:color="000000"/>
              <w:bottom w:val="single" w:sz="4" w:space="0" w:color="000000"/>
            </w:tcBorders>
            <w:shd w:val="clear" w:color="auto" w:fill="auto"/>
            <w:tcMar>
              <w:top w:w="20" w:type="dxa"/>
              <w:left w:w="20" w:type="dxa"/>
              <w:bottom w:w="20" w:type="dxa"/>
              <w:right w:w="20" w:type="dxa"/>
            </w:tcMar>
          </w:tcPr>
          <w:p w14:paraId="49098DCC" w14:textId="77777777" w:rsidR="009D3BDC" w:rsidRPr="004D57BE" w:rsidRDefault="009D3BDC" w:rsidP="009D3BDC">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Other Income and Expenditure</w:t>
            </w:r>
          </w:p>
        </w:tc>
        <w:tc>
          <w:tcPr>
            <w:tcW w:w="1482" w:type="dxa"/>
            <w:tcBorders>
              <w:top w:val="single" w:sz="12" w:space="0" w:color="000000"/>
              <w:bottom w:val="single" w:sz="4" w:space="0" w:color="000000"/>
            </w:tcBorders>
            <w:shd w:val="clear" w:color="auto" w:fill="auto"/>
            <w:tcMar>
              <w:top w:w="20" w:type="dxa"/>
              <w:left w:w="20" w:type="dxa"/>
              <w:bottom w:w="20" w:type="dxa"/>
              <w:right w:w="20" w:type="dxa"/>
            </w:tcMar>
          </w:tcPr>
          <w:p w14:paraId="0E91B510" w14:textId="5AB4D00D" w:rsidR="009D3BDC" w:rsidRPr="004648C0" w:rsidRDefault="004648C0">
            <w:pPr>
              <w:pStyle w:val="T1TableStyle"/>
              <w:jc w:val="right"/>
              <w:rPr>
                <w:rFonts w:ascii="Verdana" w:eastAsia="Verdana" w:hAnsi="Verdana" w:cs="Verdana"/>
                <w:color w:val="000000"/>
                <w:sz w:val="16"/>
                <w:lang w:val="en-GB"/>
              </w:rPr>
            </w:pPr>
            <w:r w:rsidRPr="004648C0">
              <w:rPr>
                <w:rFonts w:ascii="Verdana" w:eastAsia="Verdana" w:hAnsi="Verdana" w:cs="Verdana"/>
                <w:color w:val="000000"/>
                <w:sz w:val="16"/>
                <w:lang w:val="en-GB"/>
              </w:rPr>
              <w:t>(</w:t>
            </w:r>
            <w:r w:rsidR="00E9330B">
              <w:rPr>
                <w:rFonts w:ascii="Verdana" w:eastAsia="Verdana" w:hAnsi="Verdana" w:cs="Verdana"/>
                <w:color w:val="000000"/>
                <w:sz w:val="16"/>
                <w:lang w:val="en-GB"/>
              </w:rPr>
              <w:t>214,978</w:t>
            </w:r>
            <w:r w:rsidR="009D3BDC" w:rsidRPr="004648C0">
              <w:rPr>
                <w:rFonts w:ascii="Verdana" w:eastAsia="Verdana" w:hAnsi="Verdana" w:cs="Verdana"/>
                <w:color w:val="000000"/>
                <w:sz w:val="16"/>
                <w:lang w:val="en-GB"/>
              </w:rPr>
              <w:t>)</w:t>
            </w:r>
          </w:p>
        </w:tc>
        <w:tc>
          <w:tcPr>
            <w:tcW w:w="1482" w:type="dxa"/>
            <w:tcBorders>
              <w:top w:val="single" w:sz="12" w:space="0" w:color="000000"/>
              <w:bottom w:val="single" w:sz="4" w:space="0" w:color="000000"/>
            </w:tcBorders>
            <w:shd w:val="clear" w:color="auto" w:fill="auto"/>
            <w:tcMar>
              <w:top w:w="20" w:type="dxa"/>
              <w:left w:w="20" w:type="dxa"/>
              <w:bottom w:w="20" w:type="dxa"/>
              <w:right w:w="20" w:type="dxa"/>
            </w:tcMar>
          </w:tcPr>
          <w:p w14:paraId="06DBD426" w14:textId="77777777" w:rsidR="009D3BDC" w:rsidRPr="004648C0" w:rsidRDefault="004648C0" w:rsidP="009D3BDC">
            <w:pPr>
              <w:pStyle w:val="T1TableStyle"/>
              <w:jc w:val="right"/>
              <w:rPr>
                <w:rFonts w:ascii="Verdana" w:eastAsia="Verdana" w:hAnsi="Verdana" w:cs="Verdana"/>
                <w:color w:val="000000"/>
                <w:sz w:val="16"/>
                <w:lang w:val="en-GB"/>
              </w:rPr>
            </w:pPr>
            <w:r w:rsidRPr="004648C0">
              <w:rPr>
                <w:rFonts w:ascii="Verdana" w:eastAsia="Verdana" w:hAnsi="Verdana" w:cs="Verdana"/>
                <w:color w:val="000000"/>
                <w:sz w:val="16"/>
                <w:lang w:val="en-GB"/>
              </w:rPr>
              <w:t>0</w:t>
            </w:r>
          </w:p>
        </w:tc>
        <w:tc>
          <w:tcPr>
            <w:tcW w:w="1484" w:type="dxa"/>
            <w:tcBorders>
              <w:top w:val="single" w:sz="12" w:space="0" w:color="000000"/>
              <w:bottom w:val="single" w:sz="4" w:space="0" w:color="000000"/>
            </w:tcBorders>
            <w:shd w:val="clear" w:color="auto" w:fill="auto"/>
            <w:tcMar>
              <w:top w:w="20" w:type="dxa"/>
              <w:left w:w="20" w:type="dxa"/>
              <w:bottom w:w="20" w:type="dxa"/>
              <w:right w:w="20" w:type="dxa"/>
            </w:tcMar>
          </w:tcPr>
          <w:p w14:paraId="3A666529" w14:textId="34D503F6" w:rsidR="009D3BDC" w:rsidRPr="004648C0" w:rsidRDefault="004648C0">
            <w:pPr>
              <w:pStyle w:val="T1TableStyle"/>
              <w:jc w:val="right"/>
              <w:rPr>
                <w:rFonts w:ascii="Verdana" w:eastAsia="Verdana" w:hAnsi="Verdana" w:cs="Verdana"/>
                <w:color w:val="000000"/>
                <w:sz w:val="16"/>
                <w:lang w:val="en-GB"/>
              </w:rPr>
            </w:pPr>
            <w:r w:rsidRPr="004648C0">
              <w:rPr>
                <w:rFonts w:ascii="Verdana" w:eastAsia="Verdana" w:hAnsi="Verdana" w:cs="Verdana"/>
                <w:color w:val="000000"/>
                <w:sz w:val="16"/>
                <w:lang w:val="en-GB"/>
              </w:rPr>
              <w:t>(</w:t>
            </w:r>
            <w:r w:rsidR="00E9330B">
              <w:rPr>
                <w:rFonts w:ascii="Verdana" w:eastAsia="Verdana" w:hAnsi="Verdana" w:cs="Verdana"/>
                <w:color w:val="000000"/>
                <w:sz w:val="16"/>
                <w:lang w:val="en-GB"/>
              </w:rPr>
              <w:t>214,978</w:t>
            </w:r>
            <w:r w:rsidR="009D3BDC" w:rsidRPr="004648C0">
              <w:rPr>
                <w:rFonts w:ascii="Verdana" w:eastAsia="Verdana" w:hAnsi="Verdana" w:cs="Verdana"/>
                <w:color w:val="000000"/>
                <w:sz w:val="16"/>
                <w:lang w:val="en-GB"/>
              </w:rPr>
              <w:t>)</w:t>
            </w:r>
          </w:p>
        </w:tc>
      </w:tr>
      <w:tr w:rsidR="009D3BDC" w:rsidRPr="004648C0" w14:paraId="1785D4B7" w14:textId="77777777" w:rsidTr="00C10622">
        <w:trPr>
          <w:trHeight w:val="404"/>
          <w:jc w:val="center"/>
        </w:trPr>
        <w:tc>
          <w:tcPr>
            <w:tcW w:w="1482" w:type="dxa"/>
            <w:tcBorders>
              <w:top w:val="single" w:sz="4" w:space="0" w:color="000000"/>
              <w:bottom w:val="single" w:sz="12" w:space="0" w:color="auto"/>
            </w:tcBorders>
            <w:shd w:val="clear" w:color="auto" w:fill="auto"/>
            <w:tcMar>
              <w:top w:w="20" w:type="dxa"/>
              <w:left w:w="20" w:type="dxa"/>
              <w:bottom w:w="20" w:type="dxa"/>
              <w:right w:w="20" w:type="dxa"/>
            </w:tcMar>
          </w:tcPr>
          <w:p w14:paraId="0F8E9E6C" w14:textId="77777777" w:rsidR="009D3BDC" w:rsidRPr="004D57BE" w:rsidRDefault="009D3BDC" w:rsidP="009D3BDC">
            <w:pPr>
              <w:pStyle w:val="T1TableStyle"/>
              <w:jc w:val="right"/>
              <w:rPr>
                <w:rFonts w:ascii="Verdana" w:eastAsia="Verdana" w:hAnsi="Verdana" w:cs="Verdana"/>
                <w:b/>
                <w:color w:val="000000"/>
                <w:sz w:val="16"/>
                <w:lang w:val="en-GB"/>
              </w:rPr>
            </w:pPr>
          </w:p>
          <w:p w14:paraId="6D604EDA" w14:textId="77777777" w:rsidR="009D3BDC" w:rsidRPr="004D57BE" w:rsidRDefault="009D3BDC" w:rsidP="009D3BDC">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0</w:t>
            </w:r>
          </w:p>
        </w:tc>
        <w:tc>
          <w:tcPr>
            <w:tcW w:w="1482" w:type="dxa"/>
            <w:tcBorders>
              <w:top w:val="single" w:sz="4" w:space="0" w:color="000000"/>
              <w:bottom w:val="single" w:sz="12" w:space="0" w:color="auto"/>
            </w:tcBorders>
            <w:shd w:val="clear" w:color="auto" w:fill="auto"/>
            <w:tcMar>
              <w:top w:w="20" w:type="dxa"/>
              <w:left w:w="20" w:type="dxa"/>
              <w:bottom w:w="20" w:type="dxa"/>
              <w:right w:w="20" w:type="dxa"/>
            </w:tcMar>
          </w:tcPr>
          <w:p w14:paraId="22BDF530" w14:textId="77777777" w:rsidR="009D3BDC" w:rsidRPr="004D57BE" w:rsidRDefault="009D3BDC" w:rsidP="009D3BDC">
            <w:pPr>
              <w:rPr>
                <w:b/>
                <w:sz w:val="16"/>
                <w:szCs w:val="16"/>
                <w:lang w:val="en-GB"/>
              </w:rPr>
            </w:pPr>
            <w:r w:rsidRPr="004D57BE">
              <w:rPr>
                <w:b/>
                <w:sz w:val="16"/>
                <w:szCs w:val="16"/>
                <w:lang w:val="en-GB"/>
              </w:rPr>
              <w:t xml:space="preserve">                         </w:t>
            </w:r>
          </w:p>
          <w:p w14:paraId="6C73ECCE" w14:textId="7B0CD520" w:rsidR="009D3BDC" w:rsidRPr="004D57BE" w:rsidRDefault="009D3BDC" w:rsidP="009D3BDC">
            <w:pPr>
              <w:rPr>
                <w:rFonts w:ascii="Verdana" w:hAnsi="Verdana"/>
                <w:b/>
                <w:sz w:val="16"/>
                <w:szCs w:val="16"/>
                <w:lang w:val="en-GB"/>
              </w:rPr>
            </w:pPr>
            <w:r w:rsidRPr="004D57BE">
              <w:rPr>
                <w:rFonts w:ascii="Verdana" w:hAnsi="Verdana"/>
                <w:b/>
                <w:sz w:val="16"/>
                <w:szCs w:val="16"/>
                <w:lang w:val="en-GB"/>
              </w:rPr>
              <w:t xml:space="preserve">            </w:t>
            </w:r>
            <w:r w:rsidR="00C10622">
              <w:rPr>
                <w:rFonts w:ascii="Verdana" w:hAnsi="Verdana"/>
                <w:b/>
                <w:sz w:val="16"/>
                <w:szCs w:val="16"/>
                <w:lang w:val="en-GB"/>
              </w:rPr>
              <w:t xml:space="preserve">  </w:t>
            </w:r>
            <w:r w:rsidRPr="004D57BE">
              <w:rPr>
                <w:rFonts w:ascii="Verdana" w:hAnsi="Verdana"/>
                <w:b/>
                <w:sz w:val="16"/>
                <w:szCs w:val="16"/>
                <w:lang w:val="en-GB"/>
              </w:rPr>
              <w:t xml:space="preserve">63,031                                  </w:t>
            </w:r>
          </w:p>
        </w:tc>
        <w:tc>
          <w:tcPr>
            <w:tcW w:w="1484" w:type="dxa"/>
            <w:tcBorders>
              <w:top w:val="single" w:sz="4" w:space="0" w:color="000000"/>
              <w:bottom w:val="single" w:sz="12" w:space="0" w:color="auto"/>
            </w:tcBorders>
            <w:shd w:val="clear" w:color="auto" w:fill="auto"/>
            <w:tcMar>
              <w:top w:w="20" w:type="dxa"/>
              <w:left w:w="20" w:type="dxa"/>
              <w:bottom w:w="20" w:type="dxa"/>
              <w:right w:w="20" w:type="dxa"/>
            </w:tcMar>
          </w:tcPr>
          <w:p w14:paraId="365087C8" w14:textId="77777777" w:rsidR="009D3BDC" w:rsidRPr="004D57BE" w:rsidRDefault="009D3BDC" w:rsidP="009D3BDC">
            <w:pPr>
              <w:pStyle w:val="T1TableStyle"/>
              <w:jc w:val="right"/>
              <w:rPr>
                <w:rFonts w:ascii="Verdana" w:eastAsia="Verdana" w:hAnsi="Verdana" w:cs="Verdana"/>
                <w:b/>
                <w:color w:val="000000"/>
                <w:sz w:val="16"/>
                <w:lang w:val="en-GB"/>
              </w:rPr>
            </w:pPr>
          </w:p>
          <w:p w14:paraId="4A75E1B1" w14:textId="77777777" w:rsidR="009D3BDC" w:rsidRPr="004D57BE" w:rsidRDefault="009D3BDC" w:rsidP="009D3BDC">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63,031</w:t>
            </w:r>
          </w:p>
        </w:tc>
        <w:tc>
          <w:tcPr>
            <w:tcW w:w="1949" w:type="dxa"/>
            <w:tcBorders>
              <w:top w:val="single" w:sz="4" w:space="0" w:color="000000"/>
              <w:bottom w:val="single" w:sz="12" w:space="0" w:color="auto"/>
            </w:tcBorders>
            <w:shd w:val="clear" w:color="auto" w:fill="auto"/>
            <w:tcMar>
              <w:top w:w="20" w:type="dxa"/>
              <w:left w:w="20" w:type="dxa"/>
              <w:bottom w:w="20" w:type="dxa"/>
              <w:right w:w="20" w:type="dxa"/>
            </w:tcMar>
          </w:tcPr>
          <w:p w14:paraId="27601B91" w14:textId="77777777" w:rsidR="009D3BDC" w:rsidRPr="004D57BE" w:rsidRDefault="009D3BDC" w:rsidP="009D3BDC">
            <w:pPr>
              <w:pStyle w:val="T1TableStyle"/>
              <w:rPr>
                <w:rFonts w:ascii="Verdana" w:eastAsia="Verdana" w:hAnsi="Verdana" w:cs="Verdana"/>
                <w:b/>
                <w:color w:val="000000"/>
                <w:sz w:val="16"/>
                <w:lang w:val="en-GB"/>
              </w:rPr>
            </w:pPr>
          </w:p>
          <w:p w14:paraId="2D0E6278" w14:textId="77777777" w:rsidR="009D3BDC" w:rsidRPr="004D57BE" w:rsidRDefault="009D3BDC" w:rsidP="009D3BDC">
            <w:pPr>
              <w:pStyle w:val="T1TableStyle"/>
              <w:rPr>
                <w:rFonts w:ascii="Verdana" w:eastAsia="Verdana" w:hAnsi="Verdana" w:cs="Verdana"/>
                <w:b/>
                <w:color w:val="000000"/>
                <w:sz w:val="16"/>
                <w:lang w:val="en-GB"/>
              </w:rPr>
            </w:pPr>
            <w:r w:rsidRPr="004D57BE">
              <w:rPr>
                <w:rFonts w:ascii="Verdana" w:eastAsia="Verdana" w:hAnsi="Verdana" w:cs="Verdana"/>
                <w:b/>
                <w:color w:val="000000"/>
                <w:sz w:val="16"/>
                <w:lang w:val="en-GB"/>
              </w:rPr>
              <w:t>Surplus or Deficit Provision of Services</w:t>
            </w:r>
          </w:p>
        </w:tc>
        <w:tc>
          <w:tcPr>
            <w:tcW w:w="1482" w:type="dxa"/>
            <w:tcBorders>
              <w:top w:val="single" w:sz="4" w:space="0" w:color="000000"/>
              <w:bottom w:val="single" w:sz="12" w:space="0" w:color="auto"/>
            </w:tcBorders>
            <w:shd w:val="clear" w:color="auto" w:fill="auto"/>
            <w:tcMar>
              <w:top w:w="20" w:type="dxa"/>
              <w:left w:w="20" w:type="dxa"/>
              <w:bottom w:w="20" w:type="dxa"/>
              <w:right w:w="20" w:type="dxa"/>
            </w:tcMar>
          </w:tcPr>
          <w:p w14:paraId="1BE45270" w14:textId="77777777" w:rsidR="009D3BDC" w:rsidRPr="004648C0" w:rsidRDefault="009D3BDC" w:rsidP="009D3BDC">
            <w:pPr>
              <w:pStyle w:val="T1TableStyle"/>
              <w:jc w:val="right"/>
              <w:rPr>
                <w:rFonts w:ascii="Verdana" w:eastAsia="Verdana" w:hAnsi="Verdana" w:cs="Verdana"/>
                <w:b/>
                <w:color w:val="000000"/>
                <w:sz w:val="16"/>
                <w:lang w:val="en-GB"/>
              </w:rPr>
            </w:pPr>
          </w:p>
          <w:p w14:paraId="213B590C" w14:textId="77777777" w:rsidR="00385AF4" w:rsidRPr="004648C0" w:rsidRDefault="0033722E" w:rsidP="009D3BDC">
            <w:pPr>
              <w:pStyle w:val="T1TableStyle"/>
              <w:jc w:val="right"/>
              <w:rPr>
                <w:rFonts w:ascii="Verdana" w:eastAsia="Verdana" w:hAnsi="Verdana" w:cs="Verdana"/>
                <w:b/>
                <w:color w:val="000000"/>
                <w:sz w:val="16"/>
                <w:lang w:val="en-GB"/>
              </w:rPr>
            </w:pPr>
            <w:r w:rsidRPr="004648C0">
              <w:rPr>
                <w:rFonts w:ascii="Verdana" w:eastAsia="Verdana" w:hAnsi="Verdana" w:cs="Verdana"/>
                <w:b/>
                <w:color w:val="000000"/>
                <w:sz w:val="16"/>
                <w:lang w:val="en-GB"/>
              </w:rPr>
              <w:t>0</w:t>
            </w:r>
          </w:p>
          <w:p w14:paraId="7CD3EA56" w14:textId="77777777" w:rsidR="00385AF4" w:rsidRPr="004648C0" w:rsidRDefault="00385AF4" w:rsidP="009D3BDC">
            <w:pPr>
              <w:pStyle w:val="T1TableStyle"/>
              <w:jc w:val="right"/>
              <w:rPr>
                <w:rFonts w:ascii="Verdana" w:eastAsia="Verdana" w:hAnsi="Verdana" w:cs="Verdana"/>
                <w:b/>
                <w:color w:val="000000"/>
                <w:sz w:val="16"/>
                <w:lang w:val="en-GB"/>
              </w:rPr>
            </w:pPr>
          </w:p>
        </w:tc>
        <w:tc>
          <w:tcPr>
            <w:tcW w:w="1482" w:type="dxa"/>
            <w:tcBorders>
              <w:top w:val="single" w:sz="4" w:space="0" w:color="000000"/>
              <w:bottom w:val="single" w:sz="12" w:space="0" w:color="auto"/>
            </w:tcBorders>
            <w:shd w:val="clear" w:color="auto" w:fill="auto"/>
            <w:tcMar>
              <w:top w:w="20" w:type="dxa"/>
              <w:left w:w="20" w:type="dxa"/>
              <w:bottom w:w="20" w:type="dxa"/>
              <w:right w:w="20" w:type="dxa"/>
            </w:tcMar>
          </w:tcPr>
          <w:p w14:paraId="68D1E24C" w14:textId="77777777" w:rsidR="004648C0" w:rsidRPr="004648C0" w:rsidRDefault="004648C0" w:rsidP="009D3BDC">
            <w:pPr>
              <w:rPr>
                <w:rFonts w:ascii="Verdana" w:hAnsi="Verdana"/>
                <w:b/>
                <w:sz w:val="16"/>
                <w:szCs w:val="16"/>
                <w:lang w:val="en-GB"/>
              </w:rPr>
            </w:pPr>
          </w:p>
          <w:p w14:paraId="56E35D97" w14:textId="54579BEA" w:rsidR="009D3BDC" w:rsidRPr="00C10622" w:rsidRDefault="00C10622" w:rsidP="00C10622">
            <w:pPr>
              <w:tabs>
                <w:tab w:val="left" w:pos="1335"/>
              </w:tabs>
              <w:rPr>
                <w:rFonts w:ascii="Verdana" w:hAnsi="Verdana"/>
                <w:b/>
                <w:sz w:val="16"/>
                <w:szCs w:val="16"/>
                <w:lang w:val="en-GB"/>
              </w:rPr>
            </w:pPr>
            <w:r>
              <w:rPr>
                <w:rFonts w:ascii="Verdana" w:hAnsi="Verdana"/>
                <w:sz w:val="16"/>
                <w:szCs w:val="16"/>
                <w:lang w:val="en-GB"/>
              </w:rPr>
              <w:t xml:space="preserve">              </w:t>
            </w:r>
            <w:r w:rsidRPr="00C10622">
              <w:rPr>
                <w:rFonts w:ascii="Verdana" w:hAnsi="Verdana"/>
                <w:b/>
                <w:sz w:val="16"/>
                <w:szCs w:val="16"/>
                <w:lang w:val="en-GB"/>
              </w:rPr>
              <w:t>68,528</w:t>
            </w:r>
          </w:p>
        </w:tc>
        <w:tc>
          <w:tcPr>
            <w:tcW w:w="1484" w:type="dxa"/>
            <w:tcBorders>
              <w:top w:val="single" w:sz="4" w:space="0" w:color="000000"/>
              <w:bottom w:val="single" w:sz="12" w:space="0" w:color="auto"/>
            </w:tcBorders>
            <w:shd w:val="clear" w:color="auto" w:fill="auto"/>
            <w:tcMar>
              <w:top w:w="20" w:type="dxa"/>
              <w:left w:w="20" w:type="dxa"/>
              <w:bottom w:w="20" w:type="dxa"/>
              <w:right w:w="20" w:type="dxa"/>
            </w:tcMar>
          </w:tcPr>
          <w:p w14:paraId="6B8A5DD8" w14:textId="77777777" w:rsidR="009D3BDC" w:rsidRPr="004648C0" w:rsidRDefault="009D3BDC" w:rsidP="009D3BDC">
            <w:pPr>
              <w:pStyle w:val="T1TableStyle"/>
              <w:jc w:val="right"/>
              <w:rPr>
                <w:rFonts w:ascii="Verdana" w:eastAsia="Verdana" w:hAnsi="Verdana" w:cs="Verdana"/>
                <w:b/>
                <w:color w:val="000000"/>
                <w:sz w:val="16"/>
                <w:lang w:val="en-GB"/>
              </w:rPr>
            </w:pPr>
          </w:p>
          <w:p w14:paraId="363F0834" w14:textId="77777777" w:rsidR="00385AF4" w:rsidRPr="004648C0" w:rsidRDefault="00B52D92" w:rsidP="0033722E">
            <w:pPr>
              <w:pStyle w:val="T1TableStyle"/>
              <w:jc w:val="right"/>
              <w:rPr>
                <w:rFonts w:ascii="Verdana" w:eastAsia="Verdana" w:hAnsi="Verdana" w:cs="Verdana"/>
                <w:b/>
                <w:color w:val="000000"/>
                <w:sz w:val="16"/>
                <w:lang w:val="en-GB"/>
              </w:rPr>
            </w:pPr>
            <w:r w:rsidRPr="004648C0">
              <w:rPr>
                <w:rFonts w:ascii="Verdana" w:eastAsia="Verdana" w:hAnsi="Verdana" w:cs="Verdana"/>
                <w:b/>
                <w:color w:val="000000"/>
                <w:sz w:val="16"/>
                <w:lang w:val="en-GB"/>
              </w:rPr>
              <w:t>68</w:t>
            </w:r>
            <w:r w:rsidR="004648C0" w:rsidRPr="004648C0">
              <w:rPr>
                <w:rFonts w:ascii="Verdana" w:eastAsia="Verdana" w:hAnsi="Verdana" w:cs="Verdana"/>
                <w:b/>
                <w:color w:val="000000"/>
                <w:sz w:val="16"/>
                <w:lang w:val="en-GB"/>
              </w:rPr>
              <w:t>,528</w:t>
            </w:r>
          </w:p>
          <w:p w14:paraId="2B2A798D" w14:textId="77777777" w:rsidR="00201546" w:rsidRPr="004648C0" w:rsidRDefault="00201546" w:rsidP="00201546">
            <w:pPr>
              <w:pStyle w:val="T1TableStyle"/>
              <w:jc w:val="center"/>
              <w:rPr>
                <w:rFonts w:ascii="Verdana" w:eastAsia="Verdana" w:hAnsi="Verdana" w:cs="Verdana"/>
                <w:b/>
                <w:color w:val="000000"/>
                <w:sz w:val="16"/>
                <w:lang w:val="en-GB"/>
              </w:rPr>
            </w:pPr>
          </w:p>
        </w:tc>
      </w:tr>
      <w:tr w:rsidR="009D3BDC" w:rsidRPr="00DC1077" w14:paraId="64F0B148" w14:textId="77777777" w:rsidTr="00B54A0C">
        <w:trPr>
          <w:trHeight w:hRule="exact" w:val="86"/>
          <w:jc w:val="center"/>
        </w:trPr>
        <w:tc>
          <w:tcPr>
            <w:tcW w:w="1482" w:type="dxa"/>
            <w:tcBorders>
              <w:top w:val="single" w:sz="12" w:space="0" w:color="auto"/>
            </w:tcBorders>
            <w:shd w:val="clear" w:color="auto" w:fill="auto"/>
            <w:tcMar>
              <w:top w:w="20" w:type="dxa"/>
              <w:left w:w="20" w:type="dxa"/>
              <w:bottom w:w="20" w:type="dxa"/>
              <w:right w:w="20" w:type="dxa"/>
            </w:tcMar>
          </w:tcPr>
          <w:p w14:paraId="043E36B1" w14:textId="77777777" w:rsidR="009D3BDC" w:rsidRPr="00DC1077" w:rsidRDefault="009D3BDC" w:rsidP="009D3BDC">
            <w:pPr>
              <w:pStyle w:val="T1TableStyle"/>
              <w:jc w:val="center"/>
              <w:rPr>
                <w:rFonts w:ascii="Calibri" w:eastAsia="Calibri" w:hAnsi="Calibri" w:cs="Calibri"/>
                <w:b/>
                <w:color w:val="000000"/>
                <w:sz w:val="2"/>
                <w:highlight w:val="yellow"/>
                <w:lang w:val="en-GB"/>
              </w:rPr>
            </w:pPr>
            <w:r w:rsidRPr="00DC1077">
              <w:rPr>
                <w:rFonts w:ascii="Calibri" w:eastAsia="Calibri" w:hAnsi="Calibri" w:cs="Calibri"/>
                <w:b/>
                <w:color w:val="000000"/>
                <w:sz w:val="2"/>
                <w:highlight w:val="yellow"/>
                <w:lang w:val="en-GB"/>
              </w:rPr>
              <w:t xml:space="preserve"> </w:t>
            </w:r>
          </w:p>
        </w:tc>
        <w:tc>
          <w:tcPr>
            <w:tcW w:w="1482" w:type="dxa"/>
            <w:tcBorders>
              <w:top w:val="single" w:sz="12" w:space="0" w:color="auto"/>
            </w:tcBorders>
            <w:shd w:val="clear" w:color="auto" w:fill="auto"/>
            <w:tcMar>
              <w:top w:w="20" w:type="dxa"/>
              <w:left w:w="20" w:type="dxa"/>
              <w:bottom w:w="20" w:type="dxa"/>
              <w:right w:w="20" w:type="dxa"/>
            </w:tcMar>
          </w:tcPr>
          <w:p w14:paraId="61C4DF58" w14:textId="77777777" w:rsidR="009D3BDC" w:rsidRPr="00DC1077" w:rsidRDefault="009D3BDC" w:rsidP="009D3BDC">
            <w:pPr>
              <w:pStyle w:val="T1TableStyle"/>
              <w:jc w:val="center"/>
              <w:rPr>
                <w:rFonts w:ascii="Calibri" w:eastAsia="Calibri" w:hAnsi="Calibri" w:cs="Calibri"/>
                <w:b/>
                <w:color w:val="000000"/>
                <w:sz w:val="2"/>
                <w:highlight w:val="yellow"/>
                <w:lang w:val="en-GB"/>
              </w:rPr>
            </w:pPr>
            <w:r w:rsidRPr="00DC1077">
              <w:rPr>
                <w:rFonts w:ascii="Calibri" w:eastAsia="Calibri" w:hAnsi="Calibri" w:cs="Calibri"/>
                <w:b/>
                <w:color w:val="000000"/>
                <w:sz w:val="2"/>
                <w:highlight w:val="yellow"/>
                <w:lang w:val="en-GB"/>
              </w:rPr>
              <w:t xml:space="preserve"> </w:t>
            </w:r>
          </w:p>
        </w:tc>
        <w:tc>
          <w:tcPr>
            <w:tcW w:w="1484" w:type="dxa"/>
            <w:tcBorders>
              <w:top w:val="single" w:sz="12" w:space="0" w:color="auto"/>
            </w:tcBorders>
            <w:shd w:val="clear" w:color="auto" w:fill="auto"/>
            <w:tcMar>
              <w:top w:w="20" w:type="dxa"/>
              <w:left w:w="20" w:type="dxa"/>
              <w:bottom w:w="20" w:type="dxa"/>
              <w:right w:w="20" w:type="dxa"/>
            </w:tcMar>
          </w:tcPr>
          <w:p w14:paraId="58B911E7" w14:textId="77777777" w:rsidR="009D3BDC" w:rsidRPr="00DC1077" w:rsidRDefault="009D3BDC" w:rsidP="009D3BDC">
            <w:pPr>
              <w:pStyle w:val="T1TableStyle"/>
              <w:jc w:val="center"/>
              <w:rPr>
                <w:rFonts w:ascii="Calibri" w:eastAsia="Calibri" w:hAnsi="Calibri" w:cs="Calibri"/>
                <w:b/>
                <w:color w:val="000000"/>
                <w:sz w:val="2"/>
                <w:highlight w:val="yellow"/>
                <w:lang w:val="en-GB"/>
              </w:rPr>
            </w:pPr>
            <w:r w:rsidRPr="00DC1077">
              <w:rPr>
                <w:rFonts w:ascii="Calibri" w:eastAsia="Calibri" w:hAnsi="Calibri" w:cs="Calibri"/>
                <w:b/>
                <w:color w:val="000000"/>
                <w:sz w:val="2"/>
                <w:highlight w:val="yellow"/>
                <w:lang w:val="en-GB"/>
              </w:rPr>
              <w:t xml:space="preserve"> </w:t>
            </w:r>
          </w:p>
        </w:tc>
        <w:tc>
          <w:tcPr>
            <w:tcW w:w="1949" w:type="dxa"/>
            <w:tcBorders>
              <w:top w:val="single" w:sz="12" w:space="0" w:color="auto"/>
            </w:tcBorders>
            <w:shd w:val="clear" w:color="auto" w:fill="auto"/>
            <w:tcMar>
              <w:top w:w="20" w:type="dxa"/>
              <w:left w:w="20" w:type="dxa"/>
              <w:bottom w:w="20" w:type="dxa"/>
              <w:right w:w="20" w:type="dxa"/>
            </w:tcMar>
          </w:tcPr>
          <w:p w14:paraId="4EF0AA14" w14:textId="77777777" w:rsidR="009D3BDC" w:rsidRPr="00DC1077" w:rsidRDefault="009D3BDC" w:rsidP="009D3BDC">
            <w:pPr>
              <w:pStyle w:val="T1TableStyle"/>
              <w:jc w:val="center"/>
              <w:rPr>
                <w:rFonts w:ascii="Calibri" w:eastAsia="Calibri" w:hAnsi="Calibri" w:cs="Calibri"/>
                <w:b/>
                <w:color w:val="000000"/>
                <w:sz w:val="2"/>
                <w:highlight w:val="yellow"/>
                <w:lang w:val="en-GB"/>
              </w:rPr>
            </w:pPr>
            <w:r w:rsidRPr="00DC1077">
              <w:rPr>
                <w:rFonts w:ascii="Calibri" w:eastAsia="Calibri" w:hAnsi="Calibri" w:cs="Calibri"/>
                <w:b/>
                <w:color w:val="000000"/>
                <w:sz w:val="2"/>
                <w:highlight w:val="yellow"/>
                <w:lang w:val="en-GB"/>
              </w:rPr>
              <w:t xml:space="preserve"> </w:t>
            </w:r>
          </w:p>
        </w:tc>
        <w:tc>
          <w:tcPr>
            <w:tcW w:w="1482" w:type="dxa"/>
            <w:tcBorders>
              <w:top w:val="single" w:sz="12" w:space="0" w:color="auto"/>
            </w:tcBorders>
            <w:shd w:val="clear" w:color="auto" w:fill="auto"/>
            <w:tcMar>
              <w:top w:w="20" w:type="dxa"/>
              <w:left w:w="20" w:type="dxa"/>
              <w:bottom w:w="20" w:type="dxa"/>
              <w:right w:w="20" w:type="dxa"/>
            </w:tcMar>
          </w:tcPr>
          <w:p w14:paraId="01B98EF8" w14:textId="77777777" w:rsidR="009D3BDC" w:rsidRPr="00385AF4" w:rsidRDefault="009D3BDC" w:rsidP="009D3BDC">
            <w:pPr>
              <w:pStyle w:val="T1TableStyle"/>
              <w:jc w:val="center"/>
              <w:rPr>
                <w:rFonts w:ascii="Calibri" w:eastAsia="Calibri" w:hAnsi="Calibri" w:cs="Calibri"/>
                <w:b/>
                <w:color w:val="000000"/>
                <w:sz w:val="2"/>
                <w:lang w:val="en-GB"/>
              </w:rPr>
            </w:pPr>
            <w:r w:rsidRPr="00385AF4">
              <w:rPr>
                <w:rFonts w:ascii="Calibri" w:eastAsia="Calibri" w:hAnsi="Calibri" w:cs="Calibri"/>
                <w:b/>
                <w:color w:val="000000"/>
                <w:sz w:val="2"/>
                <w:lang w:val="en-GB"/>
              </w:rPr>
              <w:t xml:space="preserve"> </w:t>
            </w:r>
          </w:p>
        </w:tc>
        <w:tc>
          <w:tcPr>
            <w:tcW w:w="1482" w:type="dxa"/>
            <w:tcBorders>
              <w:top w:val="single" w:sz="12" w:space="0" w:color="auto"/>
            </w:tcBorders>
            <w:shd w:val="clear" w:color="auto" w:fill="auto"/>
            <w:tcMar>
              <w:top w:w="20" w:type="dxa"/>
              <w:left w:w="20" w:type="dxa"/>
              <w:bottom w:w="20" w:type="dxa"/>
              <w:right w:w="20" w:type="dxa"/>
            </w:tcMar>
          </w:tcPr>
          <w:p w14:paraId="46AE816E" w14:textId="77777777" w:rsidR="009D3BDC" w:rsidRPr="00385AF4" w:rsidRDefault="009D3BDC" w:rsidP="009D3BDC">
            <w:pPr>
              <w:pStyle w:val="T1TableStyle"/>
              <w:jc w:val="center"/>
              <w:rPr>
                <w:rFonts w:ascii="Calibri" w:eastAsia="Calibri" w:hAnsi="Calibri" w:cs="Calibri"/>
                <w:b/>
                <w:color w:val="000000"/>
                <w:sz w:val="2"/>
                <w:lang w:val="en-GB"/>
              </w:rPr>
            </w:pPr>
            <w:r w:rsidRPr="00385AF4">
              <w:rPr>
                <w:rFonts w:ascii="Calibri" w:eastAsia="Calibri" w:hAnsi="Calibri" w:cs="Calibri"/>
                <w:b/>
                <w:color w:val="000000"/>
                <w:sz w:val="2"/>
                <w:lang w:val="en-GB"/>
              </w:rPr>
              <w:t xml:space="preserve"> </w:t>
            </w:r>
          </w:p>
        </w:tc>
        <w:tc>
          <w:tcPr>
            <w:tcW w:w="1484" w:type="dxa"/>
            <w:tcBorders>
              <w:top w:val="single" w:sz="12" w:space="0" w:color="auto"/>
            </w:tcBorders>
            <w:shd w:val="clear" w:color="auto" w:fill="auto"/>
            <w:tcMar>
              <w:top w:w="20" w:type="dxa"/>
              <w:left w:w="20" w:type="dxa"/>
              <w:bottom w:w="20" w:type="dxa"/>
              <w:right w:w="20" w:type="dxa"/>
            </w:tcMar>
          </w:tcPr>
          <w:p w14:paraId="2FA841CA" w14:textId="77777777" w:rsidR="009D3BDC" w:rsidRPr="00385AF4" w:rsidRDefault="009D3BDC" w:rsidP="009D3BDC">
            <w:pPr>
              <w:pStyle w:val="T1TableStyle"/>
              <w:jc w:val="center"/>
              <w:rPr>
                <w:rFonts w:ascii="Calibri" w:eastAsia="Calibri" w:hAnsi="Calibri" w:cs="Calibri"/>
                <w:b/>
                <w:color w:val="000000"/>
                <w:sz w:val="2"/>
                <w:lang w:val="en-GB"/>
              </w:rPr>
            </w:pPr>
            <w:r w:rsidRPr="00385AF4">
              <w:rPr>
                <w:rFonts w:ascii="Calibri" w:eastAsia="Calibri" w:hAnsi="Calibri" w:cs="Calibri"/>
                <w:b/>
                <w:color w:val="000000"/>
                <w:sz w:val="2"/>
                <w:lang w:val="en-GB"/>
              </w:rPr>
              <w:t xml:space="preserve"> </w:t>
            </w:r>
          </w:p>
        </w:tc>
      </w:tr>
    </w:tbl>
    <w:p w14:paraId="00CDFB44" w14:textId="77777777" w:rsidR="00F227D9" w:rsidRPr="00DC1077" w:rsidRDefault="00F227D9">
      <w:pPr>
        <w:pStyle w:val="T1TableStyle"/>
        <w:rPr>
          <w:b/>
          <w:highlight w:val="yellow"/>
          <w:lang w:val="en-GB"/>
        </w:rPr>
      </w:pPr>
    </w:p>
    <w:p w14:paraId="792D0696" w14:textId="209AD259" w:rsidR="00F227D9" w:rsidRPr="00A30DA8" w:rsidRDefault="00C53179">
      <w:pPr>
        <w:pStyle w:val="Normal0"/>
        <w:spacing w:after="160" w:line="259" w:lineRule="auto"/>
        <w:rPr>
          <w:sz w:val="22"/>
          <w:szCs w:val="22"/>
          <w:lang w:val="en-GB"/>
        </w:rPr>
      </w:pPr>
      <w:r>
        <w:rPr>
          <w:sz w:val="22"/>
          <w:szCs w:val="22"/>
          <w:lang w:val="en-GB"/>
        </w:rPr>
        <w:t>*</w:t>
      </w:r>
      <w:r w:rsidR="0095140D" w:rsidRPr="00A30DA8">
        <w:rPr>
          <w:sz w:val="22"/>
          <w:szCs w:val="22"/>
          <w:lang w:val="en-GB"/>
        </w:rPr>
        <w:t xml:space="preserve">Depreciation/ Amortisation in </w:t>
      </w:r>
      <w:r w:rsidR="00B54A0C">
        <w:rPr>
          <w:sz w:val="22"/>
          <w:szCs w:val="22"/>
          <w:lang w:val="en-GB"/>
        </w:rPr>
        <w:t>20</w:t>
      </w:r>
      <w:r w:rsidR="00AB41DA" w:rsidRPr="00A30DA8">
        <w:rPr>
          <w:sz w:val="22"/>
          <w:szCs w:val="22"/>
          <w:lang w:val="en-GB"/>
        </w:rPr>
        <w:t>20</w:t>
      </w:r>
      <w:r w:rsidR="0095140D" w:rsidRPr="00A30DA8">
        <w:rPr>
          <w:sz w:val="22"/>
          <w:szCs w:val="22"/>
          <w:lang w:val="en-GB"/>
        </w:rPr>
        <w:t>/2</w:t>
      </w:r>
      <w:r w:rsidR="00AB41DA" w:rsidRPr="00A30DA8">
        <w:rPr>
          <w:sz w:val="22"/>
          <w:szCs w:val="22"/>
          <w:lang w:val="en-GB"/>
        </w:rPr>
        <w:t>1</w:t>
      </w:r>
      <w:r w:rsidR="0095140D" w:rsidRPr="00A30DA8">
        <w:rPr>
          <w:sz w:val="22"/>
          <w:szCs w:val="22"/>
          <w:lang w:val="en-GB"/>
        </w:rPr>
        <w:t xml:space="preserve"> includes a figure of £</w:t>
      </w:r>
      <w:r w:rsidR="00A30DA8" w:rsidRPr="00A30DA8">
        <w:rPr>
          <w:sz w:val="22"/>
          <w:szCs w:val="22"/>
          <w:lang w:val="en-GB"/>
        </w:rPr>
        <w:t>2.049</w:t>
      </w:r>
      <w:r w:rsidR="0095140D" w:rsidRPr="00A30DA8">
        <w:rPr>
          <w:sz w:val="22"/>
          <w:szCs w:val="22"/>
          <w:lang w:val="en-GB"/>
        </w:rPr>
        <w:t>m for downward PPE revalua</w:t>
      </w:r>
      <w:r w:rsidR="002E4C7E" w:rsidRPr="00A30DA8">
        <w:rPr>
          <w:sz w:val="22"/>
          <w:szCs w:val="22"/>
          <w:lang w:val="en-GB"/>
        </w:rPr>
        <w:t>t</w:t>
      </w:r>
      <w:r w:rsidR="0095140D" w:rsidRPr="00A30DA8">
        <w:rPr>
          <w:sz w:val="22"/>
          <w:szCs w:val="22"/>
          <w:lang w:val="en-GB"/>
        </w:rPr>
        <w:t>ions</w:t>
      </w:r>
    </w:p>
    <w:p w14:paraId="4F62B31C" w14:textId="77777777" w:rsidR="00F93CA0" w:rsidRPr="00DC1077" w:rsidRDefault="00F93CA0">
      <w:pPr>
        <w:pStyle w:val="Normal0"/>
        <w:spacing w:after="160" w:line="259" w:lineRule="auto"/>
        <w:rPr>
          <w:sz w:val="22"/>
          <w:szCs w:val="22"/>
          <w:highlight w:val="yellow"/>
          <w:lang w:val="en-GB"/>
        </w:rPr>
      </w:pPr>
    </w:p>
    <w:p w14:paraId="187E1FE7" w14:textId="77777777" w:rsidR="003D5B85" w:rsidRPr="00DC1077" w:rsidRDefault="003D5B85">
      <w:pPr>
        <w:pStyle w:val="Normal0"/>
        <w:spacing w:after="160" w:line="259" w:lineRule="auto"/>
        <w:rPr>
          <w:sz w:val="22"/>
          <w:szCs w:val="22"/>
          <w:highlight w:val="yellow"/>
          <w:lang w:val="en-GB"/>
        </w:rPr>
      </w:pPr>
    </w:p>
    <w:p w14:paraId="399A9585" w14:textId="77777777" w:rsidR="00F93CA0" w:rsidRPr="00DC1077" w:rsidRDefault="00F93CA0">
      <w:pPr>
        <w:pStyle w:val="Normal0"/>
        <w:spacing w:after="160" w:line="259" w:lineRule="auto"/>
        <w:rPr>
          <w:sz w:val="22"/>
          <w:szCs w:val="22"/>
          <w:highlight w:val="yellow"/>
          <w:lang w:val="en-GB"/>
        </w:rPr>
      </w:pPr>
    </w:p>
    <w:p w14:paraId="7A66D66C" w14:textId="77777777" w:rsidR="00F227D9" w:rsidRPr="00D83D1A" w:rsidRDefault="00F227D9" w:rsidP="007D3C35">
      <w:pPr>
        <w:pStyle w:val="Heading1"/>
        <w:spacing w:line="259" w:lineRule="auto"/>
        <w:rPr>
          <w:lang w:val="en-GB"/>
        </w:rPr>
      </w:pPr>
      <w:bookmarkStart w:id="14" w:name="_Toc77095565"/>
      <w:r w:rsidRPr="00D83D1A">
        <w:rPr>
          <w:lang w:val="en-GB"/>
        </w:rPr>
        <w:t>Note 6 - Adjustments between Accounting Basis and Funding Basis under Regulations</w:t>
      </w:r>
      <w:bookmarkEnd w:id="14"/>
    </w:p>
    <w:p w14:paraId="563CD589" w14:textId="77777777" w:rsidR="007D3C35" w:rsidRPr="00D83D1A" w:rsidRDefault="007D3C35" w:rsidP="007D3C35">
      <w:pPr>
        <w:pStyle w:val="Normal0"/>
        <w:spacing w:after="160" w:line="259" w:lineRule="auto"/>
        <w:jc w:val="both"/>
        <w:rPr>
          <w:rFonts w:ascii="Verdana" w:eastAsia="Verdana" w:hAnsi="Verdana" w:cs="Verdana"/>
          <w:sz w:val="22"/>
          <w:szCs w:val="22"/>
          <w:lang w:val="en-GB"/>
        </w:rPr>
      </w:pPr>
    </w:p>
    <w:p w14:paraId="76D8BC9C" w14:textId="77777777" w:rsidR="00F227D9" w:rsidRPr="00D83D1A" w:rsidRDefault="00F227D9" w:rsidP="007D3C35">
      <w:pPr>
        <w:pStyle w:val="Normal0"/>
        <w:spacing w:after="160" w:line="259" w:lineRule="auto"/>
        <w:jc w:val="both"/>
        <w:rPr>
          <w:rFonts w:ascii="Verdana" w:eastAsia="Verdana" w:hAnsi="Verdana" w:cs="Verdana"/>
          <w:sz w:val="22"/>
          <w:szCs w:val="22"/>
          <w:lang w:val="en-GB"/>
        </w:rPr>
      </w:pPr>
      <w:r w:rsidRPr="00D83D1A">
        <w:rPr>
          <w:rFonts w:ascii="Verdana" w:eastAsia="Verdana" w:hAnsi="Verdana" w:cs="Verdana"/>
          <w:sz w:val="22"/>
          <w:szCs w:val="22"/>
          <w:lang w:val="en-GB"/>
        </w:rPr>
        <w:t>The table below details the adjustments made to the Total Comprehensive Income and Expenditure Statement recognised by the Chief Constable in the year, in accordance with proper accounting practice to the resources that are specified by statutory provisions as being available to the Chief Constable to meet future capital and revenue expenditure.</w:t>
      </w:r>
    </w:p>
    <w:tbl>
      <w:tblPr>
        <w:tblW w:w="0" w:type="auto"/>
        <w:jc w:val="center"/>
        <w:tblLayout w:type="fixed"/>
        <w:tblLook w:val="04A0" w:firstRow="1" w:lastRow="0" w:firstColumn="1" w:lastColumn="0" w:noHBand="0" w:noVBand="1"/>
      </w:tblPr>
      <w:tblGrid>
        <w:gridCol w:w="6286"/>
        <w:gridCol w:w="2193"/>
        <w:gridCol w:w="2193"/>
      </w:tblGrid>
      <w:tr w:rsidR="0053376B" w:rsidRPr="00C06862" w14:paraId="49E7B114" w14:textId="77777777" w:rsidTr="00B54A0C">
        <w:trPr>
          <w:trHeight w:val="492"/>
          <w:jc w:val="center"/>
        </w:trPr>
        <w:tc>
          <w:tcPr>
            <w:tcW w:w="6286" w:type="dxa"/>
            <w:shd w:val="clear" w:color="auto" w:fill="auto"/>
            <w:tcMar>
              <w:top w:w="20" w:type="dxa"/>
              <w:left w:w="20" w:type="dxa"/>
              <w:bottom w:w="20" w:type="dxa"/>
              <w:right w:w="20" w:type="dxa"/>
            </w:tcMar>
          </w:tcPr>
          <w:p w14:paraId="76156E41" w14:textId="77777777" w:rsidR="00F227D9" w:rsidRPr="00C06862" w:rsidRDefault="00F227D9" w:rsidP="00C56350">
            <w:pPr>
              <w:pStyle w:val="T1TableStyle"/>
              <w:jc w:val="center"/>
              <w:rPr>
                <w:rFonts w:ascii="Verdana" w:eastAsia="Verdana" w:hAnsi="Verdana" w:cs="Verdana"/>
                <w:b/>
                <w:color w:val="000000"/>
                <w:sz w:val="16"/>
                <w:lang w:val="en-GB"/>
              </w:rPr>
            </w:pPr>
            <w:r w:rsidRPr="00C06862">
              <w:rPr>
                <w:rFonts w:ascii="Verdana" w:eastAsia="Verdana" w:hAnsi="Verdana" w:cs="Verdana"/>
                <w:b/>
                <w:color w:val="000000"/>
                <w:sz w:val="16"/>
                <w:lang w:val="en-GB"/>
              </w:rPr>
              <w:t>20</w:t>
            </w:r>
            <w:r w:rsidR="00C56350" w:rsidRPr="00C06862">
              <w:rPr>
                <w:rFonts w:ascii="Verdana" w:eastAsia="Verdana" w:hAnsi="Verdana" w:cs="Verdana"/>
                <w:b/>
                <w:color w:val="000000"/>
                <w:sz w:val="16"/>
                <w:lang w:val="en-GB"/>
              </w:rPr>
              <w:t>20</w:t>
            </w:r>
            <w:r w:rsidRPr="00C06862">
              <w:rPr>
                <w:rFonts w:ascii="Verdana" w:eastAsia="Verdana" w:hAnsi="Verdana" w:cs="Verdana"/>
                <w:b/>
                <w:color w:val="000000"/>
                <w:sz w:val="16"/>
                <w:lang w:val="en-GB"/>
              </w:rPr>
              <w:t>/202</w:t>
            </w:r>
            <w:r w:rsidR="00C56350" w:rsidRPr="00C06862">
              <w:rPr>
                <w:rFonts w:ascii="Verdana" w:eastAsia="Verdana" w:hAnsi="Verdana" w:cs="Verdana"/>
                <w:b/>
                <w:color w:val="000000"/>
                <w:sz w:val="16"/>
                <w:lang w:val="en-GB"/>
              </w:rPr>
              <w:t>1</w:t>
            </w:r>
          </w:p>
        </w:tc>
        <w:tc>
          <w:tcPr>
            <w:tcW w:w="2193" w:type="dxa"/>
            <w:shd w:val="clear" w:color="auto" w:fill="auto"/>
            <w:tcMar>
              <w:top w:w="20" w:type="dxa"/>
              <w:left w:w="20" w:type="dxa"/>
              <w:bottom w:w="20" w:type="dxa"/>
              <w:right w:w="20" w:type="dxa"/>
            </w:tcMar>
          </w:tcPr>
          <w:p w14:paraId="2F33983E" w14:textId="77777777" w:rsidR="00F227D9" w:rsidRPr="00C06862" w:rsidRDefault="00F227D9">
            <w:pPr>
              <w:pStyle w:val="T1TableStyle"/>
              <w:jc w:val="center"/>
              <w:rPr>
                <w:rFonts w:ascii="Verdana" w:eastAsia="Verdana" w:hAnsi="Verdana" w:cs="Verdana"/>
                <w:b/>
                <w:color w:val="000000"/>
                <w:sz w:val="16"/>
                <w:lang w:val="en-GB"/>
              </w:rPr>
            </w:pPr>
            <w:r w:rsidRPr="00C06862">
              <w:rPr>
                <w:rFonts w:ascii="Verdana" w:eastAsia="Verdana" w:hAnsi="Verdana" w:cs="Verdana"/>
                <w:b/>
                <w:color w:val="000000"/>
                <w:sz w:val="16"/>
                <w:lang w:val="en-GB"/>
              </w:rPr>
              <w:t>General Fund Balance</w:t>
            </w:r>
          </w:p>
        </w:tc>
        <w:tc>
          <w:tcPr>
            <w:tcW w:w="2193" w:type="dxa"/>
            <w:shd w:val="clear" w:color="auto" w:fill="auto"/>
            <w:tcMar>
              <w:top w:w="20" w:type="dxa"/>
              <w:left w:w="20" w:type="dxa"/>
              <w:bottom w:w="20" w:type="dxa"/>
              <w:right w:w="20" w:type="dxa"/>
            </w:tcMar>
          </w:tcPr>
          <w:p w14:paraId="69645A43" w14:textId="77777777" w:rsidR="00F227D9" w:rsidRPr="00C06862" w:rsidRDefault="00F227D9">
            <w:pPr>
              <w:pStyle w:val="T1TableStyle"/>
              <w:jc w:val="center"/>
              <w:rPr>
                <w:rFonts w:ascii="Verdana" w:eastAsia="Verdana" w:hAnsi="Verdana" w:cs="Verdana"/>
                <w:b/>
                <w:color w:val="000000"/>
                <w:sz w:val="16"/>
                <w:lang w:val="en-GB"/>
              </w:rPr>
            </w:pPr>
            <w:r w:rsidRPr="00C06862">
              <w:rPr>
                <w:rFonts w:ascii="Verdana" w:eastAsia="Verdana" w:hAnsi="Verdana" w:cs="Verdana"/>
                <w:b/>
                <w:color w:val="000000"/>
                <w:sz w:val="16"/>
                <w:lang w:val="en-GB"/>
              </w:rPr>
              <w:t>Movement in Unusable Reserves</w:t>
            </w:r>
          </w:p>
        </w:tc>
      </w:tr>
      <w:tr w:rsidR="0053376B" w:rsidRPr="00C06862" w14:paraId="1C2071CD" w14:textId="77777777" w:rsidTr="00B54A0C">
        <w:trPr>
          <w:trHeight w:val="246"/>
          <w:jc w:val="center"/>
        </w:trPr>
        <w:tc>
          <w:tcPr>
            <w:tcW w:w="6286" w:type="dxa"/>
            <w:tcBorders>
              <w:bottom w:val="single" w:sz="2" w:space="0" w:color="000000"/>
            </w:tcBorders>
            <w:shd w:val="clear" w:color="auto" w:fill="auto"/>
            <w:tcMar>
              <w:top w:w="20" w:type="dxa"/>
              <w:left w:w="20" w:type="dxa"/>
              <w:bottom w:w="20" w:type="dxa"/>
              <w:right w:w="20" w:type="dxa"/>
            </w:tcMar>
          </w:tcPr>
          <w:p w14:paraId="588125F4" w14:textId="77777777" w:rsidR="00F227D9" w:rsidRPr="00C06862" w:rsidRDefault="00F227D9">
            <w:pPr>
              <w:pStyle w:val="T1TableStyle"/>
              <w:jc w:val="center"/>
              <w:rPr>
                <w:rFonts w:ascii="Verdana" w:eastAsia="Verdana" w:hAnsi="Verdana" w:cs="Verdana"/>
                <w:b/>
                <w:color w:val="000000"/>
                <w:sz w:val="2"/>
                <w:lang w:val="en-GB"/>
              </w:rPr>
            </w:pPr>
            <w:r w:rsidRPr="00C06862">
              <w:rPr>
                <w:rFonts w:ascii="Verdana" w:eastAsia="Verdana" w:hAnsi="Verdana" w:cs="Verdana"/>
                <w:b/>
                <w:color w:val="000000"/>
                <w:sz w:val="2"/>
                <w:lang w:val="en-GB"/>
              </w:rPr>
              <w:t xml:space="preserve"> </w:t>
            </w:r>
          </w:p>
        </w:tc>
        <w:tc>
          <w:tcPr>
            <w:tcW w:w="2193" w:type="dxa"/>
            <w:tcBorders>
              <w:bottom w:val="single" w:sz="2" w:space="0" w:color="000000"/>
            </w:tcBorders>
            <w:shd w:val="clear" w:color="auto" w:fill="auto"/>
            <w:tcMar>
              <w:top w:w="20" w:type="dxa"/>
              <w:left w:w="20" w:type="dxa"/>
              <w:bottom w:w="20" w:type="dxa"/>
              <w:right w:w="20" w:type="dxa"/>
            </w:tcMar>
          </w:tcPr>
          <w:p w14:paraId="6D99EBBD" w14:textId="77777777" w:rsidR="00F227D9" w:rsidRPr="00C06862" w:rsidRDefault="00F227D9">
            <w:pPr>
              <w:pStyle w:val="T1TableStyle"/>
              <w:jc w:val="right"/>
              <w:rPr>
                <w:rFonts w:ascii="Verdana" w:eastAsia="Verdana" w:hAnsi="Verdana" w:cs="Verdana"/>
                <w:b/>
                <w:color w:val="000000"/>
                <w:sz w:val="16"/>
                <w:lang w:val="en-GB"/>
              </w:rPr>
            </w:pPr>
            <w:r w:rsidRPr="00C06862">
              <w:rPr>
                <w:rFonts w:ascii="Verdana" w:eastAsia="Verdana" w:hAnsi="Verdana" w:cs="Verdana"/>
                <w:b/>
                <w:color w:val="000000"/>
                <w:sz w:val="16"/>
                <w:lang w:val="en-GB"/>
              </w:rPr>
              <w:t>£000</w:t>
            </w:r>
          </w:p>
        </w:tc>
        <w:tc>
          <w:tcPr>
            <w:tcW w:w="2193" w:type="dxa"/>
            <w:tcBorders>
              <w:bottom w:val="single" w:sz="2" w:space="0" w:color="000000"/>
            </w:tcBorders>
            <w:shd w:val="clear" w:color="auto" w:fill="auto"/>
            <w:tcMar>
              <w:top w:w="20" w:type="dxa"/>
              <w:left w:w="20" w:type="dxa"/>
              <w:bottom w:w="20" w:type="dxa"/>
              <w:right w:w="20" w:type="dxa"/>
            </w:tcMar>
          </w:tcPr>
          <w:p w14:paraId="44F5934B" w14:textId="77777777" w:rsidR="00F227D9" w:rsidRPr="00C06862" w:rsidRDefault="00F227D9">
            <w:pPr>
              <w:pStyle w:val="T1TableStyle"/>
              <w:jc w:val="right"/>
              <w:rPr>
                <w:rFonts w:ascii="Verdana" w:eastAsia="Verdana" w:hAnsi="Verdana" w:cs="Verdana"/>
                <w:b/>
                <w:color w:val="000000"/>
                <w:sz w:val="16"/>
                <w:lang w:val="en-GB"/>
              </w:rPr>
            </w:pPr>
            <w:r w:rsidRPr="00C06862">
              <w:rPr>
                <w:rFonts w:ascii="Verdana" w:eastAsia="Verdana" w:hAnsi="Verdana" w:cs="Verdana"/>
                <w:b/>
                <w:color w:val="000000"/>
                <w:sz w:val="16"/>
                <w:lang w:val="en-GB"/>
              </w:rPr>
              <w:t>£000</w:t>
            </w:r>
          </w:p>
        </w:tc>
      </w:tr>
      <w:tr w:rsidR="0053376B" w:rsidRPr="00C06862" w14:paraId="484C2025" w14:textId="77777777" w:rsidTr="00B54A0C">
        <w:trPr>
          <w:trHeight w:val="209"/>
          <w:jc w:val="center"/>
        </w:trPr>
        <w:tc>
          <w:tcPr>
            <w:tcW w:w="6286" w:type="dxa"/>
            <w:shd w:val="clear" w:color="auto" w:fill="auto"/>
            <w:tcMar>
              <w:top w:w="20" w:type="dxa"/>
              <w:left w:w="20" w:type="dxa"/>
              <w:bottom w:w="20" w:type="dxa"/>
              <w:right w:w="20" w:type="dxa"/>
            </w:tcMar>
          </w:tcPr>
          <w:p w14:paraId="23BA78E0" w14:textId="77777777" w:rsidR="00F227D9" w:rsidRPr="00C06862" w:rsidRDefault="00F227D9">
            <w:pPr>
              <w:pStyle w:val="T1TableStyle"/>
              <w:rPr>
                <w:rFonts w:ascii="Verdana" w:eastAsia="Verdana" w:hAnsi="Verdana" w:cs="Verdana"/>
                <w:color w:val="000000"/>
                <w:sz w:val="16"/>
                <w:lang w:val="en-GB"/>
              </w:rPr>
            </w:pPr>
            <w:r w:rsidRPr="00C06862">
              <w:rPr>
                <w:rFonts w:ascii="Verdana" w:eastAsia="Verdana" w:hAnsi="Verdana" w:cs="Verdana"/>
                <w:color w:val="000000"/>
                <w:sz w:val="16"/>
                <w:lang w:val="en-GB"/>
              </w:rPr>
              <w:t>Adjustments to the Revenue Resources</w:t>
            </w:r>
          </w:p>
        </w:tc>
        <w:tc>
          <w:tcPr>
            <w:tcW w:w="2193" w:type="dxa"/>
            <w:shd w:val="clear" w:color="auto" w:fill="auto"/>
            <w:tcMar>
              <w:top w:w="20" w:type="dxa"/>
              <w:left w:w="20" w:type="dxa"/>
              <w:bottom w:w="20" w:type="dxa"/>
              <w:right w:w="20" w:type="dxa"/>
            </w:tcMar>
          </w:tcPr>
          <w:p w14:paraId="43BBF414" w14:textId="77777777" w:rsidR="00F227D9" w:rsidRPr="00C06862" w:rsidRDefault="00F227D9">
            <w:pPr>
              <w:pStyle w:val="T1TableStyle"/>
              <w:jc w:val="center"/>
              <w:rPr>
                <w:rFonts w:ascii="Verdana" w:eastAsia="Verdana" w:hAnsi="Verdana" w:cs="Verdana"/>
                <w:b/>
                <w:color w:val="000000"/>
                <w:sz w:val="2"/>
                <w:lang w:val="en-GB"/>
              </w:rPr>
            </w:pPr>
            <w:r w:rsidRPr="00C06862">
              <w:rPr>
                <w:rFonts w:ascii="Verdana" w:eastAsia="Verdana" w:hAnsi="Verdana" w:cs="Verdana"/>
                <w:b/>
                <w:color w:val="000000"/>
                <w:sz w:val="2"/>
                <w:lang w:val="en-GB"/>
              </w:rPr>
              <w:t xml:space="preserve"> </w:t>
            </w:r>
          </w:p>
        </w:tc>
        <w:tc>
          <w:tcPr>
            <w:tcW w:w="2193" w:type="dxa"/>
            <w:shd w:val="clear" w:color="auto" w:fill="auto"/>
            <w:tcMar>
              <w:top w:w="20" w:type="dxa"/>
              <w:left w:w="20" w:type="dxa"/>
              <w:bottom w:w="20" w:type="dxa"/>
              <w:right w:w="20" w:type="dxa"/>
            </w:tcMar>
          </w:tcPr>
          <w:p w14:paraId="1C8F80C7" w14:textId="77777777" w:rsidR="00F227D9" w:rsidRPr="00C06862" w:rsidRDefault="00F227D9">
            <w:pPr>
              <w:pStyle w:val="T1TableStyle"/>
              <w:jc w:val="center"/>
              <w:rPr>
                <w:rFonts w:ascii="Verdana" w:eastAsia="Verdana" w:hAnsi="Verdana" w:cs="Verdana"/>
                <w:b/>
                <w:color w:val="000000"/>
                <w:sz w:val="2"/>
                <w:lang w:val="en-GB"/>
              </w:rPr>
            </w:pPr>
            <w:r w:rsidRPr="00C06862">
              <w:rPr>
                <w:rFonts w:ascii="Verdana" w:eastAsia="Verdana" w:hAnsi="Verdana" w:cs="Verdana"/>
                <w:b/>
                <w:color w:val="000000"/>
                <w:sz w:val="2"/>
                <w:lang w:val="en-GB"/>
              </w:rPr>
              <w:t xml:space="preserve"> </w:t>
            </w:r>
          </w:p>
        </w:tc>
      </w:tr>
      <w:tr w:rsidR="0053376B" w:rsidRPr="00C06862" w14:paraId="6CFF696A" w14:textId="77777777" w:rsidTr="00B54A0C">
        <w:trPr>
          <w:trHeight w:val="209"/>
          <w:jc w:val="center"/>
        </w:trPr>
        <w:tc>
          <w:tcPr>
            <w:tcW w:w="6286" w:type="dxa"/>
            <w:shd w:val="clear" w:color="auto" w:fill="auto"/>
            <w:tcMar>
              <w:top w:w="20" w:type="dxa"/>
              <w:left w:w="20" w:type="dxa"/>
              <w:bottom w:w="20" w:type="dxa"/>
              <w:right w:w="20" w:type="dxa"/>
            </w:tcMar>
          </w:tcPr>
          <w:p w14:paraId="2B79FAB8" w14:textId="77777777" w:rsidR="00F227D9" w:rsidRPr="00C06862" w:rsidRDefault="00F227D9">
            <w:pPr>
              <w:pStyle w:val="T1TableStyle"/>
              <w:rPr>
                <w:rFonts w:ascii="Verdana" w:eastAsia="Verdana" w:hAnsi="Verdana" w:cs="Verdana"/>
                <w:color w:val="000000"/>
                <w:sz w:val="16"/>
                <w:lang w:val="en-GB"/>
              </w:rPr>
            </w:pPr>
            <w:r w:rsidRPr="00C06862">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2193" w:type="dxa"/>
            <w:shd w:val="clear" w:color="auto" w:fill="auto"/>
            <w:tcMar>
              <w:top w:w="20" w:type="dxa"/>
              <w:left w:w="20" w:type="dxa"/>
              <w:bottom w:w="20" w:type="dxa"/>
              <w:right w:w="20" w:type="dxa"/>
            </w:tcMar>
          </w:tcPr>
          <w:p w14:paraId="01941F11" w14:textId="77777777" w:rsidR="00F227D9" w:rsidRPr="00C06862" w:rsidRDefault="00F227D9">
            <w:pPr>
              <w:pStyle w:val="T1TableStyle"/>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c>
          <w:tcPr>
            <w:tcW w:w="2193" w:type="dxa"/>
            <w:shd w:val="clear" w:color="auto" w:fill="auto"/>
            <w:tcMar>
              <w:top w:w="20" w:type="dxa"/>
              <w:left w:w="20" w:type="dxa"/>
              <w:bottom w:w="20" w:type="dxa"/>
              <w:right w:w="20" w:type="dxa"/>
            </w:tcMar>
          </w:tcPr>
          <w:p w14:paraId="2A7887D3" w14:textId="77777777" w:rsidR="00F227D9" w:rsidRPr="00C06862" w:rsidRDefault="00F227D9">
            <w:pPr>
              <w:pStyle w:val="T1TableStyle"/>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r>
      <w:tr w:rsidR="0053376B" w:rsidRPr="00C06862" w14:paraId="5856E239" w14:textId="77777777" w:rsidTr="00B54A0C">
        <w:trPr>
          <w:trHeight w:val="209"/>
          <w:jc w:val="center"/>
        </w:trPr>
        <w:tc>
          <w:tcPr>
            <w:tcW w:w="6286" w:type="dxa"/>
            <w:shd w:val="clear" w:color="auto" w:fill="auto"/>
            <w:tcMar>
              <w:top w:w="20" w:type="dxa"/>
              <w:left w:w="20" w:type="dxa"/>
              <w:bottom w:w="20" w:type="dxa"/>
              <w:right w:w="20" w:type="dxa"/>
            </w:tcMar>
          </w:tcPr>
          <w:p w14:paraId="1D7C02F4" w14:textId="77777777" w:rsidR="00F227D9" w:rsidRPr="00C06862" w:rsidRDefault="00F227D9">
            <w:pPr>
              <w:pStyle w:val="T1TableStyle"/>
              <w:rPr>
                <w:rFonts w:ascii="Verdana" w:eastAsia="Verdana" w:hAnsi="Verdana" w:cs="Verdana"/>
                <w:color w:val="000000"/>
                <w:sz w:val="16"/>
                <w:lang w:val="en-GB"/>
              </w:rPr>
            </w:pPr>
            <w:r w:rsidRPr="00C06862">
              <w:rPr>
                <w:rFonts w:ascii="Verdana" w:eastAsia="Verdana" w:hAnsi="Verdana" w:cs="Verdana"/>
                <w:color w:val="000000"/>
                <w:sz w:val="16"/>
                <w:lang w:val="en-GB"/>
              </w:rPr>
              <w:t>Pension cost (transferred to (or from) the Pensions Reserve)</w:t>
            </w:r>
          </w:p>
        </w:tc>
        <w:tc>
          <w:tcPr>
            <w:tcW w:w="2193" w:type="dxa"/>
            <w:shd w:val="clear" w:color="auto" w:fill="auto"/>
            <w:tcMar>
              <w:top w:w="20" w:type="dxa"/>
              <w:left w:w="20" w:type="dxa"/>
              <w:bottom w:w="20" w:type="dxa"/>
              <w:right w:w="20" w:type="dxa"/>
            </w:tcMar>
          </w:tcPr>
          <w:p w14:paraId="398A1B0A" w14:textId="77777777" w:rsidR="00F227D9" w:rsidRPr="00C06862" w:rsidRDefault="00C06862">
            <w:pPr>
              <w:pStyle w:val="T1TableStyle"/>
              <w:jc w:val="right"/>
              <w:rPr>
                <w:rFonts w:ascii="Verdana" w:eastAsia="Verdana" w:hAnsi="Verdana" w:cs="Verdana"/>
                <w:color w:val="000000"/>
                <w:sz w:val="16"/>
                <w:lang w:val="en-GB"/>
              </w:rPr>
            </w:pPr>
            <w:r w:rsidRPr="00C06862">
              <w:rPr>
                <w:rFonts w:ascii="Verdana" w:eastAsia="Verdana" w:hAnsi="Verdana" w:cs="Verdana"/>
                <w:color w:val="000000"/>
                <w:sz w:val="16"/>
                <w:lang w:val="en-GB"/>
              </w:rPr>
              <w:t>(67,631)</w:t>
            </w:r>
          </w:p>
        </w:tc>
        <w:tc>
          <w:tcPr>
            <w:tcW w:w="2193" w:type="dxa"/>
            <w:shd w:val="clear" w:color="auto" w:fill="auto"/>
            <w:tcMar>
              <w:top w:w="20" w:type="dxa"/>
              <w:left w:w="20" w:type="dxa"/>
              <w:bottom w:w="20" w:type="dxa"/>
              <w:right w:w="20" w:type="dxa"/>
            </w:tcMar>
          </w:tcPr>
          <w:p w14:paraId="023C24A8" w14:textId="77777777" w:rsidR="00F227D9" w:rsidRPr="00C06862" w:rsidRDefault="00C06862">
            <w:pPr>
              <w:pStyle w:val="T1TableStyle"/>
              <w:jc w:val="right"/>
              <w:rPr>
                <w:rFonts w:ascii="Verdana" w:eastAsia="Verdana" w:hAnsi="Verdana" w:cs="Verdana"/>
                <w:color w:val="000000"/>
                <w:sz w:val="16"/>
                <w:lang w:val="en-GB"/>
              </w:rPr>
            </w:pPr>
            <w:r w:rsidRPr="00C06862">
              <w:rPr>
                <w:rFonts w:ascii="Verdana" w:eastAsia="Verdana" w:hAnsi="Verdana" w:cs="Verdana"/>
                <w:color w:val="000000"/>
                <w:sz w:val="16"/>
                <w:lang w:val="en-GB"/>
              </w:rPr>
              <w:t>67,631</w:t>
            </w:r>
          </w:p>
        </w:tc>
      </w:tr>
      <w:tr w:rsidR="0053376B" w:rsidRPr="00C06862" w14:paraId="2A15F13B" w14:textId="77777777" w:rsidTr="00B54A0C">
        <w:trPr>
          <w:trHeight w:val="209"/>
          <w:jc w:val="center"/>
        </w:trPr>
        <w:tc>
          <w:tcPr>
            <w:tcW w:w="6286" w:type="dxa"/>
            <w:shd w:val="clear" w:color="auto" w:fill="auto"/>
            <w:tcMar>
              <w:top w:w="20" w:type="dxa"/>
              <w:left w:w="20" w:type="dxa"/>
              <w:bottom w:w="20" w:type="dxa"/>
              <w:right w:w="20" w:type="dxa"/>
            </w:tcMar>
          </w:tcPr>
          <w:p w14:paraId="18319076" w14:textId="77777777" w:rsidR="00F227D9" w:rsidRPr="00C06862" w:rsidRDefault="00F227D9">
            <w:pPr>
              <w:pStyle w:val="T1TableStyle"/>
              <w:rPr>
                <w:rFonts w:ascii="Verdana" w:eastAsia="Verdana" w:hAnsi="Verdana" w:cs="Verdana"/>
                <w:color w:val="000000"/>
                <w:sz w:val="16"/>
                <w:lang w:val="en-GB"/>
              </w:rPr>
            </w:pPr>
            <w:r w:rsidRPr="00C06862">
              <w:rPr>
                <w:rFonts w:ascii="Verdana" w:eastAsia="Verdana" w:hAnsi="Verdana" w:cs="Verdana"/>
                <w:color w:val="000000"/>
                <w:sz w:val="16"/>
                <w:lang w:val="en-GB"/>
              </w:rPr>
              <w:t>Holiday pay (transferred to the Accumulated Absences reserve)</w:t>
            </w:r>
          </w:p>
        </w:tc>
        <w:tc>
          <w:tcPr>
            <w:tcW w:w="2193" w:type="dxa"/>
            <w:shd w:val="clear" w:color="auto" w:fill="auto"/>
            <w:tcMar>
              <w:top w:w="20" w:type="dxa"/>
              <w:left w:w="20" w:type="dxa"/>
              <w:bottom w:w="20" w:type="dxa"/>
              <w:right w:w="20" w:type="dxa"/>
            </w:tcMar>
          </w:tcPr>
          <w:p w14:paraId="407FAAA0" w14:textId="77777777" w:rsidR="00F227D9" w:rsidRPr="00C06862" w:rsidRDefault="00C06862">
            <w:pPr>
              <w:pStyle w:val="T1TableStyle"/>
              <w:jc w:val="right"/>
              <w:rPr>
                <w:rFonts w:ascii="Verdana" w:eastAsia="Verdana" w:hAnsi="Verdana" w:cs="Verdana"/>
                <w:color w:val="000000"/>
                <w:sz w:val="16"/>
                <w:lang w:val="en-GB"/>
              </w:rPr>
            </w:pPr>
            <w:r w:rsidRPr="00C06862">
              <w:rPr>
                <w:rFonts w:ascii="Verdana" w:eastAsia="Verdana" w:hAnsi="Verdana" w:cs="Verdana"/>
                <w:color w:val="000000"/>
                <w:sz w:val="16"/>
                <w:lang w:val="en-GB"/>
              </w:rPr>
              <w:t>(897)</w:t>
            </w:r>
          </w:p>
        </w:tc>
        <w:tc>
          <w:tcPr>
            <w:tcW w:w="2193" w:type="dxa"/>
            <w:shd w:val="clear" w:color="auto" w:fill="auto"/>
            <w:tcMar>
              <w:top w:w="20" w:type="dxa"/>
              <w:left w:w="20" w:type="dxa"/>
              <w:bottom w:w="20" w:type="dxa"/>
              <w:right w:w="20" w:type="dxa"/>
            </w:tcMar>
          </w:tcPr>
          <w:p w14:paraId="7CC198F5" w14:textId="77777777" w:rsidR="00F227D9" w:rsidRPr="00C06862" w:rsidRDefault="00C06862">
            <w:pPr>
              <w:pStyle w:val="T1TableStyle"/>
              <w:jc w:val="right"/>
              <w:rPr>
                <w:rFonts w:ascii="Verdana" w:eastAsia="Verdana" w:hAnsi="Verdana" w:cs="Verdana"/>
                <w:color w:val="000000"/>
                <w:sz w:val="16"/>
                <w:lang w:val="en-GB"/>
              </w:rPr>
            </w:pPr>
            <w:r w:rsidRPr="00C06862">
              <w:rPr>
                <w:rFonts w:ascii="Verdana" w:eastAsia="Verdana" w:hAnsi="Verdana" w:cs="Verdana"/>
                <w:color w:val="000000"/>
                <w:sz w:val="16"/>
                <w:lang w:val="en-GB"/>
              </w:rPr>
              <w:t>897</w:t>
            </w:r>
          </w:p>
        </w:tc>
      </w:tr>
      <w:tr w:rsidR="0053376B" w:rsidRPr="00C06862" w14:paraId="022A4357" w14:textId="77777777" w:rsidTr="00B54A0C">
        <w:trPr>
          <w:trHeight w:hRule="exact" w:val="123"/>
          <w:jc w:val="center"/>
        </w:trPr>
        <w:tc>
          <w:tcPr>
            <w:tcW w:w="6286" w:type="dxa"/>
            <w:shd w:val="clear" w:color="auto" w:fill="auto"/>
            <w:tcMar>
              <w:top w:w="20" w:type="dxa"/>
              <w:left w:w="20" w:type="dxa"/>
              <w:bottom w:w="20" w:type="dxa"/>
              <w:right w:w="20" w:type="dxa"/>
            </w:tcMar>
          </w:tcPr>
          <w:p w14:paraId="26D43296" w14:textId="77777777" w:rsidR="00F227D9" w:rsidRPr="00C06862" w:rsidRDefault="00F227D9">
            <w:pPr>
              <w:pStyle w:val="T1TableStyle"/>
              <w:jc w:val="center"/>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c>
          <w:tcPr>
            <w:tcW w:w="2193" w:type="dxa"/>
            <w:shd w:val="clear" w:color="auto" w:fill="auto"/>
            <w:tcMar>
              <w:top w:w="20" w:type="dxa"/>
              <w:left w:w="20" w:type="dxa"/>
              <w:bottom w:w="20" w:type="dxa"/>
              <w:right w:w="20" w:type="dxa"/>
            </w:tcMar>
          </w:tcPr>
          <w:p w14:paraId="35A56947" w14:textId="77777777" w:rsidR="00F227D9" w:rsidRPr="00C06862" w:rsidRDefault="00F227D9">
            <w:pPr>
              <w:pStyle w:val="T1TableStyle"/>
              <w:jc w:val="center"/>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c>
          <w:tcPr>
            <w:tcW w:w="2193" w:type="dxa"/>
            <w:shd w:val="clear" w:color="auto" w:fill="auto"/>
            <w:tcMar>
              <w:top w:w="20" w:type="dxa"/>
              <w:left w:w="20" w:type="dxa"/>
              <w:bottom w:w="20" w:type="dxa"/>
              <w:right w:w="20" w:type="dxa"/>
            </w:tcMar>
          </w:tcPr>
          <w:p w14:paraId="25C498E5" w14:textId="77777777" w:rsidR="00F227D9" w:rsidRPr="00C06862" w:rsidRDefault="00F227D9">
            <w:pPr>
              <w:pStyle w:val="T1TableStyle"/>
              <w:jc w:val="center"/>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r>
      <w:tr w:rsidR="0053376B" w:rsidRPr="00C06862" w14:paraId="2775FB71" w14:textId="77777777" w:rsidTr="00B54A0C">
        <w:trPr>
          <w:trHeight w:hRule="exact" w:val="123"/>
          <w:jc w:val="center"/>
        </w:trPr>
        <w:tc>
          <w:tcPr>
            <w:tcW w:w="6286" w:type="dxa"/>
            <w:shd w:val="clear" w:color="auto" w:fill="auto"/>
            <w:tcMar>
              <w:top w:w="20" w:type="dxa"/>
              <w:left w:w="20" w:type="dxa"/>
              <w:bottom w:w="20" w:type="dxa"/>
              <w:right w:w="20" w:type="dxa"/>
            </w:tcMar>
          </w:tcPr>
          <w:p w14:paraId="2A661249" w14:textId="77777777" w:rsidR="00F227D9" w:rsidRPr="00C06862" w:rsidRDefault="00F227D9">
            <w:pPr>
              <w:pStyle w:val="T1TableStyle"/>
              <w:jc w:val="center"/>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c>
          <w:tcPr>
            <w:tcW w:w="2193" w:type="dxa"/>
            <w:shd w:val="clear" w:color="auto" w:fill="auto"/>
            <w:tcMar>
              <w:top w:w="20" w:type="dxa"/>
              <w:left w:w="20" w:type="dxa"/>
              <w:bottom w:w="20" w:type="dxa"/>
              <w:right w:w="20" w:type="dxa"/>
            </w:tcMar>
          </w:tcPr>
          <w:p w14:paraId="28D83E69" w14:textId="77777777" w:rsidR="00F227D9" w:rsidRPr="00C06862" w:rsidRDefault="00F227D9">
            <w:pPr>
              <w:pStyle w:val="T1TableStyle"/>
              <w:jc w:val="center"/>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c>
          <w:tcPr>
            <w:tcW w:w="2193" w:type="dxa"/>
            <w:shd w:val="clear" w:color="auto" w:fill="auto"/>
            <w:tcMar>
              <w:top w:w="20" w:type="dxa"/>
              <w:left w:w="20" w:type="dxa"/>
              <w:bottom w:w="20" w:type="dxa"/>
              <w:right w:w="20" w:type="dxa"/>
            </w:tcMar>
          </w:tcPr>
          <w:p w14:paraId="0ADEFBFE" w14:textId="77777777" w:rsidR="00F227D9" w:rsidRPr="00C06862" w:rsidRDefault="00F227D9">
            <w:pPr>
              <w:pStyle w:val="T1TableStyle"/>
              <w:jc w:val="center"/>
              <w:rPr>
                <w:rFonts w:ascii="Verdana" w:eastAsia="Verdana" w:hAnsi="Verdana" w:cs="Verdana"/>
                <w:color w:val="000000"/>
                <w:sz w:val="2"/>
                <w:lang w:val="en-GB"/>
              </w:rPr>
            </w:pPr>
            <w:r w:rsidRPr="00C06862">
              <w:rPr>
                <w:rFonts w:ascii="Verdana" w:eastAsia="Verdana" w:hAnsi="Verdana" w:cs="Verdana"/>
                <w:color w:val="000000"/>
                <w:sz w:val="2"/>
                <w:lang w:val="en-GB"/>
              </w:rPr>
              <w:t xml:space="preserve"> </w:t>
            </w:r>
          </w:p>
        </w:tc>
      </w:tr>
      <w:tr w:rsidR="0053376B" w:rsidRPr="00C06862" w14:paraId="052F3420" w14:textId="77777777" w:rsidTr="00B54A0C">
        <w:trPr>
          <w:trHeight w:val="209"/>
          <w:jc w:val="center"/>
        </w:trPr>
        <w:tc>
          <w:tcPr>
            <w:tcW w:w="6286" w:type="dxa"/>
            <w:tcBorders>
              <w:top w:val="single" w:sz="2" w:space="0" w:color="000000"/>
              <w:bottom w:val="single" w:sz="12" w:space="0" w:color="000000"/>
            </w:tcBorders>
            <w:shd w:val="clear" w:color="auto" w:fill="auto"/>
            <w:tcMar>
              <w:top w:w="20" w:type="dxa"/>
              <w:left w:w="20" w:type="dxa"/>
              <w:bottom w:w="20" w:type="dxa"/>
              <w:right w:w="20" w:type="dxa"/>
            </w:tcMar>
          </w:tcPr>
          <w:p w14:paraId="743BF26B" w14:textId="77777777" w:rsidR="00F227D9" w:rsidRPr="00C06862" w:rsidRDefault="00F227D9">
            <w:pPr>
              <w:pStyle w:val="T1TableStyle"/>
              <w:rPr>
                <w:rFonts w:ascii="Verdana" w:eastAsia="Verdana" w:hAnsi="Verdana" w:cs="Verdana"/>
                <w:b/>
                <w:color w:val="000000"/>
                <w:sz w:val="16"/>
                <w:lang w:val="en-GB"/>
              </w:rPr>
            </w:pPr>
            <w:r w:rsidRPr="00C06862">
              <w:rPr>
                <w:rFonts w:ascii="Verdana" w:eastAsia="Verdana" w:hAnsi="Verdana" w:cs="Verdana"/>
                <w:b/>
                <w:color w:val="000000"/>
                <w:sz w:val="16"/>
                <w:lang w:val="en-GB"/>
              </w:rPr>
              <w:t>Total Adjustments</w:t>
            </w:r>
          </w:p>
        </w:tc>
        <w:tc>
          <w:tcPr>
            <w:tcW w:w="2193" w:type="dxa"/>
            <w:tcBorders>
              <w:top w:val="single" w:sz="2" w:space="0" w:color="000000"/>
              <w:bottom w:val="single" w:sz="12" w:space="0" w:color="000000"/>
            </w:tcBorders>
            <w:shd w:val="clear" w:color="auto" w:fill="auto"/>
            <w:tcMar>
              <w:top w:w="20" w:type="dxa"/>
              <w:left w:w="20" w:type="dxa"/>
              <w:bottom w:w="20" w:type="dxa"/>
              <w:right w:w="20" w:type="dxa"/>
            </w:tcMar>
          </w:tcPr>
          <w:p w14:paraId="3ACFE0F1" w14:textId="77777777" w:rsidR="00F227D9" w:rsidRPr="00C06862" w:rsidRDefault="00C06862">
            <w:pPr>
              <w:pStyle w:val="T1TableStyle"/>
              <w:jc w:val="right"/>
              <w:rPr>
                <w:rFonts w:ascii="Verdana" w:eastAsia="Verdana" w:hAnsi="Verdana" w:cs="Verdana"/>
                <w:b/>
                <w:color w:val="000000"/>
                <w:sz w:val="16"/>
                <w:lang w:val="en-GB"/>
              </w:rPr>
            </w:pPr>
            <w:r w:rsidRPr="00C06862">
              <w:rPr>
                <w:rFonts w:ascii="Verdana" w:eastAsia="Verdana" w:hAnsi="Verdana" w:cs="Verdana"/>
                <w:b/>
                <w:color w:val="000000"/>
                <w:sz w:val="16"/>
                <w:lang w:val="en-GB"/>
              </w:rPr>
              <w:t>(68,528)</w:t>
            </w:r>
          </w:p>
        </w:tc>
        <w:tc>
          <w:tcPr>
            <w:tcW w:w="2193" w:type="dxa"/>
            <w:tcBorders>
              <w:top w:val="single" w:sz="2" w:space="0" w:color="000000"/>
              <w:bottom w:val="single" w:sz="12" w:space="0" w:color="000000"/>
            </w:tcBorders>
            <w:shd w:val="clear" w:color="auto" w:fill="auto"/>
            <w:tcMar>
              <w:top w:w="20" w:type="dxa"/>
              <w:left w:w="20" w:type="dxa"/>
              <w:bottom w:w="20" w:type="dxa"/>
              <w:right w:w="20" w:type="dxa"/>
            </w:tcMar>
          </w:tcPr>
          <w:p w14:paraId="53F550F2" w14:textId="77777777" w:rsidR="00F227D9" w:rsidRPr="00C06862" w:rsidRDefault="00C06862">
            <w:pPr>
              <w:pStyle w:val="T1TableStyle"/>
              <w:jc w:val="right"/>
              <w:rPr>
                <w:rFonts w:ascii="Verdana" w:eastAsia="Verdana" w:hAnsi="Verdana" w:cs="Verdana"/>
                <w:b/>
                <w:color w:val="000000"/>
                <w:sz w:val="16"/>
                <w:lang w:val="en-GB"/>
              </w:rPr>
            </w:pPr>
            <w:r w:rsidRPr="00C06862">
              <w:rPr>
                <w:rFonts w:ascii="Verdana" w:eastAsia="Verdana" w:hAnsi="Verdana" w:cs="Verdana"/>
                <w:b/>
                <w:color w:val="000000"/>
                <w:sz w:val="16"/>
                <w:lang w:val="en-GB"/>
              </w:rPr>
              <w:t>68,528</w:t>
            </w:r>
          </w:p>
        </w:tc>
      </w:tr>
    </w:tbl>
    <w:p w14:paraId="7EEF6BCA" w14:textId="77777777" w:rsidR="00F227D9" w:rsidRPr="00DC1077" w:rsidRDefault="00F227D9">
      <w:pPr>
        <w:pStyle w:val="T1TableStyle"/>
        <w:rPr>
          <w:rFonts w:ascii="Verdana" w:eastAsia="Verdana" w:hAnsi="Verdana" w:cs="Verdana"/>
          <w:sz w:val="22"/>
          <w:highlight w:val="yellow"/>
          <w:lang w:val="en-GB"/>
        </w:rPr>
      </w:pPr>
    </w:p>
    <w:tbl>
      <w:tblPr>
        <w:tblW w:w="0" w:type="auto"/>
        <w:jc w:val="center"/>
        <w:tblLayout w:type="fixed"/>
        <w:tblLook w:val="04A0" w:firstRow="1" w:lastRow="0" w:firstColumn="1" w:lastColumn="0" w:noHBand="0" w:noVBand="1"/>
      </w:tblPr>
      <w:tblGrid>
        <w:gridCol w:w="6242"/>
        <w:gridCol w:w="2177"/>
        <w:gridCol w:w="2177"/>
      </w:tblGrid>
      <w:tr w:rsidR="0053376B" w:rsidRPr="004D57BE" w14:paraId="50521782" w14:textId="77777777" w:rsidTr="00B54A0C">
        <w:trPr>
          <w:trHeight w:val="265"/>
          <w:jc w:val="center"/>
        </w:trPr>
        <w:tc>
          <w:tcPr>
            <w:tcW w:w="6242" w:type="dxa"/>
            <w:shd w:val="clear" w:color="auto" w:fill="auto"/>
            <w:tcMar>
              <w:top w:w="20" w:type="dxa"/>
              <w:left w:w="20" w:type="dxa"/>
              <w:bottom w:w="20" w:type="dxa"/>
              <w:right w:w="20" w:type="dxa"/>
            </w:tcMar>
          </w:tcPr>
          <w:p w14:paraId="42071F1E" w14:textId="77777777" w:rsidR="00F227D9" w:rsidRPr="004D57BE" w:rsidRDefault="004D57BE">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2019/2020</w:t>
            </w:r>
          </w:p>
        </w:tc>
        <w:tc>
          <w:tcPr>
            <w:tcW w:w="2177" w:type="dxa"/>
            <w:shd w:val="clear" w:color="auto" w:fill="auto"/>
            <w:tcMar>
              <w:top w:w="20" w:type="dxa"/>
              <w:left w:w="20" w:type="dxa"/>
              <w:bottom w:w="20" w:type="dxa"/>
              <w:right w:w="20" w:type="dxa"/>
            </w:tcMar>
          </w:tcPr>
          <w:p w14:paraId="264189C2" w14:textId="77777777" w:rsidR="00F227D9" w:rsidRPr="004D57BE" w:rsidRDefault="00F227D9">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General Fund Balance</w:t>
            </w:r>
          </w:p>
        </w:tc>
        <w:tc>
          <w:tcPr>
            <w:tcW w:w="2177" w:type="dxa"/>
            <w:shd w:val="clear" w:color="auto" w:fill="auto"/>
            <w:tcMar>
              <w:top w:w="20" w:type="dxa"/>
              <w:left w:w="20" w:type="dxa"/>
              <w:bottom w:w="20" w:type="dxa"/>
              <w:right w:w="20" w:type="dxa"/>
            </w:tcMar>
          </w:tcPr>
          <w:p w14:paraId="3B4E925F" w14:textId="77777777" w:rsidR="00F227D9" w:rsidRPr="004D57BE" w:rsidRDefault="00F227D9">
            <w:pPr>
              <w:pStyle w:val="T1TableStyle"/>
              <w:jc w:val="center"/>
              <w:rPr>
                <w:rFonts w:ascii="Verdana" w:eastAsia="Verdana" w:hAnsi="Verdana" w:cs="Verdana"/>
                <w:b/>
                <w:color w:val="000000"/>
                <w:sz w:val="16"/>
                <w:lang w:val="en-GB"/>
              </w:rPr>
            </w:pPr>
            <w:r w:rsidRPr="004D57BE">
              <w:rPr>
                <w:rFonts w:ascii="Verdana" w:eastAsia="Verdana" w:hAnsi="Verdana" w:cs="Verdana"/>
                <w:b/>
                <w:color w:val="000000"/>
                <w:sz w:val="16"/>
                <w:lang w:val="en-GB"/>
              </w:rPr>
              <w:t>Movement in Unusable Reserves</w:t>
            </w:r>
          </w:p>
        </w:tc>
      </w:tr>
      <w:tr w:rsidR="0053376B" w:rsidRPr="004D57BE" w14:paraId="58848881" w14:textId="77777777" w:rsidTr="00B54A0C">
        <w:trPr>
          <w:trHeight w:val="265"/>
          <w:jc w:val="center"/>
        </w:trPr>
        <w:tc>
          <w:tcPr>
            <w:tcW w:w="6242" w:type="dxa"/>
            <w:tcBorders>
              <w:bottom w:val="single" w:sz="2" w:space="0" w:color="000000"/>
            </w:tcBorders>
            <w:shd w:val="clear" w:color="auto" w:fill="auto"/>
            <w:tcMar>
              <w:top w:w="20" w:type="dxa"/>
              <w:left w:w="20" w:type="dxa"/>
              <w:bottom w:w="20" w:type="dxa"/>
              <w:right w:w="20" w:type="dxa"/>
            </w:tcMar>
          </w:tcPr>
          <w:p w14:paraId="785CBDA0" w14:textId="77777777" w:rsidR="00F227D9" w:rsidRPr="004D57BE" w:rsidRDefault="00F227D9">
            <w:pPr>
              <w:pStyle w:val="T1TableStyle"/>
              <w:jc w:val="center"/>
              <w:rPr>
                <w:rFonts w:ascii="Verdana" w:eastAsia="Verdana" w:hAnsi="Verdana" w:cs="Verdana"/>
                <w:b/>
                <w:color w:val="000000"/>
                <w:sz w:val="2"/>
                <w:lang w:val="en-GB"/>
              </w:rPr>
            </w:pPr>
            <w:r w:rsidRPr="004D57BE">
              <w:rPr>
                <w:rFonts w:ascii="Verdana" w:eastAsia="Verdana" w:hAnsi="Verdana" w:cs="Verdana"/>
                <w:b/>
                <w:color w:val="000000"/>
                <w:sz w:val="2"/>
                <w:lang w:val="en-GB"/>
              </w:rPr>
              <w:t xml:space="preserve"> </w:t>
            </w:r>
          </w:p>
        </w:tc>
        <w:tc>
          <w:tcPr>
            <w:tcW w:w="2177" w:type="dxa"/>
            <w:tcBorders>
              <w:bottom w:val="single" w:sz="2" w:space="0" w:color="000000"/>
            </w:tcBorders>
            <w:shd w:val="clear" w:color="auto" w:fill="auto"/>
            <w:tcMar>
              <w:top w:w="20" w:type="dxa"/>
              <w:left w:w="20" w:type="dxa"/>
              <w:bottom w:w="20" w:type="dxa"/>
              <w:right w:w="20" w:type="dxa"/>
            </w:tcMar>
          </w:tcPr>
          <w:p w14:paraId="18E39671" w14:textId="77777777" w:rsidR="00F227D9" w:rsidRPr="004D57BE" w:rsidRDefault="00F227D9">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£000</w:t>
            </w:r>
          </w:p>
        </w:tc>
        <w:tc>
          <w:tcPr>
            <w:tcW w:w="2177" w:type="dxa"/>
            <w:tcBorders>
              <w:bottom w:val="single" w:sz="2" w:space="0" w:color="000000"/>
            </w:tcBorders>
            <w:shd w:val="clear" w:color="auto" w:fill="auto"/>
            <w:tcMar>
              <w:top w:w="20" w:type="dxa"/>
              <w:left w:w="20" w:type="dxa"/>
              <w:bottom w:w="20" w:type="dxa"/>
              <w:right w:w="20" w:type="dxa"/>
            </w:tcMar>
          </w:tcPr>
          <w:p w14:paraId="6E0F3581" w14:textId="77777777" w:rsidR="00F227D9" w:rsidRPr="004D57BE" w:rsidRDefault="00F227D9">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£000</w:t>
            </w:r>
          </w:p>
        </w:tc>
      </w:tr>
      <w:tr w:rsidR="0053376B" w:rsidRPr="004D57BE" w14:paraId="7679C3EF" w14:textId="77777777" w:rsidTr="00B54A0C">
        <w:trPr>
          <w:trHeight w:val="265"/>
          <w:jc w:val="center"/>
        </w:trPr>
        <w:tc>
          <w:tcPr>
            <w:tcW w:w="6242" w:type="dxa"/>
            <w:shd w:val="clear" w:color="auto" w:fill="auto"/>
            <w:tcMar>
              <w:top w:w="20" w:type="dxa"/>
              <w:left w:w="20" w:type="dxa"/>
              <w:bottom w:w="20" w:type="dxa"/>
              <w:right w:w="20" w:type="dxa"/>
            </w:tcMar>
          </w:tcPr>
          <w:p w14:paraId="6F759367" w14:textId="77777777" w:rsidR="00F227D9" w:rsidRPr="004D57BE" w:rsidRDefault="00F227D9">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Adjustments to the Revenue Resources</w:t>
            </w:r>
          </w:p>
        </w:tc>
        <w:tc>
          <w:tcPr>
            <w:tcW w:w="2177" w:type="dxa"/>
            <w:shd w:val="clear" w:color="auto" w:fill="auto"/>
            <w:tcMar>
              <w:top w:w="20" w:type="dxa"/>
              <w:left w:w="20" w:type="dxa"/>
              <w:bottom w:w="20" w:type="dxa"/>
              <w:right w:w="20" w:type="dxa"/>
            </w:tcMar>
          </w:tcPr>
          <w:p w14:paraId="0CA4CEC2" w14:textId="77777777" w:rsidR="00F227D9" w:rsidRPr="004D57BE" w:rsidRDefault="00F227D9">
            <w:pPr>
              <w:pStyle w:val="T1TableStyle"/>
              <w:jc w:val="center"/>
              <w:rPr>
                <w:rFonts w:ascii="Verdana" w:eastAsia="Verdana" w:hAnsi="Verdana" w:cs="Verdana"/>
                <w:b/>
                <w:color w:val="000000"/>
                <w:sz w:val="2"/>
                <w:lang w:val="en-GB"/>
              </w:rPr>
            </w:pPr>
            <w:r w:rsidRPr="004D57BE">
              <w:rPr>
                <w:rFonts w:ascii="Verdana" w:eastAsia="Verdana" w:hAnsi="Verdana" w:cs="Verdana"/>
                <w:b/>
                <w:color w:val="000000"/>
                <w:sz w:val="2"/>
                <w:lang w:val="en-GB"/>
              </w:rPr>
              <w:t xml:space="preserve"> </w:t>
            </w:r>
          </w:p>
        </w:tc>
        <w:tc>
          <w:tcPr>
            <w:tcW w:w="2177" w:type="dxa"/>
            <w:shd w:val="clear" w:color="auto" w:fill="auto"/>
            <w:tcMar>
              <w:top w:w="20" w:type="dxa"/>
              <w:left w:w="20" w:type="dxa"/>
              <w:bottom w:w="20" w:type="dxa"/>
              <w:right w:w="20" w:type="dxa"/>
            </w:tcMar>
          </w:tcPr>
          <w:p w14:paraId="299C912A" w14:textId="77777777" w:rsidR="00F227D9" w:rsidRPr="004D57BE" w:rsidRDefault="00F227D9">
            <w:pPr>
              <w:pStyle w:val="T1TableStyle"/>
              <w:jc w:val="center"/>
              <w:rPr>
                <w:rFonts w:ascii="Verdana" w:eastAsia="Verdana" w:hAnsi="Verdana" w:cs="Verdana"/>
                <w:b/>
                <w:color w:val="000000"/>
                <w:sz w:val="2"/>
                <w:lang w:val="en-GB"/>
              </w:rPr>
            </w:pPr>
            <w:r w:rsidRPr="004D57BE">
              <w:rPr>
                <w:rFonts w:ascii="Verdana" w:eastAsia="Verdana" w:hAnsi="Verdana" w:cs="Verdana"/>
                <w:b/>
                <w:color w:val="000000"/>
                <w:sz w:val="2"/>
                <w:lang w:val="en-GB"/>
              </w:rPr>
              <w:t xml:space="preserve"> </w:t>
            </w:r>
          </w:p>
        </w:tc>
      </w:tr>
      <w:tr w:rsidR="0053376B" w:rsidRPr="004D57BE" w14:paraId="0E784D43" w14:textId="77777777" w:rsidTr="00B54A0C">
        <w:trPr>
          <w:trHeight w:val="265"/>
          <w:jc w:val="center"/>
        </w:trPr>
        <w:tc>
          <w:tcPr>
            <w:tcW w:w="6242" w:type="dxa"/>
            <w:shd w:val="clear" w:color="auto" w:fill="auto"/>
            <w:tcMar>
              <w:top w:w="20" w:type="dxa"/>
              <w:left w:w="20" w:type="dxa"/>
              <w:bottom w:w="20" w:type="dxa"/>
              <w:right w:w="20" w:type="dxa"/>
            </w:tcMar>
          </w:tcPr>
          <w:p w14:paraId="385E9332" w14:textId="77777777" w:rsidR="00F227D9" w:rsidRPr="004D57BE" w:rsidRDefault="00F227D9">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2177" w:type="dxa"/>
            <w:shd w:val="clear" w:color="auto" w:fill="auto"/>
            <w:tcMar>
              <w:top w:w="20" w:type="dxa"/>
              <w:left w:w="20" w:type="dxa"/>
              <w:bottom w:w="20" w:type="dxa"/>
              <w:right w:w="20" w:type="dxa"/>
            </w:tcMar>
          </w:tcPr>
          <w:p w14:paraId="1F41CA3F" w14:textId="77777777" w:rsidR="00F227D9" w:rsidRPr="004D57BE" w:rsidRDefault="00F227D9">
            <w:pPr>
              <w:pStyle w:val="T1TableStyle"/>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c>
          <w:tcPr>
            <w:tcW w:w="2177" w:type="dxa"/>
            <w:shd w:val="clear" w:color="auto" w:fill="auto"/>
            <w:tcMar>
              <w:top w:w="20" w:type="dxa"/>
              <w:left w:w="20" w:type="dxa"/>
              <w:bottom w:w="20" w:type="dxa"/>
              <w:right w:w="20" w:type="dxa"/>
            </w:tcMar>
          </w:tcPr>
          <w:p w14:paraId="39F887A3" w14:textId="77777777" w:rsidR="00F227D9" w:rsidRPr="004D57BE" w:rsidRDefault="00F227D9">
            <w:pPr>
              <w:pStyle w:val="T1TableStyle"/>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r>
      <w:tr w:rsidR="00C56350" w:rsidRPr="004D57BE" w14:paraId="4A1D1683" w14:textId="77777777" w:rsidTr="00B54A0C">
        <w:trPr>
          <w:trHeight w:val="265"/>
          <w:jc w:val="center"/>
        </w:trPr>
        <w:tc>
          <w:tcPr>
            <w:tcW w:w="6242" w:type="dxa"/>
            <w:shd w:val="clear" w:color="auto" w:fill="auto"/>
            <w:tcMar>
              <w:top w:w="20" w:type="dxa"/>
              <w:left w:w="20" w:type="dxa"/>
              <w:bottom w:w="20" w:type="dxa"/>
              <w:right w:w="20" w:type="dxa"/>
            </w:tcMar>
          </w:tcPr>
          <w:p w14:paraId="3838BD09" w14:textId="77777777" w:rsidR="00C56350" w:rsidRPr="004D57BE" w:rsidRDefault="00C56350" w:rsidP="00C56350">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Pension cost (transferred to (or from) the Pensions Reserve)</w:t>
            </w:r>
          </w:p>
        </w:tc>
        <w:tc>
          <w:tcPr>
            <w:tcW w:w="2177" w:type="dxa"/>
            <w:shd w:val="clear" w:color="auto" w:fill="auto"/>
            <w:tcMar>
              <w:top w:w="20" w:type="dxa"/>
              <w:left w:w="20" w:type="dxa"/>
              <w:bottom w:w="20" w:type="dxa"/>
              <w:right w:w="20" w:type="dxa"/>
            </w:tcMar>
          </w:tcPr>
          <w:p w14:paraId="73B8D6DC" w14:textId="77777777" w:rsidR="00C56350" w:rsidRPr="004D57BE" w:rsidRDefault="00C56350" w:rsidP="00C56350">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(62,886)</w:t>
            </w:r>
          </w:p>
        </w:tc>
        <w:tc>
          <w:tcPr>
            <w:tcW w:w="2177" w:type="dxa"/>
            <w:shd w:val="clear" w:color="auto" w:fill="auto"/>
            <w:tcMar>
              <w:top w:w="20" w:type="dxa"/>
              <w:left w:w="20" w:type="dxa"/>
              <w:bottom w:w="20" w:type="dxa"/>
              <w:right w:w="20" w:type="dxa"/>
            </w:tcMar>
          </w:tcPr>
          <w:p w14:paraId="1517B8E6" w14:textId="77777777" w:rsidR="00C56350" w:rsidRPr="004D57BE" w:rsidRDefault="00C56350" w:rsidP="00C56350">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62,886</w:t>
            </w:r>
          </w:p>
        </w:tc>
      </w:tr>
      <w:tr w:rsidR="00C56350" w:rsidRPr="004D57BE" w14:paraId="2E96BC2B" w14:textId="77777777" w:rsidTr="00B54A0C">
        <w:trPr>
          <w:trHeight w:val="265"/>
          <w:jc w:val="center"/>
        </w:trPr>
        <w:tc>
          <w:tcPr>
            <w:tcW w:w="6242" w:type="dxa"/>
            <w:shd w:val="clear" w:color="auto" w:fill="auto"/>
            <w:tcMar>
              <w:top w:w="20" w:type="dxa"/>
              <w:left w:w="20" w:type="dxa"/>
              <w:bottom w:w="20" w:type="dxa"/>
              <w:right w:w="20" w:type="dxa"/>
            </w:tcMar>
          </w:tcPr>
          <w:p w14:paraId="58F579F4" w14:textId="77777777" w:rsidR="00C56350" w:rsidRPr="004D57BE" w:rsidRDefault="00C56350" w:rsidP="00C56350">
            <w:pPr>
              <w:pStyle w:val="T1TableStyle"/>
              <w:rPr>
                <w:rFonts w:ascii="Verdana" w:eastAsia="Verdana" w:hAnsi="Verdana" w:cs="Verdana"/>
                <w:color w:val="000000"/>
                <w:sz w:val="16"/>
                <w:lang w:val="en-GB"/>
              </w:rPr>
            </w:pPr>
            <w:r w:rsidRPr="004D57BE">
              <w:rPr>
                <w:rFonts w:ascii="Verdana" w:eastAsia="Verdana" w:hAnsi="Verdana" w:cs="Verdana"/>
                <w:color w:val="000000"/>
                <w:sz w:val="16"/>
                <w:lang w:val="en-GB"/>
              </w:rPr>
              <w:t>Holiday pay (transferred to the Accumulated Absences reserve)</w:t>
            </w:r>
          </w:p>
        </w:tc>
        <w:tc>
          <w:tcPr>
            <w:tcW w:w="2177" w:type="dxa"/>
            <w:shd w:val="clear" w:color="auto" w:fill="auto"/>
            <w:tcMar>
              <w:top w:w="20" w:type="dxa"/>
              <w:left w:w="20" w:type="dxa"/>
              <w:bottom w:w="20" w:type="dxa"/>
              <w:right w:w="20" w:type="dxa"/>
            </w:tcMar>
          </w:tcPr>
          <w:p w14:paraId="5C5461BA" w14:textId="77777777" w:rsidR="00C56350" w:rsidRPr="004D57BE" w:rsidRDefault="00C56350" w:rsidP="00C56350">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(145)</w:t>
            </w:r>
          </w:p>
        </w:tc>
        <w:tc>
          <w:tcPr>
            <w:tcW w:w="2177" w:type="dxa"/>
            <w:shd w:val="clear" w:color="auto" w:fill="auto"/>
            <w:tcMar>
              <w:top w:w="20" w:type="dxa"/>
              <w:left w:w="20" w:type="dxa"/>
              <w:bottom w:w="20" w:type="dxa"/>
              <w:right w:w="20" w:type="dxa"/>
            </w:tcMar>
          </w:tcPr>
          <w:p w14:paraId="2C35FF7A" w14:textId="77777777" w:rsidR="00C56350" w:rsidRPr="004D57BE" w:rsidRDefault="00C56350" w:rsidP="00C56350">
            <w:pPr>
              <w:pStyle w:val="T1TableStyle"/>
              <w:jc w:val="right"/>
              <w:rPr>
                <w:rFonts w:ascii="Verdana" w:eastAsia="Verdana" w:hAnsi="Verdana" w:cs="Verdana"/>
                <w:color w:val="000000"/>
                <w:sz w:val="16"/>
                <w:lang w:val="en-GB"/>
              </w:rPr>
            </w:pPr>
            <w:r w:rsidRPr="004D57BE">
              <w:rPr>
                <w:rFonts w:ascii="Verdana" w:eastAsia="Verdana" w:hAnsi="Verdana" w:cs="Verdana"/>
                <w:color w:val="000000"/>
                <w:sz w:val="16"/>
                <w:lang w:val="en-GB"/>
              </w:rPr>
              <w:t>145</w:t>
            </w:r>
          </w:p>
        </w:tc>
      </w:tr>
      <w:tr w:rsidR="00C56350" w:rsidRPr="004D57BE" w14:paraId="48F9CFE4" w14:textId="77777777" w:rsidTr="00B54A0C">
        <w:trPr>
          <w:trHeight w:hRule="exact" w:val="83"/>
          <w:jc w:val="center"/>
        </w:trPr>
        <w:tc>
          <w:tcPr>
            <w:tcW w:w="6242" w:type="dxa"/>
            <w:shd w:val="clear" w:color="auto" w:fill="auto"/>
            <w:tcMar>
              <w:top w:w="20" w:type="dxa"/>
              <w:left w:w="20" w:type="dxa"/>
              <w:bottom w:w="20" w:type="dxa"/>
              <w:right w:w="20" w:type="dxa"/>
            </w:tcMar>
          </w:tcPr>
          <w:p w14:paraId="67BD9715" w14:textId="77777777" w:rsidR="00C56350" w:rsidRPr="004D57BE" w:rsidRDefault="00C56350" w:rsidP="00C56350">
            <w:pPr>
              <w:pStyle w:val="T1TableStyle"/>
              <w:jc w:val="center"/>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c>
          <w:tcPr>
            <w:tcW w:w="2177" w:type="dxa"/>
            <w:shd w:val="clear" w:color="auto" w:fill="auto"/>
            <w:tcMar>
              <w:top w:w="20" w:type="dxa"/>
              <w:left w:w="20" w:type="dxa"/>
              <w:bottom w:w="20" w:type="dxa"/>
              <w:right w:w="20" w:type="dxa"/>
            </w:tcMar>
          </w:tcPr>
          <w:p w14:paraId="6F59FC2F" w14:textId="77777777" w:rsidR="00C56350" w:rsidRPr="004D57BE" w:rsidRDefault="00C56350" w:rsidP="00C56350">
            <w:pPr>
              <w:pStyle w:val="T1TableStyle"/>
              <w:jc w:val="center"/>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c>
          <w:tcPr>
            <w:tcW w:w="2177" w:type="dxa"/>
            <w:shd w:val="clear" w:color="auto" w:fill="auto"/>
            <w:tcMar>
              <w:top w:w="20" w:type="dxa"/>
              <w:left w:w="20" w:type="dxa"/>
              <w:bottom w:w="20" w:type="dxa"/>
              <w:right w:w="20" w:type="dxa"/>
            </w:tcMar>
          </w:tcPr>
          <w:p w14:paraId="6A2C8511" w14:textId="77777777" w:rsidR="00C56350" w:rsidRPr="004D57BE" w:rsidRDefault="00C56350" w:rsidP="00C56350">
            <w:pPr>
              <w:pStyle w:val="T1TableStyle"/>
              <w:jc w:val="center"/>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r>
      <w:tr w:rsidR="00C56350" w:rsidRPr="004D57BE" w14:paraId="07ECA379" w14:textId="77777777" w:rsidTr="00B54A0C">
        <w:trPr>
          <w:trHeight w:hRule="exact" w:val="155"/>
          <w:jc w:val="center"/>
        </w:trPr>
        <w:tc>
          <w:tcPr>
            <w:tcW w:w="6242" w:type="dxa"/>
            <w:shd w:val="clear" w:color="auto" w:fill="auto"/>
            <w:tcMar>
              <w:top w:w="20" w:type="dxa"/>
              <w:left w:w="20" w:type="dxa"/>
              <w:bottom w:w="20" w:type="dxa"/>
              <w:right w:w="20" w:type="dxa"/>
            </w:tcMar>
          </w:tcPr>
          <w:p w14:paraId="32A93B31" w14:textId="77777777" w:rsidR="00C56350" w:rsidRPr="004D57BE" w:rsidRDefault="00C56350" w:rsidP="00C56350">
            <w:pPr>
              <w:pStyle w:val="T1TableStyle"/>
              <w:jc w:val="center"/>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c>
          <w:tcPr>
            <w:tcW w:w="2177" w:type="dxa"/>
            <w:shd w:val="clear" w:color="auto" w:fill="auto"/>
            <w:tcMar>
              <w:top w:w="20" w:type="dxa"/>
              <w:left w:w="20" w:type="dxa"/>
              <w:bottom w:w="20" w:type="dxa"/>
              <w:right w:w="20" w:type="dxa"/>
            </w:tcMar>
          </w:tcPr>
          <w:p w14:paraId="215086B8" w14:textId="77777777" w:rsidR="00C56350" w:rsidRPr="004D57BE" w:rsidRDefault="00C56350" w:rsidP="00C56350">
            <w:pPr>
              <w:pStyle w:val="T1TableStyle"/>
              <w:jc w:val="center"/>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c>
          <w:tcPr>
            <w:tcW w:w="2177" w:type="dxa"/>
            <w:shd w:val="clear" w:color="auto" w:fill="auto"/>
            <w:tcMar>
              <w:top w:w="20" w:type="dxa"/>
              <w:left w:w="20" w:type="dxa"/>
              <w:bottom w:w="20" w:type="dxa"/>
              <w:right w:w="20" w:type="dxa"/>
            </w:tcMar>
          </w:tcPr>
          <w:p w14:paraId="294CF200" w14:textId="77777777" w:rsidR="00C56350" w:rsidRPr="004D57BE" w:rsidRDefault="00C56350" w:rsidP="00C56350">
            <w:pPr>
              <w:pStyle w:val="T1TableStyle"/>
              <w:jc w:val="center"/>
              <w:rPr>
                <w:rFonts w:ascii="Verdana" w:eastAsia="Verdana" w:hAnsi="Verdana" w:cs="Verdana"/>
                <w:color w:val="000000"/>
                <w:sz w:val="2"/>
                <w:lang w:val="en-GB"/>
              </w:rPr>
            </w:pPr>
            <w:r w:rsidRPr="004D57BE">
              <w:rPr>
                <w:rFonts w:ascii="Verdana" w:eastAsia="Verdana" w:hAnsi="Verdana" w:cs="Verdana"/>
                <w:color w:val="000000"/>
                <w:sz w:val="2"/>
                <w:lang w:val="en-GB"/>
              </w:rPr>
              <w:t xml:space="preserve"> </w:t>
            </w:r>
          </w:p>
        </w:tc>
      </w:tr>
      <w:tr w:rsidR="00C56350" w:rsidRPr="004D57BE" w14:paraId="3A6042D2" w14:textId="77777777" w:rsidTr="00B54A0C">
        <w:trPr>
          <w:trHeight w:val="265"/>
          <w:jc w:val="center"/>
        </w:trPr>
        <w:tc>
          <w:tcPr>
            <w:tcW w:w="6242" w:type="dxa"/>
            <w:tcBorders>
              <w:top w:val="single" w:sz="2" w:space="0" w:color="000000"/>
              <w:bottom w:val="single" w:sz="12" w:space="0" w:color="000000"/>
            </w:tcBorders>
            <w:shd w:val="clear" w:color="auto" w:fill="auto"/>
            <w:tcMar>
              <w:top w:w="20" w:type="dxa"/>
              <w:left w:w="20" w:type="dxa"/>
              <w:bottom w:w="20" w:type="dxa"/>
              <w:right w:w="20" w:type="dxa"/>
            </w:tcMar>
          </w:tcPr>
          <w:p w14:paraId="1C4818A6" w14:textId="77777777" w:rsidR="00C56350" w:rsidRPr="004D57BE" w:rsidRDefault="00C56350" w:rsidP="00C56350">
            <w:pPr>
              <w:pStyle w:val="T1TableStyle"/>
              <w:rPr>
                <w:rFonts w:ascii="Verdana" w:eastAsia="Verdana" w:hAnsi="Verdana" w:cs="Verdana"/>
                <w:b/>
                <w:color w:val="000000"/>
                <w:sz w:val="16"/>
                <w:lang w:val="en-GB"/>
              </w:rPr>
            </w:pPr>
            <w:r w:rsidRPr="004D57BE">
              <w:rPr>
                <w:rFonts w:ascii="Verdana" w:eastAsia="Verdana" w:hAnsi="Verdana" w:cs="Verdana"/>
                <w:b/>
                <w:color w:val="000000"/>
                <w:sz w:val="16"/>
                <w:lang w:val="en-GB"/>
              </w:rPr>
              <w:t>Total Adjustments</w:t>
            </w:r>
          </w:p>
        </w:tc>
        <w:tc>
          <w:tcPr>
            <w:tcW w:w="2177" w:type="dxa"/>
            <w:tcBorders>
              <w:top w:val="single" w:sz="2" w:space="0" w:color="000000"/>
              <w:bottom w:val="single" w:sz="12" w:space="0" w:color="000000"/>
            </w:tcBorders>
            <w:shd w:val="clear" w:color="auto" w:fill="auto"/>
            <w:tcMar>
              <w:top w:w="20" w:type="dxa"/>
              <w:left w:w="20" w:type="dxa"/>
              <w:bottom w:w="20" w:type="dxa"/>
              <w:right w:w="20" w:type="dxa"/>
            </w:tcMar>
          </w:tcPr>
          <w:p w14:paraId="14E65AEB" w14:textId="77777777" w:rsidR="00C56350" w:rsidRPr="004D57BE" w:rsidRDefault="00C56350" w:rsidP="00C56350">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(63,031)</w:t>
            </w:r>
          </w:p>
        </w:tc>
        <w:tc>
          <w:tcPr>
            <w:tcW w:w="2177" w:type="dxa"/>
            <w:tcBorders>
              <w:top w:val="single" w:sz="2" w:space="0" w:color="000000"/>
              <w:bottom w:val="single" w:sz="12" w:space="0" w:color="000000"/>
            </w:tcBorders>
            <w:shd w:val="clear" w:color="auto" w:fill="auto"/>
            <w:tcMar>
              <w:top w:w="20" w:type="dxa"/>
              <w:left w:w="20" w:type="dxa"/>
              <w:bottom w:w="20" w:type="dxa"/>
              <w:right w:w="20" w:type="dxa"/>
            </w:tcMar>
          </w:tcPr>
          <w:p w14:paraId="643AAF34" w14:textId="77777777" w:rsidR="00C56350" w:rsidRPr="004D57BE" w:rsidRDefault="00C56350" w:rsidP="00C56350">
            <w:pPr>
              <w:pStyle w:val="T1TableStyle"/>
              <w:jc w:val="right"/>
              <w:rPr>
                <w:rFonts w:ascii="Verdana" w:eastAsia="Verdana" w:hAnsi="Verdana" w:cs="Verdana"/>
                <w:b/>
                <w:color w:val="000000"/>
                <w:sz w:val="16"/>
                <w:lang w:val="en-GB"/>
              </w:rPr>
            </w:pPr>
            <w:r w:rsidRPr="004D57BE">
              <w:rPr>
                <w:rFonts w:ascii="Verdana" w:eastAsia="Verdana" w:hAnsi="Verdana" w:cs="Verdana"/>
                <w:b/>
                <w:color w:val="000000"/>
                <w:sz w:val="16"/>
                <w:lang w:val="en-GB"/>
              </w:rPr>
              <w:t>63,031</w:t>
            </w:r>
          </w:p>
        </w:tc>
      </w:tr>
    </w:tbl>
    <w:p w14:paraId="19F03F78" w14:textId="77777777" w:rsidR="00F227D9" w:rsidRPr="00DC1077" w:rsidRDefault="00F227D9">
      <w:pPr>
        <w:pStyle w:val="T1TableStyle"/>
        <w:rPr>
          <w:rFonts w:ascii="Verdana" w:eastAsia="Verdana" w:hAnsi="Verdana" w:cs="Verdana"/>
          <w:sz w:val="22"/>
          <w:highlight w:val="yellow"/>
          <w:lang w:val="en-GB"/>
        </w:rPr>
      </w:pPr>
    </w:p>
    <w:p w14:paraId="30BF9584" w14:textId="77777777" w:rsidR="00F227D9" w:rsidRPr="00DC1077" w:rsidRDefault="00F227D9">
      <w:pPr>
        <w:pStyle w:val="Normal0"/>
        <w:spacing w:after="160" w:line="259" w:lineRule="auto"/>
        <w:rPr>
          <w:rFonts w:ascii="Verdana" w:eastAsia="Verdana" w:hAnsi="Verdana" w:cs="Verdana"/>
          <w:sz w:val="22"/>
          <w:szCs w:val="22"/>
          <w:highlight w:val="yellow"/>
          <w:lang w:val="en-GB"/>
        </w:rPr>
      </w:pPr>
    </w:p>
    <w:p w14:paraId="40D7C843" w14:textId="77777777" w:rsidR="00F227D9" w:rsidRPr="00DC1077" w:rsidRDefault="00F227D9">
      <w:pPr>
        <w:pStyle w:val="Normal0"/>
        <w:spacing w:after="160" w:line="259" w:lineRule="auto"/>
        <w:rPr>
          <w:rFonts w:ascii="Verdana" w:eastAsia="Verdana" w:hAnsi="Verdana" w:cs="Verdana"/>
          <w:sz w:val="22"/>
          <w:szCs w:val="22"/>
          <w:highlight w:val="yellow"/>
          <w:lang w:val="en-GB"/>
        </w:rPr>
      </w:pPr>
    </w:p>
    <w:p w14:paraId="312A8DFA" w14:textId="77777777" w:rsidR="005B4F75" w:rsidRPr="00DC1077" w:rsidRDefault="005B4F75">
      <w:pPr>
        <w:pStyle w:val="Normal0"/>
        <w:spacing w:after="160" w:line="259" w:lineRule="auto"/>
        <w:rPr>
          <w:rFonts w:ascii="Verdana" w:eastAsia="Verdana" w:hAnsi="Verdana" w:cs="Verdana"/>
          <w:sz w:val="22"/>
          <w:szCs w:val="22"/>
          <w:highlight w:val="yellow"/>
          <w:lang w:val="en-GB"/>
        </w:rPr>
      </w:pPr>
    </w:p>
    <w:p w14:paraId="2CA6805E" w14:textId="77777777" w:rsidR="00F227D9" w:rsidRPr="00354335" w:rsidRDefault="00F227D9" w:rsidP="00F227D9">
      <w:pPr>
        <w:pStyle w:val="Heading1"/>
        <w:spacing w:after="240" w:line="259" w:lineRule="auto"/>
        <w:rPr>
          <w:lang w:val="pt-BR"/>
        </w:rPr>
      </w:pPr>
      <w:bookmarkStart w:id="15" w:name="_Toc77095566"/>
      <w:r w:rsidRPr="00354335">
        <w:rPr>
          <w:lang w:val="pt-BR"/>
        </w:rPr>
        <w:t>Note 7 - Grant Income</w:t>
      </w:r>
      <w:bookmarkEnd w:id="15"/>
      <w:r w:rsidRPr="00354335">
        <w:rPr>
          <w:lang w:val="pt-BR"/>
        </w:rPr>
        <w:t xml:space="preserve"> </w:t>
      </w:r>
    </w:p>
    <w:tbl>
      <w:tblPr>
        <w:tblW w:w="0" w:type="auto"/>
        <w:jc w:val="center"/>
        <w:tblLayout w:type="fixed"/>
        <w:tblLook w:val="04A0" w:firstRow="1" w:lastRow="0" w:firstColumn="1" w:lastColumn="0" w:noHBand="0" w:noVBand="1"/>
      </w:tblPr>
      <w:tblGrid>
        <w:gridCol w:w="1965"/>
        <w:gridCol w:w="195"/>
        <w:gridCol w:w="4800"/>
        <w:gridCol w:w="1965"/>
      </w:tblGrid>
      <w:tr w:rsidR="0053376B" w:rsidRPr="00354335" w14:paraId="6E4B731B" w14:textId="77777777" w:rsidTr="00B11A10">
        <w:trPr>
          <w:trHeight w:val="50"/>
          <w:jc w:val="center"/>
        </w:trPr>
        <w:tc>
          <w:tcPr>
            <w:tcW w:w="8925" w:type="dxa"/>
            <w:gridSpan w:val="4"/>
            <w:shd w:val="clear" w:color="auto" w:fill="auto"/>
            <w:tcMar>
              <w:top w:w="20" w:type="dxa"/>
              <w:left w:w="20" w:type="dxa"/>
              <w:bottom w:w="20" w:type="dxa"/>
              <w:right w:w="20" w:type="dxa"/>
            </w:tcMar>
            <w:vAlign w:val="bottom"/>
          </w:tcPr>
          <w:p w14:paraId="0A976D5E" w14:textId="77777777" w:rsidR="00F227D9" w:rsidRPr="00354335" w:rsidRDefault="00F227D9">
            <w:pPr>
              <w:pStyle w:val="T1TableStyle"/>
              <w:rPr>
                <w:rFonts w:ascii="Verdana" w:eastAsia="Verdana" w:hAnsi="Verdana" w:cs="Verdana"/>
                <w:b/>
                <w:color w:val="000000"/>
                <w:sz w:val="24"/>
                <w:lang w:val="en-GB"/>
              </w:rPr>
            </w:pPr>
            <w:r w:rsidRPr="00354335">
              <w:rPr>
                <w:rFonts w:ascii="Verdana" w:eastAsia="Verdana" w:hAnsi="Verdana" w:cs="Verdana"/>
                <w:b/>
                <w:color w:val="000000"/>
                <w:sz w:val="24"/>
                <w:lang w:val="en-GB"/>
              </w:rPr>
              <w:t xml:space="preserve">Credited to Services </w:t>
            </w:r>
          </w:p>
        </w:tc>
      </w:tr>
      <w:tr w:rsidR="0053376B" w:rsidRPr="00354335" w14:paraId="6AE92DB0" w14:textId="77777777" w:rsidTr="007D3C35">
        <w:trPr>
          <w:trHeight w:val="360"/>
          <w:jc w:val="center"/>
        </w:trPr>
        <w:tc>
          <w:tcPr>
            <w:tcW w:w="1965" w:type="dxa"/>
            <w:shd w:val="clear" w:color="auto" w:fill="auto"/>
            <w:tcMar>
              <w:top w:w="20" w:type="dxa"/>
              <w:left w:w="20" w:type="dxa"/>
              <w:bottom w:w="20" w:type="dxa"/>
              <w:right w:w="20" w:type="dxa"/>
            </w:tcMar>
            <w:vAlign w:val="bottom"/>
          </w:tcPr>
          <w:p w14:paraId="41889198" w14:textId="77777777" w:rsidR="00F227D9" w:rsidRPr="00354335" w:rsidRDefault="00F227D9" w:rsidP="001A532F">
            <w:pPr>
              <w:pStyle w:val="T1TableStyle"/>
              <w:jc w:val="center"/>
              <w:rPr>
                <w:rFonts w:ascii="Verdana" w:eastAsia="Verdana" w:hAnsi="Verdana" w:cs="Verdana"/>
                <w:b/>
                <w:color w:val="000000"/>
                <w:sz w:val="16"/>
                <w:lang w:val="en-GB"/>
              </w:rPr>
            </w:pPr>
            <w:r w:rsidRPr="00354335">
              <w:rPr>
                <w:rFonts w:ascii="Verdana" w:eastAsia="Verdana" w:hAnsi="Verdana" w:cs="Verdana"/>
                <w:b/>
                <w:color w:val="000000"/>
                <w:sz w:val="16"/>
                <w:lang w:val="en-GB"/>
              </w:rPr>
              <w:t>31 March 20</w:t>
            </w:r>
            <w:r w:rsidR="001A532F" w:rsidRPr="00354335">
              <w:rPr>
                <w:rFonts w:ascii="Verdana" w:eastAsia="Verdana" w:hAnsi="Verdana" w:cs="Verdana"/>
                <w:b/>
                <w:color w:val="000000"/>
                <w:sz w:val="16"/>
                <w:lang w:val="en-GB"/>
              </w:rPr>
              <w:t>20</w:t>
            </w:r>
          </w:p>
        </w:tc>
        <w:tc>
          <w:tcPr>
            <w:tcW w:w="195" w:type="dxa"/>
            <w:shd w:val="clear" w:color="auto" w:fill="auto"/>
            <w:tcMar>
              <w:top w:w="20" w:type="dxa"/>
              <w:left w:w="20" w:type="dxa"/>
              <w:bottom w:w="20" w:type="dxa"/>
              <w:right w:w="20" w:type="dxa"/>
            </w:tcMar>
          </w:tcPr>
          <w:p w14:paraId="2F463DBA" w14:textId="77777777" w:rsidR="00F227D9" w:rsidRPr="00354335" w:rsidRDefault="00F227D9">
            <w:pPr>
              <w:pStyle w:val="T1TableStyle"/>
              <w:rPr>
                <w:rFonts w:ascii="Verdana" w:eastAsia="Verdana" w:hAnsi="Verdana" w:cs="Verdana"/>
                <w:b/>
                <w:color w:val="000000"/>
                <w:sz w:val="2"/>
                <w:lang w:val="en-GB"/>
              </w:rPr>
            </w:pPr>
            <w:r w:rsidRPr="00354335">
              <w:rPr>
                <w:rFonts w:ascii="Verdana" w:eastAsia="Verdana" w:hAnsi="Verdana" w:cs="Verdana"/>
                <w:b/>
                <w:color w:val="000000"/>
                <w:sz w:val="2"/>
                <w:lang w:val="en-GB"/>
              </w:rPr>
              <w:t xml:space="preserve"> </w:t>
            </w:r>
          </w:p>
        </w:tc>
        <w:tc>
          <w:tcPr>
            <w:tcW w:w="4800" w:type="dxa"/>
            <w:shd w:val="clear" w:color="auto" w:fill="auto"/>
            <w:tcMar>
              <w:top w:w="20" w:type="dxa"/>
              <w:left w:w="20" w:type="dxa"/>
              <w:bottom w:w="20" w:type="dxa"/>
              <w:right w:w="20" w:type="dxa"/>
            </w:tcMar>
          </w:tcPr>
          <w:p w14:paraId="34BAC351" w14:textId="77777777" w:rsidR="00F227D9" w:rsidRPr="00354335" w:rsidRDefault="00F227D9">
            <w:pPr>
              <w:pStyle w:val="T1TableStyle"/>
              <w:rPr>
                <w:rFonts w:ascii="Verdana" w:eastAsia="Verdana" w:hAnsi="Verdana" w:cs="Verdana"/>
                <w:b/>
                <w:color w:val="000000"/>
                <w:sz w:val="2"/>
                <w:lang w:val="en-GB"/>
              </w:rPr>
            </w:pPr>
            <w:r w:rsidRPr="00354335">
              <w:rPr>
                <w:rFonts w:ascii="Verdana" w:eastAsia="Verdana" w:hAnsi="Verdana" w:cs="Verdana"/>
                <w:b/>
                <w:color w:val="000000"/>
                <w:sz w:val="2"/>
                <w:lang w:val="en-GB"/>
              </w:rPr>
              <w:t xml:space="preserve"> </w:t>
            </w:r>
          </w:p>
        </w:tc>
        <w:tc>
          <w:tcPr>
            <w:tcW w:w="1965" w:type="dxa"/>
            <w:shd w:val="clear" w:color="auto" w:fill="auto"/>
            <w:tcMar>
              <w:top w:w="20" w:type="dxa"/>
              <w:left w:w="20" w:type="dxa"/>
              <w:bottom w:w="20" w:type="dxa"/>
              <w:right w:w="20" w:type="dxa"/>
            </w:tcMar>
            <w:vAlign w:val="bottom"/>
          </w:tcPr>
          <w:p w14:paraId="7BE3BD7C" w14:textId="77777777" w:rsidR="00F227D9" w:rsidRPr="00354335" w:rsidRDefault="00F227D9" w:rsidP="001A532F">
            <w:pPr>
              <w:pStyle w:val="T1TableStyle"/>
              <w:jc w:val="center"/>
              <w:rPr>
                <w:rFonts w:ascii="Verdana" w:eastAsia="Verdana" w:hAnsi="Verdana" w:cs="Verdana"/>
                <w:b/>
                <w:color w:val="000000"/>
                <w:sz w:val="16"/>
                <w:lang w:val="en-GB"/>
              </w:rPr>
            </w:pPr>
            <w:r w:rsidRPr="00354335">
              <w:rPr>
                <w:rFonts w:ascii="Verdana" w:eastAsia="Verdana" w:hAnsi="Verdana" w:cs="Verdana"/>
                <w:b/>
                <w:color w:val="000000"/>
                <w:sz w:val="16"/>
                <w:lang w:val="en-GB"/>
              </w:rPr>
              <w:t>31 March 202</w:t>
            </w:r>
            <w:r w:rsidR="001A532F" w:rsidRPr="00354335">
              <w:rPr>
                <w:rFonts w:ascii="Verdana" w:eastAsia="Verdana" w:hAnsi="Verdana" w:cs="Verdana"/>
                <w:b/>
                <w:color w:val="000000"/>
                <w:sz w:val="16"/>
                <w:lang w:val="en-GB"/>
              </w:rPr>
              <w:t>1</w:t>
            </w:r>
          </w:p>
        </w:tc>
      </w:tr>
      <w:tr w:rsidR="0053376B" w:rsidRPr="00354335" w14:paraId="40CD92B0" w14:textId="77777777" w:rsidTr="007D3C35">
        <w:trPr>
          <w:trHeight w:val="255"/>
          <w:jc w:val="center"/>
        </w:trPr>
        <w:tc>
          <w:tcPr>
            <w:tcW w:w="1965" w:type="dxa"/>
            <w:tcBorders>
              <w:bottom w:val="single" w:sz="2" w:space="0" w:color="000000"/>
            </w:tcBorders>
            <w:shd w:val="clear" w:color="auto" w:fill="auto"/>
            <w:tcMar>
              <w:top w:w="20" w:type="dxa"/>
              <w:left w:w="20" w:type="dxa"/>
              <w:bottom w:w="20" w:type="dxa"/>
              <w:right w:w="20" w:type="dxa"/>
            </w:tcMar>
          </w:tcPr>
          <w:p w14:paraId="0E8AABA8" w14:textId="77777777" w:rsidR="00F227D9" w:rsidRPr="00354335" w:rsidRDefault="00F227D9">
            <w:pPr>
              <w:pStyle w:val="T1TableStyle"/>
              <w:jc w:val="right"/>
              <w:rPr>
                <w:rFonts w:ascii="Verdana" w:eastAsia="Verdana" w:hAnsi="Verdana" w:cs="Verdana"/>
                <w:b/>
                <w:color w:val="000000"/>
                <w:sz w:val="16"/>
                <w:lang w:val="en-GB"/>
              </w:rPr>
            </w:pPr>
            <w:r w:rsidRPr="00354335">
              <w:rPr>
                <w:rFonts w:ascii="Verdana" w:eastAsia="Verdana" w:hAnsi="Verdana" w:cs="Verdana"/>
                <w:b/>
                <w:color w:val="000000"/>
                <w:sz w:val="16"/>
                <w:lang w:val="en-GB"/>
              </w:rPr>
              <w:t>£000</w:t>
            </w:r>
          </w:p>
        </w:tc>
        <w:tc>
          <w:tcPr>
            <w:tcW w:w="195" w:type="dxa"/>
            <w:tcBorders>
              <w:bottom w:val="single" w:sz="2" w:space="0" w:color="000000"/>
            </w:tcBorders>
            <w:shd w:val="clear" w:color="auto" w:fill="auto"/>
            <w:tcMar>
              <w:top w:w="20" w:type="dxa"/>
              <w:left w:w="20" w:type="dxa"/>
              <w:bottom w:w="20" w:type="dxa"/>
              <w:right w:w="20" w:type="dxa"/>
            </w:tcMar>
          </w:tcPr>
          <w:p w14:paraId="78E8031A" w14:textId="77777777" w:rsidR="00F227D9" w:rsidRPr="00354335" w:rsidRDefault="00F227D9">
            <w:pPr>
              <w:pStyle w:val="T1TableStyle"/>
              <w:jc w:val="right"/>
              <w:rPr>
                <w:rFonts w:ascii="Verdana" w:eastAsia="Verdana" w:hAnsi="Verdana" w:cs="Verdana"/>
                <w:b/>
                <w:color w:val="000000"/>
                <w:sz w:val="2"/>
                <w:lang w:val="en-GB"/>
              </w:rPr>
            </w:pPr>
            <w:r w:rsidRPr="00354335">
              <w:rPr>
                <w:rFonts w:ascii="Verdana" w:eastAsia="Verdana" w:hAnsi="Verdana" w:cs="Verdana"/>
                <w:b/>
                <w:color w:val="000000"/>
                <w:sz w:val="2"/>
                <w:lang w:val="en-GB"/>
              </w:rPr>
              <w:t xml:space="preserve"> </w:t>
            </w:r>
          </w:p>
        </w:tc>
        <w:tc>
          <w:tcPr>
            <w:tcW w:w="4800" w:type="dxa"/>
            <w:tcBorders>
              <w:bottom w:val="single" w:sz="2" w:space="0" w:color="000000"/>
            </w:tcBorders>
            <w:shd w:val="clear" w:color="auto" w:fill="auto"/>
            <w:tcMar>
              <w:top w:w="20" w:type="dxa"/>
              <w:left w:w="20" w:type="dxa"/>
              <w:bottom w:w="20" w:type="dxa"/>
              <w:right w:w="20" w:type="dxa"/>
            </w:tcMar>
          </w:tcPr>
          <w:p w14:paraId="77CBE9B0" w14:textId="77777777" w:rsidR="00F227D9" w:rsidRPr="00354335" w:rsidRDefault="00F227D9">
            <w:pPr>
              <w:pStyle w:val="T1TableStyle"/>
              <w:jc w:val="right"/>
              <w:rPr>
                <w:rFonts w:ascii="Verdana" w:eastAsia="Verdana" w:hAnsi="Verdana" w:cs="Verdana"/>
                <w:b/>
                <w:color w:val="000000"/>
                <w:sz w:val="2"/>
                <w:lang w:val="en-GB"/>
              </w:rPr>
            </w:pPr>
            <w:r w:rsidRPr="00354335">
              <w:rPr>
                <w:rFonts w:ascii="Verdana" w:eastAsia="Verdana" w:hAnsi="Verdana" w:cs="Verdana"/>
                <w:b/>
                <w:color w:val="000000"/>
                <w:sz w:val="2"/>
                <w:lang w:val="en-GB"/>
              </w:rPr>
              <w:t xml:space="preserve"> </w:t>
            </w:r>
          </w:p>
        </w:tc>
        <w:tc>
          <w:tcPr>
            <w:tcW w:w="1965" w:type="dxa"/>
            <w:tcBorders>
              <w:bottom w:val="single" w:sz="2" w:space="0" w:color="000000"/>
            </w:tcBorders>
            <w:shd w:val="clear" w:color="auto" w:fill="auto"/>
            <w:tcMar>
              <w:top w:w="20" w:type="dxa"/>
              <w:left w:w="20" w:type="dxa"/>
              <w:bottom w:w="20" w:type="dxa"/>
              <w:right w:w="20" w:type="dxa"/>
            </w:tcMar>
          </w:tcPr>
          <w:p w14:paraId="64D0FED8" w14:textId="77777777" w:rsidR="00F227D9" w:rsidRPr="00354335" w:rsidRDefault="00F227D9">
            <w:pPr>
              <w:pStyle w:val="T1TableStyle"/>
              <w:jc w:val="right"/>
              <w:rPr>
                <w:rFonts w:ascii="Verdana" w:eastAsia="Verdana" w:hAnsi="Verdana" w:cs="Verdana"/>
                <w:b/>
                <w:color w:val="000000"/>
                <w:sz w:val="16"/>
                <w:lang w:val="en-GB"/>
              </w:rPr>
            </w:pPr>
            <w:r w:rsidRPr="00354335">
              <w:rPr>
                <w:rFonts w:ascii="Verdana" w:eastAsia="Verdana" w:hAnsi="Verdana" w:cs="Verdana"/>
                <w:b/>
                <w:color w:val="000000"/>
                <w:sz w:val="16"/>
                <w:lang w:val="en-GB"/>
              </w:rPr>
              <w:t>£000</w:t>
            </w:r>
          </w:p>
        </w:tc>
      </w:tr>
      <w:tr w:rsidR="001A532F" w:rsidRPr="00354335" w14:paraId="19B4FEC5" w14:textId="77777777" w:rsidTr="007D3C35">
        <w:trPr>
          <w:trHeight w:val="255"/>
          <w:jc w:val="center"/>
        </w:trPr>
        <w:tc>
          <w:tcPr>
            <w:tcW w:w="1965" w:type="dxa"/>
            <w:shd w:val="clear" w:color="auto" w:fill="auto"/>
            <w:tcMar>
              <w:top w:w="20" w:type="dxa"/>
              <w:left w:w="20" w:type="dxa"/>
              <w:bottom w:w="20" w:type="dxa"/>
              <w:right w:w="20" w:type="dxa"/>
            </w:tcMar>
          </w:tcPr>
          <w:p w14:paraId="29814B32" w14:textId="77777777" w:rsidR="001A532F" w:rsidRPr="00354335" w:rsidRDefault="001A532F" w:rsidP="001A532F">
            <w:pPr>
              <w:pStyle w:val="T1TableStyle"/>
              <w:jc w:val="right"/>
              <w:rPr>
                <w:rFonts w:ascii="Verdana" w:eastAsia="Verdana" w:hAnsi="Verdana" w:cs="Verdana"/>
                <w:color w:val="000000"/>
                <w:sz w:val="16"/>
                <w:lang w:val="en-GB"/>
              </w:rPr>
            </w:pPr>
            <w:r w:rsidRPr="00354335">
              <w:rPr>
                <w:rFonts w:ascii="Verdana" w:eastAsia="Verdana" w:hAnsi="Verdana" w:cs="Verdana"/>
                <w:color w:val="000000"/>
                <w:sz w:val="16"/>
                <w:lang w:val="en-GB"/>
              </w:rPr>
              <w:t>(955)</w:t>
            </w:r>
          </w:p>
        </w:tc>
        <w:tc>
          <w:tcPr>
            <w:tcW w:w="195" w:type="dxa"/>
            <w:shd w:val="clear" w:color="auto" w:fill="auto"/>
            <w:tcMar>
              <w:top w:w="20" w:type="dxa"/>
              <w:left w:w="20" w:type="dxa"/>
              <w:bottom w:w="20" w:type="dxa"/>
              <w:right w:w="20" w:type="dxa"/>
            </w:tcMar>
          </w:tcPr>
          <w:p w14:paraId="602E8E29" w14:textId="77777777" w:rsidR="001A532F" w:rsidRPr="00354335" w:rsidRDefault="001A532F" w:rsidP="001A532F">
            <w:pPr>
              <w:pStyle w:val="T1TableStyle"/>
              <w:jc w:val="center"/>
              <w:rPr>
                <w:rFonts w:ascii="Verdana" w:eastAsia="Verdana" w:hAnsi="Verdana" w:cs="Verdana"/>
                <w:color w:val="000000"/>
                <w:sz w:val="2"/>
                <w:lang w:val="en-GB"/>
              </w:rPr>
            </w:pPr>
            <w:r w:rsidRPr="00354335">
              <w:rPr>
                <w:rFonts w:ascii="Verdana" w:eastAsia="Verdana" w:hAnsi="Verdana" w:cs="Verdana"/>
                <w:color w:val="000000"/>
                <w:sz w:val="2"/>
                <w:lang w:val="en-GB"/>
              </w:rPr>
              <w:t xml:space="preserve"> </w:t>
            </w:r>
          </w:p>
        </w:tc>
        <w:tc>
          <w:tcPr>
            <w:tcW w:w="4800" w:type="dxa"/>
            <w:shd w:val="clear" w:color="auto" w:fill="auto"/>
            <w:tcMar>
              <w:top w:w="20" w:type="dxa"/>
              <w:left w:w="20" w:type="dxa"/>
              <w:bottom w:w="20" w:type="dxa"/>
              <w:right w:w="20" w:type="dxa"/>
            </w:tcMar>
          </w:tcPr>
          <w:p w14:paraId="7510A24B" w14:textId="77777777" w:rsidR="001A532F" w:rsidRPr="00354335" w:rsidRDefault="001A532F" w:rsidP="001A532F">
            <w:pPr>
              <w:pStyle w:val="T1TableStyle"/>
              <w:rPr>
                <w:rFonts w:ascii="Verdana" w:eastAsia="Verdana" w:hAnsi="Verdana" w:cs="Verdana"/>
                <w:color w:val="000000"/>
                <w:sz w:val="16"/>
                <w:lang w:val="en-GB"/>
              </w:rPr>
            </w:pPr>
            <w:r w:rsidRPr="00354335">
              <w:rPr>
                <w:rFonts w:ascii="Verdana" w:eastAsia="Verdana" w:hAnsi="Verdana" w:cs="Verdana"/>
                <w:color w:val="000000"/>
                <w:sz w:val="16"/>
                <w:lang w:val="en-GB"/>
              </w:rPr>
              <w:t>Counter Terrorism</w:t>
            </w:r>
          </w:p>
        </w:tc>
        <w:tc>
          <w:tcPr>
            <w:tcW w:w="1965" w:type="dxa"/>
            <w:shd w:val="clear" w:color="auto" w:fill="auto"/>
            <w:tcMar>
              <w:top w:w="20" w:type="dxa"/>
              <w:left w:w="20" w:type="dxa"/>
              <w:bottom w:w="20" w:type="dxa"/>
              <w:right w:w="20" w:type="dxa"/>
            </w:tcMar>
          </w:tcPr>
          <w:p w14:paraId="1A2F0A90" w14:textId="77777777" w:rsidR="001A532F" w:rsidRPr="00354335" w:rsidRDefault="00BD5D66" w:rsidP="001A532F">
            <w:pPr>
              <w:pStyle w:val="T1TableStyle"/>
              <w:jc w:val="right"/>
              <w:rPr>
                <w:rFonts w:ascii="Verdana" w:eastAsia="Verdana" w:hAnsi="Verdana" w:cs="Verdana"/>
                <w:color w:val="000000"/>
                <w:sz w:val="16"/>
                <w:lang w:val="en-GB"/>
              </w:rPr>
            </w:pPr>
            <w:r w:rsidRPr="00354335">
              <w:rPr>
                <w:rFonts w:ascii="Verdana" w:eastAsia="Verdana" w:hAnsi="Verdana" w:cs="Verdana"/>
                <w:color w:val="000000"/>
                <w:sz w:val="16"/>
                <w:lang w:val="en-GB"/>
              </w:rPr>
              <w:t>(</w:t>
            </w:r>
            <w:r w:rsidR="00BB14F6" w:rsidRPr="00354335">
              <w:rPr>
                <w:rFonts w:ascii="Verdana" w:eastAsia="Verdana" w:hAnsi="Verdana" w:cs="Verdana"/>
                <w:color w:val="000000"/>
                <w:sz w:val="16"/>
                <w:lang w:val="en-GB"/>
              </w:rPr>
              <w:t>1</w:t>
            </w:r>
            <w:r w:rsidRPr="00354335">
              <w:rPr>
                <w:rFonts w:ascii="Verdana" w:eastAsia="Verdana" w:hAnsi="Verdana" w:cs="Verdana"/>
                <w:color w:val="000000"/>
                <w:sz w:val="16"/>
                <w:lang w:val="en-GB"/>
              </w:rPr>
              <w:t>,</w:t>
            </w:r>
            <w:r w:rsidR="00BB14F6" w:rsidRPr="00354335">
              <w:rPr>
                <w:rFonts w:ascii="Verdana" w:eastAsia="Verdana" w:hAnsi="Verdana" w:cs="Verdana"/>
                <w:color w:val="000000"/>
                <w:sz w:val="16"/>
                <w:lang w:val="en-GB"/>
              </w:rPr>
              <w:t>041</w:t>
            </w:r>
            <w:r w:rsidRPr="00354335">
              <w:rPr>
                <w:rFonts w:ascii="Verdana" w:eastAsia="Verdana" w:hAnsi="Verdana" w:cs="Verdana"/>
                <w:color w:val="000000"/>
                <w:sz w:val="16"/>
                <w:lang w:val="en-GB"/>
              </w:rPr>
              <w:t>)</w:t>
            </w:r>
          </w:p>
        </w:tc>
      </w:tr>
      <w:tr w:rsidR="001A532F" w:rsidRPr="00354335" w14:paraId="66ADEAE4" w14:textId="77777777" w:rsidTr="007D3C35">
        <w:trPr>
          <w:trHeight w:val="255"/>
          <w:jc w:val="center"/>
        </w:trPr>
        <w:tc>
          <w:tcPr>
            <w:tcW w:w="1965" w:type="dxa"/>
            <w:shd w:val="clear" w:color="auto" w:fill="auto"/>
            <w:tcMar>
              <w:top w:w="20" w:type="dxa"/>
              <w:left w:w="20" w:type="dxa"/>
              <w:bottom w:w="20" w:type="dxa"/>
              <w:right w:w="20" w:type="dxa"/>
            </w:tcMar>
          </w:tcPr>
          <w:p w14:paraId="4F9E97D8" w14:textId="77777777" w:rsidR="001A532F" w:rsidRPr="00354335" w:rsidRDefault="001A532F" w:rsidP="001A532F">
            <w:pPr>
              <w:pStyle w:val="T1TableStyle"/>
              <w:jc w:val="right"/>
              <w:rPr>
                <w:rFonts w:ascii="Verdana" w:eastAsia="Verdana" w:hAnsi="Verdana" w:cs="Verdana"/>
                <w:color w:val="000000"/>
                <w:sz w:val="16"/>
                <w:lang w:val="en-GB"/>
              </w:rPr>
            </w:pPr>
            <w:r w:rsidRPr="00354335">
              <w:rPr>
                <w:rFonts w:ascii="Verdana" w:eastAsia="Verdana" w:hAnsi="Verdana" w:cs="Verdana"/>
                <w:color w:val="000000"/>
                <w:sz w:val="16"/>
                <w:lang w:val="en-GB"/>
              </w:rPr>
              <w:t>(594)</w:t>
            </w:r>
          </w:p>
        </w:tc>
        <w:tc>
          <w:tcPr>
            <w:tcW w:w="195" w:type="dxa"/>
            <w:shd w:val="clear" w:color="auto" w:fill="auto"/>
            <w:tcMar>
              <w:top w:w="20" w:type="dxa"/>
              <w:left w:w="20" w:type="dxa"/>
              <w:bottom w:w="20" w:type="dxa"/>
              <w:right w:w="20" w:type="dxa"/>
            </w:tcMar>
          </w:tcPr>
          <w:p w14:paraId="12340FDD" w14:textId="77777777" w:rsidR="001A532F" w:rsidRPr="00354335" w:rsidRDefault="001A532F" w:rsidP="001A532F">
            <w:pPr>
              <w:pStyle w:val="T1TableStyle"/>
              <w:jc w:val="center"/>
              <w:rPr>
                <w:rFonts w:ascii="Verdana" w:eastAsia="Verdana" w:hAnsi="Verdana" w:cs="Verdana"/>
                <w:color w:val="000000"/>
                <w:sz w:val="2"/>
                <w:lang w:val="en-GB"/>
              </w:rPr>
            </w:pPr>
            <w:r w:rsidRPr="00354335">
              <w:rPr>
                <w:rFonts w:ascii="Verdana" w:eastAsia="Verdana" w:hAnsi="Verdana" w:cs="Verdana"/>
                <w:color w:val="000000"/>
                <w:sz w:val="2"/>
                <w:lang w:val="en-GB"/>
              </w:rPr>
              <w:t xml:space="preserve"> </w:t>
            </w:r>
          </w:p>
        </w:tc>
        <w:tc>
          <w:tcPr>
            <w:tcW w:w="4800" w:type="dxa"/>
            <w:shd w:val="clear" w:color="auto" w:fill="auto"/>
            <w:tcMar>
              <w:top w:w="20" w:type="dxa"/>
              <w:left w:w="20" w:type="dxa"/>
              <w:bottom w:w="20" w:type="dxa"/>
              <w:right w:w="20" w:type="dxa"/>
            </w:tcMar>
          </w:tcPr>
          <w:p w14:paraId="72515551" w14:textId="77777777" w:rsidR="001A532F" w:rsidRPr="00354335" w:rsidRDefault="001A532F" w:rsidP="001A532F">
            <w:pPr>
              <w:pStyle w:val="T1TableStyle"/>
              <w:rPr>
                <w:rFonts w:ascii="Verdana" w:eastAsia="Verdana" w:hAnsi="Verdana" w:cs="Verdana"/>
                <w:color w:val="000000"/>
                <w:sz w:val="16"/>
                <w:lang w:val="en-GB"/>
              </w:rPr>
            </w:pPr>
            <w:r w:rsidRPr="00354335">
              <w:rPr>
                <w:rFonts w:ascii="Verdana" w:eastAsia="Verdana" w:hAnsi="Verdana" w:cs="Verdana"/>
                <w:color w:val="000000"/>
                <w:sz w:val="16"/>
                <w:lang w:val="en-GB"/>
              </w:rPr>
              <w:t>Other</w:t>
            </w:r>
          </w:p>
        </w:tc>
        <w:tc>
          <w:tcPr>
            <w:tcW w:w="1965" w:type="dxa"/>
            <w:shd w:val="clear" w:color="auto" w:fill="auto"/>
            <w:tcMar>
              <w:top w:w="20" w:type="dxa"/>
              <w:left w:w="20" w:type="dxa"/>
              <w:bottom w:w="20" w:type="dxa"/>
              <w:right w:w="20" w:type="dxa"/>
            </w:tcMar>
          </w:tcPr>
          <w:p w14:paraId="354301EF" w14:textId="77777777" w:rsidR="001A532F" w:rsidRPr="00354335" w:rsidRDefault="00BD5D66" w:rsidP="001A532F">
            <w:pPr>
              <w:pStyle w:val="T1TableStyle"/>
              <w:jc w:val="right"/>
              <w:rPr>
                <w:rFonts w:ascii="Verdana" w:eastAsia="Verdana" w:hAnsi="Verdana" w:cs="Verdana"/>
                <w:color w:val="000000"/>
                <w:sz w:val="16"/>
                <w:lang w:val="en-GB"/>
              </w:rPr>
            </w:pPr>
            <w:r w:rsidRPr="00354335">
              <w:rPr>
                <w:rFonts w:ascii="Verdana" w:eastAsia="Verdana" w:hAnsi="Verdana" w:cs="Verdana"/>
                <w:color w:val="000000"/>
                <w:sz w:val="16"/>
                <w:lang w:val="en-GB"/>
              </w:rPr>
              <w:t>(</w:t>
            </w:r>
            <w:r w:rsidR="00BB14F6" w:rsidRPr="00354335">
              <w:rPr>
                <w:rFonts w:ascii="Verdana" w:eastAsia="Verdana" w:hAnsi="Verdana" w:cs="Verdana"/>
                <w:color w:val="000000"/>
                <w:sz w:val="16"/>
                <w:lang w:val="en-GB"/>
              </w:rPr>
              <w:t>3</w:t>
            </w:r>
            <w:r w:rsidRPr="00354335">
              <w:rPr>
                <w:rFonts w:ascii="Verdana" w:eastAsia="Verdana" w:hAnsi="Verdana" w:cs="Verdana"/>
                <w:color w:val="000000"/>
                <w:sz w:val="16"/>
                <w:lang w:val="en-GB"/>
              </w:rPr>
              <w:t>,</w:t>
            </w:r>
            <w:r w:rsidR="00BB14F6" w:rsidRPr="00354335">
              <w:rPr>
                <w:rFonts w:ascii="Verdana" w:eastAsia="Verdana" w:hAnsi="Verdana" w:cs="Verdana"/>
                <w:color w:val="000000"/>
                <w:sz w:val="16"/>
                <w:lang w:val="en-GB"/>
              </w:rPr>
              <w:t>094</w:t>
            </w:r>
            <w:r w:rsidRPr="00354335">
              <w:rPr>
                <w:rFonts w:ascii="Verdana" w:eastAsia="Verdana" w:hAnsi="Verdana" w:cs="Verdana"/>
                <w:color w:val="000000"/>
                <w:sz w:val="16"/>
                <w:lang w:val="en-GB"/>
              </w:rPr>
              <w:t>)</w:t>
            </w:r>
          </w:p>
        </w:tc>
      </w:tr>
      <w:tr w:rsidR="001A532F" w:rsidRPr="00354335" w14:paraId="00418952" w14:textId="77777777" w:rsidTr="007D3C35">
        <w:trPr>
          <w:trHeight w:val="255"/>
          <w:jc w:val="center"/>
        </w:trPr>
        <w:tc>
          <w:tcPr>
            <w:tcW w:w="1965" w:type="dxa"/>
            <w:tcBorders>
              <w:top w:val="single" w:sz="2" w:space="0" w:color="000000"/>
              <w:bottom w:val="single" w:sz="12" w:space="0" w:color="000000"/>
            </w:tcBorders>
            <w:shd w:val="clear" w:color="auto" w:fill="auto"/>
            <w:tcMar>
              <w:top w:w="20" w:type="dxa"/>
              <w:left w:w="20" w:type="dxa"/>
              <w:bottom w:w="20" w:type="dxa"/>
              <w:right w:w="20" w:type="dxa"/>
            </w:tcMar>
          </w:tcPr>
          <w:p w14:paraId="39190817" w14:textId="77777777" w:rsidR="001A532F" w:rsidRPr="00354335" w:rsidRDefault="001A532F" w:rsidP="001A532F">
            <w:pPr>
              <w:pStyle w:val="T1TableStyle"/>
              <w:jc w:val="right"/>
              <w:rPr>
                <w:rFonts w:ascii="Verdana" w:eastAsia="Verdana" w:hAnsi="Verdana" w:cs="Verdana"/>
                <w:b/>
                <w:color w:val="000000"/>
                <w:sz w:val="16"/>
                <w:lang w:val="en-GB"/>
              </w:rPr>
            </w:pPr>
            <w:r w:rsidRPr="00354335">
              <w:rPr>
                <w:rFonts w:ascii="Verdana" w:eastAsia="Verdana" w:hAnsi="Verdana" w:cs="Verdana"/>
                <w:b/>
                <w:color w:val="000000"/>
                <w:sz w:val="16"/>
                <w:lang w:val="en-GB"/>
              </w:rPr>
              <w:t>(1,549)</w:t>
            </w:r>
          </w:p>
        </w:tc>
        <w:tc>
          <w:tcPr>
            <w:tcW w:w="195" w:type="dxa"/>
            <w:tcBorders>
              <w:top w:val="single" w:sz="2" w:space="0" w:color="000000"/>
              <w:bottom w:val="single" w:sz="12" w:space="0" w:color="000000"/>
            </w:tcBorders>
            <w:shd w:val="clear" w:color="auto" w:fill="auto"/>
            <w:tcMar>
              <w:top w:w="20" w:type="dxa"/>
              <w:left w:w="20" w:type="dxa"/>
              <w:bottom w:w="20" w:type="dxa"/>
              <w:right w:w="20" w:type="dxa"/>
            </w:tcMar>
          </w:tcPr>
          <w:p w14:paraId="10583D57" w14:textId="77777777" w:rsidR="001A532F" w:rsidRPr="00354335" w:rsidRDefault="001A532F" w:rsidP="001A532F">
            <w:pPr>
              <w:pStyle w:val="T1TableStyle"/>
              <w:jc w:val="center"/>
              <w:rPr>
                <w:rFonts w:ascii="Verdana" w:eastAsia="Verdana" w:hAnsi="Verdana" w:cs="Verdana"/>
                <w:b/>
                <w:color w:val="000000"/>
                <w:sz w:val="2"/>
                <w:lang w:val="en-GB"/>
              </w:rPr>
            </w:pPr>
            <w:r w:rsidRPr="00354335">
              <w:rPr>
                <w:rFonts w:ascii="Verdana" w:eastAsia="Verdana" w:hAnsi="Verdana" w:cs="Verdana"/>
                <w:b/>
                <w:color w:val="000000"/>
                <w:sz w:val="2"/>
                <w:lang w:val="en-GB"/>
              </w:rPr>
              <w:t xml:space="preserve"> </w:t>
            </w:r>
          </w:p>
        </w:tc>
        <w:tc>
          <w:tcPr>
            <w:tcW w:w="4800" w:type="dxa"/>
            <w:tcBorders>
              <w:top w:val="single" w:sz="2" w:space="0" w:color="000000"/>
              <w:bottom w:val="single" w:sz="12" w:space="0" w:color="000000"/>
            </w:tcBorders>
            <w:shd w:val="clear" w:color="auto" w:fill="auto"/>
            <w:tcMar>
              <w:top w:w="20" w:type="dxa"/>
              <w:left w:w="20" w:type="dxa"/>
              <w:bottom w:w="20" w:type="dxa"/>
              <w:right w:w="20" w:type="dxa"/>
            </w:tcMar>
          </w:tcPr>
          <w:p w14:paraId="2435E40F" w14:textId="77777777" w:rsidR="001A532F" w:rsidRPr="00354335" w:rsidRDefault="001A532F" w:rsidP="001A532F">
            <w:pPr>
              <w:pStyle w:val="T1TableStyle"/>
              <w:rPr>
                <w:rFonts w:ascii="Verdana" w:eastAsia="Verdana" w:hAnsi="Verdana" w:cs="Verdana"/>
                <w:b/>
                <w:color w:val="000000"/>
                <w:sz w:val="16"/>
                <w:lang w:val="en-GB"/>
              </w:rPr>
            </w:pPr>
            <w:r w:rsidRPr="00354335">
              <w:rPr>
                <w:rFonts w:ascii="Verdana" w:eastAsia="Verdana" w:hAnsi="Verdana" w:cs="Verdana"/>
                <w:b/>
                <w:color w:val="000000"/>
                <w:sz w:val="16"/>
                <w:lang w:val="en-GB"/>
              </w:rPr>
              <w:t>Total</w:t>
            </w:r>
          </w:p>
        </w:tc>
        <w:tc>
          <w:tcPr>
            <w:tcW w:w="1965" w:type="dxa"/>
            <w:tcBorders>
              <w:top w:val="single" w:sz="2" w:space="0" w:color="000000"/>
              <w:bottom w:val="single" w:sz="12" w:space="0" w:color="000000"/>
            </w:tcBorders>
            <w:shd w:val="clear" w:color="auto" w:fill="auto"/>
            <w:tcMar>
              <w:top w:w="20" w:type="dxa"/>
              <w:left w:w="20" w:type="dxa"/>
              <w:bottom w:w="20" w:type="dxa"/>
              <w:right w:w="20" w:type="dxa"/>
            </w:tcMar>
          </w:tcPr>
          <w:p w14:paraId="427AE8CB" w14:textId="77777777" w:rsidR="001A532F" w:rsidRPr="00354335" w:rsidRDefault="00CD2033" w:rsidP="001A532F">
            <w:pPr>
              <w:pStyle w:val="T1TableStyle"/>
              <w:jc w:val="right"/>
              <w:rPr>
                <w:rFonts w:ascii="Verdana" w:eastAsia="Verdana" w:hAnsi="Verdana" w:cs="Verdana"/>
                <w:b/>
                <w:color w:val="000000"/>
                <w:sz w:val="16"/>
                <w:lang w:val="en-GB"/>
              </w:rPr>
            </w:pPr>
            <w:r w:rsidRPr="00354335">
              <w:rPr>
                <w:rFonts w:ascii="Verdana" w:eastAsia="Verdana" w:hAnsi="Verdana" w:cs="Verdana"/>
                <w:b/>
                <w:color w:val="000000"/>
                <w:sz w:val="16"/>
                <w:lang w:val="en-GB"/>
              </w:rPr>
              <w:t>(4,135)</w:t>
            </w:r>
          </w:p>
        </w:tc>
      </w:tr>
    </w:tbl>
    <w:p w14:paraId="6D3DAC88" w14:textId="77777777" w:rsidR="00F227D9" w:rsidRPr="00354335" w:rsidRDefault="00F227D9">
      <w:pPr>
        <w:pStyle w:val="T1TableStyle"/>
        <w:rPr>
          <w:rFonts w:ascii="Verdana" w:eastAsia="Verdana" w:hAnsi="Verdana" w:cs="Verdana"/>
          <w:sz w:val="22"/>
          <w:lang w:val="en-GB"/>
        </w:rPr>
      </w:pPr>
    </w:p>
    <w:p w14:paraId="7210E1E1" w14:textId="77777777" w:rsidR="00F227D9" w:rsidRPr="00354335" w:rsidRDefault="00F227D9" w:rsidP="00F227D9">
      <w:pPr>
        <w:pStyle w:val="Heading1"/>
        <w:spacing w:after="240"/>
        <w:rPr>
          <w:lang w:val="pt-BR"/>
        </w:rPr>
      </w:pPr>
      <w:bookmarkStart w:id="16" w:name="_Toc77095567"/>
      <w:r w:rsidRPr="00354335">
        <w:rPr>
          <w:lang w:val="pt-BR"/>
        </w:rPr>
        <w:t>Note 8 - Unusable Reserves</w:t>
      </w:r>
      <w:bookmarkEnd w:id="16"/>
      <w:r w:rsidRPr="00354335">
        <w:rPr>
          <w:lang w:val="pt-BR"/>
        </w:rPr>
        <w:t xml:space="preserve"> </w:t>
      </w:r>
    </w:p>
    <w:tbl>
      <w:tblPr>
        <w:tblW w:w="0" w:type="auto"/>
        <w:jc w:val="center"/>
        <w:tblLayout w:type="fixed"/>
        <w:tblLook w:val="04A0" w:firstRow="1" w:lastRow="0" w:firstColumn="1" w:lastColumn="0" w:noHBand="0" w:noVBand="1"/>
      </w:tblPr>
      <w:tblGrid>
        <w:gridCol w:w="1335"/>
        <w:gridCol w:w="180"/>
        <w:gridCol w:w="3225"/>
        <w:gridCol w:w="1335"/>
      </w:tblGrid>
      <w:tr w:rsidR="0053376B" w:rsidRPr="00B11A10" w14:paraId="30726B25" w14:textId="77777777" w:rsidTr="007D3C35">
        <w:trPr>
          <w:trHeight w:val="255"/>
          <w:jc w:val="center"/>
        </w:trPr>
        <w:tc>
          <w:tcPr>
            <w:tcW w:w="1335" w:type="dxa"/>
            <w:shd w:val="clear" w:color="auto" w:fill="auto"/>
            <w:tcMar>
              <w:top w:w="20" w:type="dxa"/>
              <w:left w:w="20" w:type="dxa"/>
              <w:bottom w:w="20" w:type="dxa"/>
              <w:right w:w="20" w:type="dxa"/>
            </w:tcMar>
            <w:vAlign w:val="bottom"/>
          </w:tcPr>
          <w:p w14:paraId="0CB6625D" w14:textId="77777777" w:rsidR="00F227D9" w:rsidRPr="00B11A10" w:rsidRDefault="00F227D9" w:rsidP="001A532F">
            <w:pPr>
              <w:pStyle w:val="T1TableStyle"/>
              <w:jc w:val="center"/>
              <w:rPr>
                <w:rFonts w:ascii="Verdana" w:eastAsia="Verdana" w:hAnsi="Verdana" w:cs="Verdana"/>
                <w:b/>
                <w:color w:val="000000"/>
                <w:sz w:val="16"/>
                <w:lang w:val="en-GB"/>
              </w:rPr>
            </w:pPr>
            <w:r w:rsidRPr="00B11A10">
              <w:rPr>
                <w:rFonts w:ascii="Verdana" w:eastAsia="Verdana" w:hAnsi="Verdana" w:cs="Verdana"/>
                <w:b/>
                <w:color w:val="000000"/>
                <w:sz w:val="16"/>
                <w:lang w:val="en-GB"/>
              </w:rPr>
              <w:t>31 March 20</w:t>
            </w:r>
            <w:r w:rsidR="001A532F" w:rsidRPr="00B11A10">
              <w:rPr>
                <w:rFonts w:ascii="Verdana" w:eastAsia="Verdana" w:hAnsi="Verdana" w:cs="Verdana"/>
                <w:b/>
                <w:color w:val="000000"/>
                <w:sz w:val="16"/>
                <w:lang w:val="en-GB"/>
              </w:rPr>
              <w:t>20</w:t>
            </w:r>
          </w:p>
        </w:tc>
        <w:tc>
          <w:tcPr>
            <w:tcW w:w="180" w:type="dxa"/>
            <w:shd w:val="clear" w:color="auto" w:fill="auto"/>
            <w:tcMar>
              <w:top w:w="20" w:type="dxa"/>
              <w:left w:w="20" w:type="dxa"/>
              <w:bottom w:w="20" w:type="dxa"/>
              <w:right w:w="20" w:type="dxa"/>
            </w:tcMar>
            <w:vAlign w:val="bottom"/>
          </w:tcPr>
          <w:p w14:paraId="4BE8335F" w14:textId="77777777" w:rsidR="00F227D9" w:rsidRPr="00B11A10" w:rsidRDefault="00F227D9">
            <w:pPr>
              <w:pStyle w:val="T1TableStyle"/>
              <w:jc w:val="center"/>
              <w:rPr>
                <w:rFonts w:ascii="Verdana" w:eastAsia="Verdana" w:hAnsi="Verdana" w:cs="Verdana"/>
                <w:b/>
                <w:color w:val="000000"/>
                <w:sz w:val="2"/>
                <w:lang w:val="en-GB"/>
              </w:rPr>
            </w:pPr>
            <w:r w:rsidRPr="00B11A10">
              <w:rPr>
                <w:rFonts w:ascii="Verdana" w:eastAsia="Verdana" w:hAnsi="Verdana" w:cs="Verdana"/>
                <w:b/>
                <w:color w:val="000000"/>
                <w:sz w:val="2"/>
                <w:lang w:val="en-GB"/>
              </w:rPr>
              <w:t xml:space="preserve"> </w:t>
            </w:r>
          </w:p>
        </w:tc>
        <w:tc>
          <w:tcPr>
            <w:tcW w:w="3225" w:type="dxa"/>
            <w:shd w:val="clear" w:color="auto" w:fill="auto"/>
            <w:tcMar>
              <w:top w:w="20" w:type="dxa"/>
              <w:left w:w="20" w:type="dxa"/>
              <w:bottom w:w="20" w:type="dxa"/>
              <w:right w:w="20" w:type="dxa"/>
            </w:tcMar>
            <w:vAlign w:val="bottom"/>
          </w:tcPr>
          <w:p w14:paraId="26079616" w14:textId="77777777" w:rsidR="00F227D9" w:rsidRPr="00B11A10" w:rsidRDefault="00F227D9">
            <w:pPr>
              <w:pStyle w:val="T1TableStyle"/>
              <w:jc w:val="center"/>
              <w:rPr>
                <w:rFonts w:ascii="Verdana" w:eastAsia="Verdana" w:hAnsi="Verdana" w:cs="Verdana"/>
                <w:b/>
                <w:color w:val="000000"/>
                <w:sz w:val="2"/>
                <w:lang w:val="en-GB"/>
              </w:rPr>
            </w:pPr>
            <w:r w:rsidRPr="00B11A10">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14:paraId="0C1583EA" w14:textId="77777777" w:rsidR="00F227D9" w:rsidRPr="00B11A10" w:rsidRDefault="00F227D9" w:rsidP="001A532F">
            <w:pPr>
              <w:pStyle w:val="T1TableStyle"/>
              <w:jc w:val="center"/>
              <w:rPr>
                <w:rFonts w:ascii="Verdana" w:eastAsia="Verdana" w:hAnsi="Verdana" w:cs="Verdana"/>
                <w:b/>
                <w:color w:val="000000"/>
                <w:sz w:val="16"/>
                <w:lang w:val="en-GB"/>
              </w:rPr>
            </w:pPr>
            <w:r w:rsidRPr="00B11A10">
              <w:rPr>
                <w:rFonts w:ascii="Verdana" w:eastAsia="Verdana" w:hAnsi="Verdana" w:cs="Verdana"/>
                <w:b/>
                <w:color w:val="000000"/>
                <w:sz w:val="16"/>
                <w:lang w:val="en-GB"/>
              </w:rPr>
              <w:t>31 March 202</w:t>
            </w:r>
            <w:r w:rsidR="001A532F" w:rsidRPr="00B11A10">
              <w:rPr>
                <w:rFonts w:ascii="Verdana" w:eastAsia="Verdana" w:hAnsi="Verdana" w:cs="Verdana"/>
                <w:b/>
                <w:color w:val="000000"/>
                <w:sz w:val="16"/>
                <w:lang w:val="en-GB"/>
              </w:rPr>
              <w:t>1</w:t>
            </w:r>
          </w:p>
        </w:tc>
      </w:tr>
      <w:tr w:rsidR="0053376B" w:rsidRPr="00B11A10" w14:paraId="782E6D3D" w14:textId="77777777" w:rsidTr="007D3C35">
        <w:trPr>
          <w:trHeight w:val="255"/>
          <w:jc w:val="center"/>
        </w:trPr>
        <w:tc>
          <w:tcPr>
            <w:tcW w:w="1335" w:type="dxa"/>
            <w:tcBorders>
              <w:bottom w:val="single" w:sz="2" w:space="0" w:color="000000"/>
            </w:tcBorders>
            <w:shd w:val="clear" w:color="auto" w:fill="auto"/>
            <w:tcMar>
              <w:top w:w="20" w:type="dxa"/>
              <w:left w:w="20" w:type="dxa"/>
              <w:bottom w:w="20" w:type="dxa"/>
              <w:right w:w="20" w:type="dxa"/>
            </w:tcMar>
          </w:tcPr>
          <w:p w14:paraId="30853AB1" w14:textId="77777777" w:rsidR="00F227D9" w:rsidRPr="00B11A10" w:rsidRDefault="00F227D9">
            <w:pPr>
              <w:pStyle w:val="T1TableStyle"/>
              <w:jc w:val="right"/>
              <w:rPr>
                <w:rFonts w:ascii="Verdana" w:eastAsia="Verdana" w:hAnsi="Verdana" w:cs="Verdana"/>
                <w:b/>
                <w:color w:val="000000"/>
                <w:sz w:val="16"/>
                <w:lang w:val="en-GB"/>
              </w:rPr>
            </w:pPr>
            <w:r w:rsidRPr="00B11A10">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14:paraId="02296063" w14:textId="77777777" w:rsidR="00F227D9" w:rsidRPr="00B11A10" w:rsidRDefault="00F227D9">
            <w:pPr>
              <w:pStyle w:val="T1TableStyle"/>
              <w:jc w:val="right"/>
              <w:rPr>
                <w:rFonts w:ascii="Verdana" w:eastAsia="Verdana" w:hAnsi="Verdana" w:cs="Verdana"/>
                <w:b/>
                <w:color w:val="000000"/>
                <w:sz w:val="2"/>
                <w:lang w:val="en-GB"/>
              </w:rPr>
            </w:pPr>
            <w:r w:rsidRPr="00B11A10">
              <w:rPr>
                <w:rFonts w:ascii="Verdana" w:eastAsia="Verdana" w:hAnsi="Verdana" w:cs="Verdana"/>
                <w:b/>
                <w:color w:val="000000"/>
                <w:sz w:val="2"/>
                <w:lang w:val="en-GB"/>
              </w:rPr>
              <w:t xml:space="preserve"> </w:t>
            </w:r>
          </w:p>
        </w:tc>
        <w:tc>
          <w:tcPr>
            <w:tcW w:w="3225" w:type="dxa"/>
            <w:tcBorders>
              <w:bottom w:val="single" w:sz="2" w:space="0" w:color="000000"/>
            </w:tcBorders>
            <w:shd w:val="clear" w:color="auto" w:fill="auto"/>
            <w:tcMar>
              <w:top w:w="20" w:type="dxa"/>
              <w:left w:w="20" w:type="dxa"/>
              <w:bottom w:w="20" w:type="dxa"/>
              <w:right w:w="20" w:type="dxa"/>
            </w:tcMar>
          </w:tcPr>
          <w:p w14:paraId="08635F67" w14:textId="77777777" w:rsidR="00F227D9" w:rsidRPr="00B11A10" w:rsidRDefault="00F227D9">
            <w:pPr>
              <w:pStyle w:val="T1TableStyle"/>
              <w:jc w:val="right"/>
              <w:rPr>
                <w:rFonts w:ascii="Verdana" w:eastAsia="Verdana" w:hAnsi="Verdana" w:cs="Verdana"/>
                <w:b/>
                <w:color w:val="000000"/>
                <w:sz w:val="2"/>
                <w:lang w:val="en-GB"/>
              </w:rPr>
            </w:pPr>
            <w:r w:rsidRPr="00B11A10">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14:paraId="674FB70D" w14:textId="77777777" w:rsidR="00F227D9" w:rsidRPr="00B11A10" w:rsidRDefault="00F227D9">
            <w:pPr>
              <w:pStyle w:val="T1TableStyle"/>
              <w:jc w:val="right"/>
              <w:rPr>
                <w:rFonts w:ascii="Verdana" w:eastAsia="Verdana" w:hAnsi="Verdana" w:cs="Verdana"/>
                <w:b/>
                <w:color w:val="000000"/>
                <w:sz w:val="16"/>
                <w:lang w:val="en-GB"/>
              </w:rPr>
            </w:pPr>
            <w:r w:rsidRPr="00B11A10">
              <w:rPr>
                <w:rFonts w:ascii="Verdana" w:eastAsia="Verdana" w:hAnsi="Verdana" w:cs="Verdana"/>
                <w:b/>
                <w:color w:val="000000"/>
                <w:sz w:val="16"/>
                <w:lang w:val="en-GB"/>
              </w:rPr>
              <w:t>£000</w:t>
            </w:r>
          </w:p>
        </w:tc>
      </w:tr>
      <w:tr w:rsidR="001A532F" w:rsidRPr="00B11A10" w14:paraId="4952A255" w14:textId="77777777" w:rsidTr="007D3C35">
        <w:trPr>
          <w:trHeight w:val="255"/>
          <w:jc w:val="center"/>
        </w:trPr>
        <w:tc>
          <w:tcPr>
            <w:tcW w:w="1335" w:type="dxa"/>
            <w:shd w:val="clear" w:color="auto" w:fill="auto"/>
            <w:tcMar>
              <w:top w:w="20" w:type="dxa"/>
              <w:left w:w="20" w:type="dxa"/>
              <w:bottom w:w="20" w:type="dxa"/>
              <w:right w:w="20" w:type="dxa"/>
            </w:tcMar>
          </w:tcPr>
          <w:p w14:paraId="2821B3EC" w14:textId="77777777" w:rsidR="001A532F" w:rsidRPr="00B11A10" w:rsidRDefault="001A532F" w:rsidP="001A532F">
            <w:pPr>
              <w:pStyle w:val="T1TableStyle"/>
              <w:jc w:val="right"/>
              <w:rPr>
                <w:rFonts w:ascii="Verdana" w:eastAsia="Verdana" w:hAnsi="Verdana" w:cs="Verdana"/>
                <w:color w:val="000000"/>
                <w:sz w:val="16"/>
                <w:lang w:val="en-GB"/>
              </w:rPr>
            </w:pPr>
            <w:r w:rsidRPr="00B11A10">
              <w:rPr>
                <w:rFonts w:ascii="Verdana" w:eastAsia="Verdana" w:hAnsi="Verdana" w:cs="Verdana"/>
                <w:color w:val="000000"/>
                <w:sz w:val="16"/>
                <w:lang w:val="en-GB"/>
              </w:rPr>
              <w:t>2,026,555</w:t>
            </w:r>
          </w:p>
        </w:tc>
        <w:tc>
          <w:tcPr>
            <w:tcW w:w="180" w:type="dxa"/>
            <w:shd w:val="clear" w:color="auto" w:fill="auto"/>
            <w:tcMar>
              <w:top w:w="20" w:type="dxa"/>
              <w:left w:w="20" w:type="dxa"/>
              <w:bottom w:w="20" w:type="dxa"/>
              <w:right w:w="20" w:type="dxa"/>
            </w:tcMar>
          </w:tcPr>
          <w:p w14:paraId="30003AD4" w14:textId="77777777" w:rsidR="001A532F" w:rsidRPr="00B11A10" w:rsidRDefault="001A532F" w:rsidP="001A532F">
            <w:pPr>
              <w:pStyle w:val="T1TableStyle"/>
              <w:jc w:val="center"/>
              <w:rPr>
                <w:rFonts w:ascii="Verdana" w:eastAsia="Verdana" w:hAnsi="Verdana" w:cs="Verdana"/>
                <w:color w:val="000000"/>
                <w:sz w:val="2"/>
                <w:lang w:val="en-GB"/>
              </w:rPr>
            </w:pPr>
            <w:r w:rsidRPr="00B11A10">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14:paraId="13DDA58B" w14:textId="77777777" w:rsidR="001A532F" w:rsidRPr="00B11A10" w:rsidRDefault="001A532F" w:rsidP="001A532F">
            <w:pPr>
              <w:pStyle w:val="T1TableStyle"/>
              <w:rPr>
                <w:rFonts w:ascii="Verdana" w:eastAsia="Verdana" w:hAnsi="Verdana" w:cs="Verdana"/>
                <w:color w:val="000000"/>
                <w:sz w:val="16"/>
                <w:lang w:val="en-GB"/>
              </w:rPr>
            </w:pPr>
            <w:r w:rsidRPr="00B11A10">
              <w:rPr>
                <w:rFonts w:ascii="Verdana" w:eastAsia="Verdana" w:hAnsi="Verdana" w:cs="Verdana"/>
                <w:color w:val="000000"/>
                <w:sz w:val="16"/>
                <w:lang w:val="en-GB"/>
              </w:rPr>
              <w:t>Pension Reserve</w:t>
            </w:r>
          </w:p>
        </w:tc>
        <w:tc>
          <w:tcPr>
            <w:tcW w:w="1335" w:type="dxa"/>
            <w:shd w:val="clear" w:color="auto" w:fill="auto"/>
            <w:tcMar>
              <w:top w:w="20" w:type="dxa"/>
              <w:left w:w="20" w:type="dxa"/>
              <w:bottom w:w="20" w:type="dxa"/>
              <w:right w:w="20" w:type="dxa"/>
            </w:tcMar>
          </w:tcPr>
          <w:p w14:paraId="392486C2" w14:textId="18865A59" w:rsidR="001A532F" w:rsidRPr="00B11A10" w:rsidRDefault="00B11A10" w:rsidP="001A532F">
            <w:pPr>
              <w:pStyle w:val="T1TableStyle"/>
              <w:jc w:val="right"/>
              <w:rPr>
                <w:rFonts w:ascii="Verdana" w:eastAsia="Verdana" w:hAnsi="Verdana" w:cs="Verdana"/>
                <w:color w:val="000000"/>
                <w:sz w:val="16"/>
                <w:lang w:val="en-GB"/>
              </w:rPr>
            </w:pPr>
            <w:r w:rsidRPr="00B11A10">
              <w:rPr>
                <w:rFonts w:ascii="Verdana" w:eastAsia="Verdana" w:hAnsi="Verdana" w:cs="Verdana"/>
                <w:color w:val="000000"/>
                <w:sz w:val="16"/>
                <w:lang w:val="en-GB"/>
              </w:rPr>
              <w:t>2,174,046</w:t>
            </w:r>
          </w:p>
        </w:tc>
      </w:tr>
      <w:tr w:rsidR="001A532F" w:rsidRPr="00B11A10" w14:paraId="2266BD48" w14:textId="77777777" w:rsidTr="007D3C35">
        <w:trPr>
          <w:trHeight w:val="255"/>
          <w:jc w:val="center"/>
        </w:trPr>
        <w:tc>
          <w:tcPr>
            <w:tcW w:w="1335" w:type="dxa"/>
            <w:shd w:val="clear" w:color="auto" w:fill="auto"/>
            <w:tcMar>
              <w:top w:w="20" w:type="dxa"/>
              <w:left w:w="20" w:type="dxa"/>
              <w:bottom w:w="20" w:type="dxa"/>
              <w:right w:w="20" w:type="dxa"/>
            </w:tcMar>
          </w:tcPr>
          <w:p w14:paraId="022A7944" w14:textId="77777777" w:rsidR="001A532F" w:rsidRPr="00B11A10" w:rsidRDefault="001A532F" w:rsidP="001A532F">
            <w:pPr>
              <w:pStyle w:val="T1TableStyle"/>
              <w:jc w:val="right"/>
              <w:rPr>
                <w:rFonts w:ascii="Verdana" w:eastAsia="Verdana" w:hAnsi="Verdana" w:cs="Verdana"/>
                <w:color w:val="000000"/>
                <w:sz w:val="16"/>
                <w:lang w:val="en-GB"/>
              </w:rPr>
            </w:pPr>
            <w:r w:rsidRPr="00B11A10">
              <w:rPr>
                <w:rFonts w:ascii="Verdana" w:eastAsia="Verdana" w:hAnsi="Verdana" w:cs="Verdana"/>
                <w:color w:val="000000"/>
                <w:sz w:val="16"/>
                <w:lang w:val="en-GB"/>
              </w:rPr>
              <w:t>1,053</w:t>
            </w:r>
          </w:p>
        </w:tc>
        <w:tc>
          <w:tcPr>
            <w:tcW w:w="180" w:type="dxa"/>
            <w:shd w:val="clear" w:color="auto" w:fill="auto"/>
            <w:tcMar>
              <w:top w:w="20" w:type="dxa"/>
              <w:left w:w="20" w:type="dxa"/>
              <w:bottom w:w="20" w:type="dxa"/>
              <w:right w:w="20" w:type="dxa"/>
            </w:tcMar>
          </w:tcPr>
          <w:p w14:paraId="327AC5C6" w14:textId="77777777" w:rsidR="001A532F" w:rsidRPr="00B11A10" w:rsidRDefault="001A532F" w:rsidP="001A532F">
            <w:pPr>
              <w:pStyle w:val="T1TableStyle"/>
              <w:jc w:val="center"/>
              <w:rPr>
                <w:rFonts w:ascii="Verdana" w:eastAsia="Verdana" w:hAnsi="Verdana" w:cs="Verdana"/>
                <w:color w:val="000000"/>
                <w:sz w:val="2"/>
                <w:lang w:val="en-GB"/>
              </w:rPr>
            </w:pPr>
            <w:r w:rsidRPr="00B11A10">
              <w:rPr>
                <w:rFonts w:ascii="Verdana" w:eastAsia="Verdana" w:hAnsi="Verdana" w:cs="Verdana"/>
                <w:color w:val="000000"/>
                <w:sz w:val="2"/>
                <w:lang w:val="en-GB"/>
              </w:rPr>
              <w:t xml:space="preserve"> </w:t>
            </w:r>
          </w:p>
        </w:tc>
        <w:tc>
          <w:tcPr>
            <w:tcW w:w="3225" w:type="dxa"/>
            <w:shd w:val="clear" w:color="auto" w:fill="auto"/>
            <w:tcMar>
              <w:top w:w="20" w:type="dxa"/>
              <w:left w:w="20" w:type="dxa"/>
              <w:bottom w:w="20" w:type="dxa"/>
              <w:right w:w="20" w:type="dxa"/>
            </w:tcMar>
          </w:tcPr>
          <w:p w14:paraId="2B020CE2" w14:textId="77777777" w:rsidR="001A532F" w:rsidRPr="00B11A10" w:rsidRDefault="001A532F" w:rsidP="001A532F">
            <w:pPr>
              <w:pStyle w:val="T1TableStyle"/>
              <w:rPr>
                <w:rFonts w:ascii="Verdana" w:eastAsia="Verdana" w:hAnsi="Verdana" w:cs="Verdana"/>
                <w:color w:val="000000"/>
                <w:sz w:val="16"/>
                <w:lang w:val="en-GB"/>
              </w:rPr>
            </w:pPr>
            <w:r w:rsidRPr="00B11A10">
              <w:rPr>
                <w:rFonts w:ascii="Verdana" w:eastAsia="Verdana" w:hAnsi="Verdana" w:cs="Verdana"/>
                <w:color w:val="000000"/>
                <w:sz w:val="16"/>
                <w:lang w:val="en-GB"/>
              </w:rPr>
              <w:t xml:space="preserve">Accumulated Absences Account </w:t>
            </w:r>
          </w:p>
        </w:tc>
        <w:tc>
          <w:tcPr>
            <w:tcW w:w="1335" w:type="dxa"/>
            <w:shd w:val="clear" w:color="auto" w:fill="auto"/>
            <w:tcMar>
              <w:top w:w="20" w:type="dxa"/>
              <w:left w:w="20" w:type="dxa"/>
              <w:bottom w:w="20" w:type="dxa"/>
              <w:right w:w="20" w:type="dxa"/>
            </w:tcMar>
          </w:tcPr>
          <w:p w14:paraId="08B4FD51" w14:textId="77777777" w:rsidR="001A532F" w:rsidRPr="00B11A10" w:rsidRDefault="00AD449C" w:rsidP="001A532F">
            <w:pPr>
              <w:pStyle w:val="T1TableStyle"/>
              <w:jc w:val="right"/>
              <w:rPr>
                <w:rFonts w:ascii="Verdana" w:eastAsia="Verdana" w:hAnsi="Verdana" w:cs="Verdana"/>
                <w:color w:val="000000"/>
                <w:sz w:val="16"/>
                <w:lang w:val="en-GB"/>
              </w:rPr>
            </w:pPr>
            <w:r w:rsidRPr="00B11A10">
              <w:rPr>
                <w:rFonts w:ascii="Verdana" w:eastAsia="Verdana" w:hAnsi="Verdana" w:cs="Verdana"/>
                <w:color w:val="000000"/>
                <w:sz w:val="16"/>
                <w:lang w:val="en-GB"/>
              </w:rPr>
              <w:t>1,951</w:t>
            </w:r>
          </w:p>
        </w:tc>
      </w:tr>
      <w:tr w:rsidR="001A532F" w:rsidRPr="00B11A10" w14:paraId="5B701C22" w14:textId="77777777" w:rsidTr="007D3C35">
        <w:trPr>
          <w:trHeight w:val="255"/>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5A78371D" w14:textId="77777777" w:rsidR="001A532F" w:rsidRPr="00B11A10" w:rsidRDefault="001A532F" w:rsidP="001A532F">
            <w:pPr>
              <w:pStyle w:val="T1TableStyle"/>
              <w:jc w:val="right"/>
              <w:rPr>
                <w:rFonts w:ascii="Verdana" w:eastAsia="Verdana" w:hAnsi="Verdana" w:cs="Verdana"/>
                <w:b/>
                <w:color w:val="000000"/>
                <w:sz w:val="16"/>
                <w:lang w:val="en-GB"/>
              </w:rPr>
            </w:pPr>
            <w:r w:rsidRPr="00B11A10">
              <w:rPr>
                <w:rFonts w:ascii="Verdana" w:eastAsia="Verdana" w:hAnsi="Verdana" w:cs="Verdana"/>
                <w:b/>
                <w:color w:val="000000"/>
                <w:sz w:val="16"/>
                <w:lang w:val="en-GB"/>
              </w:rPr>
              <w:t>2,027,608</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50E74A12" w14:textId="77777777" w:rsidR="001A532F" w:rsidRPr="00B11A10" w:rsidRDefault="001A532F" w:rsidP="001A532F">
            <w:pPr>
              <w:pStyle w:val="T1TableStyle"/>
              <w:jc w:val="center"/>
              <w:rPr>
                <w:rFonts w:ascii="Verdana" w:eastAsia="Verdana" w:hAnsi="Verdana" w:cs="Verdana"/>
                <w:b/>
                <w:color w:val="000000"/>
                <w:sz w:val="2"/>
                <w:lang w:val="en-GB"/>
              </w:rPr>
            </w:pPr>
            <w:r w:rsidRPr="00B11A10">
              <w:rPr>
                <w:rFonts w:ascii="Verdana" w:eastAsia="Verdana" w:hAnsi="Verdana" w:cs="Verdana"/>
                <w:b/>
                <w:color w:val="000000"/>
                <w:sz w:val="2"/>
                <w:lang w:val="en-GB"/>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14:paraId="54117C04" w14:textId="77777777" w:rsidR="001A532F" w:rsidRPr="00B11A10" w:rsidRDefault="001A532F" w:rsidP="001A532F">
            <w:pPr>
              <w:pStyle w:val="T1TableStyle"/>
              <w:rPr>
                <w:rFonts w:ascii="Verdana" w:eastAsia="Verdana" w:hAnsi="Verdana" w:cs="Verdana"/>
                <w:b/>
                <w:color w:val="000000"/>
                <w:sz w:val="16"/>
                <w:lang w:val="en-GB"/>
              </w:rPr>
            </w:pPr>
            <w:r w:rsidRPr="00B11A10">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3DCF7960" w14:textId="7544CED6" w:rsidR="001A532F" w:rsidRPr="00B11A10" w:rsidRDefault="00B11A10" w:rsidP="001A532F">
            <w:pPr>
              <w:pStyle w:val="T1TableStyle"/>
              <w:jc w:val="right"/>
              <w:rPr>
                <w:rFonts w:ascii="Verdana" w:eastAsia="Verdana" w:hAnsi="Verdana" w:cs="Verdana"/>
                <w:b/>
                <w:color w:val="000000"/>
                <w:sz w:val="16"/>
                <w:lang w:val="en-GB"/>
              </w:rPr>
            </w:pPr>
            <w:r w:rsidRPr="00B11A10">
              <w:rPr>
                <w:rFonts w:ascii="Verdana" w:eastAsia="Verdana" w:hAnsi="Verdana" w:cs="Verdana"/>
                <w:b/>
                <w:color w:val="000000"/>
                <w:sz w:val="16"/>
                <w:lang w:val="en-GB"/>
              </w:rPr>
              <w:t>2,175,997</w:t>
            </w:r>
          </w:p>
        </w:tc>
      </w:tr>
    </w:tbl>
    <w:p w14:paraId="76F43065" w14:textId="77777777" w:rsidR="00F227D9" w:rsidRPr="00B11A10" w:rsidRDefault="00F227D9">
      <w:pPr>
        <w:pStyle w:val="T1TableStyle"/>
        <w:rPr>
          <w:rFonts w:ascii="Verdana" w:eastAsia="Verdana" w:hAnsi="Verdana" w:cs="Verdana"/>
          <w:sz w:val="22"/>
          <w:lang w:val="en-GB"/>
        </w:rPr>
      </w:pPr>
    </w:p>
    <w:p w14:paraId="10F1900D" w14:textId="77777777" w:rsidR="00CB3842" w:rsidRPr="00514B3B" w:rsidRDefault="00CB3842">
      <w:pPr>
        <w:pStyle w:val="T1TableStyle"/>
        <w:rPr>
          <w:rFonts w:ascii="Verdana" w:eastAsia="Verdana" w:hAnsi="Verdana" w:cs="Verdana"/>
          <w:sz w:val="22"/>
          <w:lang w:val="en-GB"/>
        </w:rPr>
      </w:pPr>
    </w:p>
    <w:tbl>
      <w:tblPr>
        <w:tblW w:w="0" w:type="auto"/>
        <w:jc w:val="center"/>
        <w:tblLayout w:type="fixed"/>
        <w:tblLook w:val="04A0" w:firstRow="1" w:lastRow="0" w:firstColumn="1" w:lastColumn="0" w:noHBand="0" w:noVBand="1"/>
      </w:tblPr>
      <w:tblGrid>
        <w:gridCol w:w="1971"/>
        <w:gridCol w:w="265"/>
        <w:gridCol w:w="4762"/>
        <w:gridCol w:w="1975"/>
      </w:tblGrid>
      <w:tr w:rsidR="0053376B" w:rsidRPr="00514B3B" w14:paraId="305E1BB4" w14:textId="77777777" w:rsidTr="00CB3842">
        <w:trPr>
          <w:trHeight w:val="193"/>
          <w:jc w:val="center"/>
        </w:trPr>
        <w:tc>
          <w:tcPr>
            <w:tcW w:w="8973" w:type="dxa"/>
            <w:gridSpan w:val="4"/>
            <w:shd w:val="clear" w:color="auto" w:fill="auto"/>
            <w:tcMar>
              <w:top w:w="20" w:type="dxa"/>
              <w:left w:w="20" w:type="dxa"/>
              <w:bottom w:w="20" w:type="dxa"/>
              <w:right w:w="20" w:type="dxa"/>
            </w:tcMar>
            <w:vAlign w:val="bottom"/>
          </w:tcPr>
          <w:p w14:paraId="1E2FF1DB" w14:textId="77777777" w:rsidR="00F227D9" w:rsidRPr="00514B3B" w:rsidRDefault="00F227D9">
            <w:pPr>
              <w:pStyle w:val="T1TableStyle"/>
              <w:rPr>
                <w:rFonts w:ascii="Verdana" w:eastAsia="Verdana" w:hAnsi="Verdana" w:cs="Verdana"/>
                <w:b/>
                <w:color w:val="000000"/>
                <w:lang w:val="en-GB"/>
              </w:rPr>
            </w:pPr>
            <w:r w:rsidRPr="00514B3B">
              <w:rPr>
                <w:rFonts w:ascii="Verdana" w:eastAsia="Verdana" w:hAnsi="Verdana" w:cs="Verdana"/>
                <w:b/>
                <w:color w:val="000000"/>
                <w:lang w:val="en-GB"/>
              </w:rPr>
              <w:t>Pension Reserve</w:t>
            </w:r>
          </w:p>
        </w:tc>
      </w:tr>
      <w:tr w:rsidR="0053376B" w:rsidRPr="00514B3B" w14:paraId="4059DA23" w14:textId="77777777" w:rsidTr="001A532F">
        <w:trPr>
          <w:trHeight w:hRule="exact" w:val="193"/>
          <w:jc w:val="center"/>
        </w:trPr>
        <w:tc>
          <w:tcPr>
            <w:tcW w:w="1971" w:type="dxa"/>
            <w:shd w:val="clear" w:color="auto" w:fill="auto"/>
            <w:tcMar>
              <w:top w:w="20" w:type="dxa"/>
              <w:left w:w="20" w:type="dxa"/>
              <w:bottom w:w="20" w:type="dxa"/>
              <w:right w:w="20" w:type="dxa"/>
            </w:tcMar>
            <w:vAlign w:val="bottom"/>
          </w:tcPr>
          <w:p w14:paraId="25598443" w14:textId="77777777" w:rsidR="00F227D9" w:rsidRPr="00514B3B" w:rsidRDefault="00F227D9">
            <w:pPr>
              <w:pStyle w:val="T1TableStyle"/>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265" w:type="dxa"/>
            <w:shd w:val="clear" w:color="auto" w:fill="auto"/>
            <w:tcMar>
              <w:top w:w="20" w:type="dxa"/>
              <w:left w:w="20" w:type="dxa"/>
              <w:bottom w:w="20" w:type="dxa"/>
              <w:right w:w="20" w:type="dxa"/>
            </w:tcMar>
            <w:vAlign w:val="bottom"/>
          </w:tcPr>
          <w:p w14:paraId="7633B6D5" w14:textId="77777777" w:rsidR="00F227D9" w:rsidRPr="00514B3B" w:rsidRDefault="00F227D9">
            <w:pPr>
              <w:pStyle w:val="T1TableStyle"/>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4762" w:type="dxa"/>
            <w:shd w:val="clear" w:color="auto" w:fill="auto"/>
            <w:tcMar>
              <w:top w:w="20" w:type="dxa"/>
              <w:left w:w="20" w:type="dxa"/>
              <w:bottom w:w="20" w:type="dxa"/>
              <w:right w:w="20" w:type="dxa"/>
            </w:tcMar>
            <w:vAlign w:val="bottom"/>
          </w:tcPr>
          <w:p w14:paraId="38FA07EF" w14:textId="77777777" w:rsidR="00F227D9" w:rsidRPr="00514B3B" w:rsidRDefault="00F227D9">
            <w:pPr>
              <w:pStyle w:val="T1TableStyle"/>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1975" w:type="dxa"/>
            <w:shd w:val="clear" w:color="auto" w:fill="auto"/>
            <w:tcMar>
              <w:top w:w="20" w:type="dxa"/>
              <w:left w:w="20" w:type="dxa"/>
              <w:bottom w:w="20" w:type="dxa"/>
              <w:right w:w="20" w:type="dxa"/>
            </w:tcMar>
            <w:vAlign w:val="bottom"/>
          </w:tcPr>
          <w:p w14:paraId="6B0F2DB8" w14:textId="77777777" w:rsidR="00F227D9" w:rsidRPr="00514B3B" w:rsidRDefault="00F227D9">
            <w:pPr>
              <w:pStyle w:val="T1TableStyle"/>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r>
      <w:tr w:rsidR="0053376B" w:rsidRPr="00514B3B" w14:paraId="4E417080" w14:textId="77777777" w:rsidTr="001A532F">
        <w:trPr>
          <w:trHeight w:val="193"/>
          <w:jc w:val="center"/>
        </w:trPr>
        <w:tc>
          <w:tcPr>
            <w:tcW w:w="1971" w:type="dxa"/>
            <w:shd w:val="clear" w:color="auto" w:fill="auto"/>
            <w:tcMar>
              <w:top w:w="20" w:type="dxa"/>
              <w:left w:w="20" w:type="dxa"/>
              <w:bottom w:w="20" w:type="dxa"/>
              <w:right w:w="20" w:type="dxa"/>
            </w:tcMar>
            <w:vAlign w:val="bottom"/>
          </w:tcPr>
          <w:p w14:paraId="521258F0" w14:textId="77777777" w:rsidR="00F227D9" w:rsidRPr="00514B3B" w:rsidRDefault="00F227D9" w:rsidP="00DC495E">
            <w:pPr>
              <w:pStyle w:val="T1TableStyle"/>
              <w:jc w:val="center"/>
              <w:rPr>
                <w:rFonts w:ascii="Verdana" w:eastAsia="Verdana" w:hAnsi="Verdana" w:cs="Verdana"/>
                <w:b/>
                <w:color w:val="000000"/>
                <w:sz w:val="16"/>
                <w:lang w:val="en-GB"/>
              </w:rPr>
            </w:pPr>
            <w:r w:rsidRPr="00514B3B">
              <w:rPr>
                <w:rFonts w:ascii="Verdana" w:eastAsia="Verdana" w:hAnsi="Verdana" w:cs="Verdana"/>
                <w:b/>
                <w:color w:val="000000"/>
                <w:sz w:val="16"/>
                <w:lang w:val="en-GB"/>
              </w:rPr>
              <w:t>31 March 20</w:t>
            </w:r>
            <w:r w:rsidR="00DC495E" w:rsidRPr="00514B3B">
              <w:rPr>
                <w:rFonts w:ascii="Verdana" w:eastAsia="Verdana" w:hAnsi="Verdana" w:cs="Verdana"/>
                <w:b/>
                <w:color w:val="000000"/>
                <w:sz w:val="16"/>
                <w:lang w:val="en-GB"/>
              </w:rPr>
              <w:t>20</w:t>
            </w:r>
          </w:p>
        </w:tc>
        <w:tc>
          <w:tcPr>
            <w:tcW w:w="265" w:type="dxa"/>
            <w:shd w:val="clear" w:color="auto" w:fill="auto"/>
            <w:tcMar>
              <w:top w:w="20" w:type="dxa"/>
              <w:left w:w="20" w:type="dxa"/>
              <w:bottom w:w="20" w:type="dxa"/>
              <w:right w:w="20" w:type="dxa"/>
            </w:tcMar>
            <w:vAlign w:val="bottom"/>
          </w:tcPr>
          <w:p w14:paraId="24EAE26E" w14:textId="77777777" w:rsidR="00F227D9" w:rsidRPr="00514B3B" w:rsidRDefault="00F227D9">
            <w:pPr>
              <w:pStyle w:val="T1TableStyle"/>
              <w:jc w:val="center"/>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4762" w:type="dxa"/>
            <w:shd w:val="clear" w:color="auto" w:fill="auto"/>
            <w:tcMar>
              <w:top w:w="20" w:type="dxa"/>
              <w:left w:w="20" w:type="dxa"/>
              <w:bottom w:w="20" w:type="dxa"/>
              <w:right w:w="20" w:type="dxa"/>
            </w:tcMar>
            <w:vAlign w:val="bottom"/>
          </w:tcPr>
          <w:p w14:paraId="61FD575F" w14:textId="77777777" w:rsidR="00F227D9" w:rsidRPr="00514B3B" w:rsidRDefault="00F227D9">
            <w:pPr>
              <w:pStyle w:val="T1TableStyle"/>
              <w:jc w:val="center"/>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1975" w:type="dxa"/>
            <w:shd w:val="clear" w:color="auto" w:fill="auto"/>
            <w:tcMar>
              <w:top w:w="20" w:type="dxa"/>
              <w:left w:w="20" w:type="dxa"/>
              <w:bottom w:w="20" w:type="dxa"/>
              <w:right w:w="20" w:type="dxa"/>
            </w:tcMar>
            <w:vAlign w:val="bottom"/>
          </w:tcPr>
          <w:p w14:paraId="4F0DC74E" w14:textId="77777777" w:rsidR="00F227D9" w:rsidRPr="00514B3B" w:rsidRDefault="00F227D9" w:rsidP="00DC495E">
            <w:pPr>
              <w:pStyle w:val="T1TableStyle"/>
              <w:jc w:val="center"/>
              <w:rPr>
                <w:rFonts w:ascii="Verdana" w:eastAsia="Verdana" w:hAnsi="Verdana" w:cs="Verdana"/>
                <w:b/>
                <w:color w:val="000000"/>
                <w:sz w:val="16"/>
                <w:lang w:val="en-GB"/>
              </w:rPr>
            </w:pPr>
            <w:r w:rsidRPr="00514B3B">
              <w:rPr>
                <w:rFonts w:ascii="Verdana" w:eastAsia="Verdana" w:hAnsi="Verdana" w:cs="Verdana"/>
                <w:b/>
                <w:color w:val="000000"/>
                <w:sz w:val="16"/>
                <w:lang w:val="en-GB"/>
              </w:rPr>
              <w:t>31 March 202</w:t>
            </w:r>
            <w:r w:rsidR="00DC495E" w:rsidRPr="00514B3B">
              <w:rPr>
                <w:rFonts w:ascii="Verdana" w:eastAsia="Verdana" w:hAnsi="Verdana" w:cs="Verdana"/>
                <w:b/>
                <w:color w:val="000000"/>
                <w:sz w:val="16"/>
                <w:lang w:val="en-GB"/>
              </w:rPr>
              <w:t>1</w:t>
            </w:r>
          </w:p>
          <w:p w14:paraId="5EA3D579" w14:textId="77777777" w:rsidR="00DC495E" w:rsidRPr="00514B3B" w:rsidRDefault="00DC495E" w:rsidP="00DC495E">
            <w:pPr>
              <w:pStyle w:val="T1TableStyle"/>
              <w:jc w:val="center"/>
              <w:rPr>
                <w:rFonts w:ascii="Verdana" w:eastAsia="Verdana" w:hAnsi="Verdana" w:cs="Verdana"/>
                <w:b/>
                <w:color w:val="000000"/>
                <w:sz w:val="16"/>
                <w:lang w:val="en-GB"/>
              </w:rPr>
            </w:pPr>
          </w:p>
        </w:tc>
      </w:tr>
      <w:tr w:rsidR="0053376B" w:rsidRPr="00514B3B" w14:paraId="0FBB6A43" w14:textId="77777777" w:rsidTr="001A532F">
        <w:trPr>
          <w:trHeight w:val="193"/>
          <w:jc w:val="center"/>
        </w:trPr>
        <w:tc>
          <w:tcPr>
            <w:tcW w:w="1971" w:type="dxa"/>
            <w:tcBorders>
              <w:bottom w:val="single" w:sz="4" w:space="0" w:color="auto"/>
            </w:tcBorders>
            <w:shd w:val="clear" w:color="auto" w:fill="auto"/>
            <w:tcMar>
              <w:top w:w="20" w:type="dxa"/>
              <w:left w:w="20" w:type="dxa"/>
              <w:bottom w:w="20" w:type="dxa"/>
              <w:right w:w="20" w:type="dxa"/>
            </w:tcMar>
          </w:tcPr>
          <w:p w14:paraId="3F85CDC5" w14:textId="77777777" w:rsidR="00F227D9" w:rsidRPr="00514B3B" w:rsidRDefault="00F227D9">
            <w:pPr>
              <w:pStyle w:val="T1TableStyle"/>
              <w:jc w:val="right"/>
              <w:rPr>
                <w:rFonts w:ascii="Verdana" w:eastAsia="Verdana" w:hAnsi="Verdana" w:cs="Verdana"/>
                <w:b/>
                <w:color w:val="000000"/>
                <w:sz w:val="16"/>
                <w:lang w:val="en-GB"/>
              </w:rPr>
            </w:pPr>
            <w:r w:rsidRPr="00514B3B">
              <w:rPr>
                <w:rFonts w:ascii="Verdana" w:eastAsia="Verdana" w:hAnsi="Verdana" w:cs="Verdana"/>
                <w:b/>
                <w:color w:val="000000"/>
                <w:sz w:val="16"/>
                <w:lang w:val="en-GB"/>
              </w:rPr>
              <w:t>£000</w:t>
            </w:r>
          </w:p>
        </w:tc>
        <w:tc>
          <w:tcPr>
            <w:tcW w:w="265" w:type="dxa"/>
            <w:tcBorders>
              <w:bottom w:val="single" w:sz="4" w:space="0" w:color="auto"/>
            </w:tcBorders>
            <w:shd w:val="clear" w:color="auto" w:fill="auto"/>
            <w:tcMar>
              <w:top w:w="20" w:type="dxa"/>
              <w:left w:w="20" w:type="dxa"/>
              <w:bottom w:w="20" w:type="dxa"/>
              <w:right w:w="20" w:type="dxa"/>
            </w:tcMar>
          </w:tcPr>
          <w:p w14:paraId="0B33CE4B" w14:textId="77777777" w:rsidR="00F227D9" w:rsidRPr="00514B3B" w:rsidRDefault="00F227D9">
            <w:pPr>
              <w:pStyle w:val="T1TableStyle"/>
              <w:jc w:val="right"/>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4762" w:type="dxa"/>
            <w:tcBorders>
              <w:bottom w:val="single" w:sz="4" w:space="0" w:color="auto"/>
            </w:tcBorders>
            <w:shd w:val="clear" w:color="auto" w:fill="auto"/>
            <w:tcMar>
              <w:top w:w="20" w:type="dxa"/>
              <w:left w:w="20" w:type="dxa"/>
              <w:bottom w:w="20" w:type="dxa"/>
              <w:right w:w="20" w:type="dxa"/>
            </w:tcMar>
          </w:tcPr>
          <w:p w14:paraId="5D7DD0E9" w14:textId="77777777" w:rsidR="00F227D9" w:rsidRPr="00514B3B" w:rsidRDefault="00F227D9">
            <w:pPr>
              <w:pStyle w:val="T1TableStyle"/>
              <w:jc w:val="right"/>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1975" w:type="dxa"/>
            <w:tcBorders>
              <w:bottom w:val="single" w:sz="4" w:space="0" w:color="auto"/>
            </w:tcBorders>
            <w:shd w:val="clear" w:color="auto" w:fill="auto"/>
            <w:tcMar>
              <w:top w:w="20" w:type="dxa"/>
              <w:left w:w="20" w:type="dxa"/>
              <w:bottom w:w="20" w:type="dxa"/>
              <w:right w:w="20" w:type="dxa"/>
            </w:tcMar>
          </w:tcPr>
          <w:p w14:paraId="3EC4674A" w14:textId="77777777" w:rsidR="00F227D9" w:rsidRPr="00514B3B" w:rsidRDefault="00F227D9">
            <w:pPr>
              <w:pStyle w:val="T1TableStyle"/>
              <w:jc w:val="right"/>
              <w:rPr>
                <w:rFonts w:ascii="Verdana" w:eastAsia="Verdana" w:hAnsi="Verdana" w:cs="Verdana"/>
                <w:b/>
                <w:color w:val="000000"/>
                <w:sz w:val="16"/>
                <w:lang w:val="en-GB"/>
              </w:rPr>
            </w:pPr>
            <w:r w:rsidRPr="00514B3B">
              <w:rPr>
                <w:rFonts w:ascii="Verdana" w:eastAsia="Verdana" w:hAnsi="Verdana" w:cs="Verdana"/>
                <w:b/>
                <w:color w:val="000000"/>
                <w:sz w:val="16"/>
                <w:lang w:val="en-GB"/>
              </w:rPr>
              <w:t>£000</w:t>
            </w:r>
          </w:p>
        </w:tc>
      </w:tr>
      <w:tr w:rsidR="001A532F" w:rsidRPr="00514B3B" w14:paraId="487BEB47" w14:textId="77777777" w:rsidTr="00B11A10">
        <w:trPr>
          <w:trHeight w:val="193"/>
          <w:jc w:val="center"/>
        </w:trPr>
        <w:tc>
          <w:tcPr>
            <w:tcW w:w="1971" w:type="dxa"/>
            <w:tcBorders>
              <w:top w:val="single" w:sz="4" w:space="0" w:color="auto"/>
            </w:tcBorders>
            <w:shd w:val="clear" w:color="auto" w:fill="auto"/>
            <w:tcMar>
              <w:top w:w="20" w:type="dxa"/>
              <w:left w:w="20" w:type="dxa"/>
              <w:bottom w:w="20" w:type="dxa"/>
              <w:right w:w="20" w:type="dxa"/>
            </w:tcMar>
          </w:tcPr>
          <w:p w14:paraId="23E840CB" w14:textId="77777777" w:rsidR="001A532F" w:rsidRPr="00514B3B" w:rsidRDefault="001A532F"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2,156,930</w:t>
            </w:r>
          </w:p>
        </w:tc>
        <w:tc>
          <w:tcPr>
            <w:tcW w:w="265" w:type="dxa"/>
            <w:tcBorders>
              <w:top w:val="single" w:sz="4" w:space="0" w:color="auto"/>
            </w:tcBorders>
            <w:shd w:val="clear" w:color="auto" w:fill="auto"/>
            <w:tcMar>
              <w:top w:w="20" w:type="dxa"/>
              <w:left w:w="20" w:type="dxa"/>
              <w:bottom w:w="20" w:type="dxa"/>
              <w:right w:w="20" w:type="dxa"/>
            </w:tcMar>
          </w:tcPr>
          <w:p w14:paraId="200A64EB" w14:textId="77777777" w:rsidR="001A532F" w:rsidRPr="00514B3B" w:rsidRDefault="001A532F" w:rsidP="001A532F">
            <w:pPr>
              <w:pStyle w:val="T1TableStyle"/>
              <w:jc w:val="center"/>
              <w:rPr>
                <w:rFonts w:ascii="Verdana" w:eastAsia="Verdana" w:hAnsi="Verdana" w:cs="Verdana"/>
                <w:color w:val="000000"/>
                <w:sz w:val="2"/>
                <w:lang w:val="en-GB"/>
              </w:rPr>
            </w:pPr>
            <w:r w:rsidRPr="00514B3B">
              <w:rPr>
                <w:rFonts w:ascii="Verdana" w:eastAsia="Verdana" w:hAnsi="Verdana" w:cs="Verdana"/>
                <w:color w:val="000000"/>
                <w:sz w:val="2"/>
                <w:lang w:val="en-GB"/>
              </w:rPr>
              <w:t xml:space="preserve"> </w:t>
            </w:r>
          </w:p>
        </w:tc>
        <w:tc>
          <w:tcPr>
            <w:tcW w:w="4762" w:type="dxa"/>
            <w:tcBorders>
              <w:top w:val="single" w:sz="4" w:space="0" w:color="auto"/>
            </w:tcBorders>
            <w:shd w:val="clear" w:color="auto" w:fill="auto"/>
            <w:tcMar>
              <w:top w:w="20" w:type="dxa"/>
              <w:left w:w="20" w:type="dxa"/>
              <w:bottom w:w="20" w:type="dxa"/>
              <w:right w:w="20" w:type="dxa"/>
            </w:tcMar>
          </w:tcPr>
          <w:p w14:paraId="49CE558D" w14:textId="77777777" w:rsidR="001A532F" w:rsidRPr="00514B3B" w:rsidRDefault="001A532F" w:rsidP="001A532F">
            <w:pPr>
              <w:pStyle w:val="T1TableStyle"/>
              <w:rPr>
                <w:rFonts w:ascii="Verdana" w:eastAsia="Verdana" w:hAnsi="Verdana" w:cs="Verdana"/>
                <w:color w:val="000000"/>
                <w:sz w:val="16"/>
                <w:lang w:val="en-GB"/>
              </w:rPr>
            </w:pPr>
            <w:r w:rsidRPr="00514B3B">
              <w:rPr>
                <w:rFonts w:ascii="Verdana" w:eastAsia="Verdana" w:hAnsi="Verdana" w:cs="Verdana"/>
                <w:color w:val="000000"/>
                <w:sz w:val="16"/>
                <w:lang w:val="en-GB"/>
              </w:rPr>
              <w:t xml:space="preserve">Balance 1 April </w:t>
            </w:r>
          </w:p>
        </w:tc>
        <w:tc>
          <w:tcPr>
            <w:tcW w:w="1975" w:type="dxa"/>
            <w:tcBorders>
              <w:top w:val="single" w:sz="4" w:space="0" w:color="auto"/>
            </w:tcBorders>
            <w:shd w:val="clear" w:color="auto" w:fill="auto"/>
            <w:tcMar>
              <w:top w:w="20" w:type="dxa"/>
              <w:left w:w="20" w:type="dxa"/>
              <w:bottom w:w="20" w:type="dxa"/>
              <w:right w:w="20" w:type="dxa"/>
            </w:tcMar>
          </w:tcPr>
          <w:p w14:paraId="33686F20" w14:textId="25410D56" w:rsidR="004453B1" w:rsidRPr="00514B3B" w:rsidRDefault="004453B1" w:rsidP="00B11A10">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2,026,555</w:t>
            </w:r>
          </w:p>
        </w:tc>
      </w:tr>
      <w:tr w:rsidR="001A532F" w:rsidRPr="00514B3B" w14:paraId="542C5FA3" w14:textId="77777777" w:rsidTr="00B11A10">
        <w:trPr>
          <w:trHeight w:val="193"/>
          <w:jc w:val="center"/>
        </w:trPr>
        <w:tc>
          <w:tcPr>
            <w:tcW w:w="1971" w:type="dxa"/>
            <w:shd w:val="clear" w:color="auto" w:fill="auto"/>
            <w:tcMar>
              <w:top w:w="20" w:type="dxa"/>
              <w:left w:w="20" w:type="dxa"/>
              <w:bottom w:w="20" w:type="dxa"/>
              <w:right w:w="20" w:type="dxa"/>
            </w:tcMar>
          </w:tcPr>
          <w:p w14:paraId="54FDD5AA" w14:textId="77777777" w:rsidR="001A532F" w:rsidRPr="00514B3B" w:rsidRDefault="001A532F"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(1,414)</w:t>
            </w:r>
          </w:p>
        </w:tc>
        <w:tc>
          <w:tcPr>
            <w:tcW w:w="265" w:type="dxa"/>
            <w:shd w:val="clear" w:color="auto" w:fill="auto"/>
            <w:tcMar>
              <w:top w:w="20" w:type="dxa"/>
              <w:left w:w="20" w:type="dxa"/>
              <w:bottom w:w="20" w:type="dxa"/>
              <w:right w:w="20" w:type="dxa"/>
            </w:tcMar>
          </w:tcPr>
          <w:p w14:paraId="28FAB08D" w14:textId="77777777" w:rsidR="001A532F" w:rsidRPr="00514B3B" w:rsidRDefault="001A532F" w:rsidP="001A532F">
            <w:pPr>
              <w:pStyle w:val="T1TableStyle"/>
              <w:jc w:val="center"/>
              <w:rPr>
                <w:rFonts w:ascii="Verdana" w:eastAsia="Verdana" w:hAnsi="Verdana" w:cs="Verdana"/>
                <w:color w:val="000000"/>
                <w:sz w:val="2"/>
                <w:lang w:val="en-GB"/>
              </w:rPr>
            </w:pPr>
          </w:p>
        </w:tc>
        <w:tc>
          <w:tcPr>
            <w:tcW w:w="4762" w:type="dxa"/>
            <w:shd w:val="clear" w:color="auto" w:fill="auto"/>
            <w:tcMar>
              <w:top w:w="20" w:type="dxa"/>
              <w:left w:w="20" w:type="dxa"/>
              <w:bottom w:w="20" w:type="dxa"/>
              <w:right w:w="20" w:type="dxa"/>
            </w:tcMar>
          </w:tcPr>
          <w:p w14:paraId="3453EA3D" w14:textId="77777777" w:rsidR="001A532F" w:rsidRPr="00514B3B" w:rsidRDefault="001A532F" w:rsidP="001A532F">
            <w:pPr>
              <w:pStyle w:val="T1TableStyle"/>
              <w:rPr>
                <w:rFonts w:ascii="Verdana" w:eastAsia="Verdana" w:hAnsi="Verdana" w:cs="Verdana"/>
                <w:color w:val="000000"/>
                <w:sz w:val="16"/>
                <w:lang w:val="en-GB"/>
              </w:rPr>
            </w:pPr>
            <w:r w:rsidRPr="00514B3B">
              <w:rPr>
                <w:rFonts w:ascii="Verdana" w:eastAsia="Verdana" w:hAnsi="Verdana" w:cs="Verdana"/>
                <w:color w:val="000000"/>
                <w:sz w:val="16"/>
                <w:lang w:val="en-GB"/>
              </w:rPr>
              <w:t>Transfer to PCC Pension Reserve</w:t>
            </w:r>
          </w:p>
        </w:tc>
        <w:tc>
          <w:tcPr>
            <w:tcW w:w="1975" w:type="dxa"/>
            <w:shd w:val="clear" w:color="auto" w:fill="auto"/>
            <w:tcMar>
              <w:top w:w="20" w:type="dxa"/>
              <w:left w:w="20" w:type="dxa"/>
              <w:bottom w:w="20" w:type="dxa"/>
              <w:right w:w="20" w:type="dxa"/>
            </w:tcMar>
          </w:tcPr>
          <w:p w14:paraId="124DF7E9" w14:textId="4BA958EF" w:rsidR="001A532F" w:rsidRPr="00514B3B" w:rsidRDefault="00B11A10"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0</w:t>
            </w:r>
          </w:p>
        </w:tc>
      </w:tr>
      <w:tr w:rsidR="001A532F" w:rsidRPr="00514B3B" w14:paraId="68AFF790" w14:textId="77777777" w:rsidTr="00B11A10">
        <w:trPr>
          <w:trHeight w:val="270"/>
          <w:jc w:val="center"/>
        </w:trPr>
        <w:tc>
          <w:tcPr>
            <w:tcW w:w="1971" w:type="dxa"/>
            <w:shd w:val="clear" w:color="auto" w:fill="auto"/>
            <w:tcMar>
              <w:top w:w="20" w:type="dxa"/>
              <w:left w:w="20" w:type="dxa"/>
              <w:bottom w:w="20" w:type="dxa"/>
              <w:right w:w="20" w:type="dxa"/>
            </w:tcMar>
          </w:tcPr>
          <w:p w14:paraId="455DE0AF" w14:textId="77777777" w:rsidR="001A532F" w:rsidRPr="00514B3B" w:rsidRDefault="001A532F"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(191,847)</w:t>
            </w:r>
          </w:p>
        </w:tc>
        <w:tc>
          <w:tcPr>
            <w:tcW w:w="265" w:type="dxa"/>
            <w:shd w:val="clear" w:color="auto" w:fill="auto"/>
            <w:tcMar>
              <w:top w:w="20" w:type="dxa"/>
              <w:left w:w="20" w:type="dxa"/>
              <w:bottom w:w="20" w:type="dxa"/>
              <w:right w:w="20" w:type="dxa"/>
            </w:tcMar>
          </w:tcPr>
          <w:p w14:paraId="3D8165B4" w14:textId="77777777" w:rsidR="001A532F" w:rsidRPr="00514B3B" w:rsidRDefault="001A532F" w:rsidP="001A532F">
            <w:pPr>
              <w:pStyle w:val="T1TableStyle"/>
              <w:jc w:val="center"/>
              <w:rPr>
                <w:rFonts w:ascii="Verdana" w:eastAsia="Verdana" w:hAnsi="Verdana" w:cs="Verdana"/>
                <w:color w:val="000000"/>
                <w:sz w:val="2"/>
                <w:lang w:val="en-GB"/>
              </w:rPr>
            </w:pPr>
            <w:r w:rsidRPr="00514B3B">
              <w:rPr>
                <w:rFonts w:ascii="Verdana" w:eastAsia="Verdana" w:hAnsi="Verdana" w:cs="Verdana"/>
                <w:color w:val="000000"/>
                <w:sz w:val="2"/>
                <w:lang w:val="en-GB"/>
              </w:rPr>
              <w:t xml:space="preserve"> </w:t>
            </w:r>
          </w:p>
        </w:tc>
        <w:tc>
          <w:tcPr>
            <w:tcW w:w="4762" w:type="dxa"/>
            <w:shd w:val="clear" w:color="auto" w:fill="auto"/>
            <w:tcMar>
              <w:top w:w="20" w:type="dxa"/>
              <w:left w:w="20" w:type="dxa"/>
              <w:bottom w:w="20" w:type="dxa"/>
              <w:right w:w="20" w:type="dxa"/>
            </w:tcMar>
          </w:tcPr>
          <w:p w14:paraId="282772D9" w14:textId="77777777" w:rsidR="001A532F" w:rsidRPr="00514B3B" w:rsidRDefault="001A532F" w:rsidP="001A532F">
            <w:pPr>
              <w:pStyle w:val="T1TableStyle"/>
              <w:rPr>
                <w:rFonts w:ascii="Verdana" w:eastAsia="Verdana" w:hAnsi="Verdana" w:cs="Verdana"/>
                <w:color w:val="000000"/>
                <w:sz w:val="16"/>
                <w:lang w:val="en-GB"/>
              </w:rPr>
            </w:pPr>
            <w:r w:rsidRPr="00514B3B">
              <w:rPr>
                <w:rFonts w:ascii="Verdana" w:eastAsia="Verdana" w:hAnsi="Verdana" w:cs="Verdana"/>
                <w:color w:val="000000"/>
                <w:sz w:val="16"/>
                <w:lang w:val="en-GB"/>
              </w:rPr>
              <w:t>Re-measurements of the net defined benefit (liability)/asset</w:t>
            </w:r>
          </w:p>
        </w:tc>
        <w:tc>
          <w:tcPr>
            <w:tcW w:w="1975" w:type="dxa"/>
            <w:shd w:val="clear" w:color="auto" w:fill="auto"/>
            <w:tcMar>
              <w:top w:w="20" w:type="dxa"/>
              <w:left w:w="20" w:type="dxa"/>
              <w:bottom w:w="20" w:type="dxa"/>
              <w:right w:w="20" w:type="dxa"/>
            </w:tcMar>
          </w:tcPr>
          <w:p w14:paraId="0C6DBB1D" w14:textId="09BEC5B7" w:rsidR="001A532F" w:rsidRPr="00514B3B" w:rsidRDefault="00713E05"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79,860</w:t>
            </w:r>
          </w:p>
        </w:tc>
      </w:tr>
      <w:tr w:rsidR="001A532F" w:rsidRPr="00514B3B" w14:paraId="614D44D3" w14:textId="77777777" w:rsidTr="001A532F">
        <w:trPr>
          <w:trHeight w:val="812"/>
          <w:jc w:val="center"/>
        </w:trPr>
        <w:tc>
          <w:tcPr>
            <w:tcW w:w="1971" w:type="dxa"/>
            <w:shd w:val="clear" w:color="auto" w:fill="auto"/>
            <w:tcMar>
              <w:top w:w="20" w:type="dxa"/>
              <w:left w:w="20" w:type="dxa"/>
              <w:bottom w:w="20" w:type="dxa"/>
              <w:right w:w="20" w:type="dxa"/>
            </w:tcMar>
          </w:tcPr>
          <w:p w14:paraId="41B939B6" w14:textId="77777777" w:rsidR="001A532F" w:rsidRPr="00514B3B" w:rsidRDefault="001A532F"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113,180</w:t>
            </w:r>
          </w:p>
        </w:tc>
        <w:tc>
          <w:tcPr>
            <w:tcW w:w="265" w:type="dxa"/>
            <w:shd w:val="clear" w:color="auto" w:fill="auto"/>
            <w:tcMar>
              <w:top w:w="20" w:type="dxa"/>
              <w:left w:w="20" w:type="dxa"/>
              <w:bottom w:w="20" w:type="dxa"/>
              <w:right w:w="20" w:type="dxa"/>
            </w:tcMar>
          </w:tcPr>
          <w:p w14:paraId="79E7D241" w14:textId="77777777" w:rsidR="001A532F" w:rsidRPr="00514B3B" w:rsidRDefault="001A532F" w:rsidP="001A532F">
            <w:pPr>
              <w:pStyle w:val="T1TableStyle"/>
              <w:jc w:val="center"/>
              <w:rPr>
                <w:rFonts w:ascii="Verdana" w:eastAsia="Verdana" w:hAnsi="Verdana" w:cs="Verdana"/>
                <w:color w:val="000000"/>
                <w:sz w:val="2"/>
                <w:lang w:val="en-GB"/>
              </w:rPr>
            </w:pPr>
            <w:r w:rsidRPr="00514B3B">
              <w:rPr>
                <w:rFonts w:ascii="Verdana" w:eastAsia="Verdana" w:hAnsi="Verdana" w:cs="Verdana"/>
                <w:color w:val="000000"/>
                <w:sz w:val="2"/>
                <w:lang w:val="en-GB"/>
              </w:rPr>
              <w:t xml:space="preserve"> </w:t>
            </w:r>
          </w:p>
        </w:tc>
        <w:tc>
          <w:tcPr>
            <w:tcW w:w="4762" w:type="dxa"/>
            <w:shd w:val="clear" w:color="auto" w:fill="auto"/>
            <w:tcMar>
              <w:top w:w="20" w:type="dxa"/>
              <w:left w:w="20" w:type="dxa"/>
              <w:bottom w:w="20" w:type="dxa"/>
              <w:right w:w="20" w:type="dxa"/>
            </w:tcMar>
          </w:tcPr>
          <w:p w14:paraId="4D7A1155" w14:textId="77777777" w:rsidR="001A532F" w:rsidRPr="00514B3B" w:rsidRDefault="001A532F" w:rsidP="001A532F">
            <w:pPr>
              <w:pStyle w:val="T1TableStyle"/>
              <w:rPr>
                <w:rFonts w:ascii="Verdana" w:eastAsia="Verdana" w:hAnsi="Verdana" w:cs="Verdana"/>
                <w:color w:val="000000"/>
                <w:sz w:val="16"/>
                <w:lang w:val="en-GB"/>
              </w:rPr>
            </w:pPr>
            <w:r w:rsidRPr="00514B3B">
              <w:rPr>
                <w:rFonts w:ascii="Verdana" w:eastAsia="Verdana" w:hAnsi="Verdana" w:cs="Verdana"/>
                <w:color w:val="000000"/>
                <w:sz w:val="16"/>
                <w:lang w:val="en-GB"/>
              </w:rPr>
              <w:t xml:space="preserve">Reversal of items relating to retirement benefits debited or credited to the Surplus or Deficit on the Provision of Services in the Comprehensive Income and Expenditure Statement </w:t>
            </w:r>
          </w:p>
        </w:tc>
        <w:tc>
          <w:tcPr>
            <w:tcW w:w="1975" w:type="dxa"/>
            <w:shd w:val="clear" w:color="auto" w:fill="auto"/>
            <w:tcMar>
              <w:top w:w="20" w:type="dxa"/>
              <w:left w:w="20" w:type="dxa"/>
              <w:bottom w:w="20" w:type="dxa"/>
              <w:right w:w="20" w:type="dxa"/>
            </w:tcMar>
          </w:tcPr>
          <w:p w14:paraId="5EF7BE52" w14:textId="76B3B706" w:rsidR="001A532F" w:rsidRPr="00514B3B" w:rsidRDefault="00713E05"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116,933</w:t>
            </w:r>
          </w:p>
        </w:tc>
      </w:tr>
      <w:tr w:rsidR="001A532F" w:rsidRPr="00514B3B" w14:paraId="71CC9A17" w14:textId="77777777" w:rsidTr="001A532F">
        <w:trPr>
          <w:trHeight w:val="405"/>
          <w:jc w:val="center"/>
        </w:trPr>
        <w:tc>
          <w:tcPr>
            <w:tcW w:w="1971" w:type="dxa"/>
            <w:shd w:val="clear" w:color="auto" w:fill="auto"/>
            <w:tcMar>
              <w:top w:w="20" w:type="dxa"/>
              <w:left w:w="20" w:type="dxa"/>
              <w:bottom w:w="20" w:type="dxa"/>
              <w:right w:w="20" w:type="dxa"/>
            </w:tcMar>
          </w:tcPr>
          <w:p w14:paraId="6C564836" w14:textId="77777777" w:rsidR="001A532F" w:rsidRPr="00514B3B" w:rsidRDefault="001A532F"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(50,294)</w:t>
            </w:r>
          </w:p>
        </w:tc>
        <w:tc>
          <w:tcPr>
            <w:tcW w:w="265" w:type="dxa"/>
            <w:shd w:val="clear" w:color="auto" w:fill="auto"/>
            <w:tcMar>
              <w:top w:w="20" w:type="dxa"/>
              <w:left w:w="20" w:type="dxa"/>
              <w:bottom w:w="20" w:type="dxa"/>
              <w:right w:w="20" w:type="dxa"/>
            </w:tcMar>
          </w:tcPr>
          <w:p w14:paraId="451D3F98" w14:textId="77777777" w:rsidR="001A532F" w:rsidRPr="00514B3B" w:rsidRDefault="001A532F" w:rsidP="001A532F">
            <w:pPr>
              <w:pStyle w:val="T1TableStyle"/>
              <w:jc w:val="center"/>
              <w:rPr>
                <w:rFonts w:ascii="Verdana" w:eastAsia="Verdana" w:hAnsi="Verdana" w:cs="Verdana"/>
                <w:color w:val="000000"/>
                <w:sz w:val="2"/>
                <w:lang w:val="en-GB"/>
              </w:rPr>
            </w:pPr>
            <w:r w:rsidRPr="00514B3B">
              <w:rPr>
                <w:rFonts w:ascii="Verdana" w:eastAsia="Verdana" w:hAnsi="Verdana" w:cs="Verdana"/>
                <w:color w:val="000000"/>
                <w:sz w:val="2"/>
                <w:lang w:val="en-GB"/>
              </w:rPr>
              <w:t xml:space="preserve"> </w:t>
            </w:r>
          </w:p>
        </w:tc>
        <w:tc>
          <w:tcPr>
            <w:tcW w:w="4762" w:type="dxa"/>
            <w:shd w:val="clear" w:color="auto" w:fill="auto"/>
            <w:tcMar>
              <w:top w:w="20" w:type="dxa"/>
              <w:left w:w="20" w:type="dxa"/>
              <w:bottom w:w="20" w:type="dxa"/>
              <w:right w:w="20" w:type="dxa"/>
            </w:tcMar>
          </w:tcPr>
          <w:p w14:paraId="0E1D8D5A" w14:textId="77777777" w:rsidR="001A532F" w:rsidRPr="00514B3B" w:rsidRDefault="001A532F" w:rsidP="001A532F">
            <w:pPr>
              <w:pStyle w:val="T1TableStyle"/>
              <w:rPr>
                <w:rFonts w:ascii="Verdana" w:eastAsia="Verdana" w:hAnsi="Verdana" w:cs="Verdana"/>
                <w:color w:val="000000"/>
                <w:sz w:val="16"/>
                <w:lang w:val="en-GB"/>
              </w:rPr>
            </w:pPr>
            <w:r w:rsidRPr="00514B3B">
              <w:rPr>
                <w:rFonts w:ascii="Verdana" w:eastAsia="Verdana" w:hAnsi="Verdana" w:cs="Verdana"/>
                <w:color w:val="000000"/>
                <w:sz w:val="16"/>
                <w:lang w:val="en-GB"/>
              </w:rPr>
              <w:t>Employer's pensions contributions and direct payments to pensioners payable in the year</w:t>
            </w:r>
          </w:p>
        </w:tc>
        <w:tc>
          <w:tcPr>
            <w:tcW w:w="1975" w:type="dxa"/>
            <w:shd w:val="clear" w:color="auto" w:fill="auto"/>
            <w:tcMar>
              <w:top w:w="20" w:type="dxa"/>
              <w:left w:w="20" w:type="dxa"/>
              <w:bottom w:w="20" w:type="dxa"/>
              <w:right w:w="20" w:type="dxa"/>
            </w:tcMar>
          </w:tcPr>
          <w:p w14:paraId="1EC47516" w14:textId="67814E33" w:rsidR="001A532F" w:rsidRPr="00514B3B" w:rsidRDefault="00713E05" w:rsidP="001A532F">
            <w:pPr>
              <w:pStyle w:val="T1TableStyle"/>
              <w:jc w:val="right"/>
              <w:rPr>
                <w:rFonts w:ascii="Verdana" w:eastAsia="Verdana" w:hAnsi="Verdana" w:cs="Verdana"/>
                <w:color w:val="000000"/>
                <w:sz w:val="16"/>
                <w:lang w:val="en-GB"/>
              </w:rPr>
            </w:pPr>
            <w:r w:rsidRPr="00514B3B">
              <w:rPr>
                <w:rFonts w:ascii="Verdana" w:eastAsia="Verdana" w:hAnsi="Verdana" w:cs="Verdana"/>
                <w:color w:val="000000"/>
                <w:sz w:val="16"/>
                <w:lang w:val="en-GB"/>
              </w:rPr>
              <w:t>(49,302)</w:t>
            </w:r>
          </w:p>
        </w:tc>
      </w:tr>
      <w:tr w:rsidR="001A532F" w:rsidRPr="00DC1077" w14:paraId="68346619" w14:textId="77777777" w:rsidTr="001A532F">
        <w:trPr>
          <w:trHeight w:val="202"/>
          <w:jc w:val="center"/>
        </w:trPr>
        <w:tc>
          <w:tcPr>
            <w:tcW w:w="1971" w:type="dxa"/>
            <w:tcBorders>
              <w:top w:val="single" w:sz="2" w:space="0" w:color="000000"/>
              <w:bottom w:val="single" w:sz="12" w:space="0" w:color="000000"/>
            </w:tcBorders>
            <w:shd w:val="clear" w:color="auto" w:fill="auto"/>
            <w:tcMar>
              <w:top w:w="20" w:type="dxa"/>
              <w:left w:w="20" w:type="dxa"/>
              <w:bottom w:w="20" w:type="dxa"/>
              <w:right w:w="20" w:type="dxa"/>
            </w:tcMar>
          </w:tcPr>
          <w:p w14:paraId="51406109" w14:textId="77777777" w:rsidR="001A532F" w:rsidRPr="00514B3B" w:rsidRDefault="001A532F" w:rsidP="001A532F">
            <w:pPr>
              <w:pStyle w:val="T1TableStyle"/>
              <w:jc w:val="right"/>
              <w:rPr>
                <w:rFonts w:ascii="Verdana" w:eastAsia="Verdana" w:hAnsi="Verdana" w:cs="Verdana"/>
                <w:b/>
                <w:color w:val="000000"/>
                <w:sz w:val="16"/>
                <w:lang w:val="en-GB"/>
              </w:rPr>
            </w:pPr>
            <w:r w:rsidRPr="00514B3B">
              <w:rPr>
                <w:rFonts w:ascii="Verdana" w:eastAsia="Verdana" w:hAnsi="Verdana" w:cs="Verdana"/>
                <w:b/>
                <w:color w:val="000000"/>
                <w:sz w:val="16"/>
                <w:lang w:val="en-GB"/>
              </w:rPr>
              <w:t>2,026,555</w:t>
            </w:r>
          </w:p>
        </w:tc>
        <w:tc>
          <w:tcPr>
            <w:tcW w:w="265" w:type="dxa"/>
            <w:tcBorders>
              <w:top w:val="single" w:sz="2" w:space="0" w:color="000000"/>
              <w:bottom w:val="single" w:sz="12" w:space="0" w:color="000000"/>
            </w:tcBorders>
            <w:shd w:val="clear" w:color="auto" w:fill="auto"/>
            <w:tcMar>
              <w:top w:w="20" w:type="dxa"/>
              <w:left w:w="20" w:type="dxa"/>
              <w:bottom w:w="20" w:type="dxa"/>
              <w:right w:w="20" w:type="dxa"/>
            </w:tcMar>
          </w:tcPr>
          <w:p w14:paraId="2DD779B3" w14:textId="77777777" w:rsidR="001A532F" w:rsidRPr="00514B3B" w:rsidRDefault="001A532F" w:rsidP="001A532F">
            <w:pPr>
              <w:pStyle w:val="T1TableStyle"/>
              <w:jc w:val="center"/>
              <w:rPr>
                <w:rFonts w:ascii="Verdana" w:eastAsia="Verdana" w:hAnsi="Verdana" w:cs="Verdana"/>
                <w:b/>
                <w:color w:val="000000"/>
                <w:sz w:val="2"/>
                <w:lang w:val="en-GB"/>
              </w:rPr>
            </w:pPr>
            <w:r w:rsidRPr="00514B3B">
              <w:rPr>
                <w:rFonts w:ascii="Verdana" w:eastAsia="Verdana" w:hAnsi="Verdana" w:cs="Verdana"/>
                <w:b/>
                <w:color w:val="000000"/>
                <w:sz w:val="2"/>
                <w:lang w:val="en-GB"/>
              </w:rPr>
              <w:t xml:space="preserve"> </w:t>
            </w:r>
          </w:p>
        </w:tc>
        <w:tc>
          <w:tcPr>
            <w:tcW w:w="4762" w:type="dxa"/>
            <w:tcBorders>
              <w:top w:val="single" w:sz="2" w:space="0" w:color="000000"/>
              <w:bottom w:val="single" w:sz="12" w:space="0" w:color="000000"/>
            </w:tcBorders>
            <w:shd w:val="clear" w:color="auto" w:fill="auto"/>
            <w:tcMar>
              <w:top w:w="20" w:type="dxa"/>
              <w:left w:w="20" w:type="dxa"/>
              <w:bottom w:w="20" w:type="dxa"/>
              <w:right w:w="20" w:type="dxa"/>
            </w:tcMar>
          </w:tcPr>
          <w:p w14:paraId="3E64A34A" w14:textId="77777777" w:rsidR="001A532F" w:rsidRPr="00514B3B" w:rsidRDefault="001A532F" w:rsidP="001A532F">
            <w:pPr>
              <w:pStyle w:val="T1TableStyle"/>
              <w:rPr>
                <w:rFonts w:ascii="Verdana" w:eastAsia="Verdana" w:hAnsi="Verdana" w:cs="Verdana"/>
                <w:b/>
                <w:color w:val="000000"/>
                <w:sz w:val="16"/>
                <w:lang w:val="en-GB"/>
              </w:rPr>
            </w:pPr>
            <w:r w:rsidRPr="00514B3B">
              <w:rPr>
                <w:rFonts w:ascii="Verdana" w:eastAsia="Verdana" w:hAnsi="Verdana" w:cs="Verdana"/>
                <w:b/>
                <w:color w:val="000000"/>
                <w:sz w:val="16"/>
                <w:lang w:val="en-GB"/>
              </w:rPr>
              <w:t xml:space="preserve">Balance 31 March </w:t>
            </w:r>
          </w:p>
        </w:tc>
        <w:tc>
          <w:tcPr>
            <w:tcW w:w="1975" w:type="dxa"/>
            <w:tcBorders>
              <w:top w:val="single" w:sz="2" w:space="0" w:color="000000"/>
              <w:bottom w:val="single" w:sz="12" w:space="0" w:color="000000"/>
            </w:tcBorders>
            <w:shd w:val="clear" w:color="auto" w:fill="auto"/>
            <w:tcMar>
              <w:top w:w="20" w:type="dxa"/>
              <w:left w:w="20" w:type="dxa"/>
              <w:bottom w:w="20" w:type="dxa"/>
              <w:right w:w="20" w:type="dxa"/>
            </w:tcMar>
          </w:tcPr>
          <w:p w14:paraId="35D930DD" w14:textId="66A1DF74" w:rsidR="001A532F" w:rsidRPr="00514B3B" w:rsidRDefault="00713E05" w:rsidP="001A532F">
            <w:pPr>
              <w:pStyle w:val="T1TableStyle"/>
              <w:jc w:val="right"/>
              <w:rPr>
                <w:rFonts w:ascii="Verdana" w:eastAsia="Verdana" w:hAnsi="Verdana" w:cs="Verdana"/>
                <w:b/>
                <w:color w:val="000000"/>
                <w:sz w:val="16"/>
                <w:lang w:val="en-GB"/>
              </w:rPr>
            </w:pPr>
            <w:r w:rsidRPr="00514B3B">
              <w:rPr>
                <w:rFonts w:ascii="Verdana" w:eastAsia="Verdana" w:hAnsi="Verdana" w:cs="Verdana"/>
                <w:b/>
                <w:color w:val="000000"/>
                <w:sz w:val="16"/>
                <w:lang w:val="en-GB"/>
              </w:rPr>
              <w:t>2,174,046</w:t>
            </w:r>
          </w:p>
        </w:tc>
      </w:tr>
    </w:tbl>
    <w:p w14:paraId="3D3DC8CA" w14:textId="77777777" w:rsidR="00F227D9" w:rsidRPr="00B93478" w:rsidRDefault="00F227D9">
      <w:pPr>
        <w:pStyle w:val="T1TableStyle"/>
        <w:rPr>
          <w:rFonts w:ascii="Verdana" w:eastAsia="Verdana" w:hAnsi="Verdana" w:cs="Verdana"/>
          <w:sz w:val="22"/>
          <w:lang w:val="en-GB"/>
        </w:rPr>
      </w:pPr>
    </w:p>
    <w:p w14:paraId="064CC2F4" w14:textId="77777777" w:rsidR="00645BB6" w:rsidRPr="00B93478" w:rsidRDefault="00645BB6" w:rsidP="00645BB6">
      <w:pPr>
        <w:pStyle w:val="Normal0"/>
        <w:spacing w:after="160"/>
        <w:jc w:val="both"/>
        <w:rPr>
          <w:rFonts w:ascii="Verdana" w:eastAsia="Verdana" w:hAnsi="Verdana" w:cs="Verdana"/>
          <w:sz w:val="22"/>
          <w:szCs w:val="22"/>
          <w:lang w:val="en-GB"/>
        </w:rPr>
      </w:pPr>
      <w:r w:rsidRPr="00B93478">
        <w:rPr>
          <w:rFonts w:ascii="Verdana" w:eastAsia="Verdana" w:hAnsi="Verdana" w:cs="Verdana"/>
          <w:sz w:val="22"/>
          <w:szCs w:val="22"/>
          <w:lang w:val="en-GB"/>
        </w:rPr>
        <w:t>The Pensions Reserve reflects the timing adjustments arising from the different arrangements for accounting for post-employment benefits and for funding benefits in accordance with statutory provisions [Statutory Instrument No. 2010/454].  Post-employment benefits are accounted for in the Comprehensive Income and Expenditure Statement as the benefits are earned by employees accruing years of service, updating the liabilities recognised in line with inflation assumptions, changing assumptions and investment returns on any resources set aside to meet the costs.  However, statutory arrangements require benefits earned, to be financed as the employer makes contribution to pension funds, or eventual payment of any pensions for which it is directly responsible.  The debit balance on the Pensions Reserve therefore shows a substantial shortfall in the benefits earned by past and current employees and the resources set aside to meet them.  The statutory arrangement will ensure that funding will have been set aside by the time the benefits come to be paid.</w:t>
      </w:r>
    </w:p>
    <w:tbl>
      <w:tblPr>
        <w:tblW w:w="0" w:type="auto"/>
        <w:jc w:val="center"/>
        <w:tblLayout w:type="fixed"/>
        <w:tblLook w:val="04A0" w:firstRow="1" w:lastRow="0" w:firstColumn="1" w:lastColumn="0" w:noHBand="0" w:noVBand="1"/>
      </w:tblPr>
      <w:tblGrid>
        <w:gridCol w:w="142"/>
        <w:gridCol w:w="1415"/>
        <w:gridCol w:w="359"/>
        <w:gridCol w:w="6467"/>
        <w:gridCol w:w="1398"/>
        <w:gridCol w:w="1283"/>
      </w:tblGrid>
      <w:tr w:rsidR="0053376B" w:rsidRPr="00D715B5" w14:paraId="0AFAEF34" w14:textId="77777777" w:rsidTr="00514B3B">
        <w:trPr>
          <w:trHeight w:val="112"/>
          <w:jc w:val="center"/>
        </w:trPr>
        <w:tc>
          <w:tcPr>
            <w:tcW w:w="11064" w:type="dxa"/>
            <w:gridSpan w:val="6"/>
            <w:shd w:val="clear" w:color="auto" w:fill="auto"/>
            <w:tcMar>
              <w:top w:w="20" w:type="dxa"/>
              <w:left w:w="20" w:type="dxa"/>
              <w:bottom w:w="20" w:type="dxa"/>
              <w:right w:w="20" w:type="dxa"/>
            </w:tcMar>
            <w:vAlign w:val="bottom"/>
          </w:tcPr>
          <w:p w14:paraId="154ECC29" w14:textId="77777777" w:rsidR="00F227D9" w:rsidRPr="00D715B5" w:rsidRDefault="00F227D9">
            <w:pPr>
              <w:pStyle w:val="T1TableStyle"/>
              <w:rPr>
                <w:rFonts w:ascii="Verdana" w:eastAsia="Verdana" w:hAnsi="Verdana" w:cs="Verdana"/>
                <w:b/>
                <w:color w:val="000000"/>
                <w:lang w:val="en-GB"/>
              </w:rPr>
            </w:pPr>
            <w:r w:rsidRPr="00D715B5">
              <w:rPr>
                <w:rFonts w:ascii="Verdana" w:eastAsia="Verdana" w:hAnsi="Verdana" w:cs="Verdana"/>
                <w:b/>
                <w:color w:val="000000"/>
                <w:lang w:val="en-GB"/>
              </w:rPr>
              <w:t>Accumulated Absences Account</w:t>
            </w:r>
          </w:p>
        </w:tc>
      </w:tr>
      <w:tr w:rsidR="0053376B" w:rsidRPr="00D715B5" w14:paraId="0727EC6A" w14:textId="77777777" w:rsidTr="00514B3B">
        <w:trPr>
          <w:trHeight w:hRule="exact" w:val="112"/>
          <w:jc w:val="center"/>
        </w:trPr>
        <w:tc>
          <w:tcPr>
            <w:tcW w:w="1557" w:type="dxa"/>
            <w:gridSpan w:val="2"/>
            <w:shd w:val="clear" w:color="auto" w:fill="auto"/>
            <w:tcMar>
              <w:top w:w="20" w:type="dxa"/>
              <w:left w:w="20" w:type="dxa"/>
              <w:bottom w:w="20" w:type="dxa"/>
              <w:right w:w="20" w:type="dxa"/>
            </w:tcMar>
            <w:vAlign w:val="bottom"/>
          </w:tcPr>
          <w:p w14:paraId="57B75B1B" w14:textId="77777777" w:rsidR="00F227D9" w:rsidRPr="00D715B5" w:rsidRDefault="00F227D9">
            <w:pPr>
              <w:pStyle w:val="T1TableStyle"/>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359" w:type="dxa"/>
            <w:shd w:val="clear" w:color="auto" w:fill="auto"/>
            <w:tcMar>
              <w:top w:w="20" w:type="dxa"/>
              <w:left w:w="20" w:type="dxa"/>
              <w:bottom w:w="20" w:type="dxa"/>
              <w:right w:w="20" w:type="dxa"/>
            </w:tcMar>
            <w:vAlign w:val="bottom"/>
          </w:tcPr>
          <w:p w14:paraId="302F0402" w14:textId="77777777" w:rsidR="00F227D9" w:rsidRPr="00D715B5" w:rsidRDefault="00F227D9">
            <w:pPr>
              <w:pStyle w:val="T1TableStyle"/>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6467" w:type="dxa"/>
            <w:shd w:val="clear" w:color="auto" w:fill="auto"/>
            <w:tcMar>
              <w:top w:w="20" w:type="dxa"/>
              <w:left w:w="20" w:type="dxa"/>
              <w:bottom w:w="20" w:type="dxa"/>
              <w:right w:w="20" w:type="dxa"/>
            </w:tcMar>
            <w:vAlign w:val="bottom"/>
          </w:tcPr>
          <w:p w14:paraId="16B99B78" w14:textId="77777777" w:rsidR="00F227D9" w:rsidRPr="00D715B5" w:rsidRDefault="00F227D9">
            <w:pPr>
              <w:pStyle w:val="T1TableStyle"/>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2681" w:type="dxa"/>
            <w:gridSpan w:val="2"/>
            <w:shd w:val="clear" w:color="auto" w:fill="auto"/>
            <w:tcMar>
              <w:top w:w="20" w:type="dxa"/>
              <w:left w:w="20" w:type="dxa"/>
              <w:bottom w:w="20" w:type="dxa"/>
              <w:right w:w="20" w:type="dxa"/>
            </w:tcMar>
            <w:vAlign w:val="bottom"/>
          </w:tcPr>
          <w:p w14:paraId="698DFCCB" w14:textId="77777777" w:rsidR="00F227D9" w:rsidRPr="00D715B5" w:rsidRDefault="00F227D9">
            <w:pPr>
              <w:pStyle w:val="T1TableStyle"/>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r>
      <w:tr w:rsidR="0053376B" w:rsidRPr="00D715B5" w14:paraId="0418B575" w14:textId="77777777" w:rsidTr="00514B3B">
        <w:trPr>
          <w:gridBefore w:val="1"/>
          <w:gridAfter w:val="1"/>
          <w:wBefore w:w="142" w:type="dxa"/>
          <w:wAfter w:w="1283" w:type="dxa"/>
          <w:trHeight w:val="112"/>
          <w:jc w:val="center"/>
        </w:trPr>
        <w:tc>
          <w:tcPr>
            <w:tcW w:w="1415" w:type="dxa"/>
            <w:shd w:val="clear" w:color="auto" w:fill="auto"/>
            <w:tcMar>
              <w:top w:w="20" w:type="dxa"/>
              <w:left w:w="20" w:type="dxa"/>
              <w:bottom w:w="20" w:type="dxa"/>
              <w:right w:w="20" w:type="dxa"/>
            </w:tcMar>
            <w:vAlign w:val="bottom"/>
          </w:tcPr>
          <w:p w14:paraId="21A54ADE" w14:textId="77777777" w:rsidR="00F227D9" w:rsidRPr="00D715B5" w:rsidRDefault="00F227D9" w:rsidP="004453B1">
            <w:pPr>
              <w:pStyle w:val="T1TableStyle"/>
              <w:jc w:val="center"/>
              <w:rPr>
                <w:rFonts w:ascii="Verdana" w:eastAsia="Verdana" w:hAnsi="Verdana" w:cs="Verdana"/>
                <w:b/>
                <w:color w:val="000000"/>
                <w:sz w:val="16"/>
                <w:lang w:val="en-GB"/>
              </w:rPr>
            </w:pPr>
            <w:r w:rsidRPr="00D715B5">
              <w:rPr>
                <w:rFonts w:ascii="Verdana" w:eastAsia="Verdana" w:hAnsi="Verdana" w:cs="Verdana"/>
                <w:b/>
                <w:color w:val="000000"/>
                <w:sz w:val="16"/>
                <w:lang w:val="en-GB"/>
              </w:rPr>
              <w:t>31 March 20</w:t>
            </w:r>
            <w:r w:rsidR="004453B1" w:rsidRPr="00D715B5">
              <w:rPr>
                <w:rFonts w:ascii="Verdana" w:eastAsia="Verdana" w:hAnsi="Verdana" w:cs="Verdana"/>
                <w:b/>
                <w:color w:val="000000"/>
                <w:sz w:val="16"/>
                <w:lang w:val="en-GB"/>
              </w:rPr>
              <w:t>20</w:t>
            </w:r>
          </w:p>
        </w:tc>
        <w:tc>
          <w:tcPr>
            <w:tcW w:w="359" w:type="dxa"/>
            <w:shd w:val="clear" w:color="auto" w:fill="auto"/>
            <w:tcMar>
              <w:top w:w="20" w:type="dxa"/>
              <w:left w:w="20" w:type="dxa"/>
              <w:bottom w:w="20" w:type="dxa"/>
              <w:right w:w="20" w:type="dxa"/>
            </w:tcMar>
            <w:vAlign w:val="bottom"/>
          </w:tcPr>
          <w:p w14:paraId="5D35EE81" w14:textId="77777777" w:rsidR="00F227D9" w:rsidRPr="00D715B5" w:rsidRDefault="00F227D9">
            <w:pPr>
              <w:pStyle w:val="T1TableStyle"/>
              <w:jc w:val="center"/>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6467" w:type="dxa"/>
            <w:shd w:val="clear" w:color="auto" w:fill="auto"/>
            <w:tcMar>
              <w:top w:w="20" w:type="dxa"/>
              <w:left w:w="20" w:type="dxa"/>
              <w:bottom w:w="20" w:type="dxa"/>
              <w:right w:w="20" w:type="dxa"/>
            </w:tcMar>
            <w:vAlign w:val="bottom"/>
          </w:tcPr>
          <w:p w14:paraId="790BAC1E" w14:textId="77777777" w:rsidR="00F227D9" w:rsidRPr="00D715B5" w:rsidRDefault="00F227D9">
            <w:pPr>
              <w:pStyle w:val="T1TableStyle"/>
              <w:jc w:val="center"/>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1398" w:type="dxa"/>
            <w:shd w:val="clear" w:color="auto" w:fill="auto"/>
            <w:tcMar>
              <w:top w:w="20" w:type="dxa"/>
              <w:left w:w="20" w:type="dxa"/>
              <w:bottom w:w="20" w:type="dxa"/>
              <w:right w:w="20" w:type="dxa"/>
            </w:tcMar>
            <w:vAlign w:val="bottom"/>
          </w:tcPr>
          <w:p w14:paraId="4FD6F242" w14:textId="77777777" w:rsidR="00F227D9" w:rsidRPr="00D715B5" w:rsidRDefault="00F227D9" w:rsidP="004453B1">
            <w:pPr>
              <w:pStyle w:val="T1TableStyle"/>
              <w:jc w:val="center"/>
              <w:rPr>
                <w:rFonts w:ascii="Verdana" w:eastAsia="Verdana" w:hAnsi="Verdana" w:cs="Verdana"/>
                <w:b/>
                <w:color w:val="000000"/>
                <w:sz w:val="16"/>
                <w:lang w:val="en-GB"/>
              </w:rPr>
            </w:pPr>
            <w:r w:rsidRPr="00D715B5">
              <w:rPr>
                <w:rFonts w:ascii="Verdana" w:eastAsia="Verdana" w:hAnsi="Verdana" w:cs="Verdana"/>
                <w:b/>
                <w:color w:val="000000"/>
                <w:sz w:val="16"/>
                <w:lang w:val="en-GB"/>
              </w:rPr>
              <w:t>31 March 202</w:t>
            </w:r>
            <w:r w:rsidR="004453B1" w:rsidRPr="00D715B5">
              <w:rPr>
                <w:rFonts w:ascii="Verdana" w:eastAsia="Verdana" w:hAnsi="Verdana" w:cs="Verdana"/>
                <w:b/>
                <w:color w:val="000000"/>
                <w:sz w:val="16"/>
                <w:lang w:val="en-GB"/>
              </w:rPr>
              <w:t>1</w:t>
            </w:r>
          </w:p>
        </w:tc>
      </w:tr>
      <w:tr w:rsidR="0053376B" w:rsidRPr="00D715B5" w14:paraId="5D341E34" w14:textId="77777777" w:rsidTr="0073748E">
        <w:trPr>
          <w:gridBefore w:val="1"/>
          <w:gridAfter w:val="1"/>
          <w:wBefore w:w="142" w:type="dxa"/>
          <w:wAfter w:w="1283" w:type="dxa"/>
          <w:trHeight w:val="112"/>
          <w:jc w:val="center"/>
        </w:trPr>
        <w:tc>
          <w:tcPr>
            <w:tcW w:w="1415" w:type="dxa"/>
            <w:tcBorders>
              <w:bottom w:val="single" w:sz="2" w:space="0" w:color="000000"/>
            </w:tcBorders>
            <w:shd w:val="clear" w:color="auto" w:fill="auto"/>
            <w:tcMar>
              <w:top w:w="20" w:type="dxa"/>
              <w:left w:w="20" w:type="dxa"/>
              <w:bottom w:w="20" w:type="dxa"/>
              <w:right w:w="20" w:type="dxa"/>
            </w:tcMar>
          </w:tcPr>
          <w:p w14:paraId="42F5F70F" w14:textId="77777777" w:rsidR="00F227D9" w:rsidRPr="00D715B5" w:rsidRDefault="00F227D9">
            <w:pPr>
              <w:pStyle w:val="T1TableStyle"/>
              <w:jc w:val="right"/>
              <w:rPr>
                <w:rFonts w:ascii="Verdana" w:eastAsia="Verdana" w:hAnsi="Verdana" w:cs="Verdana"/>
                <w:b/>
                <w:color w:val="000000"/>
                <w:sz w:val="16"/>
                <w:lang w:val="en-GB"/>
              </w:rPr>
            </w:pPr>
            <w:r w:rsidRPr="00D715B5">
              <w:rPr>
                <w:rFonts w:ascii="Verdana" w:eastAsia="Verdana" w:hAnsi="Verdana" w:cs="Verdana"/>
                <w:b/>
                <w:color w:val="000000"/>
                <w:sz w:val="16"/>
                <w:lang w:val="en-GB"/>
              </w:rPr>
              <w:t>£000</w:t>
            </w:r>
          </w:p>
        </w:tc>
        <w:tc>
          <w:tcPr>
            <w:tcW w:w="359" w:type="dxa"/>
            <w:tcBorders>
              <w:bottom w:val="single" w:sz="2" w:space="0" w:color="000000"/>
            </w:tcBorders>
            <w:shd w:val="clear" w:color="auto" w:fill="auto"/>
            <w:tcMar>
              <w:top w:w="20" w:type="dxa"/>
              <w:left w:w="20" w:type="dxa"/>
              <w:bottom w:w="20" w:type="dxa"/>
              <w:right w:w="20" w:type="dxa"/>
            </w:tcMar>
          </w:tcPr>
          <w:p w14:paraId="7113E512" w14:textId="77777777" w:rsidR="00F227D9" w:rsidRPr="00D715B5" w:rsidRDefault="00F227D9">
            <w:pPr>
              <w:pStyle w:val="T1TableStyle"/>
              <w:jc w:val="right"/>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6467" w:type="dxa"/>
            <w:tcBorders>
              <w:bottom w:val="single" w:sz="2" w:space="0" w:color="000000"/>
            </w:tcBorders>
            <w:shd w:val="clear" w:color="auto" w:fill="auto"/>
            <w:tcMar>
              <w:top w:w="20" w:type="dxa"/>
              <w:left w:w="20" w:type="dxa"/>
              <w:bottom w:w="20" w:type="dxa"/>
              <w:right w:w="20" w:type="dxa"/>
            </w:tcMar>
          </w:tcPr>
          <w:p w14:paraId="2347CF96" w14:textId="77777777" w:rsidR="00F227D9" w:rsidRPr="00D715B5" w:rsidRDefault="00F227D9">
            <w:pPr>
              <w:pStyle w:val="T1TableStyle"/>
              <w:jc w:val="right"/>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1398" w:type="dxa"/>
            <w:tcBorders>
              <w:bottom w:val="single" w:sz="2" w:space="0" w:color="000000"/>
            </w:tcBorders>
            <w:shd w:val="clear" w:color="auto" w:fill="auto"/>
            <w:tcMar>
              <w:top w:w="20" w:type="dxa"/>
              <w:left w:w="20" w:type="dxa"/>
              <w:bottom w:w="20" w:type="dxa"/>
              <w:right w:w="20" w:type="dxa"/>
            </w:tcMar>
          </w:tcPr>
          <w:p w14:paraId="14F384A3" w14:textId="77777777" w:rsidR="00F227D9" w:rsidRPr="00D715B5" w:rsidRDefault="00F227D9">
            <w:pPr>
              <w:pStyle w:val="T1TableStyle"/>
              <w:jc w:val="right"/>
              <w:rPr>
                <w:rFonts w:ascii="Verdana" w:eastAsia="Verdana" w:hAnsi="Verdana" w:cs="Verdana"/>
                <w:b/>
                <w:color w:val="000000"/>
                <w:sz w:val="16"/>
                <w:lang w:val="en-GB"/>
              </w:rPr>
            </w:pPr>
            <w:r w:rsidRPr="00D715B5">
              <w:rPr>
                <w:rFonts w:ascii="Verdana" w:eastAsia="Verdana" w:hAnsi="Verdana" w:cs="Verdana"/>
                <w:b/>
                <w:color w:val="000000"/>
                <w:sz w:val="16"/>
                <w:lang w:val="en-GB"/>
              </w:rPr>
              <w:t>£000</w:t>
            </w:r>
          </w:p>
        </w:tc>
      </w:tr>
      <w:tr w:rsidR="00346AD0" w:rsidRPr="00D715B5" w14:paraId="51CE49FC" w14:textId="77777777" w:rsidTr="0073748E">
        <w:trPr>
          <w:gridBefore w:val="1"/>
          <w:gridAfter w:val="1"/>
          <w:wBefore w:w="142" w:type="dxa"/>
          <w:wAfter w:w="1283" w:type="dxa"/>
          <w:trHeight w:val="112"/>
          <w:jc w:val="center"/>
        </w:trPr>
        <w:tc>
          <w:tcPr>
            <w:tcW w:w="1415" w:type="dxa"/>
            <w:tcBorders>
              <w:top w:val="single" w:sz="2" w:space="0" w:color="000000"/>
              <w:bottom w:val="single" w:sz="4" w:space="0" w:color="auto"/>
            </w:tcBorders>
            <w:shd w:val="clear" w:color="auto" w:fill="auto"/>
            <w:tcMar>
              <w:top w:w="20" w:type="dxa"/>
              <w:left w:w="20" w:type="dxa"/>
              <w:bottom w:w="20" w:type="dxa"/>
              <w:right w:w="20" w:type="dxa"/>
            </w:tcMar>
          </w:tcPr>
          <w:p w14:paraId="3377AB8D" w14:textId="77777777" w:rsidR="00346AD0" w:rsidRPr="0073748E" w:rsidRDefault="00346AD0" w:rsidP="00346AD0">
            <w:pPr>
              <w:pStyle w:val="T1TableStyle"/>
              <w:jc w:val="right"/>
              <w:rPr>
                <w:rFonts w:ascii="Verdana" w:eastAsia="Verdana" w:hAnsi="Verdana" w:cs="Verdana"/>
                <w:b/>
                <w:color w:val="000000"/>
                <w:sz w:val="16"/>
                <w:lang w:val="en-GB"/>
              </w:rPr>
            </w:pPr>
            <w:r w:rsidRPr="0073748E">
              <w:rPr>
                <w:rFonts w:ascii="Verdana" w:eastAsia="Verdana" w:hAnsi="Verdana" w:cs="Verdana"/>
                <w:b/>
                <w:color w:val="000000"/>
                <w:sz w:val="16"/>
                <w:lang w:val="en-GB"/>
              </w:rPr>
              <w:t>908</w:t>
            </w:r>
          </w:p>
        </w:tc>
        <w:tc>
          <w:tcPr>
            <w:tcW w:w="359" w:type="dxa"/>
            <w:tcBorders>
              <w:top w:val="single" w:sz="2" w:space="0" w:color="000000"/>
              <w:bottom w:val="single" w:sz="4" w:space="0" w:color="auto"/>
            </w:tcBorders>
            <w:shd w:val="clear" w:color="auto" w:fill="auto"/>
            <w:tcMar>
              <w:top w:w="20" w:type="dxa"/>
              <w:left w:w="20" w:type="dxa"/>
              <w:bottom w:w="20" w:type="dxa"/>
              <w:right w:w="20" w:type="dxa"/>
            </w:tcMar>
          </w:tcPr>
          <w:p w14:paraId="10FD00F7" w14:textId="77777777" w:rsidR="00346AD0" w:rsidRPr="0073748E" w:rsidRDefault="00346AD0" w:rsidP="00346AD0">
            <w:pPr>
              <w:pStyle w:val="T1TableStyle"/>
              <w:jc w:val="center"/>
              <w:rPr>
                <w:rFonts w:ascii="Verdana" w:eastAsia="Verdana" w:hAnsi="Verdana" w:cs="Verdana"/>
                <w:b/>
                <w:color w:val="000000"/>
                <w:sz w:val="2"/>
                <w:lang w:val="en-GB"/>
              </w:rPr>
            </w:pPr>
            <w:r w:rsidRPr="0073748E">
              <w:rPr>
                <w:rFonts w:ascii="Verdana" w:eastAsia="Verdana" w:hAnsi="Verdana" w:cs="Verdana"/>
                <w:b/>
                <w:color w:val="000000"/>
                <w:sz w:val="2"/>
                <w:lang w:val="en-GB"/>
              </w:rPr>
              <w:t xml:space="preserve"> </w:t>
            </w:r>
          </w:p>
        </w:tc>
        <w:tc>
          <w:tcPr>
            <w:tcW w:w="6467" w:type="dxa"/>
            <w:tcBorders>
              <w:top w:val="single" w:sz="2" w:space="0" w:color="000000"/>
              <w:bottom w:val="single" w:sz="4" w:space="0" w:color="auto"/>
            </w:tcBorders>
            <w:shd w:val="clear" w:color="auto" w:fill="auto"/>
            <w:tcMar>
              <w:top w:w="20" w:type="dxa"/>
              <w:left w:w="20" w:type="dxa"/>
              <w:bottom w:w="20" w:type="dxa"/>
              <w:right w:w="20" w:type="dxa"/>
            </w:tcMar>
          </w:tcPr>
          <w:p w14:paraId="551AB4CF" w14:textId="77777777" w:rsidR="00346AD0" w:rsidRPr="00C53179" w:rsidRDefault="00346AD0" w:rsidP="00346AD0">
            <w:pPr>
              <w:pStyle w:val="T1TableStyle"/>
              <w:rPr>
                <w:rFonts w:ascii="Verdana" w:eastAsia="Verdana" w:hAnsi="Verdana" w:cs="Verdana"/>
                <w:b/>
                <w:color w:val="000000"/>
                <w:sz w:val="16"/>
                <w:lang w:val="en-GB"/>
              </w:rPr>
            </w:pPr>
            <w:r w:rsidRPr="00C53179">
              <w:rPr>
                <w:rFonts w:ascii="Verdana" w:eastAsia="Verdana" w:hAnsi="Verdana" w:cs="Verdana"/>
                <w:b/>
                <w:color w:val="000000"/>
                <w:sz w:val="16"/>
                <w:lang w:val="en-GB"/>
              </w:rPr>
              <w:t xml:space="preserve">Balance 1 April </w:t>
            </w:r>
          </w:p>
        </w:tc>
        <w:tc>
          <w:tcPr>
            <w:tcW w:w="1398" w:type="dxa"/>
            <w:tcBorders>
              <w:top w:val="single" w:sz="2" w:space="0" w:color="000000"/>
              <w:bottom w:val="single" w:sz="4" w:space="0" w:color="auto"/>
            </w:tcBorders>
            <w:shd w:val="clear" w:color="auto" w:fill="auto"/>
            <w:tcMar>
              <w:top w:w="20" w:type="dxa"/>
              <w:left w:w="20" w:type="dxa"/>
              <w:bottom w:w="20" w:type="dxa"/>
              <w:right w:w="20" w:type="dxa"/>
            </w:tcMar>
          </w:tcPr>
          <w:p w14:paraId="7C974210" w14:textId="77777777" w:rsidR="00346AD0" w:rsidRPr="0073748E" w:rsidRDefault="00346AD0" w:rsidP="00346AD0">
            <w:pPr>
              <w:pStyle w:val="T1TableStyle"/>
              <w:jc w:val="right"/>
              <w:rPr>
                <w:rFonts w:ascii="Verdana" w:eastAsia="Verdana" w:hAnsi="Verdana" w:cs="Verdana"/>
                <w:b/>
                <w:color w:val="000000"/>
                <w:sz w:val="16"/>
                <w:lang w:val="en-GB"/>
              </w:rPr>
            </w:pPr>
            <w:r w:rsidRPr="0073748E">
              <w:rPr>
                <w:rFonts w:ascii="Verdana" w:eastAsia="Verdana" w:hAnsi="Verdana" w:cs="Verdana"/>
                <w:b/>
                <w:color w:val="000000"/>
                <w:sz w:val="16"/>
                <w:lang w:val="en-GB"/>
              </w:rPr>
              <w:t>1,053</w:t>
            </w:r>
          </w:p>
        </w:tc>
      </w:tr>
      <w:tr w:rsidR="00346AD0" w:rsidRPr="00D715B5" w14:paraId="4FD8A974" w14:textId="77777777" w:rsidTr="0073748E">
        <w:trPr>
          <w:gridBefore w:val="1"/>
          <w:gridAfter w:val="1"/>
          <w:wBefore w:w="142" w:type="dxa"/>
          <w:wAfter w:w="1283" w:type="dxa"/>
          <w:trHeight w:val="237"/>
          <w:jc w:val="center"/>
        </w:trPr>
        <w:tc>
          <w:tcPr>
            <w:tcW w:w="1415" w:type="dxa"/>
            <w:tcBorders>
              <w:top w:val="single" w:sz="4" w:space="0" w:color="auto"/>
            </w:tcBorders>
            <w:shd w:val="clear" w:color="auto" w:fill="auto"/>
            <w:tcMar>
              <w:top w:w="20" w:type="dxa"/>
              <w:left w:w="20" w:type="dxa"/>
              <w:bottom w:w="20" w:type="dxa"/>
              <w:right w:w="20" w:type="dxa"/>
            </w:tcMar>
          </w:tcPr>
          <w:p w14:paraId="71F93138" w14:textId="77777777" w:rsidR="00346AD0" w:rsidRPr="00D715B5" w:rsidRDefault="00346AD0" w:rsidP="00346AD0">
            <w:pPr>
              <w:pStyle w:val="T1TableStyle"/>
              <w:jc w:val="right"/>
              <w:rPr>
                <w:rFonts w:ascii="Verdana" w:eastAsia="Verdana" w:hAnsi="Verdana" w:cs="Verdana"/>
                <w:color w:val="000000"/>
                <w:sz w:val="16"/>
                <w:lang w:val="en-GB"/>
              </w:rPr>
            </w:pPr>
            <w:r w:rsidRPr="00D715B5">
              <w:rPr>
                <w:rFonts w:ascii="Verdana" w:eastAsia="Verdana" w:hAnsi="Verdana" w:cs="Verdana"/>
                <w:color w:val="000000"/>
                <w:sz w:val="16"/>
                <w:lang w:val="en-GB"/>
              </w:rPr>
              <w:t>(908)</w:t>
            </w:r>
          </w:p>
        </w:tc>
        <w:tc>
          <w:tcPr>
            <w:tcW w:w="359" w:type="dxa"/>
            <w:tcBorders>
              <w:top w:val="single" w:sz="4" w:space="0" w:color="auto"/>
            </w:tcBorders>
            <w:shd w:val="clear" w:color="auto" w:fill="auto"/>
            <w:tcMar>
              <w:top w:w="20" w:type="dxa"/>
              <w:left w:w="20" w:type="dxa"/>
              <w:bottom w:w="20" w:type="dxa"/>
              <w:right w:w="20" w:type="dxa"/>
            </w:tcMar>
          </w:tcPr>
          <w:p w14:paraId="7FE22807" w14:textId="77777777" w:rsidR="00346AD0" w:rsidRPr="00D715B5" w:rsidRDefault="00346AD0" w:rsidP="00346AD0">
            <w:pPr>
              <w:pStyle w:val="T1TableStyle"/>
              <w:jc w:val="center"/>
              <w:rPr>
                <w:rFonts w:ascii="Verdana" w:eastAsia="Verdana" w:hAnsi="Verdana" w:cs="Verdana"/>
                <w:color w:val="000000"/>
                <w:sz w:val="2"/>
                <w:lang w:val="en-GB"/>
              </w:rPr>
            </w:pPr>
            <w:r w:rsidRPr="00D715B5">
              <w:rPr>
                <w:rFonts w:ascii="Verdana" w:eastAsia="Verdana" w:hAnsi="Verdana" w:cs="Verdana"/>
                <w:color w:val="000000"/>
                <w:sz w:val="2"/>
                <w:lang w:val="en-GB"/>
              </w:rPr>
              <w:t xml:space="preserve"> </w:t>
            </w:r>
          </w:p>
        </w:tc>
        <w:tc>
          <w:tcPr>
            <w:tcW w:w="6467" w:type="dxa"/>
            <w:tcBorders>
              <w:top w:val="single" w:sz="4" w:space="0" w:color="auto"/>
            </w:tcBorders>
            <w:shd w:val="clear" w:color="auto" w:fill="auto"/>
            <w:tcMar>
              <w:top w:w="20" w:type="dxa"/>
              <w:left w:w="20" w:type="dxa"/>
              <w:bottom w:w="20" w:type="dxa"/>
              <w:right w:w="20" w:type="dxa"/>
            </w:tcMar>
          </w:tcPr>
          <w:p w14:paraId="222689F5" w14:textId="77777777" w:rsidR="00346AD0" w:rsidRPr="00D715B5" w:rsidRDefault="00346AD0" w:rsidP="00346AD0">
            <w:pPr>
              <w:pStyle w:val="T1TableStyle"/>
              <w:rPr>
                <w:rFonts w:ascii="Verdana" w:eastAsia="Verdana" w:hAnsi="Verdana" w:cs="Verdana"/>
                <w:color w:val="000000"/>
                <w:sz w:val="16"/>
                <w:lang w:val="en-GB"/>
              </w:rPr>
            </w:pPr>
            <w:r w:rsidRPr="00D715B5">
              <w:rPr>
                <w:rFonts w:ascii="Verdana" w:eastAsia="Verdana" w:hAnsi="Verdana" w:cs="Verdana"/>
                <w:color w:val="000000"/>
                <w:sz w:val="16"/>
                <w:lang w:val="en-GB"/>
              </w:rPr>
              <w:t>Settlement or cancellation of accrual made at the end of the preceding year</w:t>
            </w:r>
          </w:p>
        </w:tc>
        <w:tc>
          <w:tcPr>
            <w:tcW w:w="1398" w:type="dxa"/>
            <w:tcBorders>
              <w:top w:val="single" w:sz="4" w:space="0" w:color="auto"/>
            </w:tcBorders>
            <w:shd w:val="clear" w:color="auto" w:fill="auto"/>
            <w:tcMar>
              <w:top w:w="20" w:type="dxa"/>
              <w:left w:w="20" w:type="dxa"/>
              <w:bottom w:w="20" w:type="dxa"/>
              <w:right w:w="20" w:type="dxa"/>
            </w:tcMar>
          </w:tcPr>
          <w:p w14:paraId="3B8747C2" w14:textId="77777777" w:rsidR="00346AD0" w:rsidRPr="00D715B5" w:rsidRDefault="00D715B5" w:rsidP="00346AD0">
            <w:pPr>
              <w:pStyle w:val="T1TableStyle"/>
              <w:jc w:val="right"/>
              <w:rPr>
                <w:rFonts w:ascii="Verdana" w:eastAsia="Verdana" w:hAnsi="Verdana" w:cs="Verdana"/>
                <w:color w:val="000000"/>
                <w:sz w:val="16"/>
                <w:lang w:val="en-GB"/>
              </w:rPr>
            </w:pPr>
            <w:r w:rsidRPr="00D715B5">
              <w:rPr>
                <w:rFonts w:ascii="Verdana" w:eastAsia="Verdana" w:hAnsi="Verdana" w:cs="Verdana"/>
                <w:color w:val="000000"/>
                <w:sz w:val="16"/>
                <w:lang w:val="en-GB"/>
              </w:rPr>
              <w:t>(1,053)</w:t>
            </w:r>
          </w:p>
        </w:tc>
      </w:tr>
      <w:tr w:rsidR="00346AD0" w:rsidRPr="00D715B5" w14:paraId="47C4CD4D" w14:textId="77777777" w:rsidTr="00514B3B">
        <w:trPr>
          <w:gridBefore w:val="1"/>
          <w:gridAfter w:val="1"/>
          <w:wBefore w:w="142" w:type="dxa"/>
          <w:wAfter w:w="1283" w:type="dxa"/>
          <w:trHeight w:val="158"/>
          <w:jc w:val="center"/>
        </w:trPr>
        <w:tc>
          <w:tcPr>
            <w:tcW w:w="1415" w:type="dxa"/>
            <w:shd w:val="clear" w:color="auto" w:fill="auto"/>
            <w:tcMar>
              <w:top w:w="20" w:type="dxa"/>
              <w:left w:w="20" w:type="dxa"/>
              <w:bottom w:w="20" w:type="dxa"/>
              <w:right w:w="20" w:type="dxa"/>
            </w:tcMar>
          </w:tcPr>
          <w:p w14:paraId="45E9A806" w14:textId="77777777" w:rsidR="00346AD0" w:rsidRPr="00D715B5" w:rsidRDefault="00346AD0" w:rsidP="00346AD0">
            <w:pPr>
              <w:pStyle w:val="T1TableStyle"/>
              <w:jc w:val="right"/>
              <w:rPr>
                <w:rFonts w:ascii="Verdana" w:eastAsia="Verdana" w:hAnsi="Verdana" w:cs="Verdana"/>
                <w:color w:val="000000"/>
                <w:sz w:val="16"/>
                <w:lang w:val="en-GB"/>
              </w:rPr>
            </w:pPr>
            <w:r w:rsidRPr="00D715B5">
              <w:rPr>
                <w:rFonts w:ascii="Verdana" w:eastAsia="Verdana" w:hAnsi="Verdana" w:cs="Verdana"/>
                <w:color w:val="000000"/>
                <w:sz w:val="16"/>
                <w:lang w:val="en-GB"/>
              </w:rPr>
              <w:t>1,053</w:t>
            </w:r>
          </w:p>
        </w:tc>
        <w:tc>
          <w:tcPr>
            <w:tcW w:w="359" w:type="dxa"/>
            <w:shd w:val="clear" w:color="auto" w:fill="auto"/>
            <w:tcMar>
              <w:top w:w="20" w:type="dxa"/>
              <w:left w:w="20" w:type="dxa"/>
              <w:bottom w:w="20" w:type="dxa"/>
              <w:right w:w="20" w:type="dxa"/>
            </w:tcMar>
          </w:tcPr>
          <w:p w14:paraId="2FDFC2B3" w14:textId="77777777" w:rsidR="00346AD0" w:rsidRPr="00D715B5" w:rsidRDefault="00346AD0" w:rsidP="00346AD0">
            <w:pPr>
              <w:pStyle w:val="T1TableStyle"/>
              <w:jc w:val="center"/>
              <w:rPr>
                <w:rFonts w:ascii="Verdana" w:eastAsia="Verdana" w:hAnsi="Verdana" w:cs="Verdana"/>
                <w:color w:val="000000"/>
                <w:sz w:val="2"/>
                <w:lang w:val="en-GB"/>
              </w:rPr>
            </w:pPr>
            <w:r w:rsidRPr="00D715B5">
              <w:rPr>
                <w:rFonts w:ascii="Verdana" w:eastAsia="Verdana" w:hAnsi="Verdana" w:cs="Verdana"/>
                <w:color w:val="000000"/>
                <w:sz w:val="2"/>
                <w:lang w:val="en-GB"/>
              </w:rPr>
              <w:t xml:space="preserve"> </w:t>
            </w:r>
          </w:p>
        </w:tc>
        <w:tc>
          <w:tcPr>
            <w:tcW w:w="6467" w:type="dxa"/>
            <w:shd w:val="clear" w:color="auto" w:fill="auto"/>
            <w:tcMar>
              <w:top w:w="20" w:type="dxa"/>
              <w:left w:w="20" w:type="dxa"/>
              <w:bottom w:w="20" w:type="dxa"/>
              <w:right w:w="20" w:type="dxa"/>
            </w:tcMar>
          </w:tcPr>
          <w:p w14:paraId="363D22AC" w14:textId="77777777" w:rsidR="00346AD0" w:rsidRPr="00D715B5" w:rsidRDefault="00346AD0" w:rsidP="00346AD0">
            <w:pPr>
              <w:pStyle w:val="T1TableStyle"/>
              <w:rPr>
                <w:rFonts w:ascii="Verdana" w:eastAsia="Verdana" w:hAnsi="Verdana" w:cs="Verdana"/>
                <w:color w:val="000000"/>
                <w:sz w:val="16"/>
                <w:lang w:val="en-GB"/>
              </w:rPr>
            </w:pPr>
            <w:r w:rsidRPr="00D715B5">
              <w:rPr>
                <w:rFonts w:ascii="Verdana" w:eastAsia="Verdana" w:hAnsi="Verdana" w:cs="Verdana"/>
                <w:color w:val="000000"/>
                <w:sz w:val="16"/>
                <w:lang w:val="en-GB"/>
              </w:rPr>
              <w:t>Amounts accrued at the end of the current year</w:t>
            </w:r>
          </w:p>
        </w:tc>
        <w:tc>
          <w:tcPr>
            <w:tcW w:w="1398" w:type="dxa"/>
            <w:shd w:val="clear" w:color="auto" w:fill="auto"/>
            <w:tcMar>
              <w:top w:w="20" w:type="dxa"/>
              <w:left w:w="20" w:type="dxa"/>
              <w:bottom w:w="20" w:type="dxa"/>
              <w:right w:w="20" w:type="dxa"/>
            </w:tcMar>
          </w:tcPr>
          <w:p w14:paraId="6267EB90" w14:textId="77777777" w:rsidR="00346AD0" w:rsidRPr="00D715B5" w:rsidRDefault="00D715B5" w:rsidP="00346AD0">
            <w:pPr>
              <w:pStyle w:val="T1TableStyle"/>
              <w:jc w:val="right"/>
              <w:rPr>
                <w:rFonts w:ascii="Verdana" w:eastAsia="Verdana" w:hAnsi="Verdana" w:cs="Verdana"/>
                <w:color w:val="000000"/>
                <w:sz w:val="16"/>
                <w:lang w:val="en-GB"/>
              </w:rPr>
            </w:pPr>
            <w:r w:rsidRPr="00D715B5">
              <w:rPr>
                <w:rFonts w:ascii="Verdana" w:eastAsia="Verdana" w:hAnsi="Verdana" w:cs="Verdana"/>
                <w:color w:val="000000"/>
                <w:sz w:val="16"/>
                <w:lang w:val="en-GB"/>
              </w:rPr>
              <w:t>1,951</w:t>
            </w:r>
          </w:p>
        </w:tc>
      </w:tr>
      <w:tr w:rsidR="00346AD0" w:rsidRPr="00D715B5" w14:paraId="342A213C" w14:textId="77777777" w:rsidTr="00514B3B">
        <w:trPr>
          <w:gridBefore w:val="1"/>
          <w:gridAfter w:val="1"/>
          <w:wBefore w:w="142" w:type="dxa"/>
          <w:wAfter w:w="1283" w:type="dxa"/>
          <w:trHeight w:val="635"/>
          <w:jc w:val="center"/>
        </w:trPr>
        <w:tc>
          <w:tcPr>
            <w:tcW w:w="1415" w:type="dxa"/>
            <w:tcBorders>
              <w:top w:val="single" w:sz="2" w:space="0" w:color="000000"/>
              <w:bottom w:val="single" w:sz="2" w:space="0" w:color="000000"/>
            </w:tcBorders>
            <w:shd w:val="clear" w:color="auto" w:fill="auto"/>
            <w:tcMar>
              <w:top w:w="20" w:type="dxa"/>
              <w:left w:w="20" w:type="dxa"/>
              <w:bottom w:w="20" w:type="dxa"/>
              <w:right w:w="20" w:type="dxa"/>
            </w:tcMar>
          </w:tcPr>
          <w:p w14:paraId="6404E294" w14:textId="77777777" w:rsidR="00346AD0" w:rsidRPr="00D715B5" w:rsidRDefault="00346AD0" w:rsidP="00346AD0">
            <w:pPr>
              <w:pStyle w:val="T1TableStyle"/>
              <w:jc w:val="right"/>
              <w:rPr>
                <w:rFonts w:ascii="Verdana" w:eastAsia="Verdana" w:hAnsi="Verdana" w:cs="Verdana"/>
                <w:color w:val="000000"/>
                <w:sz w:val="16"/>
                <w:lang w:val="en-GB"/>
              </w:rPr>
            </w:pPr>
            <w:r w:rsidRPr="00D715B5">
              <w:rPr>
                <w:rFonts w:ascii="Verdana" w:eastAsia="Verdana" w:hAnsi="Verdana" w:cs="Verdana"/>
                <w:color w:val="000000"/>
                <w:sz w:val="16"/>
                <w:lang w:val="en-GB"/>
              </w:rPr>
              <w:t>145</w:t>
            </w:r>
          </w:p>
          <w:p w14:paraId="2A753F47" w14:textId="77777777" w:rsidR="00346AD0" w:rsidRPr="00D715B5" w:rsidRDefault="00346AD0" w:rsidP="00346AD0">
            <w:pPr>
              <w:pStyle w:val="T1TableStyle"/>
              <w:jc w:val="center"/>
              <w:rPr>
                <w:rFonts w:ascii="Verdana" w:eastAsia="Verdana" w:hAnsi="Verdana" w:cs="Verdana"/>
                <w:color w:val="000000"/>
                <w:sz w:val="16"/>
                <w:lang w:val="en-GB"/>
              </w:rPr>
            </w:pPr>
          </w:p>
        </w:tc>
        <w:tc>
          <w:tcPr>
            <w:tcW w:w="359" w:type="dxa"/>
            <w:tcBorders>
              <w:top w:val="single" w:sz="2" w:space="0" w:color="000000"/>
              <w:bottom w:val="single" w:sz="2" w:space="0" w:color="000000"/>
            </w:tcBorders>
            <w:shd w:val="clear" w:color="auto" w:fill="auto"/>
            <w:tcMar>
              <w:top w:w="20" w:type="dxa"/>
              <w:left w:w="20" w:type="dxa"/>
              <w:bottom w:w="20" w:type="dxa"/>
              <w:right w:w="20" w:type="dxa"/>
            </w:tcMar>
          </w:tcPr>
          <w:p w14:paraId="6F0955C4" w14:textId="77777777" w:rsidR="00346AD0" w:rsidRPr="00D715B5" w:rsidRDefault="00346AD0" w:rsidP="00346AD0">
            <w:pPr>
              <w:pStyle w:val="T1TableStyle"/>
              <w:jc w:val="center"/>
              <w:rPr>
                <w:rFonts w:ascii="Verdana" w:eastAsia="Verdana" w:hAnsi="Verdana" w:cs="Verdana"/>
                <w:color w:val="000000"/>
                <w:sz w:val="2"/>
                <w:lang w:val="en-GB"/>
              </w:rPr>
            </w:pPr>
            <w:r w:rsidRPr="00D715B5">
              <w:rPr>
                <w:rFonts w:ascii="Verdana" w:eastAsia="Verdana" w:hAnsi="Verdana" w:cs="Verdana"/>
                <w:color w:val="000000"/>
                <w:sz w:val="2"/>
                <w:lang w:val="en-GB"/>
              </w:rPr>
              <w:t xml:space="preserve"> </w:t>
            </w:r>
          </w:p>
        </w:tc>
        <w:tc>
          <w:tcPr>
            <w:tcW w:w="6467" w:type="dxa"/>
            <w:tcBorders>
              <w:top w:val="single" w:sz="2" w:space="0" w:color="000000"/>
              <w:bottom w:val="single" w:sz="2" w:space="0" w:color="000000"/>
            </w:tcBorders>
            <w:shd w:val="clear" w:color="auto" w:fill="auto"/>
            <w:tcMar>
              <w:top w:w="20" w:type="dxa"/>
              <w:left w:w="20" w:type="dxa"/>
              <w:bottom w:w="20" w:type="dxa"/>
              <w:right w:w="20" w:type="dxa"/>
            </w:tcMar>
          </w:tcPr>
          <w:p w14:paraId="542C2B46" w14:textId="77777777" w:rsidR="00346AD0" w:rsidRPr="00D715B5" w:rsidRDefault="00346AD0" w:rsidP="00346AD0">
            <w:pPr>
              <w:pStyle w:val="T1TableStyle"/>
              <w:rPr>
                <w:rFonts w:ascii="Verdana" w:eastAsia="Verdana" w:hAnsi="Verdana" w:cs="Verdana"/>
                <w:color w:val="000000"/>
                <w:sz w:val="16"/>
                <w:lang w:val="en-GB"/>
              </w:rPr>
            </w:pPr>
            <w:r w:rsidRPr="00D715B5">
              <w:rPr>
                <w:rFonts w:ascii="Verdana" w:eastAsia="Verdana" w:hAnsi="Verdana" w:cs="Verdana"/>
                <w:color w:val="000000"/>
                <w:sz w:val="16"/>
                <w:lang w:val="en-GB"/>
              </w:rPr>
              <w:t>Amount by which officer remuneration charged to the Comprehensive Income and Expenditure Statement on an accruals basis is different from remuneration chargeable in year in accordance with statutory requirements</w:t>
            </w:r>
          </w:p>
        </w:tc>
        <w:tc>
          <w:tcPr>
            <w:tcW w:w="1398" w:type="dxa"/>
            <w:tcBorders>
              <w:top w:val="single" w:sz="2" w:space="0" w:color="000000"/>
              <w:bottom w:val="single" w:sz="2" w:space="0" w:color="000000"/>
            </w:tcBorders>
            <w:shd w:val="clear" w:color="auto" w:fill="auto"/>
            <w:tcMar>
              <w:top w:w="20" w:type="dxa"/>
              <w:left w:w="20" w:type="dxa"/>
              <w:bottom w:w="20" w:type="dxa"/>
              <w:right w:w="20" w:type="dxa"/>
            </w:tcMar>
          </w:tcPr>
          <w:p w14:paraId="3D850C00" w14:textId="77777777" w:rsidR="00346AD0" w:rsidRPr="00D715B5" w:rsidRDefault="00D715B5" w:rsidP="00D715B5">
            <w:pPr>
              <w:pStyle w:val="T1TableStyle"/>
              <w:jc w:val="right"/>
              <w:rPr>
                <w:rFonts w:ascii="Verdana" w:eastAsia="Verdana" w:hAnsi="Verdana" w:cs="Verdana"/>
                <w:color w:val="000000"/>
                <w:sz w:val="16"/>
                <w:lang w:val="en-GB"/>
              </w:rPr>
            </w:pPr>
            <w:r w:rsidRPr="00D715B5">
              <w:rPr>
                <w:rFonts w:ascii="Verdana" w:eastAsia="Verdana" w:hAnsi="Verdana" w:cs="Verdana"/>
                <w:color w:val="000000"/>
                <w:sz w:val="16"/>
                <w:lang w:val="en-GB"/>
              </w:rPr>
              <w:t>898</w:t>
            </w:r>
          </w:p>
        </w:tc>
      </w:tr>
      <w:tr w:rsidR="00346AD0" w:rsidRPr="00D715B5" w14:paraId="1141D1C8" w14:textId="77777777" w:rsidTr="00514B3B">
        <w:trPr>
          <w:gridBefore w:val="1"/>
          <w:gridAfter w:val="1"/>
          <w:wBefore w:w="142" w:type="dxa"/>
          <w:wAfter w:w="1283" w:type="dxa"/>
          <w:trHeight w:val="118"/>
          <w:jc w:val="center"/>
        </w:trPr>
        <w:tc>
          <w:tcPr>
            <w:tcW w:w="1415" w:type="dxa"/>
            <w:tcBorders>
              <w:top w:val="single" w:sz="2" w:space="0" w:color="000000"/>
              <w:bottom w:val="single" w:sz="12" w:space="0" w:color="000000"/>
            </w:tcBorders>
            <w:shd w:val="clear" w:color="auto" w:fill="auto"/>
            <w:tcMar>
              <w:top w:w="20" w:type="dxa"/>
              <w:left w:w="20" w:type="dxa"/>
              <w:bottom w:w="20" w:type="dxa"/>
              <w:right w:w="20" w:type="dxa"/>
            </w:tcMar>
          </w:tcPr>
          <w:p w14:paraId="4F49CE57" w14:textId="77777777" w:rsidR="00346AD0" w:rsidRPr="00D715B5" w:rsidRDefault="00346AD0" w:rsidP="00346AD0">
            <w:pPr>
              <w:pStyle w:val="T1TableStyle"/>
              <w:jc w:val="right"/>
              <w:rPr>
                <w:rFonts w:ascii="Verdana" w:eastAsia="Verdana" w:hAnsi="Verdana" w:cs="Verdana"/>
                <w:b/>
                <w:color w:val="000000"/>
                <w:sz w:val="16"/>
                <w:lang w:val="en-GB"/>
              </w:rPr>
            </w:pPr>
            <w:r w:rsidRPr="00D715B5">
              <w:rPr>
                <w:rFonts w:ascii="Verdana" w:eastAsia="Verdana" w:hAnsi="Verdana" w:cs="Verdana"/>
                <w:b/>
                <w:color w:val="000000"/>
                <w:sz w:val="16"/>
                <w:lang w:val="en-GB"/>
              </w:rPr>
              <w:t>1,053</w:t>
            </w:r>
          </w:p>
        </w:tc>
        <w:tc>
          <w:tcPr>
            <w:tcW w:w="359" w:type="dxa"/>
            <w:tcBorders>
              <w:top w:val="single" w:sz="2" w:space="0" w:color="000000"/>
              <w:bottom w:val="single" w:sz="12" w:space="0" w:color="000000"/>
            </w:tcBorders>
            <w:shd w:val="clear" w:color="auto" w:fill="auto"/>
            <w:tcMar>
              <w:top w:w="20" w:type="dxa"/>
              <w:left w:w="20" w:type="dxa"/>
              <w:bottom w:w="20" w:type="dxa"/>
              <w:right w:w="20" w:type="dxa"/>
            </w:tcMar>
          </w:tcPr>
          <w:p w14:paraId="5D7DCDC0" w14:textId="77777777" w:rsidR="00346AD0" w:rsidRPr="00D715B5" w:rsidRDefault="00346AD0" w:rsidP="00346AD0">
            <w:pPr>
              <w:pStyle w:val="T1TableStyle"/>
              <w:jc w:val="center"/>
              <w:rPr>
                <w:rFonts w:ascii="Verdana" w:eastAsia="Verdana" w:hAnsi="Verdana" w:cs="Verdana"/>
                <w:b/>
                <w:color w:val="000000"/>
                <w:sz w:val="2"/>
                <w:lang w:val="en-GB"/>
              </w:rPr>
            </w:pPr>
            <w:r w:rsidRPr="00D715B5">
              <w:rPr>
                <w:rFonts w:ascii="Verdana" w:eastAsia="Verdana" w:hAnsi="Verdana" w:cs="Verdana"/>
                <w:b/>
                <w:color w:val="000000"/>
                <w:sz w:val="2"/>
                <w:lang w:val="en-GB"/>
              </w:rPr>
              <w:t xml:space="preserve"> </w:t>
            </w:r>
          </w:p>
        </w:tc>
        <w:tc>
          <w:tcPr>
            <w:tcW w:w="6467" w:type="dxa"/>
            <w:tcBorders>
              <w:top w:val="single" w:sz="2" w:space="0" w:color="000000"/>
              <w:bottom w:val="single" w:sz="12" w:space="0" w:color="000000"/>
            </w:tcBorders>
            <w:shd w:val="clear" w:color="auto" w:fill="auto"/>
            <w:tcMar>
              <w:top w:w="20" w:type="dxa"/>
              <w:left w:w="20" w:type="dxa"/>
              <w:bottom w:w="20" w:type="dxa"/>
              <w:right w:w="20" w:type="dxa"/>
            </w:tcMar>
          </w:tcPr>
          <w:p w14:paraId="3E4B190A" w14:textId="77777777" w:rsidR="00346AD0" w:rsidRPr="00D715B5" w:rsidRDefault="00346AD0" w:rsidP="00346AD0">
            <w:pPr>
              <w:pStyle w:val="T1TableStyle"/>
              <w:rPr>
                <w:rFonts w:ascii="Verdana" w:eastAsia="Verdana" w:hAnsi="Verdana" w:cs="Verdana"/>
                <w:b/>
                <w:color w:val="000000"/>
                <w:sz w:val="16"/>
                <w:lang w:val="en-GB"/>
              </w:rPr>
            </w:pPr>
            <w:r w:rsidRPr="00D715B5">
              <w:rPr>
                <w:rFonts w:ascii="Verdana" w:eastAsia="Verdana" w:hAnsi="Verdana" w:cs="Verdana"/>
                <w:b/>
                <w:color w:val="000000"/>
                <w:sz w:val="16"/>
                <w:lang w:val="en-GB"/>
              </w:rPr>
              <w:t xml:space="preserve">Balance 31 March </w:t>
            </w:r>
          </w:p>
        </w:tc>
        <w:tc>
          <w:tcPr>
            <w:tcW w:w="1398" w:type="dxa"/>
            <w:tcBorders>
              <w:top w:val="single" w:sz="2" w:space="0" w:color="000000"/>
              <w:bottom w:val="single" w:sz="12" w:space="0" w:color="000000"/>
            </w:tcBorders>
            <w:shd w:val="clear" w:color="auto" w:fill="auto"/>
            <w:tcMar>
              <w:top w:w="20" w:type="dxa"/>
              <w:left w:w="20" w:type="dxa"/>
              <w:bottom w:w="20" w:type="dxa"/>
              <w:right w:w="20" w:type="dxa"/>
            </w:tcMar>
          </w:tcPr>
          <w:p w14:paraId="620C69C0" w14:textId="77777777" w:rsidR="00346AD0" w:rsidRPr="00D715B5" w:rsidRDefault="00D715B5" w:rsidP="00346AD0">
            <w:pPr>
              <w:pStyle w:val="T1TableStyle"/>
              <w:jc w:val="right"/>
              <w:rPr>
                <w:rFonts w:ascii="Verdana" w:eastAsia="Verdana" w:hAnsi="Verdana" w:cs="Verdana"/>
                <w:b/>
                <w:color w:val="000000"/>
                <w:sz w:val="16"/>
                <w:lang w:val="en-GB"/>
              </w:rPr>
            </w:pPr>
            <w:r w:rsidRPr="00D715B5">
              <w:rPr>
                <w:rFonts w:ascii="Verdana" w:eastAsia="Verdana" w:hAnsi="Verdana" w:cs="Verdana"/>
                <w:b/>
                <w:color w:val="000000"/>
                <w:sz w:val="16"/>
                <w:lang w:val="en-GB"/>
              </w:rPr>
              <w:t>1,951</w:t>
            </w:r>
          </w:p>
        </w:tc>
      </w:tr>
    </w:tbl>
    <w:p w14:paraId="25198FC5" w14:textId="77777777" w:rsidR="00F227D9" w:rsidRPr="00DC1077" w:rsidRDefault="00F227D9">
      <w:pPr>
        <w:pStyle w:val="T1TableStyle"/>
        <w:rPr>
          <w:rFonts w:ascii="Verdana" w:eastAsia="Verdana" w:hAnsi="Verdana" w:cs="Verdana"/>
          <w:sz w:val="22"/>
          <w:highlight w:val="yellow"/>
          <w:lang w:val="en-GB"/>
        </w:rPr>
      </w:pPr>
    </w:p>
    <w:p w14:paraId="60AD2F30" w14:textId="77777777" w:rsidR="00F227D9" w:rsidRPr="00D715B5" w:rsidRDefault="00F227D9" w:rsidP="00645BB6">
      <w:pPr>
        <w:pStyle w:val="Normal0"/>
        <w:spacing w:after="160"/>
        <w:jc w:val="both"/>
        <w:rPr>
          <w:rFonts w:ascii="Verdana" w:eastAsia="Verdana" w:hAnsi="Verdana" w:cs="Verdana"/>
          <w:sz w:val="22"/>
          <w:szCs w:val="22"/>
          <w:lang w:val="en-GB"/>
        </w:rPr>
      </w:pPr>
      <w:r w:rsidRPr="00D715B5">
        <w:rPr>
          <w:rFonts w:ascii="Verdana" w:eastAsia="Verdana" w:hAnsi="Verdana" w:cs="Verdana"/>
          <w:sz w:val="22"/>
          <w:szCs w:val="22"/>
          <w:lang w:val="en-GB"/>
        </w:rPr>
        <w:t xml:space="preserve">The Accumulated Absences Account </w:t>
      </w:r>
      <w:r w:rsidR="00645BB6" w:rsidRPr="00D715B5">
        <w:rPr>
          <w:rFonts w:ascii="Verdana" w:eastAsia="Verdana" w:hAnsi="Verdana" w:cs="Verdana"/>
          <w:sz w:val="22"/>
          <w:szCs w:val="22"/>
          <w:lang w:val="en-GB"/>
        </w:rPr>
        <w:t>reflects</w:t>
      </w:r>
      <w:r w:rsidRPr="00D715B5">
        <w:rPr>
          <w:rFonts w:ascii="Verdana" w:eastAsia="Verdana" w:hAnsi="Verdana" w:cs="Verdana"/>
          <w:sz w:val="22"/>
          <w:szCs w:val="22"/>
          <w:lang w:val="en-GB"/>
        </w:rPr>
        <w:t xml:space="preserve"> the differences that would otherwise arise on the General Fund Balance from accruing for compensated absences earned but not taken in the year, e.g. annual leave entitlement carried forward at 31 March 20</w:t>
      </w:r>
      <w:r w:rsidR="00D715B5" w:rsidRPr="00D715B5">
        <w:rPr>
          <w:rFonts w:ascii="Verdana" w:eastAsia="Verdana" w:hAnsi="Verdana" w:cs="Verdana"/>
          <w:sz w:val="22"/>
          <w:szCs w:val="22"/>
          <w:lang w:val="en-GB"/>
        </w:rPr>
        <w:t>21</w:t>
      </w:r>
      <w:r w:rsidRPr="00D715B5">
        <w:rPr>
          <w:rFonts w:ascii="Verdana" w:eastAsia="Verdana" w:hAnsi="Verdana" w:cs="Verdana"/>
          <w:sz w:val="22"/>
          <w:szCs w:val="22"/>
          <w:lang w:val="en-GB"/>
        </w:rPr>
        <w:t xml:space="preserve">. Statutory arrangements require that the impact on the General Fund Balance is </w:t>
      </w:r>
      <w:r w:rsidR="00645BB6" w:rsidRPr="00D715B5">
        <w:rPr>
          <w:rFonts w:ascii="Verdana" w:eastAsia="Verdana" w:hAnsi="Verdana" w:cs="Verdana"/>
          <w:sz w:val="22"/>
          <w:szCs w:val="22"/>
          <w:lang w:val="en-GB"/>
        </w:rPr>
        <w:t xml:space="preserve">offset by </w:t>
      </w:r>
      <w:r w:rsidRPr="00D715B5">
        <w:rPr>
          <w:rFonts w:ascii="Verdana" w:eastAsia="Verdana" w:hAnsi="Verdana" w:cs="Verdana"/>
          <w:sz w:val="22"/>
          <w:szCs w:val="22"/>
          <w:lang w:val="en-GB"/>
        </w:rPr>
        <w:t xml:space="preserve">transfers to </w:t>
      </w:r>
      <w:r w:rsidR="00645BB6" w:rsidRPr="00D715B5">
        <w:rPr>
          <w:rFonts w:ascii="Verdana" w:eastAsia="Verdana" w:hAnsi="Verdana" w:cs="Verdana"/>
          <w:sz w:val="22"/>
          <w:szCs w:val="22"/>
          <w:lang w:val="en-GB"/>
        </w:rPr>
        <w:t>mitigate the impact on Council Tax</w:t>
      </w:r>
      <w:r w:rsidRPr="00D715B5">
        <w:rPr>
          <w:rFonts w:ascii="Verdana" w:eastAsia="Verdana" w:hAnsi="Verdana" w:cs="Verdana"/>
          <w:sz w:val="22"/>
          <w:szCs w:val="22"/>
          <w:lang w:val="en-GB"/>
        </w:rPr>
        <w:t>.</w:t>
      </w:r>
    </w:p>
    <w:p w14:paraId="6EF82E3C" w14:textId="77777777" w:rsidR="00F227D9" w:rsidRPr="00BD5D66" w:rsidRDefault="00F227D9" w:rsidP="00F227D9">
      <w:pPr>
        <w:pStyle w:val="Heading1"/>
        <w:spacing w:after="240"/>
        <w:rPr>
          <w:lang w:val="pt-BR"/>
        </w:rPr>
      </w:pPr>
      <w:bookmarkStart w:id="17" w:name="_Toc77095568"/>
      <w:r w:rsidRPr="00BD5D66">
        <w:rPr>
          <w:lang w:val="pt-BR"/>
        </w:rPr>
        <w:t>Note 9 - Debtors</w:t>
      </w:r>
      <w:bookmarkEnd w:id="17"/>
      <w:r w:rsidRPr="00BD5D66">
        <w:rPr>
          <w:lang w:val="pt-BR"/>
        </w:rPr>
        <w:t xml:space="preserve"> </w:t>
      </w:r>
    </w:p>
    <w:p w14:paraId="42129FEB" w14:textId="77777777" w:rsidR="00F227D9" w:rsidRPr="00BD5D66" w:rsidRDefault="00F227D9">
      <w:pPr>
        <w:pStyle w:val="Normal0"/>
        <w:spacing w:after="160"/>
        <w:rPr>
          <w:rFonts w:ascii="Verdana" w:eastAsia="Verdana" w:hAnsi="Verdana" w:cs="Verdana"/>
          <w:sz w:val="22"/>
          <w:szCs w:val="22"/>
          <w:lang w:val="en-GB"/>
        </w:rPr>
      </w:pPr>
      <w:r w:rsidRPr="00BD5D66">
        <w:rPr>
          <w:rFonts w:ascii="Verdana" w:eastAsia="Verdana" w:hAnsi="Verdana" w:cs="Verdana"/>
          <w:sz w:val="22"/>
          <w:szCs w:val="22"/>
          <w:lang w:val="en-GB"/>
        </w:rPr>
        <w:t>Debts outstanding at 31 March 20</w:t>
      </w:r>
      <w:r w:rsidR="00443FC8" w:rsidRPr="00BD5D66">
        <w:rPr>
          <w:rFonts w:ascii="Verdana" w:eastAsia="Verdana" w:hAnsi="Verdana" w:cs="Verdana"/>
          <w:sz w:val="22"/>
          <w:szCs w:val="22"/>
          <w:lang w:val="en-GB"/>
        </w:rPr>
        <w:t>2</w:t>
      </w:r>
      <w:r w:rsidR="00A57D3D" w:rsidRPr="00BD5D66">
        <w:rPr>
          <w:rFonts w:ascii="Verdana" w:eastAsia="Verdana" w:hAnsi="Verdana" w:cs="Verdana"/>
          <w:sz w:val="22"/>
          <w:szCs w:val="22"/>
          <w:lang w:val="en-GB"/>
        </w:rPr>
        <w:t>1</w:t>
      </w:r>
      <w:r w:rsidRPr="00BD5D66">
        <w:rPr>
          <w:rFonts w:ascii="Verdana" w:eastAsia="Verdana" w:hAnsi="Verdana" w:cs="Verdana"/>
          <w:sz w:val="22"/>
          <w:szCs w:val="22"/>
          <w:lang w:val="en-GB"/>
        </w:rPr>
        <w:t xml:space="preserve"> are as follows:</w:t>
      </w:r>
    </w:p>
    <w:tbl>
      <w:tblPr>
        <w:tblW w:w="0" w:type="auto"/>
        <w:jc w:val="center"/>
        <w:tblLayout w:type="fixed"/>
        <w:tblLook w:val="04A0" w:firstRow="1" w:lastRow="0" w:firstColumn="1" w:lastColumn="0" w:noHBand="0" w:noVBand="1"/>
      </w:tblPr>
      <w:tblGrid>
        <w:gridCol w:w="1545"/>
        <w:gridCol w:w="180"/>
        <w:gridCol w:w="2730"/>
        <w:gridCol w:w="1545"/>
      </w:tblGrid>
      <w:tr w:rsidR="0053376B" w:rsidRPr="00BD5D66" w14:paraId="586F6572" w14:textId="77777777" w:rsidTr="007D3C35">
        <w:trPr>
          <w:trHeight w:val="300"/>
          <w:jc w:val="center"/>
        </w:trPr>
        <w:tc>
          <w:tcPr>
            <w:tcW w:w="1545" w:type="dxa"/>
            <w:shd w:val="clear" w:color="auto" w:fill="auto"/>
            <w:tcMar>
              <w:top w:w="20" w:type="dxa"/>
              <w:left w:w="20" w:type="dxa"/>
              <w:bottom w:w="20" w:type="dxa"/>
              <w:right w:w="20" w:type="dxa"/>
            </w:tcMar>
            <w:vAlign w:val="bottom"/>
          </w:tcPr>
          <w:p w14:paraId="5F8DD868" w14:textId="77777777" w:rsidR="00F227D9" w:rsidRPr="00BD5D66" w:rsidRDefault="00F227D9" w:rsidP="00A57D3D">
            <w:pPr>
              <w:pStyle w:val="T1TableStyle"/>
              <w:jc w:val="center"/>
              <w:rPr>
                <w:rFonts w:ascii="Verdana" w:eastAsia="Verdana" w:hAnsi="Verdana" w:cs="Verdana"/>
                <w:b/>
                <w:color w:val="000000"/>
                <w:sz w:val="16"/>
                <w:lang w:val="en-GB"/>
              </w:rPr>
            </w:pPr>
            <w:r w:rsidRPr="00BD5D66">
              <w:rPr>
                <w:rFonts w:ascii="Verdana" w:eastAsia="Verdana" w:hAnsi="Verdana" w:cs="Verdana"/>
                <w:b/>
                <w:color w:val="000000"/>
                <w:sz w:val="16"/>
                <w:lang w:val="en-GB"/>
              </w:rPr>
              <w:t>31 March 20</w:t>
            </w:r>
            <w:r w:rsidR="00A57D3D" w:rsidRPr="00BD5D66">
              <w:rPr>
                <w:rFonts w:ascii="Verdana" w:eastAsia="Verdana" w:hAnsi="Verdana" w:cs="Verdana"/>
                <w:b/>
                <w:color w:val="000000"/>
                <w:sz w:val="16"/>
                <w:lang w:val="en-GB"/>
              </w:rPr>
              <w:t>20</w:t>
            </w:r>
          </w:p>
        </w:tc>
        <w:tc>
          <w:tcPr>
            <w:tcW w:w="180" w:type="dxa"/>
            <w:shd w:val="clear" w:color="auto" w:fill="auto"/>
            <w:tcMar>
              <w:top w:w="20" w:type="dxa"/>
              <w:left w:w="20" w:type="dxa"/>
              <w:bottom w:w="20" w:type="dxa"/>
              <w:right w:w="20" w:type="dxa"/>
            </w:tcMar>
            <w:vAlign w:val="bottom"/>
          </w:tcPr>
          <w:p w14:paraId="5FB3E60C" w14:textId="77777777" w:rsidR="00F227D9" w:rsidRPr="00BD5D66" w:rsidRDefault="00F227D9">
            <w:pPr>
              <w:pStyle w:val="T1TableStyle"/>
              <w:jc w:val="center"/>
              <w:rPr>
                <w:rFonts w:ascii="Verdana" w:eastAsia="Verdana" w:hAnsi="Verdana" w:cs="Verdana"/>
                <w:b/>
                <w:color w:val="000000"/>
                <w:sz w:val="2"/>
                <w:lang w:val="en-GB"/>
              </w:rPr>
            </w:pPr>
            <w:r w:rsidRPr="00BD5D66">
              <w:rPr>
                <w:rFonts w:ascii="Verdana" w:eastAsia="Verdana" w:hAnsi="Verdana" w:cs="Verdana"/>
                <w:b/>
                <w:color w:val="000000"/>
                <w:sz w:val="2"/>
                <w:lang w:val="en-GB"/>
              </w:rPr>
              <w:t xml:space="preserve"> </w:t>
            </w:r>
          </w:p>
        </w:tc>
        <w:tc>
          <w:tcPr>
            <w:tcW w:w="2730" w:type="dxa"/>
            <w:shd w:val="clear" w:color="auto" w:fill="auto"/>
            <w:tcMar>
              <w:top w:w="20" w:type="dxa"/>
              <w:left w:w="20" w:type="dxa"/>
              <w:bottom w:w="20" w:type="dxa"/>
              <w:right w:w="20" w:type="dxa"/>
            </w:tcMar>
            <w:vAlign w:val="bottom"/>
          </w:tcPr>
          <w:p w14:paraId="138D3327" w14:textId="77777777" w:rsidR="00F227D9" w:rsidRPr="00BD5D66" w:rsidRDefault="00F227D9">
            <w:pPr>
              <w:pStyle w:val="T1TableStyle"/>
              <w:jc w:val="center"/>
              <w:rPr>
                <w:rFonts w:ascii="Verdana" w:eastAsia="Verdana" w:hAnsi="Verdana" w:cs="Verdana"/>
                <w:b/>
                <w:color w:val="000000"/>
                <w:sz w:val="2"/>
                <w:lang w:val="en-GB"/>
              </w:rPr>
            </w:pPr>
            <w:r w:rsidRPr="00BD5D66">
              <w:rPr>
                <w:rFonts w:ascii="Verdana" w:eastAsia="Verdana" w:hAnsi="Verdana" w:cs="Verdana"/>
                <w:b/>
                <w:color w:val="000000"/>
                <w:sz w:val="2"/>
                <w:lang w:val="en-GB"/>
              </w:rPr>
              <w:t xml:space="preserve"> </w:t>
            </w:r>
          </w:p>
        </w:tc>
        <w:tc>
          <w:tcPr>
            <w:tcW w:w="1545" w:type="dxa"/>
            <w:shd w:val="clear" w:color="auto" w:fill="auto"/>
            <w:tcMar>
              <w:top w:w="20" w:type="dxa"/>
              <w:left w:w="20" w:type="dxa"/>
              <w:bottom w:w="20" w:type="dxa"/>
              <w:right w:w="20" w:type="dxa"/>
            </w:tcMar>
            <w:vAlign w:val="bottom"/>
          </w:tcPr>
          <w:p w14:paraId="2AF01C03" w14:textId="77777777" w:rsidR="00F227D9" w:rsidRPr="00BD5D66" w:rsidRDefault="00F227D9" w:rsidP="00A57D3D">
            <w:pPr>
              <w:pStyle w:val="T1TableStyle"/>
              <w:jc w:val="center"/>
              <w:rPr>
                <w:rFonts w:ascii="Verdana" w:eastAsia="Verdana" w:hAnsi="Verdana" w:cs="Verdana"/>
                <w:b/>
                <w:color w:val="000000"/>
                <w:sz w:val="16"/>
                <w:lang w:val="en-GB"/>
              </w:rPr>
            </w:pPr>
            <w:r w:rsidRPr="00BD5D66">
              <w:rPr>
                <w:rFonts w:ascii="Verdana" w:eastAsia="Verdana" w:hAnsi="Verdana" w:cs="Verdana"/>
                <w:b/>
                <w:color w:val="000000"/>
                <w:sz w:val="16"/>
                <w:lang w:val="en-GB"/>
              </w:rPr>
              <w:t>31 March 202</w:t>
            </w:r>
            <w:r w:rsidR="00A57D3D" w:rsidRPr="00BD5D66">
              <w:rPr>
                <w:rFonts w:ascii="Verdana" w:eastAsia="Verdana" w:hAnsi="Verdana" w:cs="Verdana"/>
                <w:b/>
                <w:color w:val="000000"/>
                <w:sz w:val="16"/>
                <w:lang w:val="en-GB"/>
              </w:rPr>
              <w:t>1</w:t>
            </w:r>
          </w:p>
        </w:tc>
      </w:tr>
      <w:tr w:rsidR="0053376B" w:rsidRPr="00BD5D66" w14:paraId="3145BDAB" w14:textId="77777777" w:rsidTr="007D3C35">
        <w:trPr>
          <w:trHeight w:val="300"/>
          <w:jc w:val="center"/>
        </w:trPr>
        <w:tc>
          <w:tcPr>
            <w:tcW w:w="1545" w:type="dxa"/>
            <w:tcBorders>
              <w:bottom w:val="single" w:sz="2" w:space="0" w:color="000000"/>
            </w:tcBorders>
            <w:shd w:val="clear" w:color="auto" w:fill="auto"/>
            <w:tcMar>
              <w:top w:w="20" w:type="dxa"/>
              <w:left w:w="20" w:type="dxa"/>
              <w:bottom w:w="20" w:type="dxa"/>
              <w:right w:w="20" w:type="dxa"/>
            </w:tcMar>
          </w:tcPr>
          <w:p w14:paraId="4493B5C2" w14:textId="77777777" w:rsidR="00F227D9" w:rsidRPr="00BD5D66" w:rsidRDefault="00F227D9">
            <w:pPr>
              <w:pStyle w:val="T1TableStyle"/>
              <w:jc w:val="right"/>
              <w:rPr>
                <w:rFonts w:ascii="Verdana" w:eastAsia="Verdana" w:hAnsi="Verdana" w:cs="Verdana"/>
                <w:b/>
                <w:color w:val="000000"/>
                <w:sz w:val="16"/>
                <w:lang w:val="en-GB"/>
              </w:rPr>
            </w:pPr>
            <w:r w:rsidRPr="00BD5D66">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14:paraId="71B0AA2A" w14:textId="77777777" w:rsidR="00F227D9" w:rsidRPr="00BD5D66" w:rsidRDefault="00F227D9">
            <w:pPr>
              <w:pStyle w:val="T1TableStyle"/>
              <w:jc w:val="right"/>
              <w:rPr>
                <w:rFonts w:ascii="Verdana" w:eastAsia="Verdana" w:hAnsi="Verdana" w:cs="Verdana"/>
                <w:b/>
                <w:color w:val="000000"/>
                <w:sz w:val="2"/>
                <w:lang w:val="en-GB"/>
              </w:rPr>
            </w:pPr>
            <w:r w:rsidRPr="00BD5D66">
              <w:rPr>
                <w:rFonts w:ascii="Verdana" w:eastAsia="Verdana" w:hAnsi="Verdana" w:cs="Verdana"/>
                <w:b/>
                <w:color w:val="000000"/>
                <w:sz w:val="2"/>
                <w:lang w:val="en-GB"/>
              </w:rPr>
              <w:t xml:space="preserve"> </w:t>
            </w:r>
          </w:p>
        </w:tc>
        <w:tc>
          <w:tcPr>
            <w:tcW w:w="2730" w:type="dxa"/>
            <w:tcBorders>
              <w:bottom w:val="single" w:sz="2" w:space="0" w:color="000000"/>
            </w:tcBorders>
            <w:shd w:val="clear" w:color="auto" w:fill="auto"/>
            <w:tcMar>
              <w:top w:w="20" w:type="dxa"/>
              <w:left w:w="20" w:type="dxa"/>
              <w:bottom w:w="20" w:type="dxa"/>
              <w:right w:w="20" w:type="dxa"/>
            </w:tcMar>
          </w:tcPr>
          <w:p w14:paraId="217D1388" w14:textId="77777777" w:rsidR="00F227D9" w:rsidRPr="00BD5D66" w:rsidRDefault="00F227D9">
            <w:pPr>
              <w:pStyle w:val="T1TableStyle"/>
              <w:jc w:val="right"/>
              <w:rPr>
                <w:rFonts w:ascii="Verdana" w:eastAsia="Verdana" w:hAnsi="Verdana" w:cs="Verdana"/>
                <w:b/>
                <w:color w:val="000000"/>
                <w:sz w:val="2"/>
                <w:lang w:val="en-GB"/>
              </w:rPr>
            </w:pPr>
            <w:r w:rsidRPr="00BD5D66">
              <w:rPr>
                <w:rFonts w:ascii="Verdana" w:eastAsia="Verdana" w:hAnsi="Verdana" w:cs="Verdana"/>
                <w:b/>
                <w:color w:val="000000"/>
                <w:sz w:val="2"/>
                <w:lang w:val="en-GB"/>
              </w:rPr>
              <w:t xml:space="preserve"> </w:t>
            </w:r>
          </w:p>
        </w:tc>
        <w:tc>
          <w:tcPr>
            <w:tcW w:w="1545" w:type="dxa"/>
            <w:tcBorders>
              <w:bottom w:val="single" w:sz="2" w:space="0" w:color="000000"/>
            </w:tcBorders>
            <w:shd w:val="clear" w:color="auto" w:fill="auto"/>
            <w:tcMar>
              <w:top w:w="20" w:type="dxa"/>
              <w:left w:w="20" w:type="dxa"/>
              <w:bottom w:w="20" w:type="dxa"/>
              <w:right w:w="20" w:type="dxa"/>
            </w:tcMar>
          </w:tcPr>
          <w:p w14:paraId="56630F10" w14:textId="77777777" w:rsidR="00F227D9" w:rsidRPr="00BD5D66" w:rsidRDefault="00F227D9">
            <w:pPr>
              <w:pStyle w:val="T1TableStyle"/>
              <w:jc w:val="right"/>
              <w:rPr>
                <w:rFonts w:ascii="Verdana" w:eastAsia="Verdana" w:hAnsi="Verdana" w:cs="Verdana"/>
                <w:b/>
                <w:color w:val="000000"/>
                <w:sz w:val="16"/>
                <w:lang w:val="en-GB"/>
              </w:rPr>
            </w:pPr>
            <w:r w:rsidRPr="00BD5D66">
              <w:rPr>
                <w:rFonts w:ascii="Verdana" w:eastAsia="Verdana" w:hAnsi="Verdana" w:cs="Verdana"/>
                <w:b/>
                <w:color w:val="000000"/>
                <w:sz w:val="16"/>
                <w:lang w:val="en-GB"/>
              </w:rPr>
              <w:t>£000</w:t>
            </w:r>
          </w:p>
        </w:tc>
      </w:tr>
      <w:tr w:rsidR="0053376B" w:rsidRPr="00BD5D66" w14:paraId="114F68DC" w14:textId="77777777" w:rsidTr="007D3C35">
        <w:trPr>
          <w:trHeight w:val="300"/>
          <w:jc w:val="center"/>
        </w:trPr>
        <w:tc>
          <w:tcPr>
            <w:tcW w:w="1545" w:type="dxa"/>
            <w:shd w:val="clear" w:color="auto" w:fill="auto"/>
            <w:tcMar>
              <w:top w:w="20" w:type="dxa"/>
              <w:left w:w="20" w:type="dxa"/>
              <w:bottom w:w="20" w:type="dxa"/>
              <w:right w:w="20" w:type="dxa"/>
            </w:tcMar>
          </w:tcPr>
          <w:p w14:paraId="5B8A0F54" w14:textId="77777777" w:rsidR="00F227D9" w:rsidRPr="00BD5D66" w:rsidRDefault="00F227D9">
            <w:pPr>
              <w:pStyle w:val="T1TableStyle"/>
              <w:jc w:val="right"/>
              <w:rPr>
                <w:rFonts w:ascii="Verdana" w:eastAsia="Verdana" w:hAnsi="Verdana" w:cs="Verdana"/>
                <w:color w:val="000000"/>
                <w:sz w:val="16"/>
                <w:lang w:val="en-GB"/>
              </w:rPr>
            </w:pPr>
            <w:r w:rsidRPr="00BD5D66">
              <w:rPr>
                <w:rFonts w:ascii="Verdana" w:eastAsia="Verdana" w:hAnsi="Verdana" w:cs="Verdana"/>
                <w:color w:val="000000"/>
                <w:sz w:val="16"/>
                <w:lang w:val="en-GB"/>
              </w:rPr>
              <w:t>110</w:t>
            </w:r>
          </w:p>
        </w:tc>
        <w:tc>
          <w:tcPr>
            <w:tcW w:w="180" w:type="dxa"/>
            <w:shd w:val="clear" w:color="auto" w:fill="auto"/>
            <w:tcMar>
              <w:top w:w="20" w:type="dxa"/>
              <w:left w:w="20" w:type="dxa"/>
              <w:bottom w:w="20" w:type="dxa"/>
              <w:right w:w="20" w:type="dxa"/>
            </w:tcMar>
          </w:tcPr>
          <w:p w14:paraId="5A7AEAEC" w14:textId="77777777" w:rsidR="00F227D9" w:rsidRPr="00BD5D66" w:rsidRDefault="00F227D9">
            <w:pPr>
              <w:pStyle w:val="T1TableStyle"/>
              <w:jc w:val="center"/>
              <w:rPr>
                <w:rFonts w:ascii="Verdana" w:eastAsia="Verdana" w:hAnsi="Verdana" w:cs="Verdana"/>
                <w:color w:val="000000"/>
                <w:sz w:val="2"/>
                <w:lang w:val="en-GB"/>
              </w:rPr>
            </w:pPr>
            <w:r w:rsidRPr="00BD5D66">
              <w:rPr>
                <w:rFonts w:ascii="Verdana" w:eastAsia="Verdana" w:hAnsi="Verdana" w:cs="Verdana"/>
                <w:color w:val="000000"/>
                <w:sz w:val="2"/>
                <w:lang w:val="en-GB"/>
              </w:rPr>
              <w:t xml:space="preserve"> </w:t>
            </w:r>
          </w:p>
        </w:tc>
        <w:tc>
          <w:tcPr>
            <w:tcW w:w="2730" w:type="dxa"/>
            <w:shd w:val="clear" w:color="auto" w:fill="auto"/>
            <w:tcMar>
              <w:top w:w="20" w:type="dxa"/>
              <w:left w:w="20" w:type="dxa"/>
              <w:bottom w:w="20" w:type="dxa"/>
              <w:right w:w="20" w:type="dxa"/>
            </w:tcMar>
          </w:tcPr>
          <w:p w14:paraId="38933EAB" w14:textId="77777777" w:rsidR="00F227D9" w:rsidRPr="00BD5D66" w:rsidRDefault="00F227D9">
            <w:pPr>
              <w:pStyle w:val="T1TableStyle"/>
              <w:rPr>
                <w:rFonts w:ascii="Verdana" w:eastAsia="Verdana" w:hAnsi="Verdana" w:cs="Verdana"/>
                <w:color w:val="000000"/>
                <w:sz w:val="16"/>
                <w:lang w:val="en-GB"/>
              </w:rPr>
            </w:pPr>
            <w:r w:rsidRPr="00BD5D66">
              <w:rPr>
                <w:rFonts w:ascii="Verdana" w:eastAsia="Verdana" w:hAnsi="Verdana" w:cs="Verdana"/>
                <w:color w:val="000000"/>
                <w:sz w:val="16"/>
                <w:lang w:val="en-GB"/>
              </w:rPr>
              <w:t>Other Receivable Amounts</w:t>
            </w:r>
          </w:p>
        </w:tc>
        <w:tc>
          <w:tcPr>
            <w:tcW w:w="1545" w:type="dxa"/>
            <w:shd w:val="clear" w:color="auto" w:fill="auto"/>
            <w:tcMar>
              <w:top w:w="20" w:type="dxa"/>
              <w:left w:w="20" w:type="dxa"/>
              <w:bottom w:w="20" w:type="dxa"/>
              <w:right w:w="20" w:type="dxa"/>
            </w:tcMar>
          </w:tcPr>
          <w:p w14:paraId="03D80549" w14:textId="77777777" w:rsidR="00F227D9" w:rsidRPr="00BD5D66" w:rsidRDefault="00BD5D66">
            <w:pPr>
              <w:pStyle w:val="T1TableStyle"/>
              <w:jc w:val="right"/>
              <w:rPr>
                <w:rFonts w:ascii="Verdana" w:eastAsia="Verdana" w:hAnsi="Verdana" w:cs="Verdana"/>
                <w:color w:val="000000"/>
                <w:sz w:val="16"/>
                <w:lang w:val="en-GB"/>
              </w:rPr>
            </w:pPr>
            <w:r w:rsidRPr="00BD5D66">
              <w:rPr>
                <w:rFonts w:ascii="Verdana" w:eastAsia="Verdana" w:hAnsi="Verdana" w:cs="Verdana"/>
                <w:color w:val="000000"/>
                <w:sz w:val="16"/>
                <w:lang w:val="en-GB"/>
              </w:rPr>
              <w:t>110</w:t>
            </w:r>
          </w:p>
        </w:tc>
      </w:tr>
      <w:tr w:rsidR="0053376B" w:rsidRPr="00BD5D66" w14:paraId="3172323D" w14:textId="77777777" w:rsidTr="007D3C35">
        <w:trPr>
          <w:trHeight w:val="315"/>
          <w:jc w:val="center"/>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2E768143" w14:textId="77777777" w:rsidR="00F227D9" w:rsidRPr="00BD5D66" w:rsidRDefault="00F227D9">
            <w:pPr>
              <w:pStyle w:val="T1TableStyle"/>
              <w:jc w:val="right"/>
              <w:rPr>
                <w:rFonts w:ascii="Verdana" w:eastAsia="Verdana" w:hAnsi="Verdana" w:cs="Verdana"/>
                <w:b/>
                <w:color w:val="000000"/>
                <w:sz w:val="16"/>
                <w:lang w:val="en-GB"/>
              </w:rPr>
            </w:pPr>
            <w:r w:rsidRPr="00BD5D66">
              <w:rPr>
                <w:rFonts w:ascii="Verdana" w:eastAsia="Verdana" w:hAnsi="Verdana" w:cs="Verdana"/>
                <w:b/>
                <w:color w:val="000000"/>
                <w:sz w:val="16"/>
                <w:lang w:val="en-GB"/>
              </w:rPr>
              <w:t>110</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1349A9CE" w14:textId="77777777" w:rsidR="00F227D9" w:rsidRPr="00BD5D66" w:rsidRDefault="00F227D9">
            <w:pPr>
              <w:pStyle w:val="T1TableStyle"/>
              <w:jc w:val="center"/>
              <w:rPr>
                <w:rFonts w:ascii="Verdana" w:eastAsia="Verdana" w:hAnsi="Verdana" w:cs="Verdana"/>
                <w:b/>
                <w:color w:val="000000"/>
                <w:sz w:val="2"/>
                <w:lang w:val="en-GB"/>
              </w:rPr>
            </w:pPr>
            <w:r w:rsidRPr="00BD5D66">
              <w:rPr>
                <w:rFonts w:ascii="Verdana" w:eastAsia="Verdana" w:hAnsi="Verdana" w:cs="Verdana"/>
                <w:b/>
                <w:color w:val="000000"/>
                <w:sz w:val="2"/>
                <w:lang w:val="en-GB"/>
              </w:rPr>
              <w:t xml:space="preserve"> </w:t>
            </w:r>
          </w:p>
        </w:tc>
        <w:tc>
          <w:tcPr>
            <w:tcW w:w="2730" w:type="dxa"/>
            <w:tcBorders>
              <w:top w:val="single" w:sz="2" w:space="0" w:color="000000"/>
              <w:bottom w:val="single" w:sz="12" w:space="0" w:color="000000"/>
            </w:tcBorders>
            <w:shd w:val="clear" w:color="auto" w:fill="auto"/>
            <w:tcMar>
              <w:top w:w="20" w:type="dxa"/>
              <w:left w:w="20" w:type="dxa"/>
              <w:bottom w:w="20" w:type="dxa"/>
              <w:right w:w="20" w:type="dxa"/>
            </w:tcMar>
          </w:tcPr>
          <w:p w14:paraId="0C03FBBC" w14:textId="77777777" w:rsidR="00F227D9" w:rsidRPr="00BD5D66" w:rsidRDefault="00F227D9">
            <w:pPr>
              <w:pStyle w:val="T1TableStyle"/>
              <w:rPr>
                <w:rFonts w:ascii="Verdana" w:eastAsia="Verdana" w:hAnsi="Verdana" w:cs="Verdana"/>
                <w:b/>
                <w:color w:val="000000"/>
                <w:sz w:val="16"/>
                <w:lang w:val="en-GB"/>
              </w:rPr>
            </w:pPr>
            <w:r w:rsidRPr="00BD5D66">
              <w:rPr>
                <w:rFonts w:ascii="Verdana" w:eastAsia="Verdana" w:hAnsi="Verdana" w:cs="Verdana"/>
                <w:b/>
                <w:color w:val="000000"/>
                <w:sz w:val="16"/>
                <w:lang w:val="en-GB"/>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0FDD221B" w14:textId="77777777" w:rsidR="00F227D9" w:rsidRPr="00BD5D66" w:rsidRDefault="00BD5D66">
            <w:pPr>
              <w:pStyle w:val="T1TableStyle"/>
              <w:jc w:val="right"/>
              <w:rPr>
                <w:rFonts w:ascii="Verdana" w:eastAsia="Verdana" w:hAnsi="Verdana" w:cs="Verdana"/>
                <w:b/>
                <w:color w:val="000000"/>
                <w:sz w:val="16"/>
                <w:lang w:val="en-GB"/>
              </w:rPr>
            </w:pPr>
            <w:r w:rsidRPr="00BD5D66">
              <w:rPr>
                <w:rFonts w:ascii="Verdana" w:eastAsia="Verdana" w:hAnsi="Verdana" w:cs="Verdana"/>
                <w:b/>
                <w:color w:val="000000"/>
                <w:sz w:val="16"/>
                <w:lang w:val="en-GB"/>
              </w:rPr>
              <w:t>110</w:t>
            </w:r>
          </w:p>
        </w:tc>
      </w:tr>
    </w:tbl>
    <w:p w14:paraId="04FE0C21" w14:textId="77777777" w:rsidR="00F227D9" w:rsidRPr="00BD5D66" w:rsidRDefault="00F227D9">
      <w:pPr>
        <w:pStyle w:val="T1TableStyle"/>
        <w:rPr>
          <w:rFonts w:ascii="Verdana" w:eastAsia="Verdana" w:hAnsi="Verdana" w:cs="Verdana"/>
          <w:sz w:val="22"/>
          <w:lang w:val="en-GB"/>
        </w:rPr>
      </w:pPr>
    </w:p>
    <w:p w14:paraId="212409C9" w14:textId="77777777" w:rsidR="00F227D9" w:rsidRPr="00BD5D66" w:rsidRDefault="00F227D9">
      <w:pPr>
        <w:pStyle w:val="Normal0"/>
        <w:spacing w:after="160"/>
        <w:rPr>
          <w:rFonts w:ascii="Verdana" w:eastAsia="Verdana" w:hAnsi="Verdana" w:cs="Verdana"/>
          <w:sz w:val="22"/>
          <w:szCs w:val="22"/>
          <w:lang w:val="en-GB"/>
        </w:rPr>
      </w:pPr>
      <w:r w:rsidRPr="00BD5D66">
        <w:rPr>
          <w:rFonts w:ascii="Verdana" w:eastAsia="Verdana" w:hAnsi="Verdana" w:cs="Verdana"/>
          <w:sz w:val="22"/>
          <w:szCs w:val="22"/>
          <w:lang w:val="en-GB"/>
        </w:rPr>
        <w:t>This debtor relates to the restructuring provision, representing PCC funding to match provision.</w:t>
      </w:r>
    </w:p>
    <w:p w14:paraId="7E98158B" w14:textId="77777777" w:rsidR="00F227D9" w:rsidRPr="00A96FCD" w:rsidRDefault="00F227D9" w:rsidP="00F227D9">
      <w:pPr>
        <w:pStyle w:val="Heading1"/>
        <w:spacing w:after="240"/>
        <w:rPr>
          <w:lang w:val="pt-BR"/>
        </w:rPr>
      </w:pPr>
      <w:bookmarkStart w:id="18" w:name="_Toc77095569"/>
      <w:r w:rsidRPr="00A96FCD">
        <w:rPr>
          <w:lang w:val="pt-BR"/>
        </w:rPr>
        <w:t>Note 10 - Creditors</w:t>
      </w:r>
      <w:bookmarkEnd w:id="18"/>
      <w:r w:rsidRPr="00A96FCD">
        <w:rPr>
          <w:lang w:val="pt-BR"/>
        </w:rPr>
        <w:t xml:space="preserve"> </w:t>
      </w:r>
    </w:p>
    <w:p w14:paraId="2B7F782C" w14:textId="77777777" w:rsidR="00F227D9" w:rsidRPr="00A96FCD" w:rsidRDefault="00F227D9">
      <w:pPr>
        <w:pStyle w:val="Normal0"/>
        <w:spacing w:after="160"/>
        <w:rPr>
          <w:rFonts w:ascii="Verdana" w:eastAsia="Verdana" w:hAnsi="Verdana" w:cs="Verdana"/>
          <w:sz w:val="22"/>
          <w:szCs w:val="22"/>
          <w:lang w:val="en-GB"/>
        </w:rPr>
      </w:pPr>
      <w:r w:rsidRPr="00A96FCD">
        <w:rPr>
          <w:rFonts w:ascii="Verdana" w:eastAsia="Verdana" w:hAnsi="Verdana" w:cs="Verdana"/>
          <w:sz w:val="22"/>
          <w:szCs w:val="22"/>
          <w:lang w:val="en-GB"/>
        </w:rPr>
        <w:t>Payments due at 31 March 20</w:t>
      </w:r>
      <w:r w:rsidR="00443FC8" w:rsidRPr="00A96FCD">
        <w:rPr>
          <w:rFonts w:ascii="Verdana" w:eastAsia="Verdana" w:hAnsi="Verdana" w:cs="Verdana"/>
          <w:sz w:val="22"/>
          <w:szCs w:val="22"/>
          <w:lang w:val="en-GB"/>
        </w:rPr>
        <w:t>2</w:t>
      </w:r>
      <w:r w:rsidR="00A57D3D" w:rsidRPr="00A96FCD">
        <w:rPr>
          <w:rFonts w:ascii="Verdana" w:eastAsia="Verdana" w:hAnsi="Verdana" w:cs="Verdana"/>
          <w:sz w:val="22"/>
          <w:szCs w:val="22"/>
          <w:lang w:val="en-GB"/>
        </w:rPr>
        <w:t>1</w:t>
      </w:r>
      <w:r w:rsidRPr="00A96FCD">
        <w:rPr>
          <w:rFonts w:ascii="Verdana" w:eastAsia="Verdana" w:hAnsi="Verdana" w:cs="Verdana"/>
          <w:sz w:val="22"/>
          <w:szCs w:val="22"/>
          <w:lang w:val="en-GB"/>
        </w:rPr>
        <w:t xml:space="preserve"> are as follows:</w:t>
      </w:r>
    </w:p>
    <w:tbl>
      <w:tblPr>
        <w:tblW w:w="0" w:type="auto"/>
        <w:jc w:val="center"/>
        <w:tblLayout w:type="fixed"/>
        <w:tblLook w:val="04A0" w:firstRow="1" w:lastRow="0" w:firstColumn="1" w:lastColumn="0" w:noHBand="0" w:noVBand="1"/>
      </w:tblPr>
      <w:tblGrid>
        <w:gridCol w:w="1665"/>
        <w:gridCol w:w="180"/>
        <w:gridCol w:w="2955"/>
        <w:gridCol w:w="1665"/>
      </w:tblGrid>
      <w:tr w:rsidR="0053376B" w:rsidRPr="00A96FCD" w14:paraId="04A3FFA3" w14:textId="77777777" w:rsidTr="007D3C35">
        <w:trPr>
          <w:trHeight w:val="300"/>
          <w:jc w:val="center"/>
        </w:trPr>
        <w:tc>
          <w:tcPr>
            <w:tcW w:w="1665" w:type="dxa"/>
            <w:shd w:val="clear" w:color="auto" w:fill="auto"/>
            <w:tcMar>
              <w:top w:w="20" w:type="dxa"/>
              <w:left w:w="20" w:type="dxa"/>
              <w:bottom w:w="20" w:type="dxa"/>
              <w:right w:w="20" w:type="dxa"/>
            </w:tcMar>
            <w:vAlign w:val="bottom"/>
          </w:tcPr>
          <w:p w14:paraId="5432016E" w14:textId="77777777" w:rsidR="00F227D9" w:rsidRPr="00A96FCD" w:rsidRDefault="00F227D9" w:rsidP="00A57D3D">
            <w:pPr>
              <w:pStyle w:val="T1TableStyle"/>
              <w:jc w:val="center"/>
              <w:rPr>
                <w:rFonts w:ascii="Verdana" w:eastAsia="Verdana" w:hAnsi="Verdana" w:cs="Verdana"/>
                <w:b/>
                <w:color w:val="000000"/>
                <w:sz w:val="16"/>
                <w:lang w:val="en-GB"/>
              </w:rPr>
            </w:pPr>
            <w:r w:rsidRPr="00A96FCD">
              <w:rPr>
                <w:rFonts w:ascii="Verdana" w:eastAsia="Verdana" w:hAnsi="Verdana" w:cs="Verdana"/>
                <w:b/>
                <w:color w:val="000000"/>
                <w:sz w:val="16"/>
                <w:lang w:val="en-GB"/>
              </w:rPr>
              <w:t>31 March 20</w:t>
            </w:r>
            <w:r w:rsidR="00A57D3D" w:rsidRPr="00A96FCD">
              <w:rPr>
                <w:rFonts w:ascii="Verdana" w:eastAsia="Verdana" w:hAnsi="Verdana" w:cs="Verdana"/>
                <w:b/>
                <w:color w:val="000000"/>
                <w:sz w:val="16"/>
                <w:lang w:val="en-GB"/>
              </w:rPr>
              <w:t>20</w:t>
            </w:r>
          </w:p>
        </w:tc>
        <w:tc>
          <w:tcPr>
            <w:tcW w:w="180" w:type="dxa"/>
            <w:shd w:val="clear" w:color="auto" w:fill="auto"/>
            <w:tcMar>
              <w:top w:w="20" w:type="dxa"/>
              <w:left w:w="20" w:type="dxa"/>
              <w:bottom w:w="20" w:type="dxa"/>
              <w:right w:w="20" w:type="dxa"/>
            </w:tcMar>
            <w:vAlign w:val="bottom"/>
          </w:tcPr>
          <w:p w14:paraId="1D6DC3D0" w14:textId="77777777" w:rsidR="00F227D9" w:rsidRPr="00A96FCD" w:rsidRDefault="00F227D9">
            <w:pPr>
              <w:pStyle w:val="T1TableStyle"/>
              <w:jc w:val="center"/>
              <w:rPr>
                <w:rFonts w:ascii="Verdana" w:eastAsia="Verdana" w:hAnsi="Verdana" w:cs="Verdana"/>
                <w:b/>
                <w:color w:val="000000"/>
                <w:sz w:val="2"/>
                <w:lang w:val="en-GB"/>
              </w:rPr>
            </w:pPr>
            <w:r w:rsidRPr="00A96FCD">
              <w:rPr>
                <w:rFonts w:ascii="Verdana" w:eastAsia="Verdana" w:hAnsi="Verdana" w:cs="Verdana"/>
                <w:b/>
                <w:color w:val="000000"/>
                <w:sz w:val="2"/>
                <w:lang w:val="en-GB"/>
              </w:rPr>
              <w:t xml:space="preserve"> </w:t>
            </w:r>
          </w:p>
        </w:tc>
        <w:tc>
          <w:tcPr>
            <w:tcW w:w="2955" w:type="dxa"/>
            <w:shd w:val="clear" w:color="auto" w:fill="auto"/>
            <w:tcMar>
              <w:top w:w="20" w:type="dxa"/>
              <w:left w:w="20" w:type="dxa"/>
              <w:bottom w:w="20" w:type="dxa"/>
              <w:right w:w="20" w:type="dxa"/>
            </w:tcMar>
            <w:vAlign w:val="bottom"/>
          </w:tcPr>
          <w:p w14:paraId="16FDB6CA" w14:textId="77777777" w:rsidR="00F227D9" w:rsidRPr="00A96FCD" w:rsidRDefault="00F227D9">
            <w:pPr>
              <w:pStyle w:val="T1TableStyle"/>
              <w:jc w:val="center"/>
              <w:rPr>
                <w:rFonts w:ascii="Calibri" w:eastAsia="Calibri" w:hAnsi="Calibri" w:cs="Calibri"/>
                <w:color w:val="000000"/>
                <w:sz w:val="2"/>
                <w:lang w:val="en-GB"/>
              </w:rPr>
            </w:pPr>
            <w:r w:rsidRPr="00A96FCD">
              <w:rPr>
                <w:rFonts w:ascii="Calibri" w:eastAsia="Calibri" w:hAnsi="Calibri" w:cs="Calibri"/>
                <w:color w:val="000000"/>
                <w:sz w:val="2"/>
                <w:lang w:val="en-GB"/>
              </w:rPr>
              <w:t xml:space="preserve"> </w:t>
            </w:r>
          </w:p>
        </w:tc>
        <w:tc>
          <w:tcPr>
            <w:tcW w:w="1665" w:type="dxa"/>
            <w:shd w:val="clear" w:color="auto" w:fill="auto"/>
            <w:tcMar>
              <w:top w:w="20" w:type="dxa"/>
              <w:left w:w="20" w:type="dxa"/>
              <w:bottom w:w="20" w:type="dxa"/>
              <w:right w:w="20" w:type="dxa"/>
            </w:tcMar>
            <w:vAlign w:val="bottom"/>
          </w:tcPr>
          <w:p w14:paraId="1E5A2E04" w14:textId="77777777" w:rsidR="00F227D9" w:rsidRPr="00A96FCD" w:rsidRDefault="00F227D9" w:rsidP="00A57D3D">
            <w:pPr>
              <w:pStyle w:val="T1TableStyle"/>
              <w:jc w:val="center"/>
              <w:rPr>
                <w:rFonts w:ascii="Verdana" w:eastAsia="Verdana" w:hAnsi="Verdana" w:cs="Verdana"/>
                <w:b/>
                <w:color w:val="000000"/>
                <w:sz w:val="16"/>
                <w:lang w:val="en-GB"/>
              </w:rPr>
            </w:pPr>
            <w:r w:rsidRPr="00A96FCD">
              <w:rPr>
                <w:rFonts w:ascii="Verdana" w:eastAsia="Verdana" w:hAnsi="Verdana" w:cs="Verdana"/>
                <w:b/>
                <w:color w:val="000000"/>
                <w:sz w:val="16"/>
                <w:lang w:val="en-GB"/>
              </w:rPr>
              <w:t>31 March 202</w:t>
            </w:r>
            <w:r w:rsidR="00A57D3D" w:rsidRPr="00A96FCD">
              <w:rPr>
                <w:rFonts w:ascii="Verdana" w:eastAsia="Verdana" w:hAnsi="Verdana" w:cs="Verdana"/>
                <w:b/>
                <w:color w:val="000000"/>
                <w:sz w:val="16"/>
                <w:lang w:val="en-GB"/>
              </w:rPr>
              <w:t>1</w:t>
            </w:r>
          </w:p>
        </w:tc>
      </w:tr>
      <w:tr w:rsidR="0053376B" w:rsidRPr="00A96FCD" w14:paraId="1589F376" w14:textId="77777777" w:rsidTr="007D3C35">
        <w:trPr>
          <w:trHeight w:val="300"/>
          <w:jc w:val="center"/>
        </w:trPr>
        <w:tc>
          <w:tcPr>
            <w:tcW w:w="1665" w:type="dxa"/>
            <w:tcBorders>
              <w:bottom w:val="single" w:sz="2" w:space="0" w:color="000000"/>
            </w:tcBorders>
            <w:shd w:val="clear" w:color="auto" w:fill="auto"/>
            <w:tcMar>
              <w:top w:w="20" w:type="dxa"/>
              <w:left w:w="20" w:type="dxa"/>
              <w:bottom w:w="20" w:type="dxa"/>
              <w:right w:w="20" w:type="dxa"/>
            </w:tcMar>
          </w:tcPr>
          <w:p w14:paraId="2292BBD3" w14:textId="77777777" w:rsidR="00F227D9" w:rsidRPr="00A96FCD" w:rsidRDefault="00F227D9">
            <w:pPr>
              <w:pStyle w:val="T1TableStyle"/>
              <w:jc w:val="right"/>
              <w:rPr>
                <w:rFonts w:ascii="Verdana" w:eastAsia="Verdana" w:hAnsi="Verdana" w:cs="Verdana"/>
                <w:b/>
                <w:color w:val="000000"/>
                <w:sz w:val="16"/>
                <w:lang w:val="en-GB"/>
              </w:rPr>
            </w:pPr>
            <w:r w:rsidRPr="00A96FCD">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14:paraId="723C5C8D" w14:textId="77777777" w:rsidR="00F227D9" w:rsidRPr="00A96FCD" w:rsidRDefault="00F227D9">
            <w:pPr>
              <w:pStyle w:val="T1TableStyle"/>
              <w:jc w:val="right"/>
              <w:rPr>
                <w:rFonts w:ascii="Verdana" w:eastAsia="Verdana" w:hAnsi="Verdana" w:cs="Verdana"/>
                <w:b/>
                <w:color w:val="000000"/>
                <w:sz w:val="2"/>
                <w:lang w:val="en-GB"/>
              </w:rPr>
            </w:pPr>
            <w:r w:rsidRPr="00A96FCD">
              <w:rPr>
                <w:rFonts w:ascii="Verdana" w:eastAsia="Verdana" w:hAnsi="Verdana" w:cs="Verdana"/>
                <w:b/>
                <w:color w:val="000000"/>
                <w:sz w:val="2"/>
                <w:lang w:val="en-GB"/>
              </w:rPr>
              <w:t xml:space="preserve"> </w:t>
            </w:r>
          </w:p>
        </w:tc>
        <w:tc>
          <w:tcPr>
            <w:tcW w:w="2955" w:type="dxa"/>
            <w:tcBorders>
              <w:bottom w:val="single" w:sz="2" w:space="0" w:color="000000"/>
            </w:tcBorders>
            <w:shd w:val="clear" w:color="auto" w:fill="auto"/>
            <w:tcMar>
              <w:top w:w="20" w:type="dxa"/>
              <w:left w:w="20" w:type="dxa"/>
              <w:bottom w:w="20" w:type="dxa"/>
              <w:right w:w="20" w:type="dxa"/>
            </w:tcMar>
          </w:tcPr>
          <w:p w14:paraId="10B77154" w14:textId="77777777" w:rsidR="00F227D9" w:rsidRPr="00A96FCD" w:rsidRDefault="00F227D9">
            <w:pPr>
              <w:pStyle w:val="T1TableStyle"/>
              <w:jc w:val="right"/>
              <w:rPr>
                <w:rFonts w:ascii="Verdana" w:eastAsia="Verdana" w:hAnsi="Verdana" w:cs="Verdana"/>
                <w:b/>
                <w:color w:val="000000"/>
                <w:sz w:val="2"/>
                <w:lang w:val="en-GB"/>
              </w:rPr>
            </w:pPr>
            <w:r w:rsidRPr="00A96FCD">
              <w:rPr>
                <w:rFonts w:ascii="Verdana" w:eastAsia="Verdana" w:hAnsi="Verdana" w:cs="Verdana"/>
                <w:b/>
                <w:color w:val="000000"/>
                <w:sz w:val="2"/>
                <w:lang w:val="en-GB"/>
              </w:rPr>
              <w:t xml:space="preserve"> </w:t>
            </w:r>
          </w:p>
        </w:tc>
        <w:tc>
          <w:tcPr>
            <w:tcW w:w="1665" w:type="dxa"/>
            <w:tcBorders>
              <w:bottom w:val="single" w:sz="2" w:space="0" w:color="000000"/>
            </w:tcBorders>
            <w:shd w:val="clear" w:color="auto" w:fill="auto"/>
            <w:tcMar>
              <w:top w:w="20" w:type="dxa"/>
              <w:left w:w="20" w:type="dxa"/>
              <w:bottom w:w="20" w:type="dxa"/>
              <w:right w:w="20" w:type="dxa"/>
            </w:tcMar>
          </w:tcPr>
          <w:p w14:paraId="688370C4" w14:textId="77777777" w:rsidR="00F227D9" w:rsidRPr="00A96FCD" w:rsidRDefault="00F227D9">
            <w:pPr>
              <w:pStyle w:val="T1TableStyle"/>
              <w:jc w:val="right"/>
              <w:rPr>
                <w:rFonts w:ascii="Verdana" w:eastAsia="Verdana" w:hAnsi="Verdana" w:cs="Verdana"/>
                <w:b/>
                <w:color w:val="000000"/>
                <w:sz w:val="16"/>
                <w:lang w:val="en-GB"/>
              </w:rPr>
            </w:pPr>
            <w:r w:rsidRPr="00A96FCD">
              <w:rPr>
                <w:rFonts w:ascii="Verdana" w:eastAsia="Verdana" w:hAnsi="Verdana" w:cs="Verdana"/>
                <w:b/>
                <w:color w:val="000000"/>
                <w:sz w:val="16"/>
                <w:lang w:val="en-GB"/>
              </w:rPr>
              <w:t>£000</w:t>
            </w:r>
          </w:p>
        </w:tc>
      </w:tr>
      <w:tr w:rsidR="00A57D3D" w:rsidRPr="00A96FCD" w14:paraId="152D1C30" w14:textId="77777777" w:rsidTr="007D3C35">
        <w:trPr>
          <w:trHeight w:val="300"/>
          <w:jc w:val="center"/>
        </w:trPr>
        <w:tc>
          <w:tcPr>
            <w:tcW w:w="1665" w:type="dxa"/>
            <w:shd w:val="clear" w:color="auto" w:fill="auto"/>
            <w:tcMar>
              <w:top w:w="20" w:type="dxa"/>
              <w:left w:w="20" w:type="dxa"/>
              <w:bottom w:w="20" w:type="dxa"/>
              <w:right w:w="20" w:type="dxa"/>
            </w:tcMar>
          </w:tcPr>
          <w:p w14:paraId="684DAAB1" w14:textId="77777777" w:rsidR="00A57D3D" w:rsidRPr="00A96FCD" w:rsidRDefault="00A57D3D" w:rsidP="00A57D3D">
            <w:pPr>
              <w:pStyle w:val="T1TableStyle"/>
              <w:jc w:val="right"/>
              <w:rPr>
                <w:rFonts w:ascii="Verdana" w:eastAsia="Verdana" w:hAnsi="Verdana" w:cs="Verdana"/>
                <w:color w:val="000000"/>
                <w:sz w:val="16"/>
                <w:lang w:val="en-GB"/>
              </w:rPr>
            </w:pPr>
            <w:r w:rsidRPr="00A96FCD">
              <w:rPr>
                <w:rFonts w:ascii="Verdana" w:eastAsia="Verdana" w:hAnsi="Verdana" w:cs="Verdana"/>
                <w:color w:val="000000"/>
                <w:sz w:val="16"/>
                <w:lang w:val="en-GB"/>
              </w:rPr>
              <w:t>(1,053)</w:t>
            </w:r>
          </w:p>
        </w:tc>
        <w:tc>
          <w:tcPr>
            <w:tcW w:w="180" w:type="dxa"/>
            <w:shd w:val="clear" w:color="auto" w:fill="auto"/>
            <w:tcMar>
              <w:top w:w="20" w:type="dxa"/>
              <w:left w:w="20" w:type="dxa"/>
              <w:bottom w:w="20" w:type="dxa"/>
              <w:right w:w="20" w:type="dxa"/>
            </w:tcMar>
          </w:tcPr>
          <w:p w14:paraId="069A2451" w14:textId="77777777" w:rsidR="00A57D3D" w:rsidRPr="00A96FCD" w:rsidRDefault="00A57D3D" w:rsidP="00A57D3D">
            <w:pPr>
              <w:pStyle w:val="T1TableStyle"/>
              <w:jc w:val="center"/>
              <w:rPr>
                <w:rFonts w:ascii="Verdana" w:eastAsia="Verdana" w:hAnsi="Verdana" w:cs="Verdana"/>
                <w:color w:val="000000"/>
                <w:sz w:val="2"/>
                <w:lang w:val="en-GB"/>
              </w:rPr>
            </w:pPr>
            <w:r w:rsidRPr="00A96FCD">
              <w:rPr>
                <w:rFonts w:ascii="Verdana" w:eastAsia="Verdana" w:hAnsi="Verdana" w:cs="Verdana"/>
                <w:color w:val="000000"/>
                <w:sz w:val="2"/>
                <w:lang w:val="en-GB"/>
              </w:rPr>
              <w:t xml:space="preserve"> </w:t>
            </w:r>
          </w:p>
        </w:tc>
        <w:tc>
          <w:tcPr>
            <w:tcW w:w="2955" w:type="dxa"/>
            <w:shd w:val="clear" w:color="auto" w:fill="auto"/>
            <w:tcMar>
              <w:top w:w="20" w:type="dxa"/>
              <w:left w:w="20" w:type="dxa"/>
              <w:bottom w:w="20" w:type="dxa"/>
              <w:right w:w="20" w:type="dxa"/>
            </w:tcMar>
          </w:tcPr>
          <w:p w14:paraId="626FECFF" w14:textId="77777777" w:rsidR="00A57D3D" w:rsidRPr="00A96FCD" w:rsidRDefault="00A57D3D" w:rsidP="00A57D3D">
            <w:pPr>
              <w:pStyle w:val="T1TableStyle"/>
              <w:rPr>
                <w:rFonts w:ascii="Verdana" w:eastAsia="Verdana" w:hAnsi="Verdana" w:cs="Verdana"/>
                <w:color w:val="000000"/>
                <w:sz w:val="16"/>
                <w:lang w:val="en-GB"/>
              </w:rPr>
            </w:pPr>
            <w:r w:rsidRPr="00A96FCD">
              <w:rPr>
                <w:rFonts w:ascii="Verdana" w:eastAsia="Verdana" w:hAnsi="Verdana" w:cs="Verdana"/>
                <w:color w:val="000000"/>
                <w:sz w:val="16"/>
                <w:lang w:val="en-GB"/>
              </w:rPr>
              <w:t>Other payables</w:t>
            </w:r>
          </w:p>
        </w:tc>
        <w:tc>
          <w:tcPr>
            <w:tcW w:w="1665" w:type="dxa"/>
            <w:shd w:val="clear" w:color="auto" w:fill="auto"/>
            <w:tcMar>
              <w:top w:w="20" w:type="dxa"/>
              <w:left w:w="20" w:type="dxa"/>
              <w:bottom w:w="20" w:type="dxa"/>
              <w:right w:w="20" w:type="dxa"/>
            </w:tcMar>
          </w:tcPr>
          <w:p w14:paraId="7AE3EDF7" w14:textId="77777777" w:rsidR="00A57D3D" w:rsidRPr="00A96FCD" w:rsidRDefault="00A96FCD" w:rsidP="00A57D3D">
            <w:pPr>
              <w:pStyle w:val="T1TableStyle"/>
              <w:jc w:val="right"/>
              <w:rPr>
                <w:rFonts w:ascii="Verdana" w:eastAsia="Verdana" w:hAnsi="Verdana" w:cs="Verdana"/>
                <w:color w:val="000000"/>
                <w:sz w:val="16"/>
                <w:lang w:val="en-GB"/>
              </w:rPr>
            </w:pPr>
            <w:r w:rsidRPr="00A96FCD">
              <w:rPr>
                <w:rFonts w:ascii="Verdana" w:eastAsia="Verdana" w:hAnsi="Verdana" w:cs="Verdana"/>
                <w:color w:val="000000"/>
                <w:sz w:val="16"/>
                <w:lang w:val="en-GB"/>
              </w:rPr>
              <w:t>(1,951)</w:t>
            </w:r>
          </w:p>
        </w:tc>
      </w:tr>
      <w:tr w:rsidR="00A57D3D" w:rsidRPr="00A96FCD" w14:paraId="25737C93" w14:textId="77777777" w:rsidTr="007D3C35">
        <w:trPr>
          <w:trHeight w:val="315"/>
          <w:jc w:val="center"/>
        </w:trPr>
        <w:tc>
          <w:tcPr>
            <w:tcW w:w="1665" w:type="dxa"/>
            <w:tcBorders>
              <w:top w:val="single" w:sz="2" w:space="0" w:color="000000"/>
              <w:bottom w:val="single" w:sz="12" w:space="0" w:color="000000"/>
            </w:tcBorders>
            <w:shd w:val="clear" w:color="auto" w:fill="auto"/>
            <w:tcMar>
              <w:top w:w="20" w:type="dxa"/>
              <w:left w:w="20" w:type="dxa"/>
              <w:bottom w:w="20" w:type="dxa"/>
              <w:right w:w="20" w:type="dxa"/>
            </w:tcMar>
          </w:tcPr>
          <w:p w14:paraId="7E9F0FDC" w14:textId="77777777" w:rsidR="00A57D3D" w:rsidRPr="00A96FCD" w:rsidRDefault="00A57D3D" w:rsidP="00A57D3D">
            <w:pPr>
              <w:pStyle w:val="T1TableStyle"/>
              <w:jc w:val="right"/>
              <w:rPr>
                <w:rFonts w:ascii="Verdana" w:eastAsia="Verdana" w:hAnsi="Verdana" w:cs="Verdana"/>
                <w:b/>
                <w:color w:val="000000"/>
                <w:sz w:val="16"/>
                <w:lang w:val="en-GB"/>
              </w:rPr>
            </w:pPr>
            <w:r w:rsidRPr="00A96FCD">
              <w:rPr>
                <w:rFonts w:ascii="Verdana" w:eastAsia="Verdana" w:hAnsi="Verdana" w:cs="Verdana"/>
                <w:b/>
                <w:color w:val="000000"/>
                <w:sz w:val="16"/>
                <w:lang w:val="en-GB"/>
              </w:rPr>
              <w:t>(1,053)</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3730747E" w14:textId="77777777" w:rsidR="00A57D3D" w:rsidRPr="00A96FCD" w:rsidRDefault="00A57D3D" w:rsidP="00A57D3D">
            <w:pPr>
              <w:pStyle w:val="T1TableStyle"/>
              <w:jc w:val="center"/>
              <w:rPr>
                <w:rFonts w:ascii="Verdana" w:eastAsia="Verdana" w:hAnsi="Verdana" w:cs="Verdana"/>
                <w:b/>
                <w:color w:val="000000"/>
                <w:sz w:val="2"/>
                <w:lang w:val="en-GB"/>
              </w:rPr>
            </w:pPr>
            <w:r w:rsidRPr="00A96FCD">
              <w:rPr>
                <w:rFonts w:ascii="Verdana" w:eastAsia="Verdana" w:hAnsi="Verdana" w:cs="Verdana"/>
                <w:b/>
                <w:color w:val="000000"/>
                <w:sz w:val="2"/>
                <w:lang w:val="en-GB"/>
              </w:rPr>
              <w:t xml:space="preserve"> </w:t>
            </w:r>
          </w:p>
        </w:tc>
        <w:tc>
          <w:tcPr>
            <w:tcW w:w="2955" w:type="dxa"/>
            <w:tcBorders>
              <w:top w:val="single" w:sz="2" w:space="0" w:color="000000"/>
              <w:bottom w:val="single" w:sz="12" w:space="0" w:color="000000"/>
            </w:tcBorders>
            <w:shd w:val="clear" w:color="auto" w:fill="auto"/>
            <w:tcMar>
              <w:top w:w="20" w:type="dxa"/>
              <w:left w:w="20" w:type="dxa"/>
              <w:bottom w:w="20" w:type="dxa"/>
              <w:right w:w="20" w:type="dxa"/>
            </w:tcMar>
          </w:tcPr>
          <w:p w14:paraId="58F1CC21" w14:textId="77777777" w:rsidR="00A57D3D" w:rsidRPr="00A96FCD" w:rsidRDefault="00A57D3D" w:rsidP="00A57D3D">
            <w:pPr>
              <w:pStyle w:val="T1TableStyle"/>
              <w:rPr>
                <w:rFonts w:ascii="Verdana" w:eastAsia="Verdana" w:hAnsi="Verdana" w:cs="Verdana"/>
                <w:b/>
                <w:color w:val="000000"/>
                <w:sz w:val="16"/>
                <w:lang w:val="en-GB"/>
              </w:rPr>
            </w:pPr>
            <w:r w:rsidRPr="00A96FCD">
              <w:rPr>
                <w:rFonts w:ascii="Verdana" w:eastAsia="Verdana" w:hAnsi="Verdana" w:cs="Verdana"/>
                <w:b/>
                <w:color w:val="000000"/>
                <w:sz w:val="16"/>
                <w:lang w:val="en-GB"/>
              </w:rPr>
              <w:t>Total Creditors</w:t>
            </w:r>
          </w:p>
        </w:tc>
        <w:tc>
          <w:tcPr>
            <w:tcW w:w="1665" w:type="dxa"/>
            <w:tcBorders>
              <w:top w:val="single" w:sz="2" w:space="0" w:color="000000"/>
              <w:bottom w:val="single" w:sz="12" w:space="0" w:color="000000"/>
            </w:tcBorders>
            <w:shd w:val="clear" w:color="auto" w:fill="auto"/>
            <w:tcMar>
              <w:top w:w="20" w:type="dxa"/>
              <w:left w:w="20" w:type="dxa"/>
              <w:bottom w:w="20" w:type="dxa"/>
              <w:right w:w="20" w:type="dxa"/>
            </w:tcMar>
          </w:tcPr>
          <w:p w14:paraId="4F30FD55" w14:textId="77777777" w:rsidR="00A57D3D" w:rsidRPr="00A96FCD" w:rsidRDefault="00A96FCD" w:rsidP="00A57D3D">
            <w:pPr>
              <w:pStyle w:val="T1TableStyle"/>
              <w:jc w:val="right"/>
              <w:rPr>
                <w:rFonts w:ascii="Verdana" w:eastAsia="Verdana" w:hAnsi="Verdana" w:cs="Verdana"/>
                <w:b/>
                <w:color w:val="000000"/>
                <w:sz w:val="16"/>
                <w:lang w:val="en-GB"/>
              </w:rPr>
            </w:pPr>
            <w:r w:rsidRPr="00A96FCD">
              <w:rPr>
                <w:rFonts w:ascii="Verdana" w:eastAsia="Verdana" w:hAnsi="Verdana" w:cs="Verdana"/>
                <w:b/>
                <w:color w:val="000000"/>
                <w:sz w:val="16"/>
                <w:lang w:val="en-GB"/>
              </w:rPr>
              <w:t>(1,951)</w:t>
            </w:r>
          </w:p>
        </w:tc>
      </w:tr>
    </w:tbl>
    <w:p w14:paraId="5A7ECCF2" w14:textId="77777777" w:rsidR="00F227D9" w:rsidRPr="00A96FCD" w:rsidRDefault="00F227D9">
      <w:pPr>
        <w:pStyle w:val="T1TableStyle"/>
        <w:rPr>
          <w:rFonts w:ascii="Verdana" w:eastAsia="Verdana" w:hAnsi="Verdana" w:cs="Verdana"/>
          <w:sz w:val="22"/>
          <w:lang w:val="en-GB"/>
        </w:rPr>
      </w:pPr>
    </w:p>
    <w:p w14:paraId="4D894CEF" w14:textId="77777777" w:rsidR="00F227D9" w:rsidRPr="00A96FCD" w:rsidRDefault="00F227D9">
      <w:pPr>
        <w:pStyle w:val="Normal0"/>
        <w:spacing w:after="160"/>
        <w:rPr>
          <w:rFonts w:ascii="Verdana" w:eastAsia="Verdana" w:hAnsi="Verdana" w:cs="Verdana"/>
          <w:sz w:val="22"/>
          <w:szCs w:val="22"/>
          <w:lang w:val="en-GB"/>
        </w:rPr>
      </w:pPr>
      <w:r w:rsidRPr="00A96FCD">
        <w:rPr>
          <w:rFonts w:ascii="Verdana" w:eastAsia="Verdana" w:hAnsi="Verdana" w:cs="Verdana"/>
          <w:sz w:val="22"/>
          <w:szCs w:val="22"/>
          <w:lang w:val="en-GB"/>
        </w:rPr>
        <w:t>This creditor relates to the Accumulated Absences Reserve.</w:t>
      </w:r>
    </w:p>
    <w:p w14:paraId="275951AE" w14:textId="77777777" w:rsidR="00F227D9" w:rsidRPr="00DC1077" w:rsidRDefault="00F227D9">
      <w:pPr>
        <w:pStyle w:val="Normal0"/>
        <w:spacing w:after="160"/>
        <w:rPr>
          <w:rFonts w:ascii="Verdana" w:hAnsi="Verdana"/>
          <w:sz w:val="22"/>
          <w:szCs w:val="22"/>
          <w:highlight w:val="yellow"/>
          <w:lang w:val="en-GB"/>
        </w:rPr>
      </w:pPr>
    </w:p>
    <w:p w14:paraId="289F466C" w14:textId="77777777" w:rsidR="00F227D9" w:rsidRPr="00436BA4" w:rsidRDefault="00F227D9" w:rsidP="00F227D9">
      <w:pPr>
        <w:pStyle w:val="Heading1"/>
        <w:spacing w:line="259" w:lineRule="auto"/>
        <w:rPr>
          <w:lang w:val="pt-BR"/>
        </w:rPr>
      </w:pPr>
      <w:bookmarkStart w:id="19" w:name="_Toc77095570"/>
      <w:r w:rsidRPr="00436BA4">
        <w:rPr>
          <w:lang w:val="pt-BR"/>
        </w:rPr>
        <w:t>Note 11 - Provisions</w:t>
      </w:r>
      <w:bookmarkEnd w:id="19"/>
    </w:p>
    <w:p w14:paraId="015D5848" w14:textId="77777777" w:rsidR="00F227D9" w:rsidRPr="00436BA4" w:rsidRDefault="00F227D9" w:rsidP="00F227D9">
      <w:pPr>
        <w:pStyle w:val="Normal0"/>
        <w:spacing w:after="160" w:line="259" w:lineRule="auto"/>
        <w:rPr>
          <w:rFonts w:ascii="Verdana" w:hAnsi="Verdana"/>
          <w:sz w:val="22"/>
          <w:szCs w:val="22"/>
          <w:lang w:val="pt-BR"/>
        </w:rPr>
      </w:pPr>
    </w:p>
    <w:p w14:paraId="75107AB9" w14:textId="77777777" w:rsidR="00F227D9" w:rsidRDefault="00F227D9" w:rsidP="00F227D9">
      <w:pPr>
        <w:pStyle w:val="Normal0"/>
        <w:spacing w:line="240" w:lineRule="auto"/>
        <w:rPr>
          <w:rFonts w:ascii="Verdana" w:eastAsia="Calibri" w:hAnsi="Verdana" w:cs="Arial"/>
          <w:sz w:val="22"/>
          <w:szCs w:val="22"/>
          <w:lang w:val="pt-BR"/>
        </w:rPr>
      </w:pPr>
      <w:r w:rsidRPr="00436BA4">
        <w:rPr>
          <w:rFonts w:ascii="Verdana" w:eastAsia="Calibri" w:hAnsi="Verdana" w:cs="Arial"/>
          <w:sz w:val="22"/>
          <w:szCs w:val="22"/>
          <w:lang w:val="pt-BR"/>
        </w:rPr>
        <w:t>Provisions held at 31 March 20</w:t>
      </w:r>
      <w:r w:rsidR="00436BA4" w:rsidRPr="00436BA4">
        <w:rPr>
          <w:rFonts w:ascii="Verdana" w:eastAsia="Calibri" w:hAnsi="Verdana" w:cs="Arial"/>
          <w:sz w:val="22"/>
          <w:szCs w:val="22"/>
          <w:lang w:val="pt-BR"/>
        </w:rPr>
        <w:t>21</w:t>
      </w:r>
      <w:r w:rsidRPr="00436BA4">
        <w:rPr>
          <w:rFonts w:ascii="Verdana" w:eastAsia="Calibri" w:hAnsi="Verdana" w:cs="Arial"/>
          <w:sz w:val="22"/>
          <w:szCs w:val="22"/>
          <w:lang w:val="pt-BR"/>
        </w:rPr>
        <w:t xml:space="preserve"> are as follows: </w:t>
      </w:r>
    </w:p>
    <w:p w14:paraId="144110BC" w14:textId="77777777" w:rsidR="005F0609" w:rsidRPr="00436BA4" w:rsidRDefault="005F0609" w:rsidP="00F227D9">
      <w:pPr>
        <w:pStyle w:val="Normal0"/>
        <w:spacing w:line="240" w:lineRule="auto"/>
        <w:rPr>
          <w:rFonts w:ascii="Verdana" w:hAnsi="Verdana"/>
          <w:sz w:val="22"/>
          <w:szCs w:val="22"/>
          <w:lang w:val="pt-BR"/>
        </w:rPr>
      </w:pPr>
    </w:p>
    <w:tbl>
      <w:tblPr>
        <w:tblW w:w="0" w:type="auto"/>
        <w:jc w:val="center"/>
        <w:tblLayout w:type="fixed"/>
        <w:tblLook w:val="04A0" w:firstRow="1" w:lastRow="0" w:firstColumn="1" w:lastColumn="0" w:noHBand="0" w:noVBand="1"/>
      </w:tblPr>
      <w:tblGrid>
        <w:gridCol w:w="3498"/>
        <w:gridCol w:w="2661"/>
      </w:tblGrid>
      <w:tr w:rsidR="0053376B" w:rsidRPr="00436BA4" w14:paraId="206D6E36" w14:textId="77777777" w:rsidTr="008810EB">
        <w:trPr>
          <w:trHeight w:val="186"/>
          <w:jc w:val="center"/>
        </w:trPr>
        <w:tc>
          <w:tcPr>
            <w:tcW w:w="3498" w:type="dxa"/>
            <w:shd w:val="clear" w:color="auto" w:fill="auto"/>
            <w:tcMar>
              <w:top w:w="20" w:type="dxa"/>
              <w:left w:w="20" w:type="dxa"/>
              <w:bottom w:w="20" w:type="dxa"/>
              <w:right w:w="20" w:type="dxa"/>
            </w:tcMar>
            <w:vAlign w:val="bottom"/>
          </w:tcPr>
          <w:p w14:paraId="1F2BAF2D" w14:textId="77777777" w:rsidR="0053376B" w:rsidRPr="00436BA4" w:rsidRDefault="00F227D9" w:rsidP="00F227D9">
            <w:pPr>
              <w:pStyle w:val="T1TableStyle"/>
              <w:rPr>
                <w:rFonts w:ascii="Verdana" w:eastAsia="Verdana" w:hAnsi="Verdana" w:cs="Verdana"/>
                <w:b/>
                <w:color w:val="000000"/>
                <w:szCs w:val="22"/>
                <w:lang w:val="en-GB"/>
              </w:rPr>
            </w:pPr>
            <w:r w:rsidRPr="00436BA4">
              <w:rPr>
                <w:rFonts w:ascii="Verdana" w:eastAsia="Verdana" w:hAnsi="Verdana" w:cs="Verdana"/>
                <w:b/>
                <w:color w:val="000000"/>
                <w:szCs w:val="22"/>
                <w:lang w:val="en-GB"/>
              </w:rPr>
              <w:t>Current Provisions</w:t>
            </w:r>
          </w:p>
        </w:tc>
        <w:tc>
          <w:tcPr>
            <w:tcW w:w="2661" w:type="dxa"/>
            <w:shd w:val="clear" w:color="auto" w:fill="auto"/>
            <w:tcMar>
              <w:top w:w="20" w:type="dxa"/>
              <w:left w:w="20" w:type="dxa"/>
              <w:bottom w:w="20" w:type="dxa"/>
              <w:right w:w="20" w:type="dxa"/>
            </w:tcMar>
            <w:vAlign w:val="bottom"/>
          </w:tcPr>
          <w:p w14:paraId="69EC11A2" w14:textId="77777777" w:rsidR="0053376B" w:rsidRPr="00436BA4" w:rsidRDefault="00F227D9" w:rsidP="00F227D9">
            <w:pPr>
              <w:pStyle w:val="T1TableStyle"/>
              <w:jc w:val="center"/>
              <w:rPr>
                <w:rFonts w:ascii="Verdana" w:eastAsia="Verdana" w:hAnsi="Verdana" w:cs="Verdana"/>
                <w:color w:val="000000"/>
                <w:sz w:val="2"/>
                <w:szCs w:val="22"/>
                <w:lang w:val="en-GB"/>
              </w:rPr>
            </w:pPr>
            <w:r w:rsidRPr="00436BA4">
              <w:rPr>
                <w:rFonts w:ascii="Verdana" w:eastAsia="Verdana" w:hAnsi="Verdana" w:cs="Verdana"/>
                <w:color w:val="000000"/>
                <w:sz w:val="2"/>
                <w:szCs w:val="22"/>
                <w:lang w:val="en-GB"/>
              </w:rPr>
              <w:t xml:space="preserve"> </w:t>
            </w:r>
          </w:p>
        </w:tc>
      </w:tr>
      <w:tr w:rsidR="0053376B" w:rsidRPr="00436BA4" w14:paraId="4945000F" w14:textId="77777777" w:rsidTr="008810EB">
        <w:trPr>
          <w:trHeight w:hRule="exact" w:val="219"/>
          <w:jc w:val="center"/>
        </w:trPr>
        <w:tc>
          <w:tcPr>
            <w:tcW w:w="3498" w:type="dxa"/>
            <w:shd w:val="clear" w:color="auto" w:fill="auto"/>
            <w:tcMar>
              <w:top w:w="20" w:type="dxa"/>
              <w:left w:w="20" w:type="dxa"/>
              <w:bottom w:w="20" w:type="dxa"/>
              <w:right w:w="20" w:type="dxa"/>
            </w:tcMar>
            <w:vAlign w:val="bottom"/>
          </w:tcPr>
          <w:p w14:paraId="2129D8D9" w14:textId="77777777" w:rsidR="0053376B" w:rsidRPr="00436BA4" w:rsidRDefault="00F227D9" w:rsidP="00F227D9">
            <w:pPr>
              <w:pStyle w:val="T1TableStyle"/>
              <w:jc w:val="center"/>
              <w:rPr>
                <w:rFonts w:ascii="Verdana" w:eastAsia="Verdana" w:hAnsi="Verdana" w:cs="Verdana"/>
                <w:color w:val="000000"/>
                <w:sz w:val="2"/>
                <w:szCs w:val="22"/>
                <w:lang w:val="en-GB"/>
              </w:rPr>
            </w:pPr>
            <w:r w:rsidRPr="00436BA4">
              <w:rPr>
                <w:rFonts w:ascii="Verdana" w:eastAsia="Verdana" w:hAnsi="Verdana" w:cs="Verdana"/>
                <w:color w:val="000000"/>
                <w:sz w:val="2"/>
                <w:szCs w:val="22"/>
                <w:lang w:val="en-GB"/>
              </w:rPr>
              <w:t xml:space="preserve"> </w:t>
            </w:r>
          </w:p>
        </w:tc>
        <w:tc>
          <w:tcPr>
            <w:tcW w:w="2661" w:type="dxa"/>
            <w:shd w:val="clear" w:color="auto" w:fill="auto"/>
            <w:tcMar>
              <w:top w:w="20" w:type="dxa"/>
              <w:left w:w="20" w:type="dxa"/>
              <w:bottom w:w="20" w:type="dxa"/>
              <w:right w:w="20" w:type="dxa"/>
            </w:tcMar>
            <w:vAlign w:val="bottom"/>
          </w:tcPr>
          <w:p w14:paraId="5D70BE65" w14:textId="77777777" w:rsidR="0053376B" w:rsidRPr="00436BA4" w:rsidRDefault="00F227D9" w:rsidP="00F227D9">
            <w:pPr>
              <w:pStyle w:val="T1TableStyle"/>
              <w:jc w:val="center"/>
              <w:rPr>
                <w:rFonts w:ascii="Verdana" w:eastAsia="Verdana" w:hAnsi="Verdana" w:cs="Verdana"/>
                <w:color w:val="000000"/>
                <w:sz w:val="2"/>
                <w:szCs w:val="22"/>
                <w:lang w:val="en-GB"/>
              </w:rPr>
            </w:pPr>
            <w:r w:rsidRPr="00436BA4">
              <w:rPr>
                <w:rFonts w:ascii="Verdana" w:eastAsia="Verdana" w:hAnsi="Verdana" w:cs="Verdana"/>
                <w:color w:val="000000"/>
                <w:sz w:val="2"/>
                <w:szCs w:val="22"/>
                <w:lang w:val="en-GB"/>
              </w:rPr>
              <w:t xml:space="preserve"> </w:t>
            </w:r>
          </w:p>
        </w:tc>
      </w:tr>
      <w:tr w:rsidR="0053376B" w:rsidRPr="00436BA4" w14:paraId="37C23191" w14:textId="77777777" w:rsidTr="008810EB">
        <w:trPr>
          <w:trHeight w:val="372"/>
          <w:jc w:val="center"/>
        </w:trPr>
        <w:tc>
          <w:tcPr>
            <w:tcW w:w="3498" w:type="dxa"/>
            <w:shd w:val="clear" w:color="auto" w:fill="auto"/>
            <w:tcMar>
              <w:top w:w="20" w:type="dxa"/>
              <w:left w:w="20" w:type="dxa"/>
              <w:bottom w:w="20" w:type="dxa"/>
              <w:right w:w="20" w:type="dxa"/>
            </w:tcMar>
            <w:vAlign w:val="bottom"/>
          </w:tcPr>
          <w:p w14:paraId="77201158" w14:textId="77777777" w:rsidR="0053376B" w:rsidRPr="00436BA4" w:rsidRDefault="00436BA4" w:rsidP="00F227D9">
            <w:pPr>
              <w:pStyle w:val="T1TableStyle"/>
              <w:rPr>
                <w:rFonts w:ascii="Verdana" w:eastAsia="Verdana" w:hAnsi="Verdana" w:cs="Verdana"/>
                <w:b/>
                <w:color w:val="000000"/>
                <w:szCs w:val="22"/>
                <w:lang w:val="en-GB"/>
              </w:rPr>
            </w:pPr>
            <w:r w:rsidRPr="00436BA4">
              <w:rPr>
                <w:rFonts w:ascii="Verdana" w:eastAsia="Verdana" w:hAnsi="Verdana" w:cs="Verdana"/>
                <w:b/>
                <w:color w:val="000000"/>
                <w:szCs w:val="22"/>
                <w:lang w:val="en-GB"/>
              </w:rPr>
              <w:t>2020/21</w:t>
            </w:r>
          </w:p>
        </w:tc>
        <w:tc>
          <w:tcPr>
            <w:tcW w:w="2661" w:type="dxa"/>
            <w:shd w:val="clear" w:color="auto" w:fill="auto"/>
            <w:tcMar>
              <w:top w:w="20" w:type="dxa"/>
              <w:left w:w="20" w:type="dxa"/>
              <w:bottom w:w="20" w:type="dxa"/>
              <w:right w:w="20" w:type="dxa"/>
            </w:tcMar>
            <w:vAlign w:val="bottom"/>
          </w:tcPr>
          <w:p w14:paraId="24464B44" w14:textId="77777777" w:rsidR="0053376B" w:rsidRPr="00436BA4" w:rsidRDefault="00F227D9" w:rsidP="00F227D9">
            <w:pPr>
              <w:pStyle w:val="T1TableStyle"/>
              <w:jc w:val="center"/>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Restructuring Provision</w:t>
            </w:r>
          </w:p>
        </w:tc>
      </w:tr>
      <w:tr w:rsidR="0053376B" w:rsidRPr="00436BA4" w14:paraId="389A026E" w14:textId="77777777" w:rsidTr="008810EB">
        <w:trPr>
          <w:trHeight w:val="219"/>
          <w:jc w:val="center"/>
        </w:trPr>
        <w:tc>
          <w:tcPr>
            <w:tcW w:w="3498" w:type="dxa"/>
            <w:tcBorders>
              <w:bottom w:val="single" w:sz="2" w:space="0" w:color="000000"/>
            </w:tcBorders>
            <w:shd w:val="clear" w:color="auto" w:fill="auto"/>
            <w:tcMar>
              <w:top w:w="20" w:type="dxa"/>
              <w:left w:w="20" w:type="dxa"/>
              <w:bottom w:w="20" w:type="dxa"/>
              <w:right w:w="20" w:type="dxa"/>
            </w:tcMar>
          </w:tcPr>
          <w:p w14:paraId="2FF4548E" w14:textId="77777777" w:rsidR="0053376B" w:rsidRPr="00436BA4" w:rsidRDefault="00F227D9" w:rsidP="00F227D9">
            <w:pPr>
              <w:pStyle w:val="T1TableStyle"/>
              <w:jc w:val="center"/>
              <w:rPr>
                <w:rFonts w:ascii="Verdana" w:eastAsia="Verdana" w:hAnsi="Verdana" w:cs="Verdana"/>
                <w:color w:val="000000"/>
                <w:sz w:val="2"/>
                <w:szCs w:val="22"/>
                <w:lang w:val="en-GB"/>
              </w:rPr>
            </w:pPr>
            <w:r w:rsidRPr="00436BA4">
              <w:rPr>
                <w:rFonts w:ascii="Verdana" w:eastAsia="Verdana" w:hAnsi="Verdana" w:cs="Verdana"/>
                <w:color w:val="000000"/>
                <w:sz w:val="2"/>
                <w:szCs w:val="22"/>
                <w:lang w:val="en-GB"/>
              </w:rPr>
              <w:t xml:space="preserve"> </w:t>
            </w:r>
          </w:p>
        </w:tc>
        <w:tc>
          <w:tcPr>
            <w:tcW w:w="2661" w:type="dxa"/>
            <w:tcBorders>
              <w:bottom w:val="single" w:sz="2" w:space="0" w:color="000000"/>
            </w:tcBorders>
            <w:shd w:val="clear" w:color="auto" w:fill="auto"/>
            <w:tcMar>
              <w:top w:w="20" w:type="dxa"/>
              <w:left w:w="20" w:type="dxa"/>
              <w:bottom w:w="20" w:type="dxa"/>
              <w:right w:w="20" w:type="dxa"/>
            </w:tcMar>
            <w:vAlign w:val="bottom"/>
          </w:tcPr>
          <w:p w14:paraId="4B5C8CFF" w14:textId="77777777" w:rsidR="0053376B" w:rsidRPr="00436BA4" w:rsidRDefault="00F227D9" w:rsidP="00F227D9">
            <w:pPr>
              <w:pStyle w:val="T1TableStyle"/>
              <w:jc w:val="right"/>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£000</w:t>
            </w:r>
          </w:p>
        </w:tc>
      </w:tr>
      <w:tr w:rsidR="0053376B" w:rsidRPr="00436BA4" w14:paraId="18D3F565" w14:textId="77777777" w:rsidTr="008810EB">
        <w:trPr>
          <w:trHeight w:val="164"/>
          <w:jc w:val="center"/>
        </w:trPr>
        <w:tc>
          <w:tcPr>
            <w:tcW w:w="3498" w:type="dxa"/>
            <w:shd w:val="clear" w:color="auto" w:fill="auto"/>
            <w:tcMar>
              <w:top w:w="20" w:type="dxa"/>
              <w:left w:w="20" w:type="dxa"/>
              <w:bottom w:w="20" w:type="dxa"/>
              <w:right w:w="20" w:type="dxa"/>
            </w:tcMar>
          </w:tcPr>
          <w:p w14:paraId="075C101A" w14:textId="77777777" w:rsidR="0053376B" w:rsidRPr="00436BA4" w:rsidRDefault="00F227D9" w:rsidP="00F227D9">
            <w:pPr>
              <w:pStyle w:val="T1TableStyle"/>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Opening Balance</w:t>
            </w:r>
          </w:p>
        </w:tc>
        <w:tc>
          <w:tcPr>
            <w:tcW w:w="2661" w:type="dxa"/>
            <w:shd w:val="clear" w:color="auto" w:fill="auto"/>
            <w:tcMar>
              <w:top w:w="20" w:type="dxa"/>
              <w:left w:w="20" w:type="dxa"/>
              <w:bottom w:w="20" w:type="dxa"/>
              <w:right w:w="20" w:type="dxa"/>
            </w:tcMar>
          </w:tcPr>
          <w:p w14:paraId="71E27CA0" w14:textId="77777777" w:rsidR="0053376B" w:rsidRPr="00436BA4" w:rsidRDefault="00F227D9" w:rsidP="00F227D9">
            <w:pPr>
              <w:pStyle w:val="T1TableStyle"/>
              <w:jc w:val="right"/>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(110)</w:t>
            </w:r>
          </w:p>
        </w:tc>
      </w:tr>
      <w:tr w:rsidR="0053376B" w:rsidRPr="00436BA4" w14:paraId="2366974F" w14:textId="77777777" w:rsidTr="008810EB">
        <w:trPr>
          <w:trHeight w:val="460"/>
          <w:jc w:val="center"/>
        </w:trPr>
        <w:tc>
          <w:tcPr>
            <w:tcW w:w="3498" w:type="dxa"/>
            <w:shd w:val="clear" w:color="auto" w:fill="auto"/>
            <w:tcMar>
              <w:top w:w="20" w:type="dxa"/>
              <w:left w:w="20" w:type="dxa"/>
              <w:bottom w:w="20" w:type="dxa"/>
              <w:right w:w="20" w:type="dxa"/>
            </w:tcMar>
          </w:tcPr>
          <w:p w14:paraId="1679F37E" w14:textId="77777777" w:rsidR="0053376B" w:rsidRPr="00436BA4" w:rsidRDefault="00F227D9" w:rsidP="00F227D9">
            <w:pPr>
              <w:pStyle w:val="T1TableStyle"/>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Increase in provision during year</w:t>
            </w:r>
          </w:p>
        </w:tc>
        <w:tc>
          <w:tcPr>
            <w:tcW w:w="2661" w:type="dxa"/>
            <w:shd w:val="clear" w:color="auto" w:fill="auto"/>
            <w:tcMar>
              <w:top w:w="20" w:type="dxa"/>
              <w:left w:w="20" w:type="dxa"/>
              <w:bottom w:w="20" w:type="dxa"/>
              <w:right w:w="20" w:type="dxa"/>
            </w:tcMar>
          </w:tcPr>
          <w:p w14:paraId="5F7EED68" w14:textId="77777777" w:rsidR="0053376B" w:rsidRPr="00436BA4" w:rsidRDefault="00F227D9" w:rsidP="00F227D9">
            <w:pPr>
              <w:pStyle w:val="T1TableStyle"/>
              <w:jc w:val="right"/>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0</w:t>
            </w:r>
          </w:p>
        </w:tc>
      </w:tr>
      <w:tr w:rsidR="0053376B" w:rsidRPr="00436BA4" w14:paraId="37648673" w14:textId="77777777" w:rsidTr="008810EB">
        <w:trPr>
          <w:trHeight w:val="306"/>
          <w:jc w:val="center"/>
        </w:trPr>
        <w:tc>
          <w:tcPr>
            <w:tcW w:w="3498" w:type="dxa"/>
            <w:shd w:val="clear" w:color="auto" w:fill="auto"/>
            <w:tcMar>
              <w:top w:w="20" w:type="dxa"/>
              <w:left w:w="20" w:type="dxa"/>
              <w:bottom w:w="20" w:type="dxa"/>
              <w:right w:w="20" w:type="dxa"/>
            </w:tcMar>
          </w:tcPr>
          <w:p w14:paraId="31C77416" w14:textId="77777777" w:rsidR="0053376B" w:rsidRPr="00436BA4" w:rsidRDefault="00F227D9" w:rsidP="00F227D9">
            <w:pPr>
              <w:pStyle w:val="T1TableStyle"/>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Utilised during year</w:t>
            </w:r>
          </w:p>
        </w:tc>
        <w:tc>
          <w:tcPr>
            <w:tcW w:w="2661" w:type="dxa"/>
            <w:shd w:val="clear" w:color="auto" w:fill="auto"/>
            <w:tcMar>
              <w:top w:w="20" w:type="dxa"/>
              <w:left w:w="20" w:type="dxa"/>
              <w:bottom w:w="20" w:type="dxa"/>
              <w:right w:w="20" w:type="dxa"/>
            </w:tcMar>
          </w:tcPr>
          <w:p w14:paraId="4BBD4749" w14:textId="77777777" w:rsidR="0053376B" w:rsidRPr="00436BA4" w:rsidRDefault="00F227D9" w:rsidP="00F227D9">
            <w:pPr>
              <w:pStyle w:val="T1TableStyle"/>
              <w:jc w:val="right"/>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0</w:t>
            </w:r>
          </w:p>
        </w:tc>
      </w:tr>
      <w:tr w:rsidR="004D57BE" w:rsidRPr="00436BA4" w14:paraId="5A55AE0C" w14:textId="77777777" w:rsidTr="004D57BE">
        <w:trPr>
          <w:trHeight w:val="117"/>
          <w:jc w:val="center"/>
        </w:trPr>
        <w:tc>
          <w:tcPr>
            <w:tcW w:w="3498"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2686B5D5" w14:textId="77777777" w:rsidR="004D57BE" w:rsidRPr="00436BA4" w:rsidRDefault="004D57BE" w:rsidP="004D57BE">
            <w:pPr>
              <w:pStyle w:val="T1TableStyle"/>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Closing Balance</w:t>
            </w:r>
          </w:p>
        </w:tc>
        <w:tc>
          <w:tcPr>
            <w:tcW w:w="2661"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18FA6DDE" w14:textId="77777777" w:rsidR="004D57BE" w:rsidRPr="00436BA4" w:rsidRDefault="004D57BE" w:rsidP="004D57BE">
            <w:pPr>
              <w:pStyle w:val="T1TableStyle"/>
              <w:jc w:val="right"/>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(110)</w:t>
            </w:r>
          </w:p>
        </w:tc>
      </w:tr>
      <w:tr w:rsidR="004D57BE" w:rsidRPr="00436BA4" w14:paraId="4508B6AC" w14:textId="77777777" w:rsidTr="008810EB">
        <w:trPr>
          <w:trHeight w:val="372"/>
          <w:jc w:val="center"/>
        </w:trPr>
        <w:tc>
          <w:tcPr>
            <w:tcW w:w="3498" w:type="dxa"/>
            <w:shd w:val="clear" w:color="auto" w:fill="auto"/>
            <w:tcMar>
              <w:top w:w="20" w:type="dxa"/>
              <w:left w:w="20" w:type="dxa"/>
              <w:bottom w:w="20" w:type="dxa"/>
              <w:right w:w="20" w:type="dxa"/>
            </w:tcMar>
            <w:vAlign w:val="bottom"/>
          </w:tcPr>
          <w:p w14:paraId="7A3F1967" w14:textId="77777777" w:rsidR="00514B3B" w:rsidRDefault="00514B3B" w:rsidP="004D57BE">
            <w:pPr>
              <w:pStyle w:val="T1TableStyle"/>
              <w:rPr>
                <w:rFonts w:ascii="Verdana" w:eastAsia="Verdana" w:hAnsi="Verdana" w:cs="Verdana"/>
                <w:b/>
                <w:color w:val="000000"/>
                <w:szCs w:val="22"/>
                <w:lang w:val="en-GB"/>
              </w:rPr>
            </w:pPr>
          </w:p>
          <w:p w14:paraId="3675D086" w14:textId="77777777" w:rsidR="004D57BE" w:rsidRPr="00436BA4" w:rsidRDefault="004D57BE" w:rsidP="004D57BE">
            <w:pPr>
              <w:pStyle w:val="T1TableStyle"/>
              <w:rPr>
                <w:rFonts w:ascii="Verdana" w:eastAsia="Verdana" w:hAnsi="Verdana" w:cs="Verdana"/>
                <w:b/>
                <w:color w:val="000000"/>
                <w:szCs w:val="22"/>
                <w:lang w:val="en-GB"/>
              </w:rPr>
            </w:pPr>
            <w:r w:rsidRPr="00436BA4">
              <w:rPr>
                <w:rFonts w:ascii="Verdana" w:eastAsia="Verdana" w:hAnsi="Verdana" w:cs="Verdana"/>
                <w:b/>
                <w:color w:val="000000"/>
                <w:szCs w:val="22"/>
                <w:lang w:val="en-GB"/>
              </w:rPr>
              <w:t>2019/20</w:t>
            </w:r>
          </w:p>
        </w:tc>
        <w:tc>
          <w:tcPr>
            <w:tcW w:w="2661" w:type="dxa"/>
            <w:shd w:val="clear" w:color="auto" w:fill="auto"/>
            <w:tcMar>
              <w:top w:w="20" w:type="dxa"/>
              <w:left w:w="20" w:type="dxa"/>
              <w:bottom w:w="20" w:type="dxa"/>
              <w:right w:w="20" w:type="dxa"/>
            </w:tcMar>
            <w:vAlign w:val="bottom"/>
          </w:tcPr>
          <w:p w14:paraId="60CD74DA" w14:textId="77777777" w:rsidR="004D57BE" w:rsidRPr="00436BA4" w:rsidRDefault="004D57BE" w:rsidP="004D57BE">
            <w:pPr>
              <w:pStyle w:val="T1TableStyle"/>
              <w:jc w:val="center"/>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Restructuring Provision</w:t>
            </w:r>
          </w:p>
        </w:tc>
      </w:tr>
      <w:tr w:rsidR="004D57BE" w:rsidRPr="00436BA4" w14:paraId="0A1395C2" w14:textId="77777777" w:rsidTr="008810EB">
        <w:trPr>
          <w:trHeight w:val="219"/>
          <w:jc w:val="center"/>
        </w:trPr>
        <w:tc>
          <w:tcPr>
            <w:tcW w:w="3498" w:type="dxa"/>
            <w:tcBorders>
              <w:bottom w:val="single" w:sz="2" w:space="0" w:color="000000"/>
            </w:tcBorders>
            <w:shd w:val="clear" w:color="auto" w:fill="auto"/>
            <w:tcMar>
              <w:top w:w="20" w:type="dxa"/>
              <w:left w:w="20" w:type="dxa"/>
              <w:bottom w:w="20" w:type="dxa"/>
              <w:right w:w="20" w:type="dxa"/>
            </w:tcMar>
          </w:tcPr>
          <w:p w14:paraId="7A54B867" w14:textId="77777777" w:rsidR="004D57BE" w:rsidRPr="00436BA4" w:rsidRDefault="004D57BE" w:rsidP="004D57BE">
            <w:pPr>
              <w:pStyle w:val="T1TableStyle"/>
              <w:jc w:val="center"/>
              <w:rPr>
                <w:rFonts w:ascii="Verdana" w:eastAsia="Verdana" w:hAnsi="Verdana" w:cs="Verdana"/>
                <w:color w:val="000000"/>
                <w:sz w:val="2"/>
                <w:szCs w:val="22"/>
                <w:lang w:val="en-GB"/>
              </w:rPr>
            </w:pPr>
            <w:r w:rsidRPr="00436BA4">
              <w:rPr>
                <w:rFonts w:ascii="Verdana" w:eastAsia="Verdana" w:hAnsi="Verdana" w:cs="Verdana"/>
                <w:color w:val="000000"/>
                <w:sz w:val="2"/>
                <w:szCs w:val="22"/>
                <w:lang w:val="en-GB"/>
              </w:rPr>
              <w:t xml:space="preserve"> </w:t>
            </w:r>
          </w:p>
        </w:tc>
        <w:tc>
          <w:tcPr>
            <w:tcW w:w="2661" w:type="dxa"/>
            <w:tcBorders>
              <w:bottom w:val="single" w:sz="2" w:space="0" w:color="000000"/>
            </w:tcBorders>
            <w:shd w:val="clear" w:color="auto" w:fill="auto"/>
            <w:tcMar>
              <w:top w:w="20" w:type="dxa"/>
              <w:left w:w="20" w:type="dxa"/>
              <w:bottom w:w="20" w:type="dxa"/>
              <w:right w:w="20" w:type="dxa"/>
            </w:tcMar>
            <w:vAlign w:val="bottom"/>
          </w:tcPr>
          <w:p w14:paraId="1F33320B" w14:textId="77777777" w:rsidR="004D57BE" w:rsidRPr="00436BA4" w:rsidRDefault="004D57BE" w:rsidP="004D57BE">
            <w:pPr>
              <w:pStyle w:val="T1TableStyle"/>
              <w:jc w:val="right"/>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£000</w:t>
            </w:r>
          </w:p>
        </w:tc>
      </w:tr>
      <w:tr w:rsidR="004D57BE" w:rsidRPr="00436BA4" w14:paraId="74BCC66F" w14:textId="77777777" w:rsidTr="008810EB">
        <w:trPr>
          <w:trHeight w:val="164"/>
          <w:jc w:val="center"/>
        </w:trPr>
        <w:tc>
          <w:tcPr>
            <w:tcW w:w="3498" w:type="dxa"/>
            <w:shd w:val="clear" w:color="auto" w:fill="auto"/>
            <w:tcMar>
              <w:top w:w="20" w:type="dxa"/>
              <w:left w:w="20" w:type="dxa"/>
              <w:bottom w:w="20" w:type="dxa"/>
              <w:right w:w="20" w:type="dxa"/>
            </w:tcMar>
          </w:tcPr>
          <w:p w14:paraId="2C64EB13" w14:textId="77777777" w:rsidR="004D57BE" w:rsidRPr="00436BA4" w:rsidRDefault="004D57BE" w:rsidP="004D57BE">
            <w:pPr>
              <w:pStyle w:val="T1TableStyle"/>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Opening Balance</w:t>
            </w:r>
          </w:p>
        </w:tc>
        <w:tc>
          <w:tcPr>
            <w:tcW w:w="2661" w:type="dxa"/>
            <w:shd w:val="clear" w:color="auto" w:fill="auto"/>
            <w:tcMar>
              <w:top w:w="20" w:type="dxa"/>
              <w:left w:w="20" w:type="dxa"/>
              <w:bottom w:w="20" w:type="dxa"/>
              <w:right w:w="20" w:type="dxa"/>
            </w:tcMar>
          </w:tcPr>
          <w:p w14:paraId="369B0933" w14:textId="77777777" w:rsidR="004D57BE" w:rsidRPr="00436BA4" w:rsidRDefault="004D57BE" w:rsidP="004D57BE">
            <w:pPr>
              <w:pStyle w:val="T1TableStyle"/>
              <w:jc w:val="right"/>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(110)</w:t>
            </w:r>
          </w:p>
        </w:tc>
      </w:tr>
      <w:tr w:rsidR="004D57BE" w:rsidRPr="00436BA4" w14:paraId="0C3434A0" w14:textId="77777777" w:rsidTr="008810EB">
        <w:trPr>
          <w:trHeight w:val="460"/>
          <w:jc w:val="center"/>
        </w:trPr>
        <w:tc>
          <w:tcPr>
            <w:tcW w:w="3498" w:type="dxa"/>
            <w:shd w:val="clear" w:color="auto" w:fill="auto"/>
            <w:tcMar>
              <w:top w:w="20" w:type="dxa"/>
              <w:left w:w="20" w:type="dxa"/>
              <w:bottom w:w="20" w:type="dxa"/>
              <w:right w:w="20" w:type="dxa"/>
            </w:tcMar>
          </w:tcPr>
          <w:p w14:paraId="09159986" w14:textId="77777777" w:rsidR="004D57BE" w:rsidRPr="00436BA4" w:rsidRDefault="004D57BE" w:rsidP="004D57BE">
            <w:pPr>
              <w:pStyle w:val="T1TableStyle"/>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Increase in provision during year</w:t>
            </w:r>
          </w:p>
        </w:tc>
        <w:tc>
          <w:tcPr>
            <w:tcW w:w="2661" w:type="dxa"/>
            <w:shd w:val="clear" w:color="auto" w:fill="auto"/>
            <w:tcMar>
              <w:top w:w="20" w:type="dxa"/>
              <w:left w:w="20" w:type="dxa"/>
              <w:bottom w:w="20" w:type="dxa"/>
              <w:right w:w="20" w:type="dxa"/>
            </w:tcMar>
          </w:tcPr>
          <w:p w14:paraId="1CAF4D46" w14:textId="77777777" w:rsidR="004D57BE" w:rsidRPr="00436BA4" w:rsidRDefault="004D57BE" w:rsidP="004D57BE">
            <w:pPr>
              <w:pStyle w:val="T1TableStyle"/>
              <w:jc w:val="right"/>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0</w:t>
            </w:r>
          </w:p>
        </w:tc>
      </w:tr>
      <w:tr w:rsidR="004D57BE" w:rsidRPr="00436BA4" w14:paraId="15C81A21" w14:textId="77777777" w:rsidTr="008810EB">
        <w:trPr>
          <w:trHeight w:val="306"/>
          <w:jc w:val="center"/>
        </w:trPr>
        <w:tc>
          <w:tcPr>
            <w:tcW w:w="3498" w:type="dxa"/>
            <w:shd w:val="clear" w:color="auto" w:fill="auto"/>
            <w:tcMar>
              <w:top w:w="20" w:type="dxa"/>
              <w:left w:w="20" w:type="dxa"/>
              <w:bottom w:w="20" w:type="dxa"/>
              <w:right w:w="20" w:type="dxa"/>
            </w:tcMar>
          </w:tcPr>
          <w:p w14:paraId="49D38876" w14:textId="77777777" w:rsidR="004D57BE" w:rsidRPr="00436BA4" w:rsidRDefault="004D57BE" w:rsidP="004D57BE">
            <w:pPr>
              <w:pStyle w:val="T1TableStyle"/>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Utilised during year</w:t>
            </w:r>
          </w:p>
        </w:tc>
        <w:tc>
          <w:tcPr>
            <w:tcW w:w="2661" w:type="dxa"/>
            <w:shd w:val="clear" w:color="auto" w:fill="auto"/>
            <w:tcMar>
              <w:top w:w="20" w:type="dxa"/>
              <w:left w:w="20" w:type="dxa"/>
              <w:bottom w:w="20" w:type="dxa"/>
              <w:right w:w="20" w:type="dxa"/>
            </w:tcMar>
          </w:tcPr>
          <w:p w14:paraId="5326E265" w14:textId="77777777" w:rsidR="004D57BE" w:rsidRPr="00436BA4" w:rsidRDefault="004D57BE" w:rsidP="004D57BE">
            <w:pPr>
              <w:pStyle w:val="T1TableStyle"/>
              <w:jc w:val="right"/>
              <w:rPr>
                <w:rFonts w:ascii="Verdana" w:eastAsia="Verdana" w:hAnsi="Verdana" w:cs="Verdana"/>
                <w:color w:val="000000"/>
                <w:sz w:val="16"/>
                <w:szCs w:val="22"/>
                <w:lang w:val="en-GB"/>
              </w:rPr>
            </w:pPr>
            <w:r w:rsidRPr="00436BA4">
              <w:rPr>
                <w:rFonts w:ascii="Verdana" w:eastAsia="Verdana" w:hAnsi="Verdana" w:cs="Verdana"/>
                <w:color w:val="000000"/>
                <w:sz w:val="16"/>
                <w:szCs w:val="22"/>
                <w:lang w:val="en-GB"/>
              </w:rPr>
              <w:t>0</w:t>
            </w:r>
          </w:p>
        </w:tc>
      </w:tr>
      <w:tr w:rsidR="004D57BE" w:rsidRPr="00DC1077" w14:paraId="2516F5FE" w14:textId="77777777" w:rsidTr="008810EB">
        <w:trPr>
          <w:trHeight w:val="230"/>
          <w:jc w:val="center"/>
        </w:trPr>
        <w:tc>
          <w:tcPr>
            <w:tcW w:w="3498"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389F2ADF" w14:textId="77777777" w:rsidR="004D57BE" w:rsidRPr="00436BA4" w:rsidRDefault="004D57BE" w:rsidP="004D57BE">
            <w:pPr>
              <w:pStyle w:val="T1TableStyle"/>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Closing Balance</w:t>
            </w:r>
          </w:p>
        </w:tc>
        <w:tc>
          <w:tcPr>
            <w:tcW w:w="2661"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4D3C8068" w14:textId="77777777" w:rsidR="004D57BE" w:rsidRPr="00436BA4" w:rsidRDefault="004D57BE" w:rsidP="004D57BE">
            <w:pPr>
              <w:pStyle w:val="T1TableStyle"/>
              <w:jc w:val="right"/>
              <w:rPr>
                <w:rFonts w:ascii="Verdana" w:eastAsia="Verdana" w:hAnsi="Verdana" w:cs="Verdana"/>
                <w:b/>
                <w:color w:val="000000"/>
                <w:sz w:val="16"/>
                <w:szCs w:val="22"/>
                <w:lang w:val="en-GB"/>
              </w:rPr>
            </w:pPr>
            <w:r w:rsidRPr="00436BA4">
              <w:rPr>
                <w:rFonts w:ascii="Verdana" w:eastAsia="Verdana" w:hAnsi="Verdana" w:cs="Verdana"/>
                <w:b/>
                <w:color w:val="000000"/>
                <w:sz w:val="16"/>
                <w:szCs w:val="22"/>
                <w:lang w:val="en-GB"/>
              </w:rPr>
              <w:t>(110)</w:t>
            </w:r>
          </w:p>
        </w:tc>
      </w:tr>
    </w:tbl>
    <w:p w14:paraId="7CE7CD70" w14:textId="77777777" w:rsidR="00F227D9" w:rsidRPr="00DC1077" w:rsidRDefault="00F227D9" w:rsidP="00F227D9">
      <w:pPr>
        <w:pStyle w:val="T1TableStyle"/>
        <w:rPr>
          <w:rFonts w:ascii="Verdana" w:hAnsi="Verdana"/>
          <w:sz w:val="22"/>
          <w:szCs w:val="22"/>
          <w:highlight w:val="yellow"/>
          <w:lang w:val="en-GB"/>
        </w:rPr>
      </w:pPr>
      <w:r w:rsidRPr="00DC1077">
        <w:rPr>
          <w:rFonts w:ascii="Verdana" w:eastAsia="Calibri" w:hAnsi="Verdana" w:cs="Arial"/>
          <w:sz w:val="22"/>
          <w:szCs w:val="22"/>
          <w:highlight w:val="yellow"/>
          <w:lang w:val="en-GB"/>
        </w:rPr>
        <w:t xml:space="preserve"> </w:t>
      </w:r>
    </w:p>
    <w:p w14:paraId="63C13C6B" w14:textId="77777777" w:rsidR="00F227D9" w:rsidRPr="005F0609" w:rsidRDefault="00F227D9" w:rsidP="008810EB">
      <w:pPr>
        <w:pStyle w:val="Normal0"/>
        <w:spacing w:line="240" w:lineRule="auto"/>
        <w:jc w:val="both"/>
        <w:rPr>
          <w:rFonts w:ascii="Verdana" w:hAnsi="Verdana"/>
          <w:sz w:val="22"/>
          <w:szCs w:val="22"/>
          <w:lang w:val="en-GB"/>
        </w:rPr>
      </w:pPr>
      <w:r w:rsidRPr="005F0609">
        <w:rPr>
          <w:rFonts w:ascii="Verdana" w:eastAsia="Calibri" w:hAnsi="Verdana" w:cs="Arial"/>
          <w:sz w:val="22"/>
          <w:szCs w:val="22"/>
          <w:lang w:val="en-GB"/>
        </w:rPr>
        <w:t>Restructuring Provision</w:t>
      </w:r>
    </w:p>
    <w:p w14:paraId="0737C318" w14:textId="77777777" w:rsidR="00F227D9" w:rsidRPr="005F0609" w:rsidRDefault="00F227D9" w:rsidP="008810EB">
      <w:pPr>
        <w:pStyle w:val="Normal0"/>
        <w:spacing w:line="240" w:lineRule="auto"/>
        <w:jc w:val="both"/>
        <w:rPr>
          <w:rFonts w:ascii="Verdana" w:hAnsi="Verdana"/>
          <w:sz w:val="22"/>
          <w:szCs w:val="22"/>
          <w:lang w:val="en-GB"/>
        </w:rPr>
      </w:pPr>
    </w:p>
    <w:p w14:paraId="01442A9E" w14:textId="77777777" w:rsidR="00F227D9" w:rsidRPr="005F0609" w:rsidRDefault="00F227D9" w:rsidP="008810EB">
      <w:pPr>
        <w:pStyle w:val="Normal0"/>
        <w:spacing w:line="240" w:lineRule="auto"/>
        <w:jc w:val="both"/>
        <w:rPr>
          <w:rFonts w:ascii="Verdana" w:hAnsi="Verdana"/>
          <w:sz w:val="22"/>
          <w:szCs w:val="22"/>
          <w:lang w:val="en-GB"/>
        </w:rPr>
      </w:pPr>
      <w:r w:rsidRPr="005F0609">
        <w:rPr>
          <w:rFonts w:ascii="Verdana" w:eastAsia="Calibri" w:hAnsi="Verdana" w:cs="Arial"/>
          <w:sz w:val="22"/>
          <w:szCs w:val="22"/>
          <w:lang w:val="en-GB"/>
        </w:rPr>
        <w:t>The restructuring provision has been created for restructuring costs in accordance with strategic change programmes that have formal plans or supporting business cases as at 31 March 20</w:t>
      </w:r>
      <w:r w:rsidR="005F0609" w:rsidRPr="005F0609">
        <w:rPr>
          <w:rFonts w:ascii="Verdana" w:eastAsia="Calibri" w:hAnsi="Verdana" w:cs="Arial"/>
          <w:sz w:val="22"/>
          <w:szCs w:val="22"/>
          <w:lang w:val="en-GB"/>
        </w:rPr>
        <w:t>21</w:t>
      </w:r>
      <w:r w:rsidRPr="005F0609">
        <w:rPr>
          <w:rFonts w:ascii="Verdana" w:eastAsia="Calibri" w:hAnsi="Verdana" w:cs="Arial"/>
          <w:sz w:val="22"/>
          <w:szCs w:val="22"/>
          <w:lang w:val="en-GB"/>
        </w:rPr>
        <w:t xml:space="preserve">. These change programmes are either in the process of being implemented or </w:t>
      </w:r>
      <w:r w:rsidR="008810EB" w:rsidRPr="005F0609">
        <w:rPr>
          <w:rFonts w:ascii="Verdana" w:eastAsia="Calibri" w:hAnsi="Verdana" w:cs="Arial"/>
          <w:sz w:val="22"/>
          <w:szCs w:val="22"/>
          <w:lang w:val="en-GB"/>
        </w:rPr>
        <w:t>are planned to</w:t>
      </w:r>
      <w:r w:rsidRPr="005F0609">
        <w:rPr>
          <w:rFonts w:ascii="Verdana" w:eastAsia="Calibri" w:hAnsi="Verdana" w:cs="Arial"/>
          <w:sz w:val="22"/>
          <w:szCs w:val="22"/>
          <w:lang w:val="en-GB"/>
        </w:rPr>
        <w:t xml:space="preserve"> be implemented during 20</w:t>
      </w:r>
      <w:r w:rsidR="005F0609" w:rsidRPr="005F0609">
        <w:rPr>
          <w:rFonts w:ascii="Verdana" w:eastAsia="Calibri" w:hAnsi="Verdana" w:cs="Arial"/>
          <w:sz w:val="22"/>
          <w:szCs w:val="22"/>
          <w:lang w:val="en-GB"/>
        </w:rPr>
        <w:t>21</w:t>
      </w:r>
      <w:r w:rsidRPr="005F0609">
        <w:rPr>
          <w:rFonts w:ascii="Verdana" w:eastAsia="Calibri" w:hAnsi="Verdana" w:cs="Arial"/>
          <w:sz w:val="22"/>
          <w:szCs w:val="22"/>
          <w:lang w:val="en-GB"/>
        </w:rPr>
        <w:t>/2</w:t>
      </w:r>
      <w:r w:rsidR="005F0609" w:rsidRPr="005F0609">
        <w:rPr>
          <w:rFonts w:ascii="Verdana" w:eastAsia="Calibri" w:hAnsi="Verdana" w:cs="Arial"/>
          <w:sz w:val="22"/>
          <w:szCs w:val="22"/>
          <w:lang w:val="en-GB"/>
        </w:rPr>
        <w:t>2</w:t>
      </w:r>
      <w:r w:rsidRPr="005F0609">
        <w:rPr>
          <w:rFonts w:ascii="Verdana" w:eastAsia="Calibri" w:hAnsi="Verdana" w:cs="Arial"/>
          <w:sz w:val="22"/>
          <w:szCs w:val="22"/>
          <w:lang w:val="en-GB"/>
        </w:rPr>
        <w:t>.</w:t>
      </w:r>
    </w:p>
    <w:p w14:paraId="2F239A09" w14:textId="77777777" w:rsidR="00F227D9" w:rsidRPr="00DC1077" w:rsidRDefault="00F227D9" w:rsidP="00F227D9">
      <w:pPr>
        <w:pStyle w:val="Normal0"/>
        <w:spacing w:line="240" w:lineRule="auto"/>
        <w:rPr>
          <w:rFonts w:ascii="Verdana" w:hAnsi="Verdana"/>
          <w:sz w:val="22"/>
          <w:szCs w:val="22"/>
          <w:highlight w:val="yellow"/>
          <w:lang w:val="en-GB"/>
        </w:rPr>
      </w:pPr>
      <w:r w:rsidRPr="00DC1077">
        <w:rPr>
          <w:rFonts w:ascii="Verdana" w:eastAsia="Calibri" w:hAnsi="Verdana" w:cs="Arial"/>
          <w:sz w:val="22"/>
          <w:szCs w:val="22"/>
          <w:highlight w:val="yellow"/>
          <w:lang w:val="en-GB"/>
        </w:rPr>
        <w:t xml:space="preserve">     </w:t>
      </w:r>
    </w:p>
    <w:p w14:paraId="03D90C50" w14:textId="77777777" w:rsidR="00F227D9" w:rsidRPr="006A6CB8" w:rsidRDefault="00F227D9" w:rsidP="00F227D9">
      <w:pPr>
        <w:pStyle w:val="Heading1"/>
      </w:pPr>
      <w:bookmarkStart w:id="20" w:name="_Toc77095571"/>
      <w:r w:rsidRPr="006A6CB8">
        <w:t>Note 12 - Joint Audit Committee</w:t>
      </w:r>
      <w:bookmarkEnd w:id="20"/>
    </w:p>
    <w:p w14:paraId="38BA0B27" w14:textId="77777777" w:rsidR="00F227D9" w:rsidRPr="006A6CB8" w:rsidRDefault="00F227D9" w:rsidP="00F227D9">
      <w:pPr>
        <w:pStyle w:val="Normal0"/>
        <w:jc w:val="both"/>
        <w:rPr>
          <w:rFonts w:ascii="Verdana" w:hAnsi="Verdana" w:cs="Arial"/>
        </w:rPr>
      </w:pPr>
    </w:p>
    <w:p w14:paraId="544AAE32" w14:textId="77777777" w:rsidR="00F227D9" w:rsidRPr="006A6CB8" w:rsidRDefault="00F227D9" w:rsidP="00F227D9">
      <w:pPr>
        <w:pStyle w:val="Normal0"/>
        <w:jc w:val="both"/>
        <w:rPr>
          <w:rFonts w:ascii="Verdana" w:hAnsi="Verdana" w:cs="Arial"/>
          <w:sz w:val="22"/>
          <w:szCs w:val="22"/>
        </w:rPr>
      </w:pPr>
      <w:r w:rsidRPr="006A6CB8">
        <w:rPr>
          <w:rFonts w:ascii="Verdana" w:eastAsia="Calibri" w:hAnsi="Verdana" w:cs="Arial"/>
          <w:sz w:val="22"/>
          <w:szCs w:val="22"/>
        </w:rPr>
        <w:t>Under the governance arrangements for policing, the Chief Constable and the PCC have a Joint Audit Committee to provide independent and effective assurance about the adequacy of financial management and reporting. The Committee help to raise the profile of internal control, risk management and financial reporting issues within Surrey Police and provide a forum for discussion with internal and external auditors.</w:t>
      </w:r>
    </w:p>
    <w:p w14:paraId="5009A036" w14:textId="77777777" w:rsidR="00F227D9" w:rsidRPr="006A6CB8" w:rsidRDefault="00F227D9" w:rsidP="00F227D9">
      <w:pPr>
        <w:pStyle w:val="Normal0"/>
        <w:jc w:val="both"/>
        <w:rPr>
          <w:rFonts w:ascii="Verdana" w:hAnsi="Verdana" w:cs="Arial"/>
          <w:sz w:val="22"/>
          <w:szCs w:val="22"/>
        </w:rPr>
      </w:pPr>
    </w:p>
    <w:p w14:paraId="1C540E9D" w14:textId="77777777" w:rsidR="00F227D9" w:rsidRPr="006A6CB8" w:rsidRDefault="00F227D9" w:rsidP="00F227D9">
      <w:pPr>
        <w:pStyle w:val="Normal0"/>
        <w:jc w:val="both"/>
        <w:rPr>
          <w:rFonts w:ascii="Verdana" w:hAnsi="Verdana" w:cs="Arial"/>
          <w:sz w:val="22"/>
          <w:szCs w:val="22"/>
        </w:rPr>
      </w:pPr>
      <w:r w:rsidRPr="006A6CB8">
        <w:rPr>
          <w:rFonts w:ascii="Verdana" w:eastAsia="Calibri" w:hAnsi="Verdana" w:cs="Arial"/>
          <w:sz w:val="22"/>
          <w:szCs w:val="22"/>
        </w:rPr>
        <w:t>Members’ Allowances for the Joint Audit Committee are:</w:t>
      </w:r>
    </w:p>
    <w:p w14:paraId="5FC14C17" w14:textId="77777777" w:rsidR="00F227D9" w:rsidRPr="006A6CB8" w:rsidRDefault="00F227D9" w:rsidP="00F227D9">
      <w:pPr>
        <w:pStyle w:val="Normal0"/>
        <w:jc w:val="both"/>
        <w:rPr>
          <w:rFonts w:ascii="Verdana" w:hAnsi="Verdana" w:cs="Arial"/>
          <w:sz w:val="22"/>
          <w:szCs w:val="22"/>
        </w:rPr>
      </w:pPr>
    </w:p>
    <w:p w14:paraId="1590EAE5" w14:textId="77777777" w:rsidR="00F227D9" w:rsidRPr="005958DC" w:rsidRDefault="00F227D9" w:rsidP="00F227D9">
      <w:pPr>
        <w:pStyle w:val="Normal0"/>
        <w:jc w:val="both"/>
        <w:rPr>
          <w:rFonts w:ascii="Verdana" w:hAnsi="Verdana" w:cs="Arial"/>
          <w:sz w:val="22"/>
          <w:szCs w:val="22"/>
        </w:rPr>
      </w:pPr>
      <w:r w:rsidRPr="005958DC">
        <w:rPr>
          <w:rFonts w:ascii="Verdana" w:eastAsia="Calibri" w:hAnsi="Verdana" w:cs="Arial"/>
          <w:sz w:val="22"/>
          <w:szCs w:val="22"/>
        </w:rPr>
        <w:t>Members’ Allowances</w:t>
      </w:r>
      <w:r w:rsidRPr="005958DC">
        <w:rPr>
          <w:rFonts w:ascii="Verdana" w:eastAsia="Calibri" w:hAnsi="Verdana" w:cs="Arial"/>
          <w:sz w:val="22"/>
          <w:szCs w:val="22"/>
        </w:rPr>
        <w:tab/>
      </w:r>
      <w:r w:rsidRPr="005958DC">
        <w:rPr>
          <w:rFonts w:ascii="Verdana" w:eastAsia="Calibri" w:hAnsi="Verdana" w:cs="Arial"/>
          <w:sz w:val="22"/>
          <w:szCs w:val="22"/>
        </w:rPr>
        <w:tab/>
        <w:t>£1,7</w:t>
      </w:r>
      <w:r w:rsidR="006A6CB8" w:rsidRPr="005958DC">
        <w:rPr>
          <w:rFonts w:ascii="Verdana" w:eastAsia="Calibri" w:hAnsi="Verdana" w:cs="Arial"/>
          <w:sz w:val="22"/>
          <w:szCs w:val="22"/>
        </w:rPr>
        <w:t>9</w:t>
      </w:r>
      <w:r w:rsidR="00443FC8" w:rsidRPr="005958DC">
        <w:rPr>
          <w:rFonts w:ascii="Verdana" w:eastAsia="Calibri" w:hAnsi="Verdana" w:cs="Arial"/>
          <w:sz w:val="22"/>
          <w:szCs w:val="22"/>
        </w:rPr>
        <w:t>8</w:t>
      </w:r>
      <w:r w:rsidRPr="005958DC">
        <w:rPr>
          <w:rFonts w:ascii="Verdana" w:eastAsia="Calibri" w:hAnsi="Verdana" w:cs="Arial"/>
          <w:sz w:val="22"/>
          <w:szCs w:val="22"/>
        </w:rPr>
        <w:t>.</w:t>
      </w:r>
      <w:r w:rsidR="006A6CB8" w:rsidRPr="005958DC">
        <w:rPr>
          <w:rFonts w:ascii="Verdana" w:eastAsia="Calibri" w:hAnsi="Verdana" w:cs="Arial"/>
          <w:sz w:val="22"/>
          <w:szCs w:val="22"/>
        </w:rPr>
        <w:t>53</w:t>
      </w:r>
      <w:r w:rsidRPr="005958DC">
        <w:rPr>
          <w:rFonts w:ascii="Verdana" w:eastAsia="Calibri" w:hAnsi="Verdana" w:cs="Arial"/>
          <w:sz w:val="22"/>
          <w:szCs w:val="22"/>
        </w:rPr>
        <w:t xml:space="preserve"> per annum</w:t>
      </w:r>
    </w:p>
    <w:p w14:paraId="7390132D" w14:textId="77777777" w:rsidR="00F227D9" w:rsidRPr="005958DC" w:rsidRDefault="00F227D9" w:rsidP="00F227D9">
      <w:pPr>
        <w:pStyle w:val="Normal0"/>
        <w:jc w:val="both"/>
        <w:rPr>
          <w:rFonts w:ascii="Verdana" w:hAnsi="Verdana" w:cs="Arial"/>
          <w:sz w:val="22"/>
          <w:szCs w:val="22"/>
        </w:rPr>
      </w:pPr>
    </w:p>
    <w:p w14:paraId="793CAA31" w14:textId="77777777" w:rsidR="00F227D9" w:rsidRPr="005958DC" w:rsidRDefault="00F227D9" w:rsidP="00F227D9">
      <w:pPr>
        <w:pStyle w:val="Normal0"/>
        <w:jc w:val="both"/>
        <w:rPr>
          <w:rFonts w:ascii="Verdana" w:hAnsi="Verdana" w:cs="Arial"/>
          <w:sz w:val="22"/>
          <w:szCs w:val="22"/>
        </w:rPr>
      </w:pPr>
      <w:r w:rsidRPr="005958DC">
        <w:rPr>
          <w:rFonts w:ascii="Verdana" w:eastAsia="Calibri" w:hAnsi="Verdana" w:cs="Arial"/>
          <w:sz w:val="22"/>
          <w:szCs w:val="22"/>
        </w:rPr>
        <w:t xml:space="preserve">Chair Allowance </w:t>
      </w:r>
      <w:r w:rsidRPr="005958DC">
        <w:rPr>
          <w:rFonts w:ascii="Verdana" w:eastAsia="Calibri" w:hAnsi="Verdana" w:cs="Arial"/>
          <w:sz w:val="22"/>
          <w:szCs w:val="22"/>
        </w:rPr>
        <w:tab/>
      </w:r>
      <w:r w:rsidRPr="005958DC">
        <w:rPr>
          <w:rFonts w:ascii="Verdana" w:eastAsia="Calibri" w:hAnsi="Verdana" w:cs="Arial"/>
          <w:sz w:val="22"/>
          <w:szCs w:val="22"/>
        </w:rPr>
        <w:tab/>
      </w:r>
      <w:r w:rsidRPr="005958DC">
        <w:rPr>
          <w:rFonts w:ascii="Verdana" w:eastAsia="Calibri" w:hAnsi="Verdana" w:cs="Arial"/>
          <w:sz w:val="22"/>
          <w:szCs w:val="22"/>
        </w:rPr>
        <w:tab/>
        <w:t>£2,500.00 per annum</w:t>
      </w:r>
    </w:p>
    <w:p w14:paraId="275A1BF4" w14:textId="77777777" w:rsidR="00F227D9" w:rsidRPr="005958DC" w:rsidRDefault="00F227D9">
      <w:pPr>
        <w:pStyle w:val="Normal0"/>
        <w:rPr>
          <w:rFonts w:ascii="Verdana" w:hAnsi="Verdana" w:cs="Times New Roman"/>
        </w:rPr>
      </w:pPr>
    </w:p>
    <w:p w14:paraId="46EF26BF" w14:textId="77777777" w:rsidR="00F227D9" w:rsidRPr="005958DC" w:rsidRDefault="00F227D9" w:rsidP="00F227D9">
      <w:pPr>
        <w:pStyle w:val="Heading1"/>
      </w:pPr>
      <w:bookmarkStart w:id="21" w:name="_Toc77095572"/>
      <w:r w:rsidRPr="005958DC">
        <w:t>Note 13 - Collaborations</w:t>
      </w:r>
      <w:bookmarkEnd w:id="21"/>
    </w:p>
    <w:p w14:paraId="5FAE55AF" w14:textId="77777777" w:rsidR="00F227D9" w:rsidRPr="005958DC" w:rsidRDefault="00F227D9" w:rsidP="00F227D9">
      <w:pPr>
        <w:pStyle w:val="Normal0"/>
        <w:jc w:val="both"/>
        <w:rPr>
          <w:rFonts w:ascii="Verdana" w:hAnsi="Verdana" w:cs="Times New Roman"/>
        </w:rPr>
      </w:pPr>
    </w:p>
    <w:p w14:paraId="3E1A14C8" w14:textId="77777777" w:rsidR="00F227D9" w:rsidRPr="00DF3F46" w:rsidRDefault="00F227D9" w:rsidP="00F227D9">
      <w:pPr>
        <w:pStyle w:val="Normal0"/>
        <w:jc w:val="both"/>
        <w:rPr>
          <w:rFonts w:ascii="Verdana" w:hAnsi="Verdana" w:cs="Times New Roman"/>
          <w:sz w:val="22"/>
          <w:szCs w:val="22"/>
        </w:rPr>
      </w:pPr>
      <w:r w:rsidRPr="005958DC">
        <w:rPr>
          <w:rFonts w:ascii="Verdana" w:eastAsia="Calibri" w:hAnsi="Verdana" w:cs="Times New Roman"/>
          <w:sz w:val="22"/>
          <w:szCs w:val="22"/>
        </w:rPr>
        <w:t>The Police and Crime Commissioner and the Chief Constable for Surrey continues to develop joint working arrangements with other agencies principally with other south east region</w:t>
      </w:r>
      <w:r w:rsidRPr="00DF3F46">
        <w:rPr>
          <w:rFonts w:ascii="Verdana" w:eastAsia="Calibri" w:hAnsi="Verdana" w:cs="Times New Roman"/>
          <w:sz w:val="22"/>
          <w:szCs w:val="22"/>
        </w:rPr>
        <w:t xml:space="preserve"> Police and Crime Commissioners and in particular the Sussex Police and Crime Commissioner and Chief Constable.</w:t>
      </w:r>
    </w:p>
    <w:p w14:paraId="099C2051" w14:textId="77777777" w:rsidR="00F227D9" w:rsidRPr="00DF3F46" w:rsidRDefault="00F227D9" w:rsidP="00F227D9">
      <w:pPr>
        <w:pStyle w:val="Normal0"/>
        <w:jc w:val="both"/>
        <w:rPr>
          <w:rFonts w:ascii="Verdana" w:hAnsi="Verdana" w:cs="Times New Roman"/>
          <w:sz w:val="22"/>
          <w:szCs w:val="22"/>
        </w:rPr>
      </w:pPr>
    </w:p>
    <w:p w14:paraId="459066DE" w14:textId="77777777" w:rsidR="00F227D9" w:rsidRPr="00DF3F46" w:rsidRDefault="00F227D9" w:rsidP="00F227D9">
      <w:pPr>
        <w:pStyle w:val="Normal0"/>
        <w:jc w:val="both"/>
        <w:rPr>
          <w:rFonts w:ascii="Verdana" w:hAnsi="Verdana" w:cs="Times New Roman"/>
          <w:sz w:val="22"/>
          <w:szCs w:val="22"/>
        </w:rPr>
      </w:pPr>
      <w:r w:rsidRPr="00DF3F46">
        <w:rPr>
          <w:rFonts w:ascii="Verdana" w:eastAsia="Calibri" w:hAnsi="Verdana" w:cs="Times New Roman"/>
          <w:sz w:val="22"/>
          <w:szCs w:val="22"/>
        </w:rPr>
        <w:t>The Police and Crime Commissioners and Chief Constables of Surrey and Sussex Police have entered into a legal arrangement (section 22A agreement) to provide a number of services jointly with other police forces.  Each of these services is managed by one of the forces and includes a mix of staff from both forces.  The net cost of each service agreed to be provided jointly under the Section 22A agreement, which cannot be directly attributable to each force, are shared on a formula basis of Surrey 45%; Sussex 55%.</w:t>
      </w:r>
    </w:p>
    <w:p w14:paraId="4FC72944" w14:textId="77777777" w:rsidR="00F227D9" w:rsidRPr="00DF3F46" w:rsidRDefault="00F227D9" w:rsidP="00F227D9">
      <w:pPr>
        <w:pStyle w:val="Normal0"/>
        <w:jc w:val="both"/>
        <w:rPr>
          <w:rFonts w:ascii="Verdana" w:hAnsi="Verdana" w:cs="Times New Roman"/>
          <w:sz w:val="22"/>
          <w:szCs w:val="22"/>
        </w:rPr>
      </w:pPr>
    </w:p>
    <w:p w14:paraId="2686EEA5" w14:textId="607A9A41" w:rsidR="00F227D9" w:rsidRPr="00F5442C" w:rsidRDefault="00DF3F46" w:rsidP="00F227D9">
      <w:pPr>
        <w:pStyle w:val="Normal0"/>
        <w:jc w:val="both"/>
        <w:rPr>
          <w:rFonts w:ascii="Verdana" w:hAnsi="Verdana" w:cs="Times New Roman"/>
          <w:sz w:val="22"/>
          <w:szCs w:val="22"/>
        </w:rPr>
      </w:pPr>
      <w:r w:rsidRPr="00DF3F46">
        <w:rPr>
          <w:rFonts w:ascii="Verdana" w:eastAsia="Calibri" w:hAnsi="Verdana" w:cs="Times New Roman"/>
          <w:sz w:val="22"/>
          <w:szCs w:val="22"/>
        </w:rPr>
        <w:t>In 2020</w:t>
      </w:r>
      <w:r w:rsidR="00F227D9" w:rsidRPr="00DF3F46">
        <w:rPr>
          <w:rFonts w:ascii="Verdana" w:eastAsia="Calibri" w:hAnsi="Verdana" w:cs="Times New Roman"/>
          <w:sz w:val="22"/>
          <w:szCs w:val="22"/>
        </w:rPr>
        <w:t xml:space="preserve"> the services provided jointly, included the Operations and Specialist Crime departments along with a number of support functions and </w:t>
      </w:r>
      <w:r w:rsidR="00F227D9" w:rsidRPr="00F5442C">
        <w:rPr>
          <w:rFonts w:ascii="Verdana" w:eastAsia="Calibri" w:hAnsi="Verdana" w:cs="Times New Roman"/>
          <w:sz w:val="22"/>
          <w:szCs w:val="22"/>
        </w:rPr>
        <w:t>projects.  The Police and Crime Commissioners and Chief Constables for Sussex, Surrey and Thames Valley Police deliver</w:t>
      </w:r>
      <w:r w:rsidR="00F5442C" w:rsidRPr="00F5442C">
        <w:rPr>
          <w:rFonts w:ascii="Verdana" w:eastAsia="Calibri" w:hAnsi="Verdana" w:cs="Times New Roman"/>
          <w:sz w:val="22"/>
          <w:szCs w:val="22"/>
        </w:rPr>
        <w:t xml:space="preserve">y of </w:t>
      </w:r>
      <w:r w:rsidR="00F227D9" w:rsidRPr="00F5442C">
        <w:rPr>
          <w:rFonts w:ascii="Verdana" w:eastAsia="Calibri" w:hAnsi="Verdana" w:cs="Times New Roman"/>
          <w:sz w:val="22"/>
          <w:szCs w:val="22"/>
        </w:rPr>
        <w:t>a joint project to procure and implement a new Enterprise Resource Planning system (ERP)</w:t>
      </w:r>
      <w:r w:rsidR="00F5442C" w:rsidRPr="00F5442C">
        <w:rPr>
          <w:rFonts w:ascii="Verdana" w:eastAsia="Calibri" w:hAnsi="Verdana" w:cs="Times New Roman"/>
          <w:sz w:val="22"/>
          <w:szCs w:val="22"/>
        </w:rPr>
        <w:t xml:space="preserve"> was brought to a close during the 2020/21 financial year</w:t>
      </w:r>
      <w:r w:rsidR="00F227D9" w:rsidRPr="00F5442C">
        <w:rPr>
          <w:rFonts w:ascii="Verdana" w:eastAsia="Calibri" w:hAnsi="Verdana" w:cs="Times New Roman"/>
          <w:sz w:val="22"/>
          <w:szCs w:val="22"/>
        </w:rPr>
        <w:t>.</w:t>
      </w:r>
    </w:p>
    <w:p w14:paraId="217DFAB9" w14:textId="77777777" w:rsidR="00F227D9" w:rsidRPr="00F5442C" w:rsidRDefault="00F227D9" w:rsidP="00F227D9">
      <w:pPr>
        <w:pStyle w:val="Normal0"/>
        <w:jc w:val="both"/>
        <w:rPr>
          <w:rFonts w:ascii="Verdana" w:hAnsi="Verdana" w:cs="Times New Roman"/>
          <w:sz w:val="22"/>
          <w:szCs w:val="22"/>
        </w:rPr>
      </w:pPr>
    </w:p>
    <w:p w14:paraId="77371403" w14:textId="77777777" w:rsidR="00F5442C" w:rsidRDefault="00F5442C" w:rsidP="00F5442C">
      <w:pPr>
        <w:pStyle w:val="Normal0"/>
        <w:jc w:val="both"/>
        <w:rPr>
          <w:rFonts w:ascii="Verdana" w:eastAsia="Calibri" w:hAnsi="Verdana" w:cs="Times New Roman"/>
          <w:sz w:val="22"/>
          <w:szCs w:val="22"/>
        </w:rPr>
      </w:pPr>
      <w:r w:rsidRPr="00BD5B5D">
        <w:rPr>
          <w:rFonts w:ascii="Verdana" w:eastAsia="Calibri" w:hAnsi="Verdana" w:cs="Times New Roman"/>
          <w:sz w:val="22"/>
          <w:szCs w:val="22"/>
        </w:rPr>
        <w:t>Each Force accounts for their share of total income and expenditure and assets in the Comprehensive Income and Expenditure Statement and Balance Sheet respectively.  The table below illustrates the Surrey share of the collaborated service costs.</w:t>
      </w:r>
    </w:p>
    <w:p w14:paraId="1707AF47" w14:textId="77777777" w:rsidR="00F5442C" w:rsidRPr="00BD5B5D" w:rsidRDefault="00F5442C" w:rsidP="00F5442C">
      <w:pPr>
        <w:pStyle w:val="Normal0"/>
        <w:jc w:val="both"/>
        <w:rPr>
          <w:rFonts w:ascii="Verdana" w:hAnsi="Verdana" w:cs="Times New Roman"/>
        </w:rPr>
      </w:pPr>
    </w:p>
    <w:tbl>
      <w:tblPr>
        <w:tblW w:w="9806" w:type="dxa"/>
        <w:jc w:val="center"/>
        <w:tblLook w:val="04A0" w:firstRow="1" w:lastRow="0" w:firstColumn="1" w:lastColumn="0" w:noHBand="0" w:noVBand="1"/>
      </w:tblPr>
      <w:tblGrid>
        <w:gridCol w:w="1966"/>
        <w:gridCol w:w="414"/>
        <w:gridCol w:w="5679"/>
        <w:gridCol w:w="1747"/>
      </w:tblGrid>
      <w:tr w:rsidR="00F5442C" w:rsidRPr="003E03CB" w14:paraId="3757C273" w14:textId="77777777" w:rsidTr="00F5442C">
        <w:trPr>
          <w:trHeight w:val="379"/>
          <w:jc w:val="center"/>
        </w:trPr>
        <w:tc>
          <w:tcPr>
            <w:tcW w:w="1966" w:type="dxa"/>
            <w:tcBorders>
              <w:top w:val="nil"/>
              <w:left w:val="nil"/>
              <w:bottom w:val="nil"/>
              <w:right w:val="nil"/>
            </w:tcBorders>
            <w:shd w:val="clear" w:color="auto" w:fill="auto"/>
            <w:vAlign w:val="center"/>
            <w:hideMark/>
          </w:tcPr>
          <w:p w14:paraId="1CDBF7C2" w14:textId="77777777" w:rsidR="00F5442C" w:rsidRPr="00F5442C" w:rsidRDefault="00F5442C" w:rsidP="00F5442C">
            <w:pPr>
              <w:jc w:val="center"/>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Surrey Share 2019/20</w:t>
            </w:r>
          </w:p>
        </w:tc>
        <w:tc>
          <w:tcPr>
            <w:tcW w:w="414" w:type="dxa"/>
            <w:tcBorders>
              <w:top w:val="nil"/>
              <w:left w:val="nil"/>
              <w:bottom w:val="nil"/>
              <w:right w:val="nil"/>
            </w:tcBorders>
            <w:shd w:val="clear" w:color="auto" w:fill="auto"/>
            <w:vAlign w:val="center"/>
            <w:hideMark/>
          </w:tcPr>
          <w:p w14:paraId="3DBC9376" w14:textId="77777777" w:rsidR="00F5442C" w:rsidRPr="00F5442C" w:rsidRDefault="00F5442C" w:rsidP="00F5442C">
            <w:pPr>
              <w:jc w:val="center"/>
              <w:rPr>
                <w:rFonts w:ascii="Verdana" w:eastAsia="Times New Roman" w:hAnsi="Verdana" w:cs="Calibri"/>
                <w:b/>
                <w:color w:val="000000"/>
                <w:sz w:val="20"/>
                <w:szCs w:val="20"/>
                <w:lang w:val="en-GB" w:eastAsia="en-GB"/>
              </w:rPr>
            </w:pPr>
          </w:p>
        </w:tc>
        <w:tc>
          <w:tcPr>
            <w:tcW w:w="5679" w:type="dxa"/>
            <w:vMerge w:val="restart"/>
            <w:tcBorders>
              <w:top w:val="nil"/>
              <w:left w:val="nil"/>
              <w:bottom w:val="single" w:sz="8" w:space="0" w:color="000000"/>
              <w:right w:val="nil"/>
            </w:tcBorders>
            <w:shd w:val="clear" w:color="auto" w:fill="auto"/>
            <w:noWrap/>
            <w:vAlign w:val="center"/>
            <w:hideMark/>
          </w:tcPr>
          <w:p w14:paraId="0671E25F" w14:textId="77777777" w:rsidR="00F5442C" w:rsidRPr="00F5442C" w:rsidRDefault="00F5442C" w:rsidP="00F5442C">
            <w:pPr>
              <w:jc w:val="center"/>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Collaboration Area</w:t>
            </w:r>
          </w:p>
        </w:tc>
        <w:tc>
          <w:tcPr>
            <w:tcW w:w="1747" w:type="dxa"/>
            <w:tcBorders>
              <w:top w:val="nil"/>
              <w:left w:val="nil"/>
              <w:bottom w:val="nil"/>
              <w:right w:val="nil"/>
            </w:tcBorders>
            <w:shd w:val="clear" w:color="auto" w:fill="auto"/>
            <w:vAlign w:val="center"/>
            <w:hideMark/>
          </w:tcPr>
          <w:p w14:paraId="5A061B72" w14:textId="77777777" w:rsidR="00F5442C" w:rsidRPr="00F5442C" w:rsidRDefault="00F5442C" w:rsidP="00F5442C">
            <w:pPr>
              <w:jc w:val="center"/>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Surrey Share 2020/21</w:t>
            </w:r>
          </w:p>
        </w:tc>
      </w:tr>
      <w:tr w:rsidR="00F5442C" w:rsidRPr="003E03CB" w14:paraId="30DB75F1" w14:textId="77777777" w:rsidTr="00F5442C">
        <w:trPr>
          <w:trHeight w:val="265"/>
          <w:jc w:val="center"/>
        </w:trPr>
        <w:tc>
          <w:tcPr>
            <w:tcW w:w="1966" w:type="dxa"/>
            <w:tcBorders>
              <w:top w:val="nil"/>
              <w:left w:val="nil"/>
              <w:bottom w:val="nil"/>
              <w:right w:val="nil"/>
            </w:tcBorders>
            <w:shd w:val="clear" w:color="auto" w:fill="auto"/>
            <w:noWrap/>
            <w:vAlign w:val="center"/>
            <w:hideMark/>
          </w:tcPr>
          <w:p w14:paraId="3CCB8E0B" w14:textId="77777777" w:rsidR="00F5442C" w:rsidRPr="00F5442C" w:rsidRDefault="00F5442C" w:rsidP="00F5442C">
            <w:pPr>
              <w:jc w:val="center"/>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£m</w:t>
            </w:r>
          </w:p>
        </w:tc>
        <w:tc>
          <w:tcPr>
            <w:tcW w:w="414" w:type="dxa"/>
            <w:tcBorders>
              <w:top w:val="nil"/>
              <w:left w:val="nil"/>
              <w:bottom w:val="nil"/>
              <w:right w:val="nil"/>
            </w:tcBorders>
            <w:shd w:val="clear" w:color="auto" w:fill="auto"/>
            <w:noWrap/>
            <w:vAlign w:val="center"/>
            <w:hideMark/>
          </w:tcPr>
          <w:p w14:paraId="681514C9" w14:textId="77777777" w:rsidR="00F5442C" w:rsidRPr="00F5442C" w:rsidRDefault="00F5442C" w:rsidP="00F5442C">
            <w:pPr>
              <w:jc w:val="center"/>
              <w:rPr>
                <w:rFonts w:ascii="Verdana" w:eastAsia="Times New Roman" w:hAnsi="Verdana" w:cs="Calibri"/>
                <w:b/>
                <w:color w:val="000000"/>
                <w:sz w:val="20"/>
                <w:szCs w:val="20"/>
                <w:lang w:val="en-GB" w:eastAsia="en-GB"/>
              </w:rPr>
            </w:pPr>
          </w:p>
        </w:tc>
        <w:tc>
          <w:tcPr>
            <w:tcW w:w="5679" w:type="dxa"/>
            <w:vMerge/>
            <w:tcBorders>
              <w:top w:val="nil"/>
              <w:left w:val="nil"/>
              <w:bottom w:val="single" w:sz="8" w:space="0" w:color="000000"/>
              <w:right w:val="nil"/>
            </w:tcBorders>
            <w:vAlign w:val="center"/>
            <w:hideMark/>
          </w:tcPr>
          <w:p w14:paraId="0BCB463A" w14:textId="77777777" w:rsidR="00F5442C" w:rsidRPr="00F5442C" w:rsidRDefault="00F5442C" w:rsidP="00F5442C">
            <w:pPr>
              <w:rPr>
                <w:rFonts w:ascii="Verdana" w:eastAsia="Times New Roman" w:hAnsi="Verdana" w:cs="Calibri"/>
                <w:b/>
                <w:color w:val="000000"/>
                <w:sz w:val="20"/>
                <w:szCs w:val="20"/>
                <w:lang w:val="en-GB" w:eastAsia="en-GB"/>
              </w:rPr>
            </w:pPr>
          </w:p>
        </w:tc>
        <w:tc>
          <w:tcPr>
            <w:tcW w:w="1747" w:type="dxa"/>
            <w:tcBorders>
              <w:top w:val="nil"/>
              <w:left w:val="nil"/>
              <w:bottom w:val="nil"/>
              <w:right w:val="nil"/>
            </w:tcBorders>
            <w:shd w:val="clear" w:color="auto" w:fill="auto"/>
            <w:noWrap/>
            <w:vAlign w:val="center"/>
            <w:hideMark/>
          </w:tcPr>
          <w:p w14:paraId="1051E56E" w14:textId="77777777" w:rsidR="00F5442C" w:rsidRPr="00F5442C" w:rsidRDefault="00F5442C" w:rsidP="00F5442C">
            <w:pPr>
              <w:jc w:val="center"/>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£m</w:t>
            </w:r>
          </w:p>
        </w:tc>
      </w:tr>
      <w:tr w:rsidR="00F5442C" w:rsidRPr="003E03CB" w14:paraId="5A0E5EB6" w14:textId="77777777" w:rsidTr="00F5442C">
        <w:trPr>
          <w:trHeight w:val="252"/>
          <w:jc w:val="center"/>
        </w:trPr>
        <w:tc>
          <w:tcPr>
            <w:tcW w:w="1966" w:type="dxa"/>
            <w:tcBorders>
              <w:top w:val="single" w:sz="8" w:space="0" w:color="auto"/>
              <w:left w:val="nil"/>
              <w:bottom w:val="nil"/>
              <w:right w:val="nil"/>
            </w:tcBorders>
            <w:shd w:val="clear" w:color="auto" w:fill="auto"/>
            <w:noWrap/>
            <w:vAlign w:val="center"/>
            <w:hideMark/>
          </w:tcPr>
          <w:p w14:paraId="6E48753E"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0.6</w:t>
            </w:r>
          </w:p>
        </w:tc>
        <w:tc>
          <w:tcPr>
            <w:tcW w:w="414" w:type="dxa"/>
            <w:tcBorders>
              <w:top w:val="single" w:sz="8" w:space="0" w:color="auto"/>
              <w:left w:val="nil"/>
              <w:bottom w:val="nil"/>
              <w:right w:val="nil"/>
            </w:tcBorders>
            <w:shd w:val="clear" w:color="auto" w:fill="auto"/>
            <w:noWrap/>
            <w:vAlign w:val="center"/>
            <w:hideMark/>
          </w:tcPr>
          <w:p w14:paraId="6CC6AB6E"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 </w:t>
            </w:r>
          </w:p>
        </w:tc>
        <w:tc>
          <w:tcPr>
            <w:tcW w:w="5679" w:type="dxa"/>
            <w:tcBorders>
              <w:top w:val="nil"/>
              <w:left w:val="nil"/>
              <w:bottom w:val="nil"/>
              <w:right w:val="nil"/>
            </w:tcBorders>
            <w:shd w:val="clear" w:color="auto" w:fill="auto"/>
            <w:noWrap/>
            <w:vAlign w:val="center"/>
            <w:hideMark/>
          </w:tcPr>
          <w:p w14:paraId="1CAB87FC"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Change Delivery</w:t>
            </w:r>
          </w:p>
        </w:tc>
        <w:tc>
          <w:tcPr>
            <w:tcW w:w="1747" w:type="dxa"/>
            <w:tcBorders>
              <w:top w:val="single" w:sz="8" w:space="0" w:color="auto"/>
              <w:left w:val="nil"/>
              <w:bottom w:val="nil"/>
              <w:right w:val="nil"/>
            </w:tcBorders>
            <w:shd w:val="clear" w:color="auto" w:fill="auto"/>
            <w:noWrap/>
            <w:vAlign w:val="center"/>
            <w:hideMark/>
          </w:tcPr>
          <w:p w14:paraId="7B8C8D1C"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0.7</w:t>
            </w:r>
          </w:p>
        </w:tc>
      </w:tr>
      <w:tr w:rsidR="00F5442C" w:rsidRPr="003E03CB" w14:paraId="4D1C3436"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7454498D"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0.4</w:t>
            </w:r>
          </w:p>
        </w:tc>
        <w:tc>
          <w:tcPr>
            <w:tcW w:w="414" w:type="dxa"/>
            <w:tcBorders>
              <w:top w:val="nil"/>
              <w:left w:val="nil"/>
              <w:bottom w:val="nil"/>
              <w:right w:val="nil"/>
            </w:tcBorders>
            <w:shd w:val="clear" w:color="auto" w:fill="auto"/>
            <w:noWrap/>
            <w:vAlign w:val="center"/>
            <w:hideMark/>
          </w:tcPr>
          <w:p w14:paraId="60969377"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0BA43624"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Chief Officers</w:t>
            </w:r>
          </w:p>
        </w:tc>
        <w:tc>
          <w:tcPr>
            <w:tcW w:w="1747" w:type="dxa"/>
            <w:tcBorders>
              <w:top w:val="nil"/>
              <w:left w:val="nil"/>
              <w:bottom w:val="nil"/>
              <w:right w:val="nil"/>
            </w:tcBorders>
            <w:shd w:val="clear" w:color="auto" w:fill="auto"/>
            <w:noWrap/>
            <w:vAlign w:val="center"/>
            <w:hideMark/>
          </w:tcPr>
          <w:p w14:paraId="35BDCADC"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0.5</w:t>
            </w:r>
          </w:p>
        </w:tc>
      </w:tr>
      <w:tr w:rsidR="00F5442C" w:rsidRPr="003E03CB" w14:paraId="5A6AA5F8"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4E0BD0BC"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1.8</w:t>
            </w:r>
          </w:p>
        </w:tc>
        <w:tc>
          <w:tcPr>
            <w:tcW w:w="414" w:type="dxa"/>
            <w:tcBorders>
              <w:top w:val="nil"/>
              <w:left w:val="nil"/>
              <w:bottom w:val="nil"/>
              <w:right w:val="nil"/>
            </w:tcBorders>
            <w:shd w:val="clear" w:color="auto" w:fill="auto"/>
            <w:noWrap/>
            <w:vAlign w:val="center"/>
            <w:hideMark/>
          </w:tcPr>
          <w:p w14:paraId="3653A353"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41AD77A0"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Enterprise Resource Planning (ERP) Project</w:t>
            </w:r>
          </w:p>
        </w:tc>
        <w:tc>
          <w:tcPr>
            <w:tcW w:w="1747" w:type="dxa"/>
            <w:tcBorders>
              <w:top w:val="nil"/>
              <w:left w:val="nil"/>
              <w:bottom w:val="nil"/>
              <w:right w:val="nil"/>
            </w:tcBorders>
            <w:shd w:val="clear" w:color="auto" w:fill="auto"/>
            <w:noWrap/>
            <w:vAlign w:val="center"/>
            <w:hideMark/>
          </w:tcPr>
          <w:p w14:paraId="36D3121D"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2.1</w:t>
            </w:r>
          </w:p>
        </w:tc>
      </w:tr>
      <w:tr w:rsidR="00F5442C" w:rsidRPr="003E03CB" w14:paraId="4E52B4DA"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486E0737"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1.0</w:t>
            </w:r>
          </w:p>
        </w:tc>
        <w:tc>
          <w:tcPr>
            <w:tcW w:w="414" w:type="dxa"/>
            <w:tcBorders>
              <w:top w:val="nil"/>
              <w:left w:val="nil"/>
              <w:bottom w:val="nil"/>
              <w:right w:val="nil"/>
            </w:tcBorders>
            <w:shd w:val="clear" w:color="auto" w:fill="auto"/>
            <w:noWrap/>
            <w:vAlign w:val="center"/>
            <w:hideMark/>
          </w:tcPr>
          <w:p w14:paraId="4017A6F1"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666C3CD9"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 xml:space="preserve">Finance </w:t>
            </w:r>
          </w:p>
        </w:tc>
        <w:tc>
          <w:tcPr>
            <w:tcW w:w="1747" w:type="dxa"/>
            <w:tcBorders>
              <w:top w:val="nil"/>
              <w:left w:val="nil"/>
              <w:bottom w:val="nil"/>
              <w:right w:val="nil"/>
            </w:tcBorders>
            <w:shd w:val="clear" w:color="auto" w:fill="auto"/>
            <w:noWrap/>
            <w:vAlign w:val="center"/>
            <w:hideMark/>
          </w:tcPr>
          <w:p w14:paraId="61672DBE"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1.0</w:t>
            </w:r>
          </w:p>
        </w:tc>
      </w:tr>
      <w:tr w:rsidR="00F5442C" w:rsidRPr="003E03CB" w14:paraId="7340B960"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55F0FF70"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0.2</w:t>
            </w:r>
          </w:p>
        </w:tc>
        <w:tc>
          <w:tcPr>
            <w:tcW w:w="414" w:type="dxa"/>
            <w:tcBorders>
              <w:top w:val="nil"/>
              <w:left w:val="nil"/>
              <w:bottom w:val="nil"/>
              <w:right w:val="nil"/>
            </w:tcBorders>
            <w:shd w:val="clear" w:color="auto" w:fill="auto"/>
            <w:noWrap/>
            <w:vAlign w:val="center"/>
            <w:hideMark/>
          </w:tcPr>
          <w:p w14:paraId="19844947"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02FBD741"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Estates Projects</w:t>
            </w:r>
          </w:p>
        </w:tc>
        <w:tc>
          <w:tcPr>
            <w:tcW w:w="1747" w:type="dxa"/>
            <w:tcBorders>
              <w:top w:val="nil"/>
              <w:left w:val="nil"/>
              <w:bottom w:val="nil"/>
              <w:right w:val="nil"/>
            </w:tcBorders>
            <w:shd w:val="clear" w:color="auto" w:fill="auto"/>
            <w:noWrap/>
            <w:vAlign w:val="center"/>
            <w:hideMark/>
          </w:tcPr>
          <w:p w14:paraId="127D7D68"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0.2</w:t>
            </w:r>
          </w:p>
        </w:tc>
      </w:tr>
      <w:tr w:rsidR="00F5442C" w:rsidRPr="003E03CB" w14:paraId="4EDA8E80"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15148A5E"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0.1</w:t>
            </w:r>
          </w:p>
        </w:tc>
        <w:tc>
          <w:tcPr>
            <w:tcW w:w="414" w:type="dxa"/>
            <w:tcBorders>
              <w:top w:val="nil"/>
              <w:left w:val="nil"/>
              <w:bottom w:val="nil"/>
              <w:right w:val="nil"/>
            </w:tcBorders>
            <w:shd w:val="clear" w:color="auto" w:fill="auto"/>
            <w:noWrap/>
            <w:vAlign w:val="center"/>
            <w:hideMark/>
          </w:tcPr>
          <w:p w14:paraId="500D009A"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1DDD0697"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Insurance</w:t>
            </w:r>
          </w:p>
        </w:tc>
        <w:tc>
          <w:tcPr>
            <w:tcW w:w="1747" w:type="dxa"/>
            <w:tcBorders>
              <w:top w:val="nil"/>
              <w:left w:val="nil"/>
              <w:bottom w:val="nil"/>
              <w:right w:val="nil"/>
            </w:tcBorders>
            <w:shd w:val="clear" w:color="auto" w:fill="auto"/>
            <w:noWrap/>
            <w:vAlign w:val="center"/>
            <w:hideMark/>
          </w:tcPr>
          <w:p w14:paraId="43527EE2"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0.1</w:t>
            </w:r>
          </w:p>
        </w:tc>
      </w:tr>
      <w:tr w:rsidR="00F5442C" w:rsidRPr="003E03CB" w14:paraId="1D382B50"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31999BA5"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4.9</w:t>
            </w:r>
          </w:p>
        </w:tc>
        <w:tc>
          <w:tcPr>
            <w:tcW w:w="414" w:type="dxa"/>
            <w:tcBorders>
              <w:top w:val="nil"/>
              <w:left w:val="nil"/>
              <w:bottom w:val="nil"/>
              <w:right w:val="nil"/>
            </w:tcBorders>
            <w:shd w:val="clear" w:color="auto" w:fill="auto"/>
            <w:noWrap/>
            <w:vAlign w:val="center"/>
            <w:hideMark/>
          </w:tcPr>
          <w:p w14:paraId="6CF4C5EE"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055A361F"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 xml:space="preserve">IT </w:t>
            </w:r>
          </w:p>
        </w:tc>
        <w:tc>
          <w:tcPr>
            <w:tcW w:w="1747" w:type="dxa"/>
            <w:tcBorders>
              <w:top w:val="nil"/>
              <w:left w:val="nil"/>
              <w:bottom w:val="nil"/>
              <w:right w:val="nil"/>
            </w:tcBorders>
            <w:shd w:val="clear" w:color="auto" w:fill="auto"/>
            <w:noWrap/>
            <w:vAlign w:val="center"/>
            <w:hideMark/>
          </w:tcPr>
          <w:p w14:paraId="70DB0412"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7.5</w:t>
            </w:r>
          </w:p>
        </w:tc>
      </w:tr>
      <w:tr w:rsidR="00F5442C" w:rsidRPr="003E03CB" w14:paraId="7A4D4C31"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0EE270CF"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1.3</w:t>
            </w:r>
          </w:p>
        </w:tc>
        <w:tc>
          <w:tcPr>
            <w:tcW w:w="414" w:type="dxa"/>
            <w:tcBorders>
              <w:top w:val="nil"/>
              <w:left w:val="nil"/>
              <w:bottom w:val="nil"/>
              <w:right w:val="nil"/>
            </w:tcBorders>
            <w:shd w:val="clear" w:color="auto" w:fill="auto"/>
            <w:noWrap/>
            <w:vAlign w:val="center"/>
            <w:hideMark/>
          </w:tcPr>
          <w:p w14:paraId="200E7963"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665389AE"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IT Projects</w:t>
            </w:r>
          </w:p>
        </w:tc>
        <w:tc>
          <w:tcPr>
            <w:tcW w:w="1747" w:type="dxa"/>
            <w:tcBorders>
              <w:top w:val="nil"/>
              <w:left w:val="nil"/>
              <w:bottom w:val="nil"/>
              <w:right w:val="nil"/>
            </w:tcBorders>
            <w:shd w:val="clear" w:color="auto" w:fill="auto"/>
            <w:noWrap/>
            <w:vAlign w:val="center"/>
            <w:hideMark/>
          </w:tcPr>
          <w:p w14:paraId="2DD5B353"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2.4</w:t>
            </w:r>
          </w:p>
        </w:tc>
      </w:tr>
      <w:tr w:rsidR="00F5442C" w:rsidRPr="003E03CB" w14:paraId="5988D6D8"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0270FA3A"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0.2</w:t>
            </w:r>
          </w:p>
        </w:tc>
        <w:tc>
          <w:tcPr>
            <w:tcW w:w="414" w:type="dxa"/>
            <w:tcBorders>
              <w:top w:val="nil"/>
              <w:left w:val="nil"/>
              <w:bottom w:val="nil"/>
              <w:right w:val="nil"/>
            </w:tcBorders>
            <w:shd w:val="clear" w:color="auto" w:fill="auto"/>
            <w:noWrap/>
            <w:vAlign w:val="center"/>
            <w:hideMark/>
          </w:tcPr>
          <w:p w14:paraId="433C3173"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7741F353"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Procurement</w:t>
            </w:r>
          </w:p>
        </w:tc>
        <w:tc>
          <w:tcPr>
            <w:tcW w:w="1747" w:type="dxa"/>
            <w:tcBorders>
              <w:top w:val="nil"/>
              <w:left w:val="nil"/>
              <w:bottom w:val="nil"/>
              <w:right w:val="nil"/>
            </w:tcBorders>
            <w:shd w:val="clear" w:color="auto" w:fill="auto"/>
            <w:noWrap/>
            <w:vAlign w:val="center"/>
            <w:hideMark/>
          </w:tcPr>
          <w:p w14:paraId="3820B33C"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0.3</w:t>
            </w:r>
          </w:p>
        </w:tc>
      </w:tr>
      <w:tr w:rsidR="00F5442C" w:rsidRPr="003E03CB" w14:paraId="7F170186"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71A6F255"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0.9</w:t>
            </w:r>
          </w:p>
        </w:tc>
        <w:tc>
          <w:tcPr>
            <w:tcW w:w="414" w:type="dxa"/>
            <w:tcBorders>
              <w:top w:val="nil"/>
              <w:left w:val="nil"/>
              <w:bottom w:val="nil"/>
              <w:right w:val="nil"/>
            </w:tcBorders>
            <w:shd w:val="clear" w:color="auto" w:fill="auto"/>
            <w:noWrap/>
            <w:vAlign w:val="center"/>
            <w:hideMark/>
          </w:tcPr>
          <w:p w14:paraId="2CABAD3A"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512157C5"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Transport</w:t>
            </w:r>
          </w:p>
        </w:tc>
        <w:tc>
          <w:tcPr>
            <w:tcW w:w="1747" w:type="dxa"/>
            <w:tcBorders>
              <w:top w:val="nil"/>
              <w:left w:val="nil"/>
              <w:bottom w:val="nil"/>
              <w:right w:val="nil"/>
            </w:tcBorders>
            <w:shd w:val="clear" w:color="auto" w:fill="auto"/>
            <w:noWrap/>
            <w:vAlign w:val="center"/>
            <w:hideMark/>
          </w:tcPr>
          <w:p w14:paraId="07310845"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1.3</w:t>
            </w:r>
          </w:p>
        </w:tc>
      </w:tr>
      <w:tr w:rsidR="00F5442C" w:rsidRPr="003E03CB" w14:paraId="1BAF7962"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30A2764E"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16.1</w:t>
            </w:r>
          </w:p>
        </w:tc>
        <w:tc>
          <w:tcPr>
            <w:tcW w:w="414" w:type="dxa"/>
            <w:tcBorders>
              <w:top w:val="nil"/>
              <w:left w:val="nil"/>
              <w:bottom w:val="nil"/>
              <w:right w:val="nil"/>
            </w:tcBorders>
            <w:shd w:val="clear" w:color="auto" w:fill="auto"/>
            <w:noWrap/>
            <w:vAlign w:val="center"/>
            <w:hideMark/>
          </w:tcPr>
          <w:p w14:paraId="63A1554B"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3F51F89C"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Operations Department</w:t>
            </w:r>
          </w:p>
        </w:tc>
        <w:tc>
          <w:tcPr>
            <w:tcW w:w="1747" w:type="dxa"/>
            <w:tcBorders>
              <w:top w:val="nil"/>
              <w:left w:val="nil"/>
              <w:bottom w:val="nil"/>
              <w:right w:val="nil"/>
            </w:tcBorders>
            <w:shd w:val="clear" w:color="auto" w:fill="auto"/>
            <w:noWrap/>
            <w:vAlign w:val="center"/>
            <w:hideMark/>
          </w:tcPr>
          <w:p w14:paraId="46BB54C2"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18.9</w:t>
            </w:r>
          </w:p>
        </w:tc>
      </w:tr>
      <w:tr w:rsidR="00F5442C" w:rsidRPr="003E03CB" w14:paraId="75A60BAB"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35D07573"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0.1</w:t>
            </w:r>
          </w:p>
        </w:tc>
        <w:tc>
          <w:tcPr>
            <w:tcW w:w="414" w:type="dxa"/>
            <w:tcBorders>
              <w:top w:val="nil"/>
              <w:left w:val="nil"/>
              <w:bottom w:val="nil"/>
              <w:right w:val="nil"/>
            </w:tcBorders>
            <w:shd w:val="clear" w:color="auto" w:fill="auto"/>
            <w:noWrap/>
            <w:vAlign w:val="center"/>
            <w:hideMark/>
          </w:tcPr>
          <w:p w14:paraId="1936963F"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5E2E9DB7"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Operations Projects</w:t>
            </w:r>
          </w:p>
        </w:tc>
        <w:tc>
          <w:tcPr>
            <w:tcW w:w="1747" w:type="dxa"/>
            <w:tcBorders>
              <w:top w:val="nil"/>
              <w:left w:val="nil"/>
              <w:bottom w:val="nil"/>
              <w:right w:val="nil"/>
            </w:tcBorders>
            <w:shd w:val="clear" w:color="auto" w:fill="auto"/>
            <w:noWrap/>
            <w:vAlign w:val="center"/>
            <w:hideMark/>
          </w:tcPr>
          <w:p w14:paraId="3D65637A"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0.4</w:t>
            </w:r>
          </w:p>
        </w:tc>
      </w:tr>
      <w:tr w:rsidR="00F5442C" w:rsidRPr="003E03CB" w14:paraId="52715B19"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7E1AA2D7"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0.1</w:t>
            </w:r>
          </w:p>
        </w:tc>
        <w:tc>
          <w:tcPr>
            <w:tcW w:w="414" w:type="dxa"/>
            <w:tcBorders>
              <w:top w:val="nil"/>
              <w:left w:val="nil"/>
              <w:bottom w:val="nil"/>
              <w:right w:val="nil"/>
            </w:tcBorders>
            <w:shd w:val="clear" w:color="auto" w:fill="auto"/>
            <w:noWrap/>
            <w:vAlign w:val="center"/>
            <w:hideMark/>
          </w:tcPr>
          <w:p w14:paraId="5EE61EE5"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3D3C1CB8"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Health &amp; Safety</w:t>
            </w:r>
          </w:p>
        </w:tc>
        <w:tc>
          <w:tcPr>
            <w:tcW w:w="1747" w:type="dxa"/>
            <w:tcBorders>
              <w:top w:val="nil"/>
              <w:left w:val="nil"/>
              <w:bottom w:val="nil"/>
              <w:right w:val="nil"/>
            </w:tcBorders>
            <w:shd w:val="clear" w:color="auto" w:fill="auto"/>
            <w:noWrap/>
            <w:vAlign w:val="center"/>
            <w:hideMark/>
          </w:tcPr>
          <w:p w14:paraId="46269D67"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w:t>
            </w:r>
          </w:p>
        </w:tc>
      </w:tr>
      <w:tr w:rsidR="00F5442C" w:rsidRPr="003E03CB" w14:paraId="72AC6B10"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61C0B063"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17.6</w:t>
            </w:r>
          </w:p>
        </w:tc>
        <w:tc>
          <w:tcPr>
            <w:tcW w:w="414" w:type="dxa"/>
            <w:tcBorders>
              <w:top w:val="nil"/>
              <w:left w:val="nil"/>
              <w:bottom w:val="nil"/>
              <w:right w:val="nil"/>
            </w:tcBorders>
            <w:shd w:val="clear" w:color="auto" w:fill="auto"/>
            <w:noWrap/>
            <w:vAlign w:val="center"/>
            <w:hideMark/>
          </w:tcPr>
          <w:p w14:paraId="383BABCB"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643A5ED0"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Specialist Crime Department</w:t>
            </w:r>
          </w:p>
        </w:tc>
        <w:tc>
          <w:tcPr>
            <w:tcW w:w="1747" w:type="dxa"/>
            <w:tcBorders>
              <w:top w:val="nil"/>
              <w:left w:val="nil"/>
              <w:bottom w:val="nil"/>
              <w:right w:val="nil"/>
            </w:tcBorders>
            <w:shd w:val="clear" w:color="auto" w:fill="auto"/>
            <w:noWrap/>
            <w:vAlign w:val="center"/>
            <w:hideMark/>
          </w:tcPr>
          <w:p w14:paraId="2E544A20"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18.6</w:t>
            </w:r>
          </w:p>
        </w:tc>
      </w:tr>
      <w:tr w:rsidR="00F5442C" w:rsidRPr="003E03CB" w14:paraId="585A04D5"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5B9442EA"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3.3</w:t>
            </w:r>
          </w:p>
        </w:tc>
        <w:tc>
          <w:tcPr>
            <w:tcW w:w="414" w:type="dxa"/>
            <w:tcBorders>
              <w:top w:val="nil"/>
              <w:left w:val="nil"/>
              <w:bottom w:val="nil"/>
              <w:right w:val="nil"/>
            </w:tcBorders>
            <w:shd w:val="clear" w:color="auto" w:fill="auto"/>
            <w:noWrap/>
            <w:vAlign w:val="center"/>
            <w:hideMark/>
          </w:tcPr>
          <w:p w14:paraId="61D7FFD2"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367DFBF3"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People Services</w:t>
            </w:r>
          </w:p>
        </w:tc>
        <w:tc>
          <w:tcPr>
            <w:tcW w:w="1747" w:type="dxa"/>
            <w:tcBorders>
              <w:top w:val="nil"/>
              <w:left w:val="nil"/>
              <w:bottom w:val="nil"/>
              <w:right w:val="nil"/>
            </w:tcBorders>
            <w:shd w:val="clear" w:color="auto" w:fill="auto"/>
            <w:noWrap/>
            <w:vAlign w:val="center"/>
            <w:hideMark/>
          </w:tcPr>
          <w:p w14:paraId="1A3758E5"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3.6</w:t>
            </w:r>
          </w:p>
        </w:tc>
      </w:tr>
      <w:tr w:rsidR="00F5442C" w:rsidRPr="003E03CB" w14:paraId="38FFCFFD"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10784FB3"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0.7</w:t>
            </w:r>
          </w:p>
        </w:tc>
        <w:tc>
          <w:tcPr>
            <w:tcW w:w="414" w:type="dxa"/>
            <w:tcBorders>
              <w:top w:val="nil"/>
              <w:left w:val="nil"/>
              <w:bottom w:val="nil"/>
              <w:right w:val="nil"/>
            </w:tcBorders>
            <w:shd w:val="clear" w:color="auto" w:fill="auto"/>
            <w:noWrap/>
            <w:vAlign w:val="center"/>
            <w:hideMark/>
          </w:tcPr>
          <w:p w14:paraId="72964437"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09C3E90C"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Digital Enablement</w:t>
            </w:r>
          </w:p>
        </w:tc>
        <w:tc>
          <w:tcPr>
            <w:tcW w:w="1747" w:type="dxa"/>
            <w:tcBorders>
              <w:top w:val="nil"/>
              <w:left w:val="nil"/>
              <w:bottom w:val="nil"/>
              <w:right w:val="nil"/>
            </w:tcBorders>
            <w:shd w:val="clear" w:color="auto" w:fill="auto"/>
            <w:noWrap/>
            <w:vAlign w:val="center"/>
            <w:hideMark/>
          </w:tcPr>
          <w:p w14:paraId="3BD01699"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0.9</w:t>
            </w:r>
          </w:p>
        </w:tc>
      </w:tr>
      <w:tr w:rsidR="00F5442C" w:rsidRPr="003E03CB" w14:paraId="72DBE3CB" w14:textId="77777777" w:rsidTr="00F5442C">
        <w:trPr>
          <w:trHeight w:val="252"/>
          <w:jc w:val="center"/>
        </w:trPr>
        <w:tc>
          <w:tcPr>
            <w:tcW w:w="1966" w:type="dxa"/>
            <w:tcBorders>
              <w:top w:val="nil"/>
              <w:left w:val="nil"/>
              <w:bottom w:val="nil"/>
              <w:right w:val="nil"/>
            </w:tcBorders>
            <w:shd w:val="clear" w:color="auto" w:fill="auto"/>
            <w:noWrap/>
            <w:vAlign w:val="center"/>
            <w:hideMark/>
          </w:tcPr>
          <w:p w14:paraId="48DADFAC"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0.4</w:t>
            </w:r>
          </w:p>
        </w:tc>
        <w:tc>
          <w:tcPr>
            <w:tcW w:w="414" w:type="dxa"/>
            <w:tcBorders>
              <w:top w:val="nil"/>
              <w:left w:val="nil"/>
              <w:bottom w:val="nil"/>
              <w:right w:val="nil"/>
            </w:tcBorders>
            <w:shd w:val="clear" w:color="auto" w:fill="auto"/>
            <w:noWrap/>
            <w:vAlign w:val="center"/>
            <w:hideMark/>
          </w:tcPr>
          <w:p w14:paraId="0FC39D42" w14:textId="77777777" w:rsidR="00F5442C" w:rsidRPr="00F5442C" w:rsidRDefault="00F5442C" w:rsidP="00F5442C">
            <w:pPr>
              <w:jc w:val="right"/>
              <w:rPr>
                <w:rFonts w:ascii="Verdana" w:eastAsia="Times New Roman" w:hAnsi="Verdana"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5E74A34C"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Vetting</w:t>
            </w:r>
          </w:p>
        </w:tc>
        <w:tc>
          <w:tcPr>
            <w:tcW w:w="1747" w:type="dxa"/>
            <w:tcBorders>
              <w:top w:val="nil"/>
              <w:left w:val="nil"/>
              <w:bottom w:val="nil"/>
              <w:right w:val="nil"/>
            </w:tcBorders>
            <w:shd w:val="clear" w:color="auto" w:fill="auto"/>
            <w:noWrap/>
            <w:vAlign w:val="center"/>
            <w:hideMark/>
          </w:tcPr>
          <w:p w14:paraId="3BA98EE6"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0.3</w:t>
            </w:r>
          </w:p>
        </w:tc>
      </w:tr>
      <w:tr w:rsidR="00F5442C" w:rsidRPr="003E03CB" w14:paraId="7E37D84B" w14:textId="77777777" w:rsidTr="00F5442C">
        <w:trPr>
          <w:trHeight w:val="265"/>
          <w:jc w:val="center"/>
        </w:trPr>
        <w:tc>
          <w:tcPr>
            <w:tcW w:w="1966" w:type="dxa"/>
            <w:tcBorders>
              <w:top w:val="nil"/>
              <w:left w:val="nil"/>
              <w:bottom w:val="single" w:sz="8" w:space="0" w:color="auto"/>
              <w:right w:val="nil"/>
            </w:tcBorders>
            <w:shd w:val="clear" w:color="auto" w:fill="auto"/>
            <w:noWrap/>
            <w:vAlign w:val="center"/>
            <w:hideMark/>
          </w:tcPr>
          <w:p w14:paraId="78BEE591"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w:t>
            </w:r>
          </w:p>
        </w:tc>
        <w:tc>
          <w:tcPr>
            <w:tcW w:w="414" w:type="dxa"/>
            <w:tcBorders>
              <w:top w:val="nil"/>
              <w:left w:val="nil"/>
              <w:bottom w:val="single" w:sz="8" w:space="0" w:color="auto"/>
              <w:right w:val="nil"/>
            </w:tcBorders>
            <w:shd w:val="clear" w:color="auto" w:fill="auto"/>
            <w:noWrap/>
            <w:vAlign w:val="center"/>
            <w:hideMark/>
          </w:tcPr>
          <w:p w14:paraId="4E79F192"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 </w:t>
            </w:r>
          </w:p>
        </w:tc>
        <w:tc>
          <w:tcPr>
            <w:tcW w:w="5679" w:type="dxa"/>
            <w:tcBorders>
              <w:top w:val="nil"/>
              <w:left w:val="nil"/>
              <w:bottom w:val="single" w:sz="8" w:space="0" w:color="auto"/>
              <w:right w:val="nil"/>
            </w:tcBorders>
            <w:shd w:val="clear" w:color="auto" w:fill="auto"/>
            <w:noWrap/>
            <w:vAlign w:val="center"/>
            <w:hideMark/>
          </w:tcPr>
          <w:p w14:paraId="37355EA8" w14:textId="77777777" w:rsidR="00F5442C" w:rsidRPr="00F5442C" w:rsidRDefault="00F5442C" w:rsidP="00F5442C">
            <w:pPr>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Corporate Development</w:t>
            </w:r>
          </w:p>
        </w:tc>
        <w:tc>
          <w:tcPr>
            <w:tcW w:w="1747" w:type="dxa"/>
            <w:tcBorders>
              <w:top w:val="nil"/>
              <w:left w:val="nil"/>
              <w:bottom w:val="single" w:sz="8" w:space="0" w:color="auto"/>
              <w:right w:val="nil"/>
            </w:tcBorders>
            <w:shd w:val="clear" w:color="auto" w:fill="auto"/>
            <w:noWrap/>
            <w:vAlign w:val="center"/>
            <w:hideMark/>
          </w:tcPr>
          <w:p w14:paraId="157D2D19" w14:textId="77777777" w:rsidR="00F5442C" w:rsidRPr="00F5442C" w:rsidRDefault="00F5442C" w:rsidP="00F5442C">
            <w:pPr>
              <w:jc w:val="right"/>
              <w:rPr>
                <w:rFonts w:ascii="Verdana" w:eastAsia="Times New Roman" w:hAnsi="Verdana" w:cs="Calibri"/>
                <w:color w:val="000000"/>
                <w:sz w:val="20"/>
                <w:szCs w:val="20"/>
                <w:lang w:val="en-GB" w:eastAsia="en-GB"/>
              </w:rPr>
            </w:pPr>
            <w:r w:rsidRPr="00F5442C">
              <w:rPr>
                <w:rFonts w:ascii="Verdana" w:eastAsia="Times New Roman" w:hAnsi="Verdana" w:cs="Calibri"/>
                <w:color w:val="000000"/>
                <w:sz w:val="20"/>
                <w:szCs w:val="20"/>
                <w:lang w:val="en-GB" w:eastAsia="en-GB"/>
              </w:rPr>
              <w:t>0.3</w:t>
            </w:r>
          </w:p>
        </w:tc>
      </w:tr>
      <w:tr w:rsidR="00F5442C" w:rsidRPr="003E03CB" w14:paraId="6E9ADA7C" w14:textId="77777777" w:rsidTr="00F5442C">
        <w:trPr>
          <w:trHeight w:val="265"/>
          <w:jc w:val="center"/>
        </w:trPr>
        <w:tc>
          <w:tcPr>
            <w:tcW w:w="1966" w:type="dxa"/>
            <w:tcBorders>
              <w:top w:val="nil"/>
              <w:left w:val="nil"/>
              <w:bottom w:val="single" w:sz="12" w:space="0" w:color="auto"/>
              <w:right w:val="nil"/>
            </w:tcBorders>
            <w:shd w:val="clear" w:color="auto" w:fill="auto"/>
            <w:noWrap/>
            <w:vAlign w:val="center"/>
            <w:hideMark/>
          </w:tcPr>
          <w:p w14:paraId="3F71A8A3" w14:textId="77777777" w:rsidR="00F5442C" w:rsidRPr="00F5442C" w:rsidRDefault="00F5442C" w:rsidP="00F5442C">
            <w:pPr>
              <w:jc w:val="right"/>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49.7</w:t>
            </w:r>
          </w:p>
        </w:tc>
        <w:tc>
          <w:tcPr>
            <w:tcW w:w="414" w:type="dxa"/>
            <w:tcBorders>
              <w:top w:val="nil"/>
              <w:left w:val="nil"/>
              <w:bottom w:val="single" w:sz="12" w:space="0" w:color="auto"/>
              <w:right w:val="nil"/>
            </w:tcBorders>
            <w:shd w:val="clear" w:color="auto" w:fill="auto"/>
            <w:noWrap/>
            <w:vAlign w:val="center"/>
            <w:hideMark/>
          </w:tcPr>
          <w:p w14:paraId="065F4491" w14:textId="77777777" w:rsidR="00F5442C" w:rsidRPr="00F5442C" w:rsidRDefault="00F5442C" w:rsidP="00F5442C">
            <w:pPr>
              <w:jc w:val="right"/>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 </w:t>
            </w:r>
          </w:p>
        </w:tc>
        <w:tc>
          <w:tcPr>
            <w:tcW w:w="5679" w:type="dxa"/>
            <w:tcBorders>
              <w:top w:val="nil"/>
              <w:left w:val="nil"/>
              <w:bottom w:val="single" w:sz="12" w:space="0" w:color="auto"/>
              <w:right w:val="nil"/>
            </w:tcBorders>
            <w:shd w:val="clear" w:color="auto" w:fill="auto"/>
            <w:noWrap/>
            <w:vAlign w:val="center"/>
            <w:hideMark/>
          </w:tcPr>
          <w:p w14:paraId="0FD62FDE" w14:textId="77777777" w:rsidR="00F5442C" w:rsidRPr="00F5442C" w:rsidRDefault="00F5442C" w:rsidP="00F5442C">
            <w:pPr>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Total</w:t>
            </w:r>
          </w:p>
        </w:tc>
        <w:tc>
          <w:tcPr>
            <w:tcW w:w="1747" w:type="dxa"/>
            <w:tcBorders>
              <w:top w:val="nil"/>
              <w:left w:val="nil"/>
              <w:bottom w:val="single" w:sz="12" w:space="0" w:color="auto"/>
              <w:right w:val="nil"/>
            </w:tcBorders>
            <w:shd w:val="clear" w:color="auto" w:fill="auto"/>
            <w:noWrap/>
            <w:vAlign w:val="center"/>
            <w:hideMark/>
          </w:tcPr>
          <w:p w14:paraId="26F70C2D" w14:textId="77777777" w:rsidR="00F5442C" w:rsidRPr="00F5442C" w:rsidRDefault="00F5442C" w:rsidP="00F5442C">
            <w:pPr>
              <w:jc w:val="right"/>
              <w:rPr>
                <w:rFonts w:ascii="Verdana" w:eastAsia="Times New Roman" w:hAnsi="Verdana" w:cs="Calibri"/>
                <w:b/>
                <w:color w:val="000000"/>
                <w:sz w:val="20"/>
                <w:szCs w:val="20"/>
                <w:lang w:val="en-GB" w:eastAsia="en-GB"/>
              </w:rPr>
            </w:pPr>
            <w:r w:rsidRPr="00F5442C">
              <w:rPr>
                <w:rFonts w:ascii="Verdana" w:eastAsia="Times New Roman" w:hAnsi="Verdana" w:cs="Calibri"/>
                <w:b/>
                <w:color w:val="000000"/>
                <w:sz w:val="20"/>
                <w:szCs w:val="20"/>
                <w:lang w:val="en-GB" w:eastAsia="en-GB"/>
              </w:rPr>
              <w:t>59.1</w:t>
            </w:r>
          </w:p>
        </w:tc>
      </w:tr>
    </w:tbl>
    <w:p w14:paraId="39186067" w14:textId="77777777" w:rsidR="00F5442C" w:rsidRPr="00DF3F46" w:rsidRDefault="00F5442C" w:rsidP="00F227D9">
      <w:pPr>
        <w:pStyle w:val="Normal0"/>
        <w:jc w:val="both"/>
        <w:rPr>
          <w:rFonts w:ascii="Verdana" w:hAnsi="Verdana" w:cs="Times New Roman"/>
          <w:sz w:val="22"/>
          <w:szCs w:val="22"/>
        </w:rPr>
      </w:pPr>
    </w:p>
    <w:p w14:paraId="4DF1BEE2" w14:textId="77777777" w:rsidR="00F227D9" w:rsidRDefault="00F227D9" w:rsidP="00F227D9">
      <w:pPr>
        <w:pStyle w:val="Normal0"/>
        <w:jc w:val="both"/>
        <w:rPr>
          <w:rFonts w:ascii="Verdana" w:hAnsi="Verdana" w:cs="Times New Roman"/>
          <w:sz w:val="22"/>
          <w:szCs w:val="22"/>
          <w:highlight w:val="yellow"/>
        </w:rPr>
      </w:pPr>
    </w:p>
    <w:p w14:paraId="4E34B3C0" w14:textId="77777777" w:rsidR="00866AC5" w:rsidRDefault="00866AC5" w:rsidP="00F227D9">
      <w:pPr>
        <w:pStyle w:val="Normal0"/>
        <w:jc w:val="both"/>
        <w:rPr>
          <w:rFonts w:ascii="Verdana" w:hAnsi="Verdana" w:cs="Times New Roman"/>
          <w:sz w:val="22"/>
          <w:szCs w:val="22"/>
          <w:highlight w:val="yellow"/>
        </w:rPr>
      </w:pPr>
    </w:p>
    <w:p w14:paraId="56E0A9CF" w14:textId="77777777" w:rsidR="00866AC5" w:rsidRDefault="00866AC5" w:rsidP="00F227D9">
      <w:pPr>
        <w:pStyle w:val="Normal0"/>
        <w:jc w:val="both"/>
        <w:rPr>
          <w:rFonts w:ascii="Verdana" w:hAnsi="Verdana" w:cs="Times New Roman"/>
          <w:sz w:val="22"/>
          <w:szCs w:val="22"/>
          <w:highlight w:val="yellow"/>
        </w:rPr>
      </w:pPr>
    </w:p>
    <w:p w14:paraId="03DF5AF8" w14:textId="77777777" w:rsidR="00866AC5" w:rsidRDefault="00866AC5" w:rsidP="00F227D9">
      <w:pPr>
        <w:pStyle w:val="Normal0"/>
        <w:jc w:val="both"/>
        <w:rPr>
          <w:rFonts w:ascii="Verdana" w:hAnsi="Verdana" w:cs="Times New Roman"/>
          <w:sz w:val="22"/>
          <w:szCs w:val="22"/>
          <w:highlight w:val="yellow"/>
        </w:rPr>
      </w:pPr>
    </w:p>
    <w:p w14:paraId="2AB19DBC" w14:textId="77777777" w:rsidR="00866AC5" w:rsidRPr="00F5442C" w:rsidRDefault="00866AC5" w:rsidP="00F227D9">
      <w:pPr>
        <w:pStyle w:val="Normal0"/>
        <w:jc w:val="both"/>
        <w:rPr>
          <w:rFonts w:ascii="Verdana" w:hAnsi="Verdana" w:cs="Times New Roman"/>
          <w:sz w:val="22"/>
          <w:szCs w:val="22"/>
        </w:rPr>
      </w:pPr>
    </w:p>
    <w:p w14:paraId="78C6B23D" w14:textId="77777777" w:rsidR="00F227D9" w:rsidRPr="00F5442C" w:rsidRDefault="00F227D9">
      <w:pPr>
        <w:pStyle w:val="Normal0"/>
        <w:rPr>
          <w:rFonts w:cs="Times New Roman"/>
        </w:rPr>
        <w:sectPr w:rsidR="00F227D9" w:rsidRPr="00F5442C" w:rsidSect="00B54A0C">
          <w:type w:val="nextColumn"/>
          <w:pgSz w:w="16840" w:h="11900" w:orient="landscape"/>
          <w:pgMar w:top="709" w:right="720" w:bottom="567" w:left="720" w:header="708" w:footer="708" w:gutter="0"/>
          <w:cols w:space="708"/>
          <w:docGrid w:linePitch="360"/>
        </w:sectPr>
      </w:pPr>
    </w:p>
    <w:p w14:paraId="79B0CEF5" w14:textId="77777777" w:rsidR="00F227D9" w:rsidRPr="00F5442C" w:rsidRDefault="00F227D9" w:rsidP="00F227D9">
      <w:pPr>
        <w:pStyle w:val="Heading1"/>
        <w:spacing w:after="240" w:line="259" w:lineRule="auto"/>
        <w:rPr>
          <w:lang w:val="pt-BR"/>
        </w:rPr>
      </w:pPr>
      <w:bookmarkStart w:id="22" w:name="_Toc77095573"/>
      <w:r w:rsidRPr="00F5442C">
        <w:rPr>
          <w:lang w:val="pt-BR"/>
        </w:rPr>
        <w:t>Note 14 - Officers’ Remuneration</w:t>
      </w:r>
      <w:bookmarkEnd w:id="22"/>
      <w:r w:rsidRPr="00F5442C">
        <w:rPr>
          <w:lang w:val="pt-BR"/>
        </w:rPr>
        <w:t xml:space="preserve"> </w:t>
      </w:r>
    </w:p>
    <w:p w14:paraId="0F009680" w14:textId="77777777" w:rsidR="00335488" w:rsidRPr="00F5442C" w:rsidRDefault="00335488" w:rsidP="00335488">
      <w:pPr>
        <w:pStyle w:val="Normal00"/>
        <w:jc w:val="both"/>
        <w:rPr>
          <w:rFonts w:ascii="Verdana" w:hAnsi="Verdana" w:cs="Arial"/>
          <w:sz w:val="22"/>
          <w:szCs w:val="22"/>
          <w:lang w:val="en-GB"/>
        </w:rPr>
      </w:pPr>
      <w:r w:rsidRPr="00F5442C">
        <w:rPr>
          <w:rFonts w:ascii="Verdana" w:hAnsi="Verdana" w:cs="Arial"/>
          <w:sz w:val="22"/>
          <w:szCs w:val="22"/>
          <w:lang w:val="en-GB"/>
        </w:rPr>
        <w:t>The Accounts and Audit Regulations 2015 requires the disclosure of remuneration details for police officers and police staff whose gross remuneration exceeded £50,000.  In addition, remuneration details for senior employees, those earning a salary of over £150,000 and those in command of the Chief Constable of Surrey organisation are also required to be disclosed as ‘Remuneration Paid to Senior Employees’.</w:t>
      </w:r>
    </w:p>
    <w:p w14:paraId="249A6BF7" w14:textId="77777777" w:rsidR="00335488" w:rsidRPr="00F5442C" w:rsidRDefault="00335488" w:rsidP="00335488">
      <w:pPr>
        <w:pStyle w:val="Normal00"/>
        <w:ind w:left="500"/>
        <w:jc w:val="both"/>
        <w:rPr>
          <w:rFonts w:ascii="Verdana" w:hAnsi="Verdana" w:cs="Arial"/>
          <w:sz w:val="22"/>
          <w:szCs w:val="22"/>
          <w:lang w:val="en-GB"/>
        </w:rPr>
      </w:pPr>
    </w:p>
    <w:p w14:paraId="532CB6CD" w14:textId="77777777" w:rsidR="00335488" w:rsidRPr="00F5442C" w:rsidRDefault="00335488" w:rsidP="00335488">
      <w:pPr>
        <w:pStyle w:val="Normal00"/>
        <w:jc w:val="both"/>
        <w:rPr>
          <w:rFonts w:ascii="Verdana" w:hAnsi="Verdana" w:cs="Arial"/>
          <w:sz w:val="22"/>
          <w:szCs w:val="22"/>
          <w:lang w:val="en-GB"/>
        </w:rPr>
      </w:pPr>
      <w:r w:rsidRPr="00F5442C">
        <w:rPr>
          <w:rFonts w:ascii="Verdana" w:hAnsi="Verdana" w:cs="Arial"/>
          <w:sz w:val="22"/>
          <w:szCs w:val="22"/>
          <w:lang w:val="en-GB"/>
        </w:rPr>
        <w:t>Remuneration is defined, by the regulations, as all sums subject to income tax, including expenses, but excluding employer pension contributions.  This includes payments of accrued overtime, as well as annual increments, allowances, bonuses and pay awards.</w:t>
      </w:r>
    </w:p>
    <w:p w14:paraId="756DA8AB" w14:textId="77777777" w:rsidR="00335488" w:rsidRPr="00F5442C" w:rsidRDefault="00335488" w:rsidP="00335488">
      <w:pPr>
        <w:pStyle w:val="Normal00"/>
        <w:jc w:val="both"/>
        <w:rPr>
          <w:rFonts w:ascii="Verdana" w:hAnsi="Verdana" w:cs="Arial"/>
          <w:sz w:val="22"/>
          <w:szCs w:val="22"/>
          <w:lang w:val="en-GB"/>
        </w:rPr>
      </w:pPr>
    </w:p>
    <w:p w14:paraId="0AEC8BEE" w14:textId="77777777" w:rsidR="00335488" w:rsidRPr="00F5442C" w:rsidRDefault="00335488" w:rsidP="00335488">
      <w:pPr>
        <w:pStyle w:val="Normal0"/>
        <w:spacing w:after="160" w:line="259" w:lineRule="auto"/>
        <w:rPr>
          <w:rFonts w:ascii="Verdana" w:eastAsia="Verdana" w:hAnsi="Verdana" w:cs="Verdana"/>
          <w:sz w:val="22"/>
          <w:szCs w:val="22"/>
          <w:lang w:val="en-GB"/>
        </w:rPr>
      </w:pPr>
      <w:r w:rsidRPr="00F5442C">
        <w:rPr>
          <w:rFonts w:ascii="Verdana" w:eastAsia="Verdana" w:hAnsi="Verdana" w:cs="Verdana"/>
          <w:sz w:val="22"/>
          <w:szCs w:val="22"/>
          <w:lang w:val="en-GB"/>
        </w:rPr>
        <w:t>There are a small number of employees included that are seconded to other agencies. These costs are fully recovered.</w:t>
      </w:r>
    </w:p>
    <w:p w14:paraId="2FC0DAD7" w14:textId="77777777" w:rsidR="00335488" w:rsidRDefault="00335488" w:rsidP="00335488">
      <w:pPr>
        <w:pStyle w:val="Normal00"/>
        <w:jc w:val="both"/>
        <w:rPr>
          <w:rFonts w:ascii="Verdana" w:hAnsi="Verdana" w:cs="Arial"/>
          <w:sz w:val="22"/>
          <w:szCs w:val="22"/>
          <w:lang w:val="en-GB"/>
        </w:rPr>
      </w:pPr>
      <w:r w:rsidRPr="00F5442C">
        <w:rPr>
          <w:rFonts w:ascii="Verdana" w:hAnsi="Verdana" w:cs="Arial"/>
          <w:sz w:val="22"/>
          <w:szCs w:val="22"/>
          <w:lang w:val="en-GB"/>
        </w:rPr>
        <w:t>The table below shows the numbers of police officers and police staff with remuneration in excess of £50,000.  This table excludes the senior employee positions shown separately.</w:t>
      </w:r>
    </w:p>
    <w:p w14:paraId="1498387C" w14:textId="77777777" w:rsidR="00335488" w:rsidRDefault="00335488" w:rsidP="00335488">
      <w:pPr>
        <w:pStyle w:val="Normal00"/>
        <w:jc w:val="both"/>
        <w:rPr>
          <w:rFonts w:ascii="Verdana" w:hAnsi="Verdana" w:cs="Arial"/>
          <w:sz w:val="22"/>
          <w:szCs w:val="22"/>
          <w:lang w:val="en-GB"/>
        </w:rPr>
      </w:pPr>
    </w:p>
    <w:tbl>
      <w:tblPr>
        <w:tblW w:w="6340" w:type="dxa"/>
        <w:jc w:val="center"/>
        <w:tblLook w:val="04A0" w:firstRow="1" w:lastRow="0" w:firstColumn="1" w:lastColumn="0" w:noHBand="0" w:noVBand="1"/>
      </w:tblPr>
      <w:tblGrid>
        <w:gridCol w:w="1840"/>
        <w:gridCol w:w="2660"/>
        <w:gridCol w:w="1840"/>
      </w:tblGrid>
      <w:tr w:rsidR="00F5442C" w:rsidRPr="00F5442C" w14:paraId="32640997" w14:textId="77777777" w:rsidTr="00F5442C">
        <w:trPr>
          <w:trHeight w:val="630"/>
          <w:jc w:val="center"/>
        </w:trPr>
        <w:tc>
          <w:tcPr>
            <w:tcW w:w="1840" w:type="dxa"/>
            <w:tcBorders>
              <w:top w:val="single" w:sz="4" w:space="0" w:color="auto"/>
              <w:left w:val="single" w:sz="4" w:space="0" w:color="auto"/>
              <w:bottom w:val="nil"/>
              <w:right w:val="nil"/>
            </w:tcBorders>
            <w:shd w:val="clear" w:color="auto" w:fill="auto"/>
            <w:vAlign w:val="center"/>
            <w:hideMark/>
          </w:tcPr>
          <w:p w14:paraId="578EA51B" w14:textId="77777777" w:rsidR="00F5442C" w:rsidRPr="00F5442C" w:rsidRDefault="00F5442C" w:rsidP="00F5442C">
            <w:pPr>
              <w:jc w:val="center"/>
              <w:rPr>
                <w:rFonts w:ascii="Verdana" w:eastAsia="Times New Roman" w:hAnsi="Verdana" w:cs="Times New Roman"/>
                <w:b/>
                <w:bCs/>
                <w:color w:val="000000"/>
                <w:sz w:val="16"/>
                <w:szCs w:val="16"/>
                <w:lang w:val="en-GB" w:eastAsia="en-GB"/>
              </w:rPr>
            </w:pPr>
            <w:r w:rsidRPr="00F5442C">
              <w:rPr>
                <w:rFonts w:ascii="Verdana" w:eastAsia="Times New Roman" w:hAnsi="Verdana" w:cs="Times New Roman"/>
                <w:b/>
                <w:bCs/>
                <w:color w:val="000000"/>
                <w:sz w:val="16"/>
                <w:szCs w:val="16"/>
                <w:lang w:val="en-GB" w:eastAsia="en-GB"/>
              </w:rPr>
              <w:t xml:space="preserve">No. Employees </w:t>
            </w:r>
            <w:r w:rsidRPr="00F5442C">
              <w:rPr>
                <w:rFonts w:ascii="Verdana" w:eastAsia="Times New Roman" w:hAnsi="Verdana" w:cs="Times New Roman"/>
                <w:b/>
                <w:bCs/>
                <w:color w:val="000000"/>
                <w:sz w:val="16"/>
                <w:szCs w:val="16"/>
                <w:lang w:val="en-GB" w:eastAsia="en-GB"/>
              </w:rPr>
              <w:br/>
              <w:t>31 March 2020</w:t>
            </w:r>
          </w:p>
        </w:tc>
        <w:tc>
          <w:tcPr>
            <w:tcW w:w="2660" w:type="dxa"/>
            <w:tcBorders>
              <w:top w:val="single" w:sz="4" w:space="0" w:color="auto"/>
              <w:left w:val="single" w:sz="4" w:space="0" w:color="auto"/>
              <w:bottom w:val="nil"/>
              <w:right w:val="single" w:sz="4" w:space="0" w:color="auto"/>
            </w:tcBorders>
            <w:shd w:val="clear" w:color="auto" w:fill="auto"/>
            <w:vAlign w:val="center"/>
            <w:hideMark/>
          </w:tcPr>
          <w:p w14:paraId="1660DD3F" w14:textId="77777777" w:rsidR="00F5442C" w:rsidRPr="00F5442C" w:rsidRDefault="00F5442C" w:rsidP="00F5442C">
            <w:pPr>
              <w:jc w:val="center"/>
              <w:rPr>
                <w:rFonts w:ascii="Verdana" w:eastAsia="Times New Roman" w:hAnsi="Verdana" w:cs="Times New Roman"/>
                <w:b/>
                <w:bCs/>
                <w:color w:val="000000"/>
                <w:sz w:val="16"/>
                <w:szCs w:val="16"/>
                <w:lang w:val="en-GB" w:eastAsia="en-GB"/>
              </w:rPr>
            </w:pPr>
            <w:r w:rsidRPr="00F5442C">
              <w:rPr>
                <w:rFonts w:ascii="Verdana" w:eastAsia="Times New Roman" w:hAnsi="Verdana" w:cs="Times New Roman"/>
                <w:b/>
                <w:bCs/>
                <w:color w:val="000000"/>
                <w:sz w:val="16"/>
                <w:szCs w:val="16"/>
                <w:lang w:val="en-GB" w:eastAsia="en-GB"/>
              </w:rPr>
              <w:t>CC Gross Remuneration</w:t>
            </w:r>
            <w:r w:rsidRPr="00F5442C">
              <w:rPr>
                <w:rFonts w:ascii="Verdana" w:eastAsia="Times New Roman" w:hAnsi="Verdana" w:cs="Times New Roman"/>
                <w:b/>
                <w:bCs/>
                <w:color w:val="000000"/>
                <w:sz w:val="16"/>
                <w:szCs w:val="16"/>
                <w:lang w:val="en-GB" w:eastAsia="en-GB"/>
              </w:rPr>
              <w:br/>
              <w:t>£</w:t>
            </w:r>
          </w:p>
        </w:tc>
        <w:tc>
          <w:tcPr>
            <w:tcW w:w="1840" w:type="dxa"/>
            <w:tcBorders>
              <w:top w:val="single" w:sz="4" w:space="0" w:color="auto"/>
              <w:left w:val="nil"/>
              <w:bottom w:val="nil"/>
              <w:right w:val="single" w:sz="4" w:space="0" w:color="auto"/>
            </w:tcBorders>
            <w:shd w:val="clear" w:color="auto" w:fill="auto"/>
            <w:vAlign w:val="center"/>
            <w:hideMark/>
          </w:tcPr>
          <w:p w14:paraId="1D146499" w14:textId="77777777" w:rsidR="00F5442C" w:rsidRPr="00F5442C" w:rsidRDefault="00F5442C" w:rsidP="00F5442C">
            <w:pPr>
              <w:jc w:val="center"/>
              <w:rPr>
                <w:rFonts w:ascii="Verdana" w:eastAsia="Times New Roman" w:hAnsi="Verdana" w:cs="Times New Roman"/>
                <w:b/>
                <w:bCs/>
                <w:color w:val="000000"/>
                <w:sz w:val="16"/>
                <w:szCs w:val="16"/>
                <w:lang w:val="en-GB" w:eastAsia="en-GB"/>
              </w:rPr>
            </w:pPr>
            <w:r w:rsidRPr="00F5442C">
              <w:rPr>
                <w:rFonts w:ascii="Verdana" w:eastAsia="Times New Roman" w:hAnsi="Verdana" w:cs="Times New Roman"/>
                <w:b/>
                <w:bCs/>
                <w:color w:val="000000"/>
                <w:sz w:val="16"/>
                <w:szCs w:val="16"/>
                <w:lang w:val="en-GB" w:eastAsia="en-GB"/>
              </w:rPr>
              <w:t xml:space="preserve">No. Employees </w:t>
            </w:r>
            <w:r w:rsidRPr="00F5442C">
              <w:rPr>
                <w:rFonts w:ascii="Verdana" w:eastAsia="Times New Roman" w:hAnsi="Verdana" w:cs="Times New Roman"/>
                <w:b/>
                <w:bCs/>
                <w:color w:val="000000"/>
                <w:sz w:val="16"/>
                <w:szCs w:val="16"/>
                <w:lang w:val="en-GB" w:eastAsia="en-GB"/>
              </w:rPr>
              <w:br/>
              <w:t>31 March 2021</w:t>
            </w:r>
          </w:p>
        </w:tc>
      </w:tr>
      <w:tr w:rsidR="00F5442C" w:rsidRPr="00F5442C" w14:paraId="250EEC0D" w14:textId="77777777" w:rsidTr="00F5442C">
        <w:trPr>
          <w:trHeight w:val="270"/>
          <w:jc w:val="center"/>
        </w:trPr>
        <w:tc>
          <w:tcPr>
            <w:tcW w:w="1840" w:type="dxa"/>
            <w:tcBorders>
              <w:top w:val="nil"/>
              <w:left w:val="single" w:sz="4" w:space="0" w:color="auto"/>
              <w:bottom w:val="nil"/>
              <w:right w:val="nil"/>
            </w:tcBorders>
            <w:shd w:val="clear" w:color="auto" w:fill="auto"/>
            <w:vAlign w:val="center"/>
            <w:hideMark/>
          </w:tcPr>
          <w:p w14:paraId="42D0AEB0"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267</w:t>
            </w:r>
          </w:p>
        </w:tc>
        <w:tc>
          <w:tcPr>
            <w:tcW w:w="2660" w:type="dxa"/>
            <w:tcBorders>
              <w:top w:val="nil"/>
              <w:left w:val="single" w:sz="4" w:space="0" w:color="auto"/>
              <w:bottom w:val="nil"/>
              <w:right w:val="single" w:sz="4" w:space="0" w:color="auto"/>
            </w:tcBorders>
            <w:shd w:val="clear" w:color="auto" w:fill="auto"/>
            <w:noWrap/>
            <w:vAlign w:val="center"/>
            <w:hideMark/>
          </w:tcPr>
          <w:p w14:paraId="5ACA5EB1"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50,000 to 54,999</w:t>
            </w:r>
          </w:p>
        </w:tc>
        <w:tc>
          <w:tcPr>
            <w:tcW w:w="1840" w:type="dxa"/>
            <w:tcBorders>
              <w:top w:val="nil"/>
              <w:left w:val="nil"/>
              <w:bottom w:val="nil"/>
              <w:right w:val="single" w:sz="4" w:space="0" w:color="auto"/>
            </w:tcBorders>
            <w:shd w:val="clear" w:color="auto" w:fill="auto"/>
            <w:noWrap/>
            <w:vAlign w:val="center"/>
            <w:hideMark/>
          </w:tcPr>
          <w:p w14:paraId="209F9474"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318</w:t>
            </w:r>
          </w:p>
        </w:tc>
      </w:tr>
      <w:tr w:rsidR="00F5442C" w:rsidRPr="00F5442C" w14:paraId="0C517F77"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48827442"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130</w:t>
            </w:r>
          </w:p>
        </w:tc>
        <w:tc>
          <w:tcPr>
            <w:tcW w:w="2660" w:type="dxa"/>
            <w:tcBorders>
              <w:top w:val="nil"/>
              <w:left w:val="single" w:sz="4" w:space="0" w:color="auto"/>
              <w:bottom w:val="nil"/>
              <w:right w:val="single" w:sz="4" w:space="0" w:color="auto"/>
            </w:tcBorders>
            <w:shd w:val="clear" w:color="auto" w:fill="auto"/>
            <w:noWrap/>
            <w:vAlign w:val="center"/>
            <w:hideMark/>
          </w:tcPr>
          <w:p w14:paraId="4FB2D108"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55,000 to 59,999</w:t>
            </w:r>
          </w:p>
        </w:tc>
        <w:tc>
          <w:tcPr>
            <w:tcW w:w="1840" w:type="dxa"/>
            <w:tcBorders>
              <w:top w:val="nil"/>
              <w:left w:val="nil"/>
              <w:bottom w:val="nil"/>
              <w:right w:val="single" w:sz="4" w:space="0" w:color="auto"/>
            </w:tcBorders>
            <w:shd w:val="clear" w:color="auto" w:fill="auto"/>
            <w:noWrap/>
            <w:vAlign w:val="center"/>
            <w:hideMark/>
          </w:tcPr>
          <w:p w14:paraId="1A09FD92"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173</w:t>
            </w:r>
          </w:p>
        </w:tc>
      </w:tr>
      <w:tr w:rsidR="00F5442C" w:rsidRPr="00F5442C" w14:paraId="7731C30E"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2D93BF44"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78</w:t>
            </w:r>
          </w:p>
        </w:tc>
        <w:tc>
          <w:tcPr>
            <w:tcW w:w="2660" w:type="dxa"/>
            <w:tcBorders>
              <w:top w:val="nil"/>
              <w:left w:val="single" w:sz="4" w:space="0" w:color="auto"/>
              <w:bottom w:val="nil"/>
              <w:right w:val="single" w:sz="4" w:space="0" w:color="auto"/>
            </w:tcBorders>
            <w:shd w:val="clear" w:color="auto" w:fill="auto"/>
            <w:noWrap/>
            <w:vAlign w:val="center"/>
            <w:hideMark/>
          </w:tcPr>
          <w:p w14:paraId="181D4EAD"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60,000 to 64,999</w:t>
            </w:r>
          </w:p>
        </w:tc>
        <w:tc>
          <w:tcPr>
            <w:tcW w:w="1840" w:type="dxa"/>
            <w:tcBorders>
              <w:top w:val="nil"/>
              <w:left w:val="nil"/>
              <w:bottom w:val="nil"/>
              <w:right w:val="single" w:sz="4" w:space="0" w:color="auto"/>
            </w:tcBorders>
            <w:shd w:val="clear" w:color="auto" w:fill="auto"/>
            <w:noWrap/>
            <w:vAlign w:val="center"/>
            <w:hideMark/>
          </w:tcPr>
          <w:p w14:paraId="375FF473"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118</w:t>
            </w:r>
          </w:p>
        </w:tc>
      </w:tr>
      <w:tr w:rsidR="00F5442C" w:rsidRPr="00F5442C" w14:paraId="07856B56"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4B14E3C6"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21</w:t>
            </w:r>
          </w:p>
        </w:tc>
        <w:tc>
          <w:tcPr>
            <w:tcW w:w="2660" w:type="dxa"/>
            <w:tcBorders>
              <w:top w:val="nil"/>
              <w:left w:val="single" w:sz="4" w:space="0" w:color="auto"/>
              <w:bottom w:val="nil"/>
              <w:right w:val="single" w:sz="4" w:space="0" w:color="auto"/>
            </w:tcBorders>
            <w:shd w:val="clear" w:color="auto" w:fill="auto"/>
            <w:noWrap/>
            <w:vAlign w:val="center"/>
            <w:hideMark/>
          </w:tcPr>
          <w:p w14:paraId="7B730E26"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65,000 to 69,999</w:t>
            </w:r>
          </w:p>
        </w:tc>
        <w:tc>
          <w:tcPr>
            <w:tcW w:w="1840" w:type="dxa"/>
            <w:tcBorders>
              <w:top w:val="nil"/>
              <w:left w:val="nil"/>
              <w:bottom w:val="nil"/>
              <w:right w:val="single" w:sz="4" w:space="0" w:color="auto"/>
            </w:tcBorders>
            <w:shd w:val="clear" w:color="auto" w:fill="auto"/>
            <w:noWrap/>
            <w:vAlign w:val="center"/>
            <w:hideMark/>
          </w:tcPr>
          <w:p w14:paraId="07F2C53D"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19</w:t>
            </w:r>
          </w:p>
        </w:tc>
      </w:tr>
      <w:tr w:rsidR="00F5442C" w:rsidRPr="00F5442C" w14:paraId="0DD69A0F"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2473823C"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15</w:t>
            </w:r>
          </w:p>
        </w:tc>
        <w:tc>
          <w:tcPr>
            <w:tcW w:w="2660" w:type="dxa"/>
            <w:tcBorders>
              <w:top w:val="nil"/>
              <w:left w:val="single" w:sz="4" w:space="0" w:color="auto"/>
              <w:bottom w:val="nil"/>
              <w:right w:val="single" w:sz="4" w:space="0" w:color="auto"/>
            </w:tcBorders>
            <w:shd w:val="clear" w:color="auto" w:fill="auto"/>
            <w:noWrap/>
            <w:vAlign w:val="center"/>
            <w:hideMark/>
          </w:tcPr>
          <w:p w14:paraId="7E57EFEA"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70,000 to 74,999</w:t>
            </w:r>
          </w:p>
        </w:tc>
        <w:tc>
          <w:tcPr>
            <w:tcW w:w="1840" w:type="dxa"/>
            <w:tcBorders>
              <w:top w:val="nil"/>
              <w:left w:val="nil"/>
              <w:bottom w:val="nil"/>
              <w:right w:val="single" w:sz="4" w:space="0" w:color="auto"/>
            </w:tcBorders>
            <w:shd w:val="clear" w:color="auto" w:fill="auto"/>
            <w:noWrap/>
            <w:vAlign w:val="center"/>
            <w:hideMark/>
          </w:tcPr>
          <w:p w14:paraId="0E9BE616"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16</w:t>
            </w:r>
          </w:p>
        </w:tc>
      </w:tr>
      <w:tr w:rsidR="00F5442C" w:rsidRPr="00F5442C" w14:paraId="43F94B87"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7CE0F089"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6</w:t>
            </w:r>
          </w:p>
        </w:tc>
        <w:tc>
          <w:tcPr>
            <w:tcW w:w="2660" w:type="dxa"/>
            <w:tcBorders>
              <w:top w:val="nil"/>
              <w:left w:val="single" w:sz="4" w:space="0" w:color="auto"/>
              <w:bottom w:val="nil"/>
              <w:right w:val="single" w:sz="4" w:space="0" w:color="auto"/>
            </w:tcBorders>
            <w:shd w:val="clear" w:color="auto" w:fill="auto"/>
            <w:noWrap/>
            <w:vAlign w:val="center"/>
            <w:hideMark/>
          </w:tcPr>
          <w:p w14:paraId="5C78B5B9"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75,000 to 79,999</w:t>
            </w:r>
          </w:p>
        </w:tc>
        <w:tc>
          <w:tcPr>
            <w:tcW w:w="1840" w:type="dxa"/>
            <w:tcBorders>
              <w:top w:val="nil"/>
              <w:left w:val="nil"/>
              <w:bottom w:val="nil"/>
              <w:right w:val="single" w:sz="4" w:space="0" w:color="auto"/>
            </w:tcBorders>
            <w:shd w:val="clear" w:color="auto" w:fill="auto"/>
            <w:noWrap/>
            <w:vAlign w:val="center"/>
            <w:hideMark/>
          </w:tcPr>
          <w:p w14:paraId="1DE06116"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11</w:t>
            </w:r>
          </w:p>
        </w:tc>
      </w:tr>
      <w:tr w:rsidR="00F5442C" w:rsidRPr="00F5442C" w14:paraId="256C0DD6"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4DD35F45"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7</w:t>
            </w:r>
          </w:p>
        </w:tc>
        <w:tc>
          <w:tcPr>
            <w:tcW w:w="2660" w:type="dxa"/>
            <w:tcBorders>
              <w:top w:val="nil"/>
              <w:left w:val="single" w:sz="4" w:space="0" w:color="auto"/>
              <w:bottom w:val="nil"/>
              <w:right w:val="single" w:sz="4" w:space="0" w:color="auto"/>
            </w:tcBorders>
            <w:shd w:val="clear" w:color="auto" w:fill="auto"/>
            <w:noWrap/>
            <w:vAlign w:val="center"/>
            <w:hideMark/>
          </w:tcPr>
          <w:p w14:paraId="40FAC31E"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80,000 to 84,999</w:t>
            </w:r>
          </w:p>
        </w:tc>
        <w:tc>
          <w:tcPr>
            <w:tcW w:w="1840" w:type="dxa"/>
            <w:tcBorders>
              <w:top w:val="nil"/>
              <w:left w:val="nil"/>
              <w:bottom w:val="nil"/>
              <w:right w:val="single" w:sz="4" w:space="0" w:color="auto"/>
            </w:tcBorders>
            <w:shd w:val="clear" w:color="auto" w:fill="auto"/>
            <w:noWrap/>
            <w:vAlign w:val="center"/>
            <w:hideMark/>
          </w:tcPr>
          <w:p w14:paraId="6F1C22B3"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7</w:t>
            </w:r>
          </w:p>
        </w:tc>
      </w:tr>
      <w:tr w:rsidR="00F5442C" w:rsidRPr="00F5442C" w14:paraId="27777955"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3D5B984B"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4</w:t>
            </w:r>
          </w:p>
        </w:tc>
        <w:tc>
          <w:tcPr>
            <w:tcW w:w="2660" w:type="dxa"/>
            <w:tcBorders>
              <w:top w:val="nil"/>
              <w:left w:val="single" w:sz="4" w:space="0" w:color="auto"/>
              <w:bottom w:val="nil"/>
              <w:right w:val="single" w:sz="4" w:space="0" w:color="auto"/>
            </w:tcBorders>
            <w:shd w:val="clear" w:color="auto" w:fill="auto"/>
            <w:noWrap/>
            <w:vAlign w:val="center"/>
            <w:hideMark/>
          </w:tcPr>
          <w:p w14:paraId="7DEE4F02"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85,000 to 89,999</w:t>
            </w:r>
          </w:p>
        </w:tc>
        <w:tc>
          <w:tcPr>
            <w:tcW w:w="1840" w:type="dxa"/>
            <w:tcBorders>
              <w:top w:val="nil"/>
              <w:left w:val="nil"/>
              <w:bottom w:val="nil"/>
              <w:right w:val="single" w:sz="4" w:space="0" w:color="auto"/>
            </w:tcBorders>
            <w:shd w:val="clear" w:color="auto" w:fill="auto"/>
            <w:noWrap/>
            <w:vAlign w:val="center"/>
            <w:hideMark/>
          </w:tcPr>
          <w:p w14:paraId="3A59F0CB"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7</w:t>
            </w:r>
          </w:p>
        </w:tc>
      </w:tr>
      <w:tr w:rsidR="00F5442C" w:rsidRPr="00F5442C" w14:paraId="4254B89C"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2D7686B3"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4</w:t>
            </w:r>
          </w:p>
        </w:tc>
        <w:tc>
          <w:tcPr>
            <w:tcW w:w="2660" w:type="dxa"/>
            <w:tcBorders>
              <w:top w:val="nil"/>
              <w:left w:val="single" w:sz="4" w:space="0" w:color="auto"/>
              <w:bottom w:val="nil"/>
              <w:right w:val="single" w:sz="4" w:space="0" w:color="auto"/>
            </w:tcBorders>
            <w:shd w:val="clear" w:color="auto" w:fill="auto"/>
            <w:noWrap/>
            <w:vAlign w:val="center"/>
            <w:hideMark/>
          </w:tcPr>
          <w:p w14:paraId="371A4C2E"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90,000 to 94,999</w:t>
            </w:r>
          </w:p>
        </w:tc>
        <w:tc>
          <w:tcPr>
            <w:tcW w:w="1840" w:type="dxa"/>
            <w:tcBorders>
              <w:top w:val="nil"/>
              <w:left w:val="nil"/>
              <w:bottom w:val="nil"/>
              <w:right w:val="single" w:sz="4" w:space="0" w:color="auto"/>
            </w:tcBorders>
            <w:shd w:val="clear" w:color="auto" w:fill="auto"/>
            <w:noWrap/>
            <w:vAlign w:val="center"/>
            <w:hideMark/>
          </w:tcPr>
          <w:p w14:paraId="06E961AC"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7</w:t>
            </w:r>
          </w:p>
        </w:tc>
      </w:tr>
      <w:tr w:rsidR="00F5442C" w:rsidRPr="00F5442C" w14:paraId="58AD29A7"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473B0A32"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4</w:t>
            </w:r>
          </w:p>
        </w:tc>
        <w:tc>
          <w:tcPr>
            <w:tcW w:w="2660" w:type="dxa"/>
            <w:tcBorders>
              <w:top w:val="nil"/>
              <w:left w:val="single" w:sz="4" w:space="0" w:color="auto"/>
              <w:bottom w:val="nil"/>
              <w:right w:val="single" w:sz="4" w:space="0" w:color="auto"/>
            </w:tcBorders>
            <w:shd w:val="clear" w:color="auto" w:fill="auto"/>
            <w:noWrap/>
            <w:vAlign w:val="center"/>
            <w:hideMark/>
          </w:tcPr>
          <w:p w14:paraId="3F02EB9E"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95,000 to 99,999</w:t>
            </w:r>
          </w:p>
        </w:tc>
        <w:tc>
          <w:tcPr>
            <w:tcW w:w="1840" w:type="dxa"/>
            <w:tcBorders>
              <w:top w:val="nil"/>
              <w:left w:val="nil"/>
              <w:bottom w:val="nil"/>
              <w:right w:val="single" w:sz="4" w:space="0" w:color="auto"/>
            </w:tcBorders>
            <w:shd w:val="clear" w:color="auto" w:fill="auto"/>
            <w:noWrap/>
            <w:vAlign w:val="center"/>
            <w:hideMark/>
          </w:tcPr>
          <w:p w14:paraId="6E15E2DD"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4</w:t>
            </w:r>
          </w:p>
        </w:tc>
      </w:tr>
      <w:tr w:rsidR="00F5442C" w:rsidRPr="00F5442C" w14:paraId="207F74E4"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0623BEC4"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c>
          <w:tcPr>
            <w:tcW w:w="2660" w:type="dxa"/>
            <w:tcBorders>
              <w:top w:val="nil"/>
              <w:left w:val="single" w:sz="4" w:space="0" w:color="auto"/>
              <w:bottom w:val="nil"/>
              <w:right w:val="single" w:sz="4" w:space="0" w:color="auto"/>
            </w:tcBorders>
            <w:shd w:val="clear" w:color="auto" w:fill="auto"/>
            <w:noWrap/>
            <w:vAlign w:val="center"/>
            <w:hideMark/>
          </w:tcPr>
          <w:p w14:paraId="245A298A"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100,000 to 104,999</w:t>
            </w:r>
          </w:p>
        </w:tc>
        <w:tc>
          <w:tcPr>
            <w:tcW w:w="1840" w:type="dxa"/>
            <w:tcBorders>
              <w:top w:val="nil"/>
              <w:left w:val="nil"/>
              <w:bottom w:val="nil"/>
              <w:right w:val="single" w:sz="4" w:space="0" w:color="auto"/>
            </w:tcBorders>
            <w:shd w:val="clear" w:color="auto" w:fill="auto"/>
            <w:noWrap/>
            <w:vAlign w:val="center"/>
            <w:hideMark/>
          </w:tcPr>
          <w:p w14:paraId="31F85FC9"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0</w:t>
            </w:r>
          </w:p>
        </w:tc>
      </w:tr>
      <w:tr w:rsidR="00F5442C" w:rsidRPr="00F5442C" w14:paraId="144FB3FE"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54B4249F"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c>
          <w:tcPr>
            <w:tcW w:w="2660" w:type="dxa"/>
            <w:tcBorders>
              <w:top w:val="nil"/>
              <w:left w:val="single" w:sz="4" w:space="0" w:color="auto"/>
              <w:bottom w:val="nil"/>
              <w:right w:val="single" w:sz="4" w:space="0" w:color="auto"/>
            </w:tcBorders>
            <w:shd w:val="clear" w:color="auto" w:fill="auto"/>
            <w:noWrap/>
            <w:vAlign w:val="center"/>
            <w:hideMark/>
          </w:tcPr>
          <w:p w14:paraId="1DEDC0C7"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105,000 to 109,999</w:t>
            </w:r>
          </w:p>
        </w:tc>
        <w:tc>
          <w:tcPr>
            <w:tcW w:w="1840" w:type="dxa"/>
            <w:tcBorders>
              <w:top w:val="nil"/>
              <w:left w:val="nil"/>
              <w:bottom w:val="nil"/>
              <w:right w:val="single" w:sz="4" w:space="0" w:color="auto"/>
            </w:tcBorders>
            <w:shd w:val="clear" w:color="auto" w:fill="auto"/>
            <w:noWrap/>
            <w:vAlign w:val="center"/>
            <w:hideMark/>
          </w:tcPr>
          <w:p w14:paraId="4509640A"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0</w:t>
            </w:r>
          </w:p>
        </w:tc>
      </w:tr>
      <w:tr w:rsidR="00F5442C" w:rsidRPr="00F5442C" w14:paraId="4875CE96"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50B8E160"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0</w:t>
            </w:r>
          </w:p>
        </w:tc>
        <w:tc>
          <w:tcPr>
            <w:tcW w:w="2660" w:type="dxa"/>
            <w:tcBorders>
              <w:top w:val="nil"/>
              <w:left w:val="single" w:sz="4" w:space="0" w:color="auto"/>
              <w:bottom w:val="nil"/>
              <w:right w:val="single" w:sz="4" w:space="0" w:color="auto"/>
            </w:tcBorders>
            <w:shd w:val="clear" w:color="auto" w:fill="auto"/>
            <w:noWrap/>
            <w:vAlign w:val="center"/>
            <w:hideMark/>
          </w:tcPr>
          <w:p w14:paraId="5FAB125D"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110,000 to 114,999</w:t>
            </w:r>
          </w:p>
        </w:tc>
        <w:tc>
          <w:tcPr>
            <w:tcW w:w="1840" w:type="dxa"/>
            <w:tcBorders>
              <w:top w:val="nil"/>
              <w:left w:val="nil"/>
              <w:bottom w:val="nil"/>
              <w:right w:val="single" w:sz="4" w:space="0" w:color="auto"/>
            </w:tcBorders>
            <w:shd w:val="clear" w:color="auto" w:fill="auto"/>
            <w:noWrap/>
            <w:vAlign w:val="center"/>
            <w:hideMark/>
          </w:tcPr>
          <w:p w14:paraId="40EC689B"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r>
      <w:tr w:rsidR="00F5442C" w:rsidRPr="00F5442C" w14:paraId="2C280DEF"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6A8326E2"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c>
          <w:tcPr>
            <w:tcW w:w="2660" w:type="dxa"/>
            <w:tcBorders>
              <w:top w:val="nil"/>
              <w:left w:val="single" w:sz="4" w:space="0" w:color="auto"/>
              <w:bottom w:val="nil"/>
              <w:right w:val="single" w:sz="4" w:space="0" w:color="auto"/>
            </w:tcBorders>
            <w:shd w:val="clear" w:color="auto" w:fill="auto"/>
            <w:noWrap/>
            <w:vAlign w:val="center"/>
            <w:hideMark/>
          </w:tcPr>
          <w:p w14:paraId="44779680"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115,000 to 119,999</w:t>
            </w:r>
          </w:p>
        </w:tc>
        <w:tc>
          <w:tcPr>
            <w:tcW w:w="1840" w:type="dxa"/>
            <w:tcBorders>
              <w:top w:val="nil"/>
              <w:left w:val="nil"/>
              <w:bottom w:val="nil"/>
              <w:right w:val="single" w:sz="4" w:space="0" w:color="auto"/>
            </w:tcBorders>
            <w:shd w:val="clear" w:color="auto" w:fill="auto"/>
            <w:noWrap/>
            <w:vAlign w:val="center"/>
            <w:hideMark/>
          </w:tcPr>
          <w:p w14:paraId="3AD583A4"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r>
      <w:tr w:rsidR="00F5442C" w:rsidRPr="00F5442C" w14:paraId="5B71CEEA"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17AB5E1F"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2</w:t>
            </w:r>
          </w:p>
        </w:tc>
        <w:tc>
          <w:tcPr>
            <w:tcW w:w="2660" w:type="dxa"/>
            <w:tcBorders>
              <w:top w:val="nil"/>
              <w:left w:val="single" w:sz="4" w:space="0" w:color="auto"/>
              <w:bottom w:val="nil"/>
              <w:right w:val="single" w:sz="4" w:space="0" w:color="auto"/>
            </w:tcBorders>
            <w:shd w:val="clear" w:color="auto" w:fill="auto"/>
            <w:noWrap/>
            <w:vAlign w:val="center"/>
            <w:hideMark/>
          </w:tcPr>
          <w:p w14:paraId="24468C00"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120,000 to 124,999</w:t>
            </w:r>
          </w:p>
        </w:tc>
        <w:tc>
          <w:tcPr>
            <w:tcW w:w="1840" w:type="dxa"/>
            <w:tcBorders>
              <w:top w:val="nil"/>
              <w:left w:val="nil"/>
              <w:bottom w:val="nil"/>
              <w:right w:val="single" w:sz="4" w:space="0" w:color="auto"/>
            </w:tcBorders>
            <w:shd w:val="clear" w:color="auto" w:fill="auto"/>
            <w:noWrap/>
            <w:vAlign w:val="center"/>
            <w:hideMark/>
          </w:tcPr>
          <w:p w14:paraId="4175B371"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r>
      <w:tr w:rsidR="00F5442C" w:rsidRPr="00F5442C" w14:paraId="0B38D40C"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381BD12F"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0</w:t>
            </w:r>
          </w:p>
        </w:tc>
        <w:tc>
          <w:tcPr>
            <w:tcW w:w="2660" w:type="dxa"/>
            <w:tcBorders>
              <w:top w:val="nil"/>
              <w:left w:val="single" w:sz="4" w:space="0" w:color="auto"/>
              <w:bottom w:val="nil"/>
              <w:right w:val="single" w:sz="4" w:space="0" w:color="auto"/>
            </w:tcBorders>
            <w:shd w:val="clear" w:color="auto" w:fill="auto"/>
            <w:noWrap/>
            <w:vAlign w:val="center"/>
            <w:hideMark/>
          </w:tcPr>
          <w:p w14:paraId="1E34BA50"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125,000 to 129,999</w:t>
            </w:r>
          </w:p>
        </w:tc>
        <w:tc>
          <w:tcPr>
            <w:tcW w:w="1840" w:type="dxa"/>
            <w:tcBorders>
              <w:top w:val="nil"/>
              <w:left w:val="nil"/>
              <w:bottom w:val="nil"/>
              <w:right w:val="single" w:sz="4" w:space="0" w:color="auto"/>
            </w:tcBorders>
            <w:shd w:val="clear" w:color="auto" w:fill="auto"/>
            <w:noWrap/>
            <w:vAlign w:val="center"/>
            <w:hideMark/>
          </w:tcPr>
          <w:p w14:paraId="67DC586A"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r>
      <w:tr w:rsidR="00F5442C" w:rsidRPr="00F5442C" w14:paraId="1D933772"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1E2B754D"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c>
          <w:tcPr>
            <w:tcW w:w="2660" w:type="dxa"/>
            <w:tcBorders>
              <w:top w:val="nil"/>
              <w:left w:val="single" w:sz="4" w:space="0" w:color="auto"/>
              <w:bottom w:val="nil"/>
              <w:right w:val="single" w:sz="4" w:space="0" w:color="auto"/>
            </w:tcBorders>
            <w:shd w:val="clear" w:color="auto" w:fill="auto"/>
            <w:noWrap/>
            <w:vAlign w:val="center"/>
            <w:hideMark/>
          </w:tcPr>
          <w:p w14:paraId="043FD382"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130,000 to 134,999</w:t>
            </w:r>
          </w:p>
        </w:tc>
        <w:tc>
          <w:tcPr>
            <w:tcW w:w="1840" w:type="dxa"/>
            <w:tcBorders>
              <w:top w:val="nil"/>
              <w:left w:val="nil"/>
              <w:bottom w:val="nil"/>
              <w:right w:val="single" w:sz="4" w:space="0" w:color="auto"/>
            </w:tcBorders>
            <w:shd w:val="clear" w:color="auto" w:fill="auto"/>
            <w:noWrap/>
            <w:vAlign w:val="center"/>
            <w:hideMark/>
          </w:tcPr>
          <w:p w14:paraId="1FA1CF1C"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r>
      <w:tr w:rsidR="00F5442C" w:rsidRPr="00F5442C" w14:paraId="104FFCE2"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33C2D4D3"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c>
          <w:tcPr>
            <w:tcW w:w="2660" w:type="dxa"/>
            <w:tcBorders>
              <w:top w:val="nil"/>
              <w:left w:val="single" w:sz="4" w:space="0" w:color="auto"/>
              <w:bottom w:val="nil"/>
              <w:right w:val="single" w:sz="4" w:space="0" w:color="auto"/>
            </w:tcBorders>
            <w:shd w:val="clear" w:color="auto" w:fill="auto"/>
            <w:noWrap/>
            <w:vAlign w:val="center"/>
            <w:hideMark/>
          </w:tcPr>
          <w:p w14:paraId="546B7645"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150,000 to 154,999</w:t>
            </w:r>
          </w:p>
        </w:tc>
        <w:tc>
          <w:tcPr>
            <w:tcW w:w="1840" w:type="dxa"/>
            <w:tcBorders>
              <w:top w:val="nil"/>
              <w:left w:val="nil"/>
              <w:bottom w:val="nil"/>
              <w:right w:val="single" w:sz="4" w:space="0" w:color="auto"/>
            </w:tcBorders>
            <w:shd w:val="clear" w:color="auto" w:fill="auto"/>
            <w:noWrap/>
            <w:vAlign w:val="center"/>
            <w:hideMark/>
          </w:tcPr>
          <w:p w14:paraId="39A52A2E"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0</w:t>
            </w:r>
          </w:p>
        </w:tc>
      </w:tr>
      <w:tr w:rsidR="00F5442C" w:rsidRPr="00F5442C" w14:paraId="6D3443BA" w14:textId="77777777" w:rsidTr="00F5442C">
        <w:trPr>
          <w:trHeight w:val="255"/>
          <w:jc w:val="center"/>
        </w:trPr>
        <w:tc>
          <w:tcPr>
            <w:tcW w:w="1840" w:type="dxa"/>
            <w:tcBorders>
              <w:top w:val="nil"/>
              <w:left w:val="single" w:sz="4" w:space="0" w:color="auto"/>
              <w:bottom w:val="nil"/>
              <w:right w:val="nil"/>
            </w:tcBorders>
            <w:shd w:val="clear" w:color="auto" w:fill="auto"/>
            <w:vAlign w:val="center"/>
            <w:hideMark/>
          </w:tcPr>
          <w:p w14:paraId="67A5193B"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0</w:t>
            </w:r>
          </w:p>
        </w:tc>
        <w:tc>
          <w:tcPr>
            <w:tcW w:w="2660" w:type="dxa"/>
            <w:tcBorders>
              <w:top w:val="nil"/>
              <w:left w:val="single" w:sz="4" w:space="0" w:color="auto"/>
              <w:bottom w:val="nil"/>
              <w:right w:val="single" w:sz="4" w:space="0" w:color="auto"/>
            </w:tcBorders>
            <w:shd w:val="clear" w:color="auto" w:fill="auto"/>
            <w:noWrap/>
            <w:vAlign w:val="center"/>
            <w:hideMark/>
          </w:tcPr>
          <w:p w14:paraId="43C5CFF0"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155,000 to 159,999</w:t>
            </w:r>
          </w:p>
        </w:tc>
        <w:tc>
          <w:tcPr>
            <w:tcW w:w="1840" w:type="dxa"/>
            <w:tcBorders>
              <w:top w:val="nil"/>
              <w:left w:val="nil"/>
              <w:bottom w:val="nil"/>
              <w:right w:val="single" w:sz="4" w:space="0" w:color="auto"/>
            </w:tcBorders>
            <w:shd w:val="clear" w:color="auto" w:fill="auto"/>
            <w:noWrap/>
            <w:vAlign w:val="center"/>
            <w:hideMark/>
          </w:tcPr>
          <w:p w14:paraId="16C70C6C" w14:textId="77777777" w:rsidR="00F5442C" w:rsidRPr="00F5442C" w:rsidRDefault="00F5442C" w:rsidP="00F5442C">
            <w:pPr>
              <w:jc w:val="center"/>
              <w:rPr>
                <w:rFonts w:ascii="Verdana" w:eastAsia="Times New Roman" w:hAnsi="Verdana" w:cs="Times New Roman"/>
                <w:color w:val="000000"/>
                <w:sz w:val="16"/>
                <w:szCs w:val="16"/>
                <w:lang w:val="en-GB" w:eastAsia="en-GB"/>
              </w:rPr>
            </w:pPr>
            <w:r w:rsidRPr="00F5442C">
              <w:rPr>
                <w:rFonts w:ascii="Verdana" w:eastAsia="Times New Roman" w:hAnsi="Verdana" w:cs="Times New Roman"/>
                <w:color w:val="000000"/>
                <w:sz w:val="16"/>
                <w:szCs w:val="16"/>
                <w:lang w:val="en-GB" w:eastAsia="en-GB"/>
              </w:rPr>
              <w:t>1</w:t>
            </w:r>
          </w:p>
        </w:tc>
      </w:tr>
      <w:tr w:rsidR="00F5442C" w:rsidRPr="00F5442C" w14:paraId="395582E6" w14:textId="77777777" w:rsidTr="00F5442C">
        <w:trPr>
          <w:trHeight w:val="270"/>
          <w:jc w:val="center"/>
        </w:trPr>
        <w:tc>
          <w:tcPr>
            <w:tcW w:w="1840" w:type="dxa"/>
            <w:tcBorders>
              <w:top w:val="single" w:sz="4" w:space="0" w:color="auto"/>
              <w:left w:val="single" w:sz="4" w:space="0" w:color="auto"/>
              <w:bottom w:val="single" w:sz="4" w:space="0" w:color="auto"/>
              <w:right w:val="nil"/>
            </w:tcBorders>
            <w:shd w:val="clear" w:color="auto" w:fill="auto"/>
            <w:vAlign w:val="center"/>
            <w:hideMark/>
          </w:tcPr>
          <w:p w14:paraId="09173521" w14:textId="77777777" w:rsidR="00F5442C" w:rsidRPr="00F5442C" w:rsidRDefault="00F5442C" w:rsidP="00F5442C">
            <w:pPr>
              <w:jc w:val="center"/>
              <w:rPr>
                <w:rFonts w:ascii="Verdana" w:eastAsia="Times New Roman" w:hAnsi="Verdana" w:cs="Times New Roman"/>
                <w:b/>
                <w:bCs/>
                <w:color w:val="000000"/>
                <w:sz w:val="16"/>
                <w:szCs w:val="16"/>
                <w:lang w:val="en-GB" w:eastAsia="en-GB"/>
              </w:rPr>
            </w:pPr>
            <w:r w:rsidRPr="00F5442C">
              <w:rPr>
                <w:rFonts w:ascii="Verdana" w:eastAsia="Times New Roman" w:hAnsi="Verdana" w:cs="Times New Roman"/>
                <w:b/>
                <w:bCs/>
                <w:color w:val="000000"/>
                <w:sz w:val="16"/>
                <w:szCs w:val="16"/>
                <w:lang w:val="en-GB" w:eastAsia="en-GB"/>
              </w:rPr>
              <w:t>543</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DDE85" w14:textId="77777777" w:rsidR="00F5442C" w:rsidRPr="00F5442C" w:rsidRDefault="00F5442C" w:rsidP="00F5442C">
            <w:pPr>
              <w:rPr>
                <w:rFonts w:ascii="Verdana" w:eastAsia="Times New Roman" w:hAnsi="Verdana" w:cs="Times New Roman"/>
                <w:b/>
                <w:bCs/>
                <w:color w:val="000000"/>
                <w:sz w:val="16"/>
                <w:szCs w:val="16"/>
                <w:lang w:val="en-GB" w:eastAsia="en-GB"/>
              </w:rPr>
            </w:pPr>
            <w:r w:rsidRPr="00F5442C">
              <w:rPr>
                <w:rFonts w:ascii="Verdana" w:eastAsia="Times New Roman" w:hAnsi="Verdana" w:cs="Times New Roman"/>
                <w:b/>
                <w:bCs/>
                <w:color w:val="000000"/>
                <w:sz w:val="16"/>
                <w:szCs w:val="16"/>
                <w:lang w:val="en-GB" w:eastAsia="en-GB"/>
              </w:rPr>
              <w:t>Total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E2E829C" w14:textId="77777777" w:rsidR="00F5442C" w:rsidRPr="00F5442C" w:rsidRDefault="00F5442C" w:rsidP="00F5442C">
            <w:pPr>
              <w:jc w:val="center"/>
              <w:rPr>
                <w:rFonts w:ascii="Verdana" w:eastAsia="Times New Roman" w:hAnsi="Verdana" w:cs="Times New Roman"/>
                <w:b/>
                <w:bCs/>
                <w:color w:val="000000"/>
                <w:sz w:val="16"/>
                <w:szCs w:val="16"/>
                <w:lang w:val="en-GB" w:eastAsia="en-GB"/>
              </w:rPr>
            </w:pPr>
            <w:r w:rsidRPr="00F5442C">
              <w:rPr>
                <w:rFonts w:ascii="Verdana" w:eastAsia="Times New Roman" w:hAnsi="Verdana" w:cs="Times New Roman"/>
                <w:b/>
                <w:bCs/>
                <w:color w:val="000000"/>
                <w:sz w:val="16"/>
                <w:szCs w:val="16"/>
                <w:lang w:val="en-GB" w:eastAsia="en-GB"/>
              </w:rPr>
              <w:t>686</w:t>
            </w:r>
          </w:p>
        </w:tc>
      </w:tr>
    </w:tbl>
    <w:p w14:paraId="72F5045E" w14:textId="77777777" w:rsidR="00745B47" w:rsidRDefault="00745B47" w:rsidP="00745B47">
      <w:pPr>
        <w:pStyle w:val="Normal0"/>
        <w:spacing w:after="160" w:line="259" w:lineRule="auto"/>
        <w:jc w:val="center"/>
        <w:rPr>
          <w:rFonts w:ascii="Verdana" w:eastAsia="Verdana" w:hAnsi="Verdana" w:cs="Verdana"/>
          <w:sz w:val="22"/>
          <w:szCs w:val="22"/>
          <w:lang w:val="en-GB"/>
        </w:rPr>
      </w:pPr>
    </w:p>
    <w:tbl>
      <w:tblPr>
        <w:tblW w:w="13580" w:type="dxa"/>
        <w:tblInd w:w="-5" w:type="dxa"/>
        <w:tblLook w:val="04A0" w:firstRow="1" w:lastRow="0" w:firstColumn="1" w:lastColumn="0" w:noHBand="0" w:noVBand="1"/>
      </w:tblPr>
      <w:tblGrid>
        <w:gridCol w:w="3544"/>
        <w:gridCol w:w="1701"/>
        <w:gridCol w:w="1176"/>
        <w:gridCol w:w="1242"/>
        <w:gridCol w:w="1551"/>
        <w:gridCol w:w="1276"/>
        <w:gridCol w:w="1134"/>
        <w:gridCol w:w="1931"/>
        <w:gridCol w:w="19"/>
        <w:gridCol w:w="6"/>
      </w:tblGrid>
      <w:tr w:rsidR="0027176B" w:rsidRPr="0027176B" w14:paraId="18141847" w14:textId="77777777" w:rsidTr="0027176B">
        <w:trPr>
          <w:trHeight w:val="293"/>
        </w:trPr>
        <w:tc>
          <w:tcPr>
            <w:tcW w:w="13580" w:type="dxa"/>
            <w:gridSpan w:val="10"/>
            <w:vMerge w:val="restart"/>
            <w:tcBorders>
              <w:top w:val="single" w:sz="4" w:space="0" w:color="auto"/>
              <w:left w:val="single" w:sz="4" w:space="0" w:color="auto"/>
              <w:bottom w:val="nil"/>
              <w:right w:val="single" w:sz="4" w:space="0" w:color="000000"/>
            </w:tcBorders>
            <w:shd w:val="clear" w:color="000000" w:fill="FFFFFF"/>
            <w:noWrap/>
            <w:vAlign w:val="center"/>
            <w:hideMark/>
          </w:tcPr>
          <w:p w14:paraId="3CB57346" w14:textId="77777777" w:rsidR="0027176B" w:rsidRPr="0027176B" w:rsidRDefault="0027176B" w:rsidP="0027176B">
            <w:pP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Remuneration for Senior Officers with the responsibility for the management of Surrey Police were:</w:t>
            </w:r>
          </w:p>
        </w:tc>
      </w:tr>
      <w:tr w:rsidR="0027176B" w:rsidRPr="0027176B" w14:paraId="10732ACD" w14:textId="77777777" w:rsidTr="0027176B">
        <w:trPr>
          <w:trHeight w:val="293"/>
        </w:trPr>
        <w:tc>
          <w:tcPr>
            <w:tcW w:w="13580" w:type="dxa"/>
            <w:gridSpan w:val="10"/>
            <w:vMerge/>
            <w:tcBorders>
              <w:top w:val="single" w:sz="4" w:space="0" w:color="auto"/>
              <w:left w:val="single" w:sz="4" w:space="0" w:color="auto"/>
              <w:bottom w:val="nil"/>
              <w:right w:val="single" w:sz="4" w:space="0" w:color="000000"/>
            </w:tcBorders>
            <w:vAlign w:val="center"/>
            <w:hideMark/>
          </w:tcPr>
          <w:p w14:paraId="55F41915" w14:textId="77777777" w:rsidR="0027176B" w:rsidRPr="0027176B" w:rsidRDefault="0027176B" w:rsidP="0027176B">
            <w:pPr>
              <w:rPr>
                <w:rFonts w:ascii="Verdana" w:eastAsia="Times New Roman" w:hAnsi="Verdana" w:cs="Calibri"/>
                <w:b/>
                <w:bCs/>
                <w:color w:val="000000"/>
                <w:sz w:val="18"/>
                <w:szCs w:val="18"/>
                <w:lang w:val="en-GB" w:eastAsia="en-GB"/>
              </w:rPr>
            </w:pPr>
          </w:p>
        </w:tc>
      </w:tr>
      <w:tr w:rsidR="0027176B" w:rsidRPr="0027176B" w14:paraId="4387EA38" w14:textId="77777777" w:rsidTr="0027176B">
        <w:trPr>
          <w:gridAfter w:val="1"/>
          <w:wAfter w:w="6" w:type="dxa"/>
          <w:trHeight w:val="315"/>
        </w:trPr>
        <w:tc>
          <w:tcPr>
            <w:tcW w:w="3544" w:type="dxa"/>
            <w:tcBorders>
              <w:top w:val="single" w:sz="4" w:space="0" w:color="auto"/>
              <w:left w:val="single" w:sz="4" w:space="0" w:color="auto"/>
              <w:bottom w:val="nil"/>
              <w:right w:val="nil"/>
            </w:tcBorders>
            <w:shd w:val="clear" w:color="000000" w:fill="FFFFFF"/>
            <w:noWrap/>
            <w:vAlign w:val="center"/>
            <w:hideMark/>
          </w:tcPr>
          <w:p w14:paraId="2D3DAABA"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701" w:type="dxa"/>
            <w:tcBorders>
              <w:top w:val="single" w:sz="4" w:space="0" w:color="auto"/>
              <w:left w:val="single" w:sz="4" w:space="0" w:color="auto"/>
              <w:bottom w:val="nil"/>
              <w:right w:val="single" w:sz="4" w:space="0" w:color="auto"/>
            </w:tcBorders>
            <w:shd w:val="clear" w:color="000000" w:fill="FFFFFF"/>
            <w:noWrap/>
            <w:vAlign w:val="center"/>
            <w:hideMark/>
          </w:tcPr>
          <w:p w14:paraId="31CB7A83"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176" w:type="dxa"/>
            <w:tcBorders>
              <w:top w:val="single" w:sz="4" w:space="0" w:color="auto"/>
              <w:left w:val="nil"/>
              <w:bottom w:val="nil"/>
              <w:right w:val="nil"/>
            </w:tcBorders>
            <w:shd w:val="clear" w:color="000000" w:fill="FFFFFF"/>
            <w:noWrap/>
            <w:vAlign w:val="center"/>
            <w:hideMark/>
          </w:tcPr>
          <w:p w14:paraId="6627BE5E"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7153"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BF00A1" w14:textId="77777777" w:rsidR="0027176B" w:rsidRPr="0027176B" w:rsidRDefault="0027176B" w:rsidP="0027176B">
            <w:pPr>
              <w:jc w:val="cente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2020/2021</w:t>
            </w:r>
          </w:p>
        </w:tc>
      </w:tr>
      <w:tr w:rsidR="0027176B" w:rsidRPr="0027176B" w14:paraId="7B28B57A" w14:textId="77777777" w:rsidTr="0027176B">
        <w:trPr>
          <w:gridAfter w:val="2"/>
          <w:wAfter w:w="25" w:type="dxa"/>
          <w:trHeight w:val="1050"/>
        </w:trPr>
        <w:tc>
          <w:tcPr>
            <w:tcW w:w="3544" w:type="dxa"/>
            <w:tcBorders>
              <w:top w:val="single" w:sz="4" w:space="0" w:color="auto"/>
              <w:left w:val="single" w:sz="4" w:space="0" w:color="auto"/>
              <w:bottom w:val="single" w:sz="4" w:space="0" w:color="auto"/>
              <w:right w:val="nil"/>
            </w:tcBorders>
            <w:shd w:val="clear" w:color="000000" w:fill="FFFFFF"/>
            <w:vAlign w:val="center"/>
            <w:hideMark/>
          </w:tcPr>
          <w:p w14:paraId="503135FE"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Position</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12E57"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Position Start Date</w:t>
            </w:r>
          </w:p>
        </w:tc>
        <w:tc>
          <w:tcPr>
            <w:tcW w:w="1176" w:type="dxa"/>
            <w:tcBorders>
              <w:top w:val="single" w:sz="4" w:space="0" w:color="auto"/>
              <w:left w:val="nil"/>
              <w:bottom w:val="single" w:sz="4" w:space="0" w:color="auto"/>
              <w:right w:val="nil"/>
            </w:tcBorders>
            <w:shd w:val="clear" w:color="000000" w:fill="FFFFFF"/>
            <w:vAlign w:val="center"/>
            <w:hideMark/>
          </w:tcPr>
          <w:p w14:paraId="618B63A5"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Position End Date</w:t>
            </w:r>
          </w:p>
        </w:tc>
        <w:tc>
          <w:tcPr>
            <w:tcW w:w="1242" w:type="dxa"/>
            <w:tcBorders>
              <w:top w:val="nil"/>
              <w:left w:val="single" w:sz="4" w:space="0" w:color="auto"/>
              <w:bottom w:val="single" w:sz="4" w:space="0" w:color="auto"/>
              <w:right w:val="nil"/>
            </w:tcBorders>
            <w:shd w:val="clear" w:color="000000" w:fill="FFFFFF"/>
            <w:vAlign w:val="center"/>
            <w:hideMark/>
          </w:tcPr>
          <w:p w14:paraId="3B7A98F1"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Salary, Fees &amp; Allowances</w:t>
            </w:r>
          </w:p>
        </w:tc>
        <w:tc>
          <w:tcPr>
            <w:tcW w:w="1551" w:type="dxa"/>
            <w:tcBorders>
              <w:top w:val="nil"/>
              <w:left w:val="single" w:sz="4" w:space="0" w:color="auto"/>
              <w:bottom w:val="single" w:sz="4" w:space="0" w:color="auto"/>
              <w:right w:val="nil"/>
            </w:tcBorders>
            <w:shd w:val="clear" w:color="000000" w:fill="FFFFFF"/>
            <w:vAlign w:val="center"/>
            <w:hideMark/>
          </w:tcPr>
          <w:p w14:paraId="694A33E2"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Employers Pension Contribution</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EB5593D"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Benefit in kind</w:t>
            </w:r>
          </w:p>
        </w:tc>
        <w:tc>
          <w:tcPr>
            <w:tcW w:w="1134" w:type="dxa"/>
            <w:tcBorders>
              <w:top w:val="nil"/>
              <w:left w:val="nil"/>
              <w:bottom w:val="single" w:sz="4" w:space="0" w:color="auto"/>
              <w:right w:val="single" w:sz="4" w:space="0" w:color="auto"/>
            </w:tcBorders>
            <w:shd w:val="clear" w:color="000000" w:fill="FFFFFF"/>
            <w:vAlign w:val="center"/>
            <w:hideMark/>
          </w:tcPr>
          <w:p w14:paraId="6E2D67D4"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Annual Leave not yet taken</w:t>
            </w:r>
          </w:p>
        </w:tc>
        <w:tc>
          <w:tcPr>
            <w:tcW w:w="1931" w:type="dxa"/>
            <w:tcBorders>
              <w:top w:val="nil"/>
              <w:left w:val="nil"/>
              <w:bottom w:val="single" w:sz="4" w:space="0" w:color="auto"/>
              <w:right w:val="single" w:sz="4" w:space="0" w:color="auto"/>
            </w:tcBorders>
            <w:shd w:val="clear" w:color="000000" w:fill="FFFFFF"/>
            <w:vAlign w:val="center"/>
            <w:hideMark/>
          </w:tcPr>
          <w:p w14:paraId="5EF514B8"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Total Remuneration</w:t>
            </w:r>
          </w:p>
        </w:tc>
      </w:tr>
      <w:tr w:rsidR="0027176B" w:rsidRPr="0027176B" w14:paraId="18BBFA66" w14:textId="77777777" w:rsidTr="0027176B">
        <w:trPr>
          <w:gridAfter w:val="2"/>
          <w:wAfter w:w="25" w:type="dxa"/>
          <w:trHeight w:val="315"/>
        </w:trPr>
        <w:tc>
          <w:tcPr>
            <w:tcW w:w="3544" w:type="dxa"/>
            <w:tcBorders>
              <w:top w:val="nil"/>
              <w:left w:val="single" w:sz="4" w:space="0" w:color="auto"/>
              <w:bottom w:val="single" w:sz="4" w:space="0" w:color="auto"/>
              <w:right w:val="nil"/>
            </w:tcBorders>
            <w:shd w:val="clear" w:color="000000" w:fill="FFFFFF"/>
            <w:noWrap/>
            <w:vAlign w:val="center"/>
            <w:hideMark/>
          </w:tcPr>
          <w:p w14:paraId="63C6F2F8"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263F26D"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176" w:type="dxa"/>
            <w:tcBorders>
              <w:top w:val="nil"/>
              <w:left w:val="nil"/>
              <w:bottom w:val="single" w:sz="4" w:space="0" w:color="auto"/>
              <w:right w:val="nil"/>
            </w:tcBorders>
            <w:shd w:val="clear" w:color="000000" w:fill="FFFFFF"/>
            <w:noWrap/>
            <w:vAlign w:val="center"/>
            <w:hideMark/>
          </w:tcPr>
          <w:p w14:paraId="2F5833BD"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242" w:type="dxa"/>
            <w:tcBorders>
              <w:top w:val="nil"/>
              <w:left w:val="single" w:sz="4" w:space="0" w:color="auto"/>
              <w:bottom w:val="single" w:sz="4" w:space="0" w:color="auto"/>
              <w:right w:val="nil"/>
            </w:tcBorders>
            <w:shd w:val="clear" w:color="000000" w:fill="FFFFFF"/>
            <w:noWrap/>
            <w:vAlign w:val="center"/>
            <w:hideMark/>
          </w:tcPr>
          <w:p w14:paraId="65C5A1F7"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w:t>
            </w:r>
          </w:p>
        </w:tc>
        <w:tc>
          <w:tcPr>
            <w:tcW w:w="1551" w:type="dxa"/>
            <w:tcBorders>
              <w:top w:val="nil"/>
              <w:left w:val="single" w:sz="4" w:space="0" w:color="auto"/>
              <w:bottom w:val="single" w:sz="4" w:space="0" w:color="auto"/>
              <w:right w:val="nil"/>
            </w:tcBorders>
            <w:shd w:val="clear" w:color="000000" w:fill="FFFFFF"/>
            <w:noWrap/>
            <w:vAlign w:val="center"/>
            <w:hideMark/>
          </w:tcPr>
          <w:p w14:paraId="69E3656F"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3B731F5"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6046DA7"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w:t>
            </w:r>
          </w:p>
        </w:tc>
        <w:tc>
          <w:tcPr>
            <w:tcW w:w="1931" w:type="dxa"/>
            <w:tcBorders>
              <w:top w:val="nil"/>
              <w:left w:val="nil"/>
              <w:bottom w:val="single" w:sz="4" w:space="0" w:color="auto"/>
              <w:right w:val="single" w:sz="4" w:space="0" w:color="auto"/>
            </w:tcBorders>
            <w:shd w:val="clear" w:color="000000" w:fill="FFFFFF"/>
            <w:noWrap/>
            <w:vAlign w:val="center"/>
            <w:hideMark/>
          </w:tcPr>
          <w:p w14:paraId="62EF7DDA"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w:t>
            </w:r>
          </w:p>
        </w:tc>
      </w:tr>
      <w:tr w:rsidR="0027176B" w:rsidRPr="0027176B" w14:paraId="2C3111B2"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7E81EB99"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Police Officers</w:t>
            </w:r>
          </w:p>
        </w:tc>
        <w:tc>
          <w:tcPr>
            <w:tcW w:w="1701" w:type="dxa"/>
            <w:tcBorders>
              <w:top w:val="nil"/>
              <w:left w:val="single" w:sz="4" w:space="0" w:color="auto"/>
              <w:bottom w:val="nil"/>
              <w:right w:val="single" w:sz="4" w:space="0" w:color="auto"/>
            </w:tcBorders>
            <w:shd w:val="clear" w:color="000000" w:fill="FFFFFF"/>
            <w:noWrap/>
            <w:vAlign w:val="center"/>
            <w:hideMark/>
          </w:tcPr>
          <w:p w14:paraId="593856E6"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176" w:type="dxa"/>
            <w:tcBorders>
              <w:top w:val="nil"/>
              <w:left w:val="nil"/>
              <w:bottom w:val="nil"/>
              <w:right w:val="nil"/>
            </w:tcBorders>
            <w:shd w:val="clear" w:color="000000" w:fill="FFFFFF"/>
            <w:noWrap/>
            <w:vAlign w:val="center"/>
            <w:hideMark/>
          </w:tcPr>
          <w:p w14:paraId="616A9B61"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51D7D2AC"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551" w:type="dxa"/>
            <w:tcBorders>
              <w:top w:val="nil"/>
              <w:left w:val="single" w:sz="4" w:space="0" w:color="auto"/>
              <w:bottom w:val="nil"/>
              <w:right w:val="nil"/>
            </w:tcBorders>
            <w:shd w:val="clear" w:color="000000" w:fill="FFFFFF"/>
            <w:noWrap/>
            <w:vAlign w:val="center"/>
            <w:hideMark/>
          </w:tcPr>
          <w:p w14:paraId="5FB9E2AE"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276" w:type="dxa"/>
            <w:tcBorders>
              <w:top w:val="nil"/>
              <w:left w:val="single" w:sz="4" w:space="0" w:color="auto"/>
              <w:bottom w:val="nil"/>
              <w:right w:val="single" w:sz="4" w:space="0" w:color="auto"/>
            </w:tcBorders>
            <w:shd w:val="clear" w:color="000000" w:fill="FFFFFF"/>
            <w:noWrap/>
            <w:vAlign w:val="center"/>
            <w:hideMark/>
          </w:tcPr>
          <w:p w14:paraId="793A1103"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43AB9E32"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931" w:type="dxa"/>
            <w:tcBorders>
              <w:top w:val="nil"/>
              <w:left w:val="nil"/>
              <w:bottom w:val="nil"/>
              <w:right w:val="single" w:sz="4" w:space="0" w:color="auto"/>
            </w:tcBorders>
            <w:shd w:val="clear" w:color="000000" w:fill="FFFFFF"/>
            <w:noWrap/>
            <w:vAlign w:val="center"/>
            <w:hideMark/>
          </w:tcPr>
          <w:p w14:paraId="29E0B29E"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r>
      <w:tr w:rsidR="0027176B" w:rsidRPr="0027176B" w14:paraId="67AD9638"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71809947"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Chief Constable (G Stevens)</w:t>
            </w:r>
          </w:p>
        </w:tc>
        <w:tc>
          <w:tcPr>
            <w:tcW w:w="1701" w:type="dxa"/>
            <w:tcBorders>
              <w:top w:val="nil"/>
              <w:left w:val="single" w:sz="4" w:space="0" w:color="auto"/>
              <w:bottom w:val="nil"/>
              <w:right w:val="single" w:sz="4" w:space="0" w:color="auto"/>
            </w:tcBorders>
            <w:shd w:val="clear" w:color="000000" w:fill="FFFFFF"/>
            <w:noWrap/>
            <w:vAlign w:val="center"/>
            <w:hideMark/>
          </w:tcPr>
          <w:p w14:paraId="6D851ACC"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20/01/2019</w:t>
            </w:r>
          </w:p>
        </w:tc>
        <w:tc>
          <w:tcPr>
            <w:tcW w:w="1176" w:type="dxa"/>
            <w:tcBorders>
              <w:top w:val="nil"/>
              <w:left w:val="nil"/>
              <w:bottom w:val="nil"/>
              <w:right w:val="nil"/>
            </w:tcBorders>
            <w:shd w:val="clear" w:color="000000" w:fill="FFFFFF"/>
            <w:noWrap/>
            <w:vAlign w:val="center"/>
            <w:hideMark/>
          </w:tcPr>
          <w:p w14:paraId="2661F46E"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16EADE3B"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156,548</w:t>
            </w:r>
          </w:p>
        </w:tc>
        <w:tc>
          <w:tcPr>
            <w:tcW w:w="1551" w:type="dxa"/>
            <w:tcBorders>
              <w:top w:val="nil"/>
              <w:left w:val="single" w:sz="4" w:space="0" w:color="auto"/>
              <w:bottom w:val="nil"/>
              <w:right w:val="nil"/>
            </w:tcBorders>
            <w:shd w:val="clear" w:color="000000" w:fill="FFFFFF"/>
            <w:noWrap/>
            <w:vAlign w:val="center"/>
            <w:hideMark/>
          </w:tcPr>
          <w:p w14:paraId="4B5C2EBC"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47,035</w:t>
            </w:r>
          </w:p>
        </w:tc>
        <w:tc>
          <w:tcPr>
            <w:tcW w:w="1276" w:type="dxa"/>
            <w:tcBorders>
              <w:top w:val="nil"/>
              <w:left w:val="single" w:sz="4" w:space="0" w:color="auto"/>
              <w:bottom w:val="nil"/>
              <w:right w:val="single" w:sz="4" w:space="0" w:color="auto"/>
            </w:tcBorders>
            <w:shd w:val="clear" w:color="000000" w:fill="FFFFFF"/>
            <w:noWrap/>
            <w:vAlign w:val="center"/>
            <w:hideMark/>
          </w:tcPr>
          <w:p w14:paraId="2A79D012"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1E2FF9FD"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5,879</w:t>
            </w:r>
          </w:p>
        </w:tc>
        <w:tc>
          <w:tcPr>
            <w:tcW w:w="1931" w:type="dxa"/>
            <w:tcBorders>
              <w:top w:val="nil"/>
              <w:left w:val="nil"/>
              <w:bottom w:val="nil"/>
              <w:right w:val="single" w:sz="4" w:space="0" w:color="auto"/>
            </w:tcBorders>
            <w:shd w:val="clear" w:color="000000" w:fill="FFFFFF"/>
            <w:noWrap/>
            <w:vAlign w:val="center"/>
            <w:hideMark/>
          </w:tcPr>
          <w:p w14:paraId="31962246"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209,462</w:t>
            </w:r>
          </w:p>
        </w:tc>
      </w:tr>
      <w:tr w:rsidR="0027176B" w:rsidRPr="0027176B" w14:paraId="4CF5639D"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0968C46E"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Deputy Chief Constable</w:t>
            </w:r>
          </w:p>
        </w:tc>
        <w:tc>
          <w:tcPr>
            <w:tcW w:w="1701" w:type="dxa"/>
            <w:tcBorders>
              <w:top w:val="nil"/>
              <w:left w:val="single" w:sz="4" w:space="0" w:color="auto"/>
              <w:bottom w:val="nil"/>
              <w:right w:val="single" w:sz="4" w:space="0" w:color="auto"/>
            </w:tcBorders>
            <w:shd w:val="clear" w:color="000000" w:fill="FFFFFF"/>
            <w:noWrap/>
            <w:vAlign w:val="center"/>
            <w:hideMark/>
          </w:tcPr>
          <w:p w14:paraId="13445A86"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23/09/2019</w:t>
            </w:r>
          </w:p>
        </w:tc>
        <w:tc>
          <w:tcPr>
            <w:tcW w:w="1176" w:type="dxa"/>
            <w:tcBorders>
              <w:top w:val="nil"/>
              <w:left w:val="nil"/>
              <w:bottom w:val="nil"/>
              <w:right w:val="nil"/>
            </w:tcBorders>
            <w:shd w:val="clear" w:color="000000" w:fill="FFFFFF"/>
            <w:noWrap/>
            <w:vAlign w:val="center"/>
            <w:hideMark/>
          </w:tcPr>
          <w:p w14:paraId="405180C0"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11C516D3"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134,977</w:t>
            </w:r>
          </w:p>
        </w:tc>
        <w:tc>
          <w:tcPr>
            <w:tcW w:w="1551" w:type="dxa"/>
            <w:tcBorders>
              <w:top w:val="nil"/>
              <w:left w:val="single" w:sz="4" w:space="0" w:color="auto"/>
              <w:bottom w:val="nil"/>
              <w:right w:val="nil"/>
            </w:tcBorders>
            <w:shd w:val="clear" w:color="000000" w:fill="FFFFFF"/>
            <w:noWrap/>
            <w:vAlign w:val="center"/>
            <w:hideMark/>
          </w:tcPr>
          <w:p w14:paraId="510964A8"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38,804</w:t>
            </w:r>
          </w:p>
        </w:tc>
        <w:tc>
          <w:tcPr>
            <w:tcW w:w="1276" w:type="dxa"/>
            <w:tcBorders>
              <w:top w:val="nil"/>
              <w:left w:val="single" w:sz="4" w:space="0" w:color="auto"/>
              <w:bottom w:val="nil"/>
              <w:right w:val="single" w:sz="4" w:space="0" w:color="auto"/>
            </w:tcBorders>
            <w:shd w:val="clear" w:color="000000" w:fill="FFFFFF"/>
            <w:noWrap/>
            <w:vAlign w:val="center"/>
            <w:hideMark/>
          </w:tcPr>
          <w:p w14:paraId="70677039"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4B4929D3"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4,851</w:t>
            </w:r>
          </w:p>
        </w:tc>
        <w:tc>
          <w:tcPr>
            <w:tcW w:w="1931" w:type="dxa"/>
            <w:tcBorders>
              <w:top w:val="nil"/>
              <w:left w:val="nil"/>
              <w:bottom w:val="nil"/>
              <w:right w:val="single" w:sz="4" w:space="0" w:color="auto"/>
            </w:tcBorders>
            <w:shd w:val="clear" w:color="000000" w:fill="FFFFFF"/>
            <w:noWrap/>
            <w:vAlign w:val="center"/>
            <w:hideMark/>
          </w:tcPr>
          <w:p w14:paraId="50D66BE0"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178,632</w:t>
            </w:r>
          </w:p>
        </w:tc>
      </w:tr>
      <w:tr w:rsidR="0027176B" w:rsidRPr="0027176B" w14:paraId="7DED4EE5"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7CFB65CF"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xml:space="preserve">Assistant Chief Constable </w:t>
            </w:r>
          </w:p>
        </w:tc>
        <w:tc>
          <w:tcPr>
            <w:tcW w:w="1701" w:type="dxa"/>
            <w:tcBorders>
              <w:top w:val="nil"/>
              <w:left w:val="single" w:sz="4" w:space="0" w:color="auto"/>
              <w:bottom w:val="nil"/>
              <w:right w:val="single" w:sz="4" w:space="0" w:color="auto"/>
            </w:tcBorders>
            <w:shd w:val="clear" w:color="000000" w:fill="FFFFFF"/>
            <w:noWrap/>
            <w:vAlign w:val="center"/>
            <w:hideMark/>
          </w:tcPr>
          <w:p w14:paraId="537DA5FE"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07/10/2019</w:t>
            </w:r>
          </w:p>
        </w:tc>
        <w:tc>
          <w:tcPr>
            <w:tcW w:w="1176" w:type="dxa"/>
            <w:tcBorders>
              <w:top w:val="nil"/>
              <w:left w:val="nil"/>
              <w:bottom w:val="nil"/>
              <w:right w:val="nil"/>
            </w:tcBorders>
            <w:shd w:val="clear" w:color="000000" w:fill="FFFFFF"/>
            <w:noWrap/>
            <w:vAlign w:val="center"/>
            <w:hideMark/>
          </w:tcPr>
          <w:p w14:paraId="1655DB6A"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76CF38B0"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118,401</w:t>
            </w:r>
          </w:p>
        </w:tc>
        <w:tc>
          <w:tcPr>
            <w:tcW w:w="1551" w:type="dxa"/>
            <w:tcBorders>
              <w:top w:val="nil"/>
              <w:left w:val="single" w:sz="4" w:space="0" w:color="auto"/>
              <w:bottom w:val="nil"/>
              <w:right w:val="nil"/>
            </w:tcBorders>
            <w:shd w:val="clear" w:color="000000" w:fill="FFFFFF"/>
            <w:noWrap/>
            <w:vAlign w:val="center"/>
            <w:hideMark/>
          </w:tcPr>
          <w:p w14:paraId="06BEA736"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33,424</w:t>
            </w:r>
          </w:p>
        </w:tc>
        <w:tc>
          <w:tcPr>
            <w:tcW w:w="1276" w:type="dxa"/>
            <w:tcBorders>
              <w:top w:val="nil"/>
              <w:left w:val="single" w:sz="4" w:space="0" w:color="auto"/>
              <w:bottom w:val="nil"/>
              <w:right w:val="single" w:sz="4" w:space="0" w:color="auto"/>
            </w:tcBorders>
            <w:shd w:val="clear" w:color="000000" w:fill="FFFFFF"/>
            <w:noWrap/>
            <w:vAlign w:val="center"/>
            <w:hideMark/>
          </w:tcPr>
          <w:p w14:paraId="5B216C0D"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2C3B19B9"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4,311</w:t>
            </w:r>
          </w:p>
        </w:tc>
        <w:tc>
          <w:tcPr>
            <w:tcW w:w="1931" w:type="dxa"/>
            <w:tcBorders>
              <w:top w:val="nil"/>
              <w:left w:val="nil"/>
              <w:bottom w:val="nil"/>
              <w:right w:val="single" w:sz="4" w:space="0" w:color="auto"/>
            </w:tcBorders>
            <w:shd w:val="clear" w:color="000000" w:fill="FFFFFF"/>
            <w:noWrap/>
            <w:vAlign w:val="center"/>
            <w:hideMark/>
          </w:tcPr>
          <w:p w14:paraId="7256905E"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156,136</w:t>
            </w:r>
          </w:p>
        </w:tc>
      </w:tr>
      <w:tr w:rsidR="0027176B" w:rsidRPr="0027176B" w14:paraId="77393656"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13F8A500"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Temporary Assistant Chief Constable</w:t>
            </w:r>
          </w:p>
        </w:tc>
        <w:tc>
          <w:tcPr>
            <w:tcW w:w="1701" w:type="dxa"/>
            <w:tcBorders>
              <w:top w:val="nil"/>
              <w:left w:val="single" w:sz="4" w:space="0" w:color="auto"/>
              <w:bottom w:val="nil"/>
              <w:right w:val="single" w:sz="4" w:space="0" w:color="auto"/>
            </w:tcBorders>
            <w:shd w:val="clear" w:color="000000" w:fill="FFFFFF"/>
            <w:noWrap/>
            <w:vAlign w:val="center"/>
            <w:hideMark/>
          </w:tcPr>
          <w:p w14:paraId="44DEA394"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16/12/2019</w:t>
            </w:r>
          </w:p>
        </w:tc>
        <w:tc>
          <w:tcPr>
            <w:tcW w:w="1176" w:type="dxa"/>
            <w:tcBorders>
              <w:top w:val="nil"/>
              <w:left w:val="nil"/>
              <w:bottom w:val="nil"/>
              <w:right w:val="nil"/>
            </w:tcBorders>
            <w:shd w:val="clear" w:color="000000" w:fill="FFFFFF"/>
            <w:noWrap/>
            <w:vAlign w:val="center"/>
            <w:hideMark/>
          </w:tcPr>
          <w:p w14:paraId="2C362F8C"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35CACBFA"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121,729</w:t>
            </w:r>
          </w:p>
        </w:tc>
        <w:tc>
          <w:tcPr>
            <w:tcW w:w="1551" w:type="dxa"/>
            <w:tcBorders>
              <w:top w:val="nil"/>
              <w:left w:val="single" w:sz="4" w:space="0" w:color="auto"/>
              <w:bottom w:val="nil"/>
              <w:right w:val="nil"/>
            </w:tcBorders>
            <w:shd w:val="clear" w:color="000000" w:fill="FFFFFF"/>
            <w:noWrap/>
            <w:vAlign w:val="center"/>
            <w:hideMark/>
          </w:tcPr>
          <w:p w14:paraId="3FFFFF8D"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33,021</w:t>
            </w:r>
          </w:p>
        </w:tc>
        <w:tc>
          <w:tcPr>
            <w:tcW w:w="1276" w:type="dxa"/>
            <w:tcBorders>
              <w:top w:val="nil"/>
              <w:left w:val="single" w:sz="4" w:space="0" w:color="auto"/>
              <w:bottom w:val="nil"/>
              <w:right w:val="single" w:sz="4" w:space="0" w:color="auto"/>
            </w:tcBorders>
            <w:shd w:val="clear" w:color="000000" w:fill="FFFFFF"/>
            <w:noWrap/>
            <w:vAlign w:val="center"/>
            <w:hideMark/>
          </w:tcPr>
          <w:p w14:paraId="5AFB93DF"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0064AF14"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3,880</w:t>
            </w:r>
          </w:p>
        </w:tc>
        <w:tc>
          <w:tcPr>
            <w:tcW w:w="1931" w:type="dxa"/>
            <w:tcBorders>
              <w:top w:val="nil"/>
              <w:left w:val="nil"/>
              <w:bottom w:val="nil"/>
              <w:right w:val="single" w:sz="4" w:space="0" w:color="auto"/>
            </w:tcBorders>
            <w:shd w:val="clear" w:color="000000" w:fill="FFFFFF"/>
            <w:noWrap/>
            <w:vAlign w:val="center"/>
            <w:hideMark/>
          </w:tcPr>
          <w:p w14:paraId="319D364F"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158,630</w:t>
            </w:r>
          </w:p>
        </w:tc>
      </w:tr>
      <w:tr w:rsidR="0027176B" w:rsidRPr="0027176B" w14:paraId="505F2C6B"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68E66DF6"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Temporary Assistant Chief Constable</w:t>
            </w:r>
          </w:p>
        </w:tc>
        <w:tc>
          <w:tcPr>
            <w:tcW w:w="1701" w:type="dxa"/>
            <w:tcBorders>
              <w:top w:val="nil"/>
              <w:left w:val="single" w:sz="4" w:space="0" w:color="auto"/>
              <w:bottom w:val="nil"/>
              <w:right w:val="single" w:sz="4" w:space="0" w:color="auto"/>
            </w:tcBorders>
            <w:shd w:val="clear" w:color="000000" w:fill="FFFFFF"/>
            <w:noWrap/>
            <w:vAlign w:val="center"/>
            <w:hideMark/>
          </w:tcPr>
          <w:p w14:paraId="6B1565C9"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20/01/2019</w:t>
            </w:r>
          </w:p>
        </w:tc>
        <w:tc>
          <w:tcPr>
            <w:tcW w:w="1176" w:type="dxa"/>
            <w:tcBorders>
              <w:top w:val="nil"/>
              <w:left w:val="nil"/>
              <w:bottom w:val="nil"/>
              <w:right w:val="nil"/>
            </w:tcBorders>
            <w:shd w:val="clear" w:color="000000" w:fill="FFFFFF"/>
            <w:noWrap/>
            <w:vAlign w:val="center"/>
            <w:hideMark/>
          </w:tcPr>
          <w:p w14:paraId="2EEEADAE"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07/06/2020</w:t>
            </w:r>
          </w:p>
        </w:tc>
        <w:tc>
          <w:tcPr>
            <w:tcW w:w="1242" w:type="dxa"/>
            <w:tcBorders>
              <w:top w:val="nil"/>
              <w:left w:val="single" w:sz="4" w:space="0" w:color="auto"/>
              <w:bottom w:val="nil"/>
              <w:right w:val="nil"/>
            </w:tcBorders>
            <w:shd w:val="clear" w:color="000000" w:fill="FFFFFF"/>
            <w:noWrap/>
            <w:vAlign w:val="center"/>
            <w:hideMark/>
          </w:tcPr>
          <w:p w14:paraId="1589C827"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21,263</w:t>
            </w:r>
          </w:p>
        </w:tc>
        <w:tc>
          <w:tcPr>
            <w:tcW w:w="1551" w:type="dxa"/>
            <w:tcBorders>
              <w:top w:val="nil"/>
              <w:left w:val="single" w:sz="4" w:space="0" w:color="auto"/>
              <w:bottom w:val="nil"/>
              <w:right w:val="nil"/>
            </w:tcBorders>
            <w:shd w:val="clear" w:color="000000" w:fill="FFFFFF"/>
            <w:noWrap/>
            <w:vAlign w:val="center"/>
            <w:hideMark/>
          </w:tcPr>
          <w:p w14:paraId="61D02EC6"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5,066</w:t>
            </w:r>
          </w:p>
        </w:tc>
        <w:tc>
          <w:tcPr>
            <w:tcW w:w="1276" w:type="dxa"/>
            <w:tcBorders>
              <w:top w:val="nil"/>
              <w:left w:val="single" w:sz="4" w:space="0" w:color="auto"/>
              <w:bottom w:val="nil"/>
              <w:right w:val="single" w:sz="4" w:space="0" w:color="auto"/>
            </w:tcBorders>
            <w:shd w:val="clear" w:color="000000" w:fill="FFFFFF"/>
            <w:noWrap/>
            <w:vAlign w:val="center"/>
            <w:hideMark/>
          </w:tcPr>
          <w:p w14:paraId="0A9F3B06"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19A80789"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931" w:type="dxa"/>
            <w:tcBorders>
              <w:top w:val="nil"/>
              <w:left w:val="nil"/>
              <w:bottom w:val="nil"/>
              <w:right w:val="single" w:sz="4" w:space="0" w:color="auto"/>
            </w:tcBorders>
            <w:shd w:val="clear" w:color="000000" w:fill="FFFFFF"/>
            <w:noWrap/>
            <w:vAlign w:val="center"/>
            <w:hideMark/>
          </w:tcPr>
          <w:p w14:paraId="5E35C8A4"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26,329</w:t>
            </w:r>
          </w:p>
        </w:tc>
      </w:tr>
      <w:tr w:rsidR="0027176B" w:rsidRPr="0027176B" w14:paraId="7918CAC7"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6E37F3D6"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Chief Superintendent</w:t>
            </w:r>
          </w:p>
        </w:tc>
        <w:tc>
          <w:tcPr>
            <w:tcW w:w="1701" w:type="dxa"/>
            <w:tcBorders>
              <w:top w:val="nil"/>
              <w:left w:val="single" w:sz="4" w:space="0" w:color="auto"/>
              <w:bottom w:val="nil"/>
              <w:right w:val="single" w:sz="4" w:space="0" w:color="auto"/>
            </w:tcBorders>
            <w:shd w:val="clear" w:color="000000" w:fill="FFFFFF"/>
            <w:noWrap/>
            <w:vAlign w:val="center"/>
            <w:hideMark/>
          </w:tcPr>
          <w:p w14:paraId="73925951"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09/06/2014</w:t>
            </w:r>
          </w:p>
        </w:tc>
        <w:tc>
          <w:tcPr>
            <w:tcW w:w="1176" w:type="dxa"/>
            <w:tcBorders>
              <w:top w:val="nil"/>
              <w:left w:val="nil"/>
              <w:bottom w:val="nil"/>
              <w:right w:val="nil"/>
            </w:tcBorders>
            <w:shd w:val="clear" w:color="000000" w:fill="FFFFFF"/>
            <w:noWrap/>
            <w:vAlign w:val="center"/>
            <w:hideMark/>
          </w:tcPr>
          <w:p w14:paraId="50796CF0"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5D551E69"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95,635</w:t>
            </w:r>
          </w:p>
        </w:tc>
        <w:tc>
          <w:tcPr>
            <w:tcW w:w="1551" w:type="dxa"/>
            <w:tcBorders>
              <w:top w:val="nil"/>
              <w:left w:val="single" w:sz="4" w:space="0" w:color="auto"/>
              <w:bottom w:val="nil"/>
              <w:right w:val="nil"/>
            </w:tcBorders>
            <w:shd w:val="clear" w:color="000000" w:fill="FFFFFF"/>
            <w:noWrap/>
            <w:vAlign w:val="center"/>
            <w:hideMark/>
          </w:tcPr>
          <w:p w14:paraId="257C7937"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28,153</w:t>
            </w:r>
          </w:p>
        </w:tc>
        <w:tc>
          <w:tcPr>
            <w:tcW w:w="1276" w:type="dxa"/>
            <w:tcBorders>
              <w:top w:val="nil"/>
              <w:left w:val="single" w:sz="4" w:space="0" w:color="auto"/>
              <w:bottom w:val="nil"/>
              <w:right w:val="single" w:sz="4" w:space="0" w:color="auto"/>
            </w:tcBorders>
            <w:shd w:val="clear" w:color="000000" w:fill="FFFFFF"/>
            <w:noWrap/>
            <w:vAlign w:val="center"/>
            <w:hideMark/>
          </w:tcPr>
          <w:p w14:paraId="3342E901"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28F1A3C8"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3,519</w:t>
            </w:r>
          </w:p>
        </w:tc>
        <w:tc>
          <w:tcPr>
            <w:tcW w:w="1931" w:type="dxa"/>
            <w:tcBorders>
              <w:top w:val="nil"/>
              <w:left w:val="nil"/>
              <w:bottom w:val="nil"/>
              <w:right w:val="single" w:sz="4" w:space="0" w:color="auto"/>
            </w:tcBorders>
            <w:shd w:val="clear" w:color="000000" w:fill="FFFFFF"/>
            <w:noWrap/>
            <w:vAlign w:val="center"/>
            <w:hideMark/>
          </w:tcPr>
          <w:p w14:paraId="5924F005"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127,307</w:t>
            </w:r>
          </w:p>
        </w:tc>
      </w:tr>
      <w:tr w:rsidR="0027176B" w:rsidRPr="0027176B" w14:paraId="3C1D33C3"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472821C3"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Chief Superintendent</w:t>
            </w:r>
          </w:p>
        </w:tc>
        <w:tc>
          <w:tcPr>
            <w:tcW w:w="1701" w:type="dxa"/>
            <w:tcBorders>
              <w:top w:val="nil"/>
              <w:left w:val="single" w:sz="4" w:space="0" w:color="auto"/>
              <w:bottom w:val="nil"/>
              <w:right w:val="single" w:sz="4" w:space="0" w:color="auto"/>
            </w:tcBorders>
            <w:shd w:val="clear" w:color="000000" w:fill="FFFFFF"/>
            <w:noWrap/>
            <w:vAlign w:val="center"/>
            <w:hideMark/>
          </w:tcPr>
          <w:p w14:paraId="69A41E36"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02/01/2018</w:t>
            </w:r>
          </w:p>
        </w:tc>
        <w:tc>
          <w:tcPr>
            <w:tcW w:w="1176" w:type="dxa"/>
            <w:tcBorders>
              <w:top w:val="nil"/>
              <w:left w:val="nil"/>
              <w:bottom w:val="nil"/>
              <w:right w:val="nil"/>
            </w:tcBorders>
            <w:shd w:val="clear" w:color="000000" w:fill="FFFFFF"/>
            <w:noWrap/>
            <w:vAlign w:val="center"/>
            <w:hideMark/>
          </w:tcPr>
          <w:p w14:paraId="5827FECB"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11669148"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97,740</w:t>
            </w:r>
          </w:p>
        </w:tc>
        <w:tc>
          <w:tcPr>
            <w:tcW w:w="1551" w:type="dxa"/>
            <w:tcBorders>
              <w:top w:val="nil"/>
              <w:left w:val="single" w:sz="4" w:space="0" w:color="auto"/>
              <w:bottom w:val="nil"/>
              <w:right w:val="nil"/>
            </w:tcBorders>
            <w:shd w:val="clear" w:color="000000" w:fill="FFFFFF"/>
            <w:noWrap/>
            <w:vAlign w:val="center"/>
            <w:hideMark/>
          </w:tcPr>
          <w:p w14:paraId="26E04156"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23,413</w:t>
            </w:r>
          </w:p>
        </w:tc>
        <w:tc>
          <w:tcPr>
            <w:tcW w:w="1276" w:type="dxa"/>
            <w:tcBorders>
              <w:top w:val="nil"/>
              <w:left w:val="single" w:sz="4" w:space="0" w:color="auto"/>
              <w:bottom w:val="nil"/>
              <w:right w:val="single" w:sz="4" w:space="0" w:color="auto"/>
            </w:tcBorders>
            <w:shd w:val="clear" w:color="000000" w:fill="FFFFFF"/>
            <w:noWrap/>
            <w:vAlign w:val="center"/>
            <w:hideMark/>
          </w:tcPr>
          <w:p w14:paraId="04375357"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5984F4F0"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931" w:type="dxa"/>
            <w:tcBorders>
              <w:top w:val="nil"/>
              <w:left w:val="nil"/>
              <w:bottom w:val="nil"/>
              <w:right w:val="single" w:sz="4" w:space="0" w:color="auto"/>
            </w:tcBorders>
            <w:shd w:val="clear" w:color="000000" w:fill="FFFFFF"/>
            <w:noWrap/>
            <w:vAlign w:val="center"/>
            <w:hideMark/>
          </w:tcPr>
          <w:p w14:paraId="5CB58E33"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121,153</w:t>
            </w:r>
          </w:p>
        </w:tc>
      </w:tr>
      <w:tr w:rsidR="0027176B" w:rsidRPr="0027176B" w14:paraId="11B2C1C6"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475795A2"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Temporary Chief Superintendent</w:t>
            </w:r>
          </w:p>
        </w:tc>
        <w:tc>
          <w:tcPr>
            <w:tcW w:w="1701" w:type="dxa"/>
            <w:tcBorders>
              <w:top w:val="nil"/>
              <w:left w:val="single" w:sz="4" w:space="0" w:color="auto"/>
              <w:bottom w:val="nil"/>
              <w:right w:val="single" w:sz="4" w:space="0" w:color="auto"/>
            </w:tcBorders>
            <w:shd w:val="clear" w:color="000000" w:fill="FFFFFF"/>
            <w:noWrap/>
            <w:vAlign w:val="center"/>
            <w:hideMark/>
          </w:tcPr>
          <w:p w14:paraId="061440DF"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14/10/2019</w:t>
            </w:r>
          </w:p>
        </w:tc>
        <w:tc>
          <w:tcPr>
            <w:tcW w:w="1176" w:type="dxa"/>
            <w:tcBorders>
              <w:top w:val="nil"/>
              <w:left w:val="nil"/>
              <w:bottom w:val="nil"/>
              <w:right w:val="nil"/>
            </w:tcBorders>
            <w:shd w:val="clear" w:color="000000" w:fill="FFFFFF"/>
            <w:noWrap/>
            <w:vAlign w:val="center"/>
            <w:hideMark/>
          </w:tcPr>
          <w:p w14:paraId="52095665"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4B44410C"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92,545</w:t>
            </w:r>
          </w:p>
        </w:tc>
        <w:tc>
          <w:tcPr>
            <w:tcW w:w="1551" w:type="dxa"/>
            <w:tcBorders>
              <w:top w:val="nil"/>
              <w:left w:val="single" w:sz="4" w:space="0" w:color="auto"/>
              <w:bottom w:val="nil"/>
              <w:right w:val="nil"/>
            </w:tcBorders>
            <w:shd w:val="clear" w:color="000000" w:fill="FFFFFF"/>
            <w:noWrap/>
            <w:vAlign w:val="center"/>
            <w:hideMark/>
          </w:tcPr>
          <w:p w14:paraId="148059D4"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26,597</w:t>
            </w:r>
          </w:p>
        </w:tc>
        <w:tc>
          <w:tcPr>
            <w:tcW w:w="1276" w:type="dxa"/>
            <w:tcBorders>
              <w:top w:val="nil"/>
              <w:left w:val="single" w:sz="4" w:space="0" w:color="auto"/>
              <w:bottom w:val="nil"/>
              <w:right w:val="single" w:sz="4" w:space="0" w:color="auto"/>
            </w:tcBorders>
            <w:shd w:val="clear" w:color="000000" w:fill="FFFFFF"/>
            <w:noWrap/>
            <w:vAlign w:val="center"/>
            <w:hideMark/>
          </w:tcPr>
          <w:p w14:paraId="1B02E625"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5943E1E5"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931" w:type="dxa"/>
            <w:tcBorders>
              <w:top w:val="nil"/>
              <w:left w:val="nil"/>
              <w:bottom w:val="nil"/>
              <w:right w:val="single" w:sz="4" w:space="0" w:color="auto"/>
            </w:tcBorders>
            <w:shd w:val="clear" w:color="000000" w:fill="FFFFFF"/>
            <w:noWrap/>
            <w:vAlign w:val="center"/>
            <w:hideMark/>
          </w:tcPr>
          <w:p w14:paraId="1C3E00D6"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119,142</w:t>
            </w:r>
          </w:p>
        </w:tc>
      </w:tr>
      <w:tr w:rsidR="0027176B" w:rsidRPr="0027176B" w14:paraId="680BFAAB"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11C08CF8"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Temporary Chief Superintendent</w:t>
            </w:r>
          </w:p>
        </w:tc>
        <w:tc>
          <w:tcPr>
            <w:tcW w:w="1701" w:type="dxa"/>
            <w:tcBorders>
              <w:top w:val="nil"/>
              <w:left w:val="single" w:sz="4" w:space="0" w:color="auto"/>
              <w:bottom w:val="nil"/>
              <w:right w:val="single" w:sz="4" w:space="0" w:color="auto"/>
            </w:tcBorders>
            <w:shd w:val="clear" w:color="000000" w:fill="FFFFFF"/>
            <w:noWrap/>
            <w:vAlign w:val="center"/>
            <w:hideMark/>
          </w:tcPr>
          <w:p w14:paraId="22ECB6E0"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16/12/2019</w:t>
            </w:r>
          </w:p>
        </w:tc>
        <w:tc>
          <w:tcPr>
            <w:tcW w:w="1176" w:type="dxa"/>
            <w:tcBorders>
              <w:top w:val="nil"/>
              <w:left w:val="nil"/>
              <w:bottom w:val="nil"/>
              <w:right w:val="nil"/>
            </w:tcBorders>
            <w:shd w:val="clear" w:color="000000" w:fill="FFFFFF"/>
            <w:noWrap/>
            <w:vAlign w:val="center"/>
            <w:hideMark/>
          </w:tcPr>
          <w:p w14:paraId="6E306C5D"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52BA2671"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90,257</w:t>
            </w:r>
          </w:p>
        </w:tc>
        <w:tc>
          <w:tcPr>
            <w:tcW w:w="1551" w:type="dxa"/>
            <w:tcBorders>
              <w:top w:val="nil"/>
              <w:left w:val="single" w:sz="4" w:space="0" w:color="auto"/>
              <w:bottom w:val="nil"/>
              <w:right w:val="nil"/>
            </w:tcBorders>
            <w:shd w:val="clear" w:color="000000" w:fill="FFFFFF"/>
            <w:noWrap/>
            <w:vAlign w:val="center"/>
            <w:hideMark/>
          </w:tcPr>
          <w:p w14:paraId="4A61A43A"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26,594</w:t>
            </w:r>
          </w:p>
        </w:tc>
        <w:tc>
          <w:tcPr>
            <w:tcW w:w="1276" w:type="dxa"/>
            <w:tcBorders>
              <w:top w:val="nil"/>
              <w:left w:val="single" w:sz="4" w:space="0" w:color="auto"/>
              <w:bottom w:val="nil"/>
              <w:right w:val="single" w:sz="4" w:space="0" w:color="auto"/>
            </w:tcBorders>
            <w:shd w:val="clear" w:color="000000" w:fill="FFFFFF"/>
            <w:noWrap/>
            <w:vAlign w:val="center"/>
            <w:hideMark/>
          </w:tcPr>
          <w:p w14:paraId="1EE6237B"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7DEBFA6D"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931" w:type="dxa"/>
            <w:tcBorders>
              <w:top w:val="nil"/>
              <w:left w:val="nil"/>
              <w:bottom w:val="nil"/>
              <w:right w:val="single" w:sz="4" w:space="0" w:color="auto"/>
            </w:tcBorders>
            <w:shd w:val="clear" w:color="000000" w:fill="FFFFFF"/>
            <w:noWrap/>
            <w:vAlign w:val="center"/>
            <w:hideMark/>
          </w:tcPr>
          <w:p w14:paraId="60F31225"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116,851</w:t>
            </w:r>
          </w:p>
        </w:tc>
      </w:tr>
      <w:tr w:rsidR="0027176B" w:rsidRPr="0027176B" w14:paraId="229E5319"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2E9C5B2C"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Police Staff</w:t>
            </w:r>
          </w:p>
        </w:tc>
        <w:tc>
          <w:tcPr>
            <w:tcW w:w="1701" w:type="dxa"/>
            <w:tcBorders>
              <w:top w:val="nil"/>
              <w:left w:val="single" w:sz="4" w:space="0" w:color="auto"/>
              <w:bottom w:val="nil"/>
              <w:right w:val="single" w:sz="4" w:space="0" w:color="auto"/>
            </w:tcBorders>
            <w:shd w:val="clear" w:color="000000" w:fill="FFFFFF"/>
            <w:noWrap/>
            <w:vAlign w:val="center"/>
            <w:hideMark/>
          </w:tcPr>
          <w:p w14:paraId="3F6273C9"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176" w:type="dxa"/>
            <w:tcBorders>
              <w:top w:val="nil"/>
              <w:left w:val="nil"/>
              <w:bottom w:val="nil"/>
              <w:right w:val="nil"/>
            </w:tcBorders>
            <w:shd w:val="clear" w:color="000000" w:fill="FFFFFF"/>
            <w:noWrap/>
            <w:vAlign w:val="center"/>
            <w:hideMark/>
          </w:tcPr>
          <w:p w14:paraId="3F00C6D4" w14:textId="77777777" w:rsidR="0027176B" w:rsidRPr="0027176B" w:rsidRDefault="0027176B" w:rsidP="0027176B">
            <w:pP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1BD88092"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551" w:type="dxa"/>
            <w:tcBorders>
              <w:top w:val="nil"/>
              <w:left w:val="single" w:sz="4" w:space="0" w:color="auto"/>
              <w:bottom w:val="nil"/>
              <w:right w:val="nil"/>
            </w:tcBorders>
            <w:shd w:val="clear" w:color="000000" w:fill="FFFFFF"/>
            <w:noWrap/>
            <w:vAlign w:val="center"/>
            <w:hideMark/>
          </w:tcPr>
          <w:p w14:paraId="5BC91470"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276" w:type="dxa"/>
            <w:tcBorders>
              <w:top w:val="nil"/>
              <w:left w:val="single" w:sz="4" w:space="0" w:color="auto"/>
              <w:bottom w:val="nil"/>
              <w:right w:val="single" w:sz="4" w:space="0" w:color="auto"/>
            </w:tcBorders>
            <w:shd w:val="clear" w:color="000000" w:fill="FFFFFF"/>
            <w:noWrap/>
            <w:vAlign w:val="center"/>
            <w:hideMark/>
          </w:tcPr>
          <w:p w14:paraId="4C21FDC1"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4F10B2A0" w14:textId="77777777" w:rsidR="0027176B" w:rsidRPr="0027176B" w:rsidRDefault="0027176B" w:rsidP="0027176B">
            <w:pPr>
              <w:jc w:val="center"/>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c>
          <w:tcPr>
            <w:tcW w:w="1931" w:type="dxa"/>
            <w:tcBorders>
              <w:top w:val="nil"/>
              <w:left w:val="nil"/>
              <w:bottom w:val="nil"/>
              <w:right w:val="single" w:sz="4" w:space="0" w:color="auto"/>
            </w:tcBorders>
            <w:shd w:val="clear" w:color="000000" w:fill="FFFFFF"/>
            <w:noWrap/>
            <w:vAlign w:val="center"/>
            <w:hideMark/>
          </w:tcPr>
          <w:p w14:paraId="4EA171FA"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 </w:t>
            </w:r>
          </w:p>
        </w:tc>
      </w:tr>
      <w:tr w:rsidR="0027176B" w:rsidRPr="0027176B" w14:paraId="4301C92A"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2EE6A04D"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Head of Corporate Communications</w:t>
            </w:r>
          </w:p>
        </w:tc>
        <w:tc>
          <w:tcPr>
            <w:tcW w:w="1701" w:type="dxa"/>
            <w:tcBorders>
              <w:top w:val="nil"/>
              <w:left w:val="single" w:sz="4" w:space="0" w:color="auto"/>
              <w:bottom w:val="nil"/>
              <w:right w:val="single" w:sz="4" w:space="0" w:color="auto"/>
            </w:tcBorders>
            <w:shd w:val="clear" w:color="000000" w:fill="FFFFFF"/>
            <w:noWrap/>
            <w:vAlign w:val="center"/>
            <w:hideMark/>
          </w:tcPr>
          <w:p w14:paraId="60A088FB"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16/07/2018</w:t>
            </w:r>
          </w:p>
        </w:tc>
        <w:tc>
          <w:tcPr>
            <w:tcW w:w="1176" w:type="dxa"/>
            <w:tcBorders>
              <w:top w:val="nil"/>
              <w:left w:val="nil"/>
              <w:bottom w:val="nil"/>
              <w:right w:val="nil"/>
            </w:tcBorders>
            <w:shd w:val="clear" w:color="000000" w:fill="FFFFFF"/>
            <w:noWrap/>
            <w:vAlign w:val="center"/>
            <w:hideMark/>
          </w:tcPr>
          <w:p w14:paraId="09B3EB51"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242" w:type="dxa"/>
            <w:tcBorders>
              <w:top w:val="nil"/>
              <w:left w:val="single" w:sz="4" w:space="0" w:color="auto"/>
              <w:bottom w:val="nil"/>
              <w:right w:val="nil"/>
            </w:tcBorders>
            <w:shd w:val="clear" w:color="000000" w:fill="FFFFFF"/>
            <w:noWrap/>
            <w:vAlign w:val="center"/>
            <w:hideMark/>
          </w:tcPr>
          <w:p w14:paraId="565725A4"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75,838</w:t>
            </w:r>
          </w:p>
        </w:tc>
        <w:tc>
          <w:tcPr>
            <w:tcW w:w="1551" w:type="dxa"/>
            <w:tcBorders>
              <w:top w:val="nil"/>
              <w:left w:val="single" w:sz="4" w:space="0" w:color="auto"/>
              <w:bottom w:val="nil"/>
              <w:right w:val="nil"/>
            </w:tcBorders>
            <w:shd w:val="clear" w:color="000000" w:fill="FFFFFF"/>
            <w:noWrap/>
            <w:vAlign w:val="center"/>
            <w:hideMark/>
          </w:tcPr>
          <w:p w14:paraId="684BECA7"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11,738</w:t>
            </w:r>
          </w:p>
        </w:tc>
        <w:tc>
          <w:tcPr>
            <w:tcW w:w="1276" w:type="dxa"/>
            <w:tcBorders>
              <w:top w:val="nil"/>
              <w:left w:val="single" w:sz="4" w:space="0" w:color="auto"/>
              <w:bottom w:val="nil"/>
              <w:right w:val="single" w:sz="4" w:space="0" w:color="auto"/>
            </w:tcBorders>
            <w:shd w:val="clear" w:color="000000" w:fill="FFFFFF"/>
            <w:noWrap/>
            <w:vAlign w:val="center"/>
            <w:hideMark/>
          </w:tcPr>
          <w:p w14:paraId="43C2A7F9"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1DB2C51D"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2,673</w:t>
            </w:r>
          </w:p>
        </w:tc>
        <w:tc>
          <w:tcPr>
            <w:tcW w:w="1931" w:type="dxa"/>
            <w:tcBorders>
              <w:top w:val="nil"/>
              <w:left w:val="nil"/>
              <w:bottom w:val="nil"/>
              <w:right w:val="single" w:sz="4" w:space="0" w:color="auto"/>
            </w:tcBorders>
            <w:shd w:val="clear" w:color="000000" w:fill="FFFFFF"/>
            <w:noWrap/>
            <w:vAlign w:val="center"/>
            <w:hideMark/>
          </w:tcPr>
          <w:p w14:paraId="6E40B237"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90,249</w:t>
            </w:r>
          </w:p>
        </w:tc>
      </w:tr>
      <w:tr w:rsidR="0027176B" w:rsidRPr="0027176B" w14:paraId="3715D49B" w14:textId="77777777" w:rsidTr="0027176B">
        <w:trPr>
          <w:gridAfter w:val="2"/>
          <w:wAfter w:w="25" w:type="dxa"/>
          <w:trHeight w:val="315"/>
        </w:trPr>
        <w:tc>
          <w:tcPr>
            <w:tcW w:w="3544" w:type="dxa"/>
            <w:tcBorders>
              <w:top w:val="nil"/>
              <w:left w:val="single" w:sz="4" w:space="0" w:color="auto"/>
              <w:bottom w:val="nil"/>
              <w:right w:val="nil"/>
            </w:tcBorders>
            <w:shd w:val="clear" w:color="000000" w:fill="FFFFFF"/>
            <w:noWrap/>
            <w:vAlign w:val="center"/>
            <w:hideMark/>
          </w:tcPr>
          <w:p w14:paraId="368F1A5D"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Chief Information Officer</w:t>
            </w:r>
          </w:p>
        </w:tc>
        <w:tc>
          <w:tcPr>
            <w:tcW w:w="1701" w:type="dxa"/>
            <w:tcBorders>
              <w:top w:val="nil"/>
              <w:left w:val="single" w:sz="4" w:space="0" w:color="auto"/>
              <w:bottom w:val="nil"/>
              <w:right w:val="single" w:sz="4" w:space="0" w:color="auto"/>
            </w:tcBorders>
            <w:shd w:val="clear" w:color="000000" w:fill="FFFFFF"/>
            <w:noWrap/>
            <w:vAlign w:val="center"/>
            <w:hideMark/>
          </w:tcPr>
          <w:p w14:paraId="2AF32DEA"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03/12/2018</w:t>
            </w:r>
          </w:p>
        </w:tc>
        <w:tc>
          <w:tcPr>
            <w:tcW w:w="1176" w:type="dxa"/>
            <w:tcBorders>
              <w:top w:val="nil"/>
              <w:left w:val="nil"/>
              <w:bottom w:val="nil"/>
              <w:right w:val="nil"/>
            </w:tcBorders>
            <w:shd w:val="clear" w:color="000000" w:fill="FFFFFF"/>
            <w:noWrap/>
            <w:vAlign w:val="center"/>
            <w:hideMark/>
          </w:tcPr>
          <w:p w14:paraId="4E353277" w14:textId="77777777" w:rsidR="0027176B" w:rsidRPr="0027176B" w:rsidRDefault="0027176B" w:rsidP="0027176B">
            <w:pP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26/02/2021</w:t>
            </w:r>
          </w:p>
        </w:tc>
        <w:tc>
          <w:tcPr>
            <w:tcW w:w="1242" w:type="dxa"/>
            <w:tcBorders>
              <w:top w:val="nil"/>
              <w:left w:val="single" w:sz="4" w:space="0" w:color="auto"/>
              <w:bottom w:val="nil"/>
              <w:right w:val="nil"/>
            </w:tcBorders>
            <w:shd w:val="clear" w:color="000000" w:fill="FFFFFF"/>
            <w:noWrap/>
            <w:vAlign w:val="center"/>
            <w:hideMark/>
          </w:tcPr>
          <w:p w14:paraId="69DDCB81"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128,384</w:t>
            </w:r>
          </w:p>
        </w:tc>
        <w:tc>
          <w:tcPr>
            <w:tcW w:w="1551" w:type="dxa"/>
            <w:tcBorders>
              <w:top w:val="nil"/>
              <w:left w:val="single" w:sz="4" w:space="0" w:color="auto"/>
              <w:bottom w:val="nil"/>
              <w:right w:val="nil"/>
            </w:tcBorders>
            <w:shd w:val="clear" w:color="000000" w:fill="FFFFFF"/>
            <w:noWrap/>
            <w:vAlign w:val="center"/>
            <w:hideMark/>
          </w:tcPr>
          <w:p w14:paraId="7CD5109E"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19,043</w:t>
            </w:r>
          </w:p>
        </w:tc>
        <w:tc>
          <w:tcPr>
            <w:tcW w:w="1276" w:type="dxa"/>
            <w:tcBorders>
              <w:top w:val="nil"/>
              <w:left w:val="single" w:sz="4" w:space="0" w:color="auto"/>
              <w:bottom w:val="nil"/>
              <w:right w:val="single" w:sz="4" w:space="0" w:color="auto"/>
            </w:tcBorders>
            <w:shd w:val="clear" w:color="000000" w:fill="FFFFFF"/>
            <w:noWrap/>
            <w:vAlign w:val="center"/>
            <w:hideMark/>
          </w:tcPr>
          <w:p w14:paraId="14EB67CD"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w:t>
            </w:r>
          </w:p>
        </w:tc>
        <w:tc>
          <w:tcPr>
            <w:tcW w:w="1134" w:type="dxa"/>
            <w:tcBorders>
              <w:top w:val="nil"/>
              <w:left w:val="nil"/>
              <w:bottom w:val="nil"/>
              <w:right w:val="single" w:sz="4" w:space="0" w:color="auto"/>
            </w:tcBorders>
            <w:shd w:val="clear" w:color="000000" w:fill="FFFFFF"/>
            <w:noWrap/>
            <w:vAlign w:val="center"/>
            <w:hideMark/>
          </w:tcPr>
          <w:p w14:paraId="25F9D441" w14:textId="77777777" w:rsidR="0027176B" w:rsidRPr="0027176B" w:rsidRDefault="0027176B" w:rsidP="0027176B">
            <w:pPr>
              <w:jc w:val="center"/>
              <w:rPr>
                <w:rFonts w:ascii="Verdana" w:eastAsia="Times New Roman" w:hAnsi="Verdana" w:cs="Calibri"/>
                <w:color w:val="000000"/>
                <w:sz w:val="16"/>
                <w:szCs w:val="16"/>
                <w:lang w:val="en-GB" w:eastAsia="en-GB"/>
              </w:rPr>
            </w:pPr>
            <w:r w:rsidRPr="0027176B">
              <w:rPr>
                <w:rFonts w:ascii="Verdana" w:eastAsia="Verdana" w:hAnsi="Verdana" w:cs="Verdana"/>
                <w:color w:val="000000"/>
                <w:sz w:val="16"/>
                <w:szCs w:val="16"/>
                <w:lang w:val="en-GB" w:eastAsia="en-GB"/>
              </w:rPr>
              <w:t xml:space="preserve">                -  </w:t>
            </w:r>
          </w:p>
        </w:tc>
        <w:tc>
          <w:tcPr>
            <w:tcW w:w="1931" w:type="dxa"/>
            <w:tcBorders>
              <w:top w:val="nil"/>
              <w:left w:val="nil"/>
              <w:bottom w:val="nil"/>
              <w:right w:val="single" w:sz="4" w:space="0" w:color="auto"/>
            </w:tcBorders>
            <w:shd w:val="clear" w:color="000000" w:fill="FFFFFF"/>
            <w:noWrap/>
            <w:vAlign w:val="center"/>
            <w:hideMark/>
          </w:tcPr>
          <w:p w14:paraId="7C507E9A" w14:textId="77777777" w:rsidR="0027176B" w:rsidRPr="0027176B" w:rsidRDefault="0027176B" w:rsidP="0027176B">
            <w:pPr>
              <w:jc w:val="right"/>
              <w:rPr>
                <w:rFonts w:ascii="Verdana" w:eastAsia="Times New Roman" w:hAnsi="Verdana" w:cs="Calibri"/>
                <w:b/>
                <w:bCs/>
                <w:color w:val="000000"/>
                <w:sz w:val="16"/>
                <w:szCs w:val="16"/>
                <w:lang w:val="en-GB" w:eastAsia="en-GB"/>
              </w:rPr>
            </w:pPr>
            <w:r w:rsidRPr="0027176B">
              <w:rPr>
                <w:rFonts w:ascii="Verdana" w:eastAsia="Verdana" w:hAnsi="Verdana" w:cs="Verdana"/>
                <w:b/>
                <w:bCs/>
                <w:color w:val="000000"/>
                <w:sz w:val="16"/>
                <w:szCs w:val="16"/>
                <w:lang w:val="en-GB" w:eastAsia="en-GB"/>
              </w:rPr>
              <w:t>147,427</w:t>
            </w:r>
          </w:p>
        </w:tc>
      </w:tr>
      <w:tr w:rsidR="0027176B" w:rsidRPr="0027176B" w14:paraId="3A4633D9" w14:textId="77777777" w:rsidTr="0027176B">
        <w:trPr>
          <w:gridAfter w:val="2"/>
          <w:wAfter w:w="25" w:type="dxa"/>
          <w:trHeight w:val="315"/>
        </w:trPr>
        <w:tc>
          <w:tcPr>
            <w:tcW w:w="3544" w:type="dxa"/>
            <w:tcBorders>
              <w:top w:val="single" w:sz="4" w:space="0" w:color="auto"/>
              <w:left w:val="single" w:sz="4" w:space="0" w:color="auto"/>
              <w:bottom w:val="single" w:sz="4" w:space="0" w:color="auto"/>
              <w:right w:val="nil"/>
            </w:tcBorders>
            <w:shd w:val="clear" w:color="000000" w:fill="FFFFFF"/>
            <w:noWrap/>
            <w:vAlign w:val="center"/>
            <w:hideMark/>
          </w:tcPr>
          <w:p w14:paraId="5B89FF1F" w14:textId="77777777" w:rsidR="0027176B" w:rsidRPr="0027176B" w:rsidRDefault="0027176B" w:rsidP="0027176B">
            <w:pP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TOTAL CHIEF CONSTABLE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D26AC" w14:textId="77777777" w:rsidR="0027176B" w:rsidRPr="0027176B" w:rsidRDefault="0027176B" w:rsidP="0027176B">
            <w:pP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 </w:t>
            </w:r>
          </w:p>
        </w:tc>
        <w:tc>
          <w:tcPr>
            <w:tcW w:w="1176" w:type="dxa"/>
            <w:tcBorders>
              <w:top w:val="single" w:sz="4" w:space="0" w:color="auto"/>
              <w:left w:val="nil"/>
              <w:bottom w:val="single" w:sz="4" w:space="0" w:color="auto"/>
              <w:right w:val="nil"/>
            </w:tcBorders>
            <w:shd w:val="clear" w:color="000000" w:fill="FFFFFF"/>
            <w:noWrap/>
            <w:vAlign w:val="center"/>
            <w:hideMark/>
          </w:tcPr>
          <w:p w14:paraId="0B91693B" w14:textId="77777777" w:rsidR="0027176B" w:rsidRPr="0027176B" w:rsidRDefault="0027176B" w:rsidP="0027176B">
            <w:pP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 </w:t>
            </w:r>
          </w:p>
        </w:tc>
        <w:tc>
          <w:tcPr>
            <w:tcW w:w="1242" w:type="dxa"/>
            <w:tcBorders>
              <w:top w:val="single" w:sz="4" w:space="0" w:color="auto"/>
              <w:left w:val="single" w:sz="4" w:space="0" w:color="auto"/>
              <w:bottom w:val="single" w:sz="4" w:space="0" w:color="auto"/>
              <w:right w:val="nil"/>
            </w:tcBorders>
            <w:shd w:val="clear" w:color="000000" w:fill="FFFFFF"/>
            <w:noWrap/>
            <w:vAlign w:val="center"/>
            <w:hideMark/>
          </w:tcPr>
          <w:p w14:paraId="647EC09E" w14:textId="77777777" w:rsidR="00D114B9" w:rsidRPr="00D114B9" w:rsidRDefault="0027176B" w:rsidP="00D114B9">
            <w:pPr>
              <w:jc w:val="center"/>
              <w:rPr>
                <w:rFonts w:ascii="Verdana" w:eastAsia="Verdana" w:hAnsi="Verdana" w:cs="Verdana"/>
                <w:b/>
                <w:bCs/>
                <w:color w:val="000000"/>
                <w:sz w:val="18"/>
                <w:szCs w:val="18"/>
                <w:lang w:val="en-GB" w:eastAsia="en-GB"/>
              </w:rPr>
            </w:pPr>
            <w:r w:rsidRPr="0027176B">
              <w:rPr>
                <w:rFonts w:ascii="Verdana" w:eastAsia="Verdana" w:hAnsi="Verdana" w:cs="Verdana"/>
                <w:b/>
                <w:bCs/>
                <w:color w:val="000000"/>
                <w:sz w:val="18"/>
                <w:szCs w:val="18"/>
                <w:lang w:val="en-GB" w:eastAsia="en-GB"/>
              </w:rPr>
              <w:t>1,133,31</w:t>
            </w:r>
            <w:r w:rsidR="00D8454A">
              <w:rPr>
                <w:rFonts w:ascii="Verdana" w:eastAsia="Verdana" w:hAnsi="Verdana" w:cs="Verdana"/>
                <w:b/>
                <w:bCs/>
                <w:color w:val="000000"/>
                <w:sz w:val="18"/>
                <w:szCs w:val="18"/>
                <w:lang w:val="en-GB" w:eastAsia="en-GB"/>
              </w:rPr>
              <w:t>7</w:t>
            </w:r>
          </w:p>
        </w:tc>
        <w:tc>
          <w:tcPr>
            <w:tcW w:w="1551" w:type="dxa"/>
            <w:tcBorders>
              <w:top w:val="single" w:sz="4" w:space="0" w:color="auto"/>
              <w:left w:val="single" w:sz="4" w:space="0" w:color="auto"/>
              <w:bottom w:val="single" w:sz="4" w:space="0" w:color="auto"/>
              <w:right w:val="nil"/>
            </w:tcBorders>
            <w:shd w:val="clear" w:color="000000" w:fill="FFFFFF"/>
            <w:noWrap/>
            <w:vAlign w:val="center"/>
            <w:hideMark/>
          </w:tcPr>
          <w:p w14:paraId="6DB05279" w14:textId="77777777" w:rsidR="0027176B" w:rsidRPr="0027176B" w:rsidRDefault="0027176B" w:rsidP="0027176B">
            <w:pPr>
              <w:jc w:val="cente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292,888</w:t>
            </w:r>
          </w:p>
        </w:tc>
        <w:tc>
          <w:tcPr>
            <w:tcW w:w="1276" w:type="dxa"/>
            <w:tcBorders>
              <w:top w:val="single" w:sz="4" w:space="0" w:color="auto"/>
              <w:left w:val="single" w:sz="4" w:space="0" w:color="auto"/>
              <w:bottom w:val="single" w:sz="4" w:space="0" w:color="auto"/>
              <w:right w:val="nil"/>
            </w:tcBorders>
            <w:shd w:val="clear" w:color="000000" w:fill="FFFFFF"/>
            <w:noWrap/>
            <w:vAlign w:val="center"/>
            <w:hideMark/>
          </w:tcPr>
          <w:p w14:paraId="2058ED6F" w14:textId="77777777" w:rsidR="0027176B" w:rsidRPr="0027176B" w:rsidRDefault="0027176B" w:rsidP="0027176B">
            <w:pPr>
              <w:jc w:val="cente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14:paraId="0E99905F" w14:textId="77777777" w:rsidR="0027176B" w:rsidRPr="0027176B" w:rsidRDefault="0027176B" w:rsidP="0027176B">
            <w:pPr>
              <w:jc w:val="center"/>
              <w:rPr>
                <w:rFonts w:ascii="Verdana" w:eastAsia="Times New Roman" w:hAnsi="Verdana" w:cs="Calibri"/>
                <w:b/>
                <w:bCs/>
                <w:color w:val="000000"/>
                <w:sz w:val="18"/>
                <w:szCs w:val="18"/>
                <w:lang w:val="en-GB" w:eastAsia="en-GB"/>
              </w:rPr>
            </w:pPr>
            <w:r w:rsidRPr="0027176B">
              <w:rPr>
                <w:rFonts w:ascii="Verdana" w:eastAsia="Verdana" w:hAnsi="Verdana" w:cs="Verdana"/>
                <w:b/>
                <w:bCs/>
                <w:color w:val="000000"/>
                <w:sz w:val="18"/>
                <w:szCs w:val="18"/>
                <w:lang w:val="en-GB" w:eastAsia="en-GB"/>
              </w:rPr>
              <w:t>25,113</w:t>
            </w:r>
          </w:p>
        </w:tc>
        <w:tc>
          <w:tcPr>
            <w:tcW w:w="19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44635" w14:textId="77777777" w:rsidR="0027176B" w:rsidRPr="0027176B" w:rsidRDefault="00D8454A" w:rsidP="0027176B">
            <w:pPr>
              <w:jc w:val="right"/>
              <w:rPr>
                <w:rFonts w:ascii="Verdana" w:eastAsia="Times New Roman" w:hAnsi="Verdana" w:cs="Calibri"/>
                <w:b/>
                <w:bCs/>
                <w:color w:val="000000"/>
                <w:sz w:val="18"/>
                <w:szCs w:val="18"/>
                <w:lang w:val="en-GB" w:eastAsia="en-GB"/>
              </w:rPr>
            </w:pPr>
            <w:r>
              <w:rPr>
                <w:rFonts w:ascii="Verdana" w:eastAsia="Verdana" w:hAnsi="Verdana" w:cs="Verdana"/>
                <w:b/>
                <w:bCs/>
                <w:color w:val="000000"/>
                <w:sz w:val="18"/>
                <w:szCs w:val="18"/>
                <w:lang w:val="en-GB" w:eastAsia="en-GB"/>
              </w:rPr>
              <w:t>1,451,318</w:t>
            </w:r>
          </w:p>
        </w:tc>
      </w:tr>
    </w:tbl>
    <w:p w14:paraId="323FE872" w14:textId="77777777" w:rsidR="00745B47" w:rsidRDefault="00745B47" w:rsidP="00745B47">
      <w:pPr>
        <w:pStyle w:val="Normal0"/>
        <w:spacing w:after="160" w:line="259" w:lineRule="auto"/>
        <w:jc w:val="center"/>
        <w:rPr>
          <w:rFonts w:ascii="Verdana" w:eastAsia="Verdana" w:hAnsi="Verdana" w:cs="Verdana"/>
          <w:sz w:val="22"/>
          <w:szCs w:val="22"/>
          <w:lang w:val="en-GB"/>
        </w:rPr>
      </w:pPr>
    </w:p>
    <w:p w14:paraId="58C5245F" w14:textId="77777777" w:rsidR="00745B47" w:rsidRDefault="00745B47" w:rsidP="00745B47">
      <w:pPr>
        <w:pStyle w:val="Normal0"/>
        <w:spacing w:after="160" w:line="259" w:lineRule="auto"/>
        <w:jc w:val="center"/>
        <w:rPr>
          <w:rFonts w:ascii="Verdana" w:eastAsia="Verdana" w:hAnsi="Verdana" w:cs="Verdana"/>
          <w:sz w:val="22"/>
          <w:szCs w:val="22"/>
          <w:lang w:val="en-GB"/>
        </w:rPr>
      </w:pPr>
    </w:p>
    <w:p w14:paraId="1E112AE1" w14:textId="77777777" w:rsidR="00745B47" w:rsidRDefault="00745B47" w:rsidP="00745B47">
      <w:pPr>
        <w:pStyle w:val="Normal0"/>
        <w:spacing w:after="160" w:line="259" w:lineRule="auto"/>
        <w:jc w:val="center"/>
        <w:rPr>
          <w:rFonts w:ascii="Verdana" w:eastAsia="Verdana" w:hAnsi="Verdana" w:cs="Verdana"/>
          <w:sz w:val="22"/>
          <w:szCs w:val="22"/>
          <w:lang w:val="en-GB"/>
        </w:rPr>
      </w:pPr>
    </w:p>
    <w:p w14:paraId="13A6AF77" w14:textId="77777777" w:rsidR="00745B47" w:rsidRDefault="00745B47" w:rsidP="00745B47">
      <w:pPr>
        <w:pStyle w:val="Normal0"/>
        <w:spacing w:after="160" w:line="259" w:lineRule="auto"/>
        <w:jc w:val="center"/>
        <w:rPr>
          <w:rFonts w:ascii="Verdana" w:eastAsia="Verdana" w:hAnsi="Verdana" w:cs="Verdana"/>
          <w:sz w:val="22"/>
          <w:szCs w:val="22"/>
          <w:lang w:val="en-GB"/>
        </w:rPr>
      </w:pPr>
    </w:p>
    <w:p w14:paraId="7CA624C5" w14:textId="77777777" w:rsidR="00745B47" w:rsidRDefault="00745B47" w:rsidP="00745B47">
      <w:pPr>
        <w:pStyle w:val="Normal0"/>
        <w:spacing w:after="160" w:line="259" w:lineRule="auto"/>
        <w:jc w:val="center"/>
        <w:rPr>
          <w:rFonts w:ascii="Verdana" w:eastAsia="Verdana" w:hAnsi="Verdana" w:cs="Verdana"/>
          <w:sz w:val="22"/>
          <w:szCs w:val="22"/>
          <w:lang w:val="en-GB"/>
        </w:rPr>
      </w:pPr>
    </w:p>
    <w:p w14:paraId="0CDD90C8" w14:textId="77777777" w:rsidR="00745B47" w:rsidRDefault="00745B47" w:rsidP="00745B47">
      <w:pPr>
        <w:pStyle w:val="Normal0"/>
        <w:spacing w:after="160" w:line="259" w:lineRule="auto"/>
        <w:jc w:val="center"/>
        <w:rPr>
          <w:rFonts w:ascii="Verdana" w:eastAsia="Verdana" w:hAnsi="Verdana" w:cs="Verdana"/>
          <w:sz w:val="22"/>
          <w:szCs w:val="22"/>
          <w:lang w:val="en-GB"/>
        </w:rPr>
      </w:pPr>
    </w:p>
    <w:tbl>
      <w:tblPr>
        <w:tblW w:w="14831" w:type="dxa"/>
        <w:tblInd w:w="-5" w:type="dxa"/>
        <w:tblLook w:val="04A0" w:firstRow="1" w:lastRow="0" w:firstColumn="1" w:lastColumn="0" w:noHBand="0" w:noVBand="1"/>
      </w:tblPr>
      <w:tblGrid>
        <w:gridCol w:w="3544"/>
        <w:gridCol w:w="1559"/>
        <w:gridCol w:w="1276"/>
        <w:gridCol w:w="1360"/>
        <w:gridCol w:w="1481"/>
        <w:gridCol w:w="1128"/>
        <w:gridCol w:w="142"/>
        <w:gridCol w:w="992"/>
        <w:gridCol w:w="1270"/>
        <w:gridCol w:w="431"/>
        <w:gridCol w:w="1128"/>
        <w:gridCol w:w="520"/>
      </w:tblGrid>
      <w:tr w:rsidR="00745B47" w:rsidRPr="00745B47" w14:paraId="35C87DDF" w14:textId="77777777" w:rsidTr="00514C09">
        <w:trPr>
          <w:trHeight w:val="300"/>
        </w:trPr>
        <w:tc>
          <w:tcPr>
            <w:tcW w:w="10348" w:type="dxa"/>
            <w:gridSpan w:val="6"/>
            <w:tcBorders>
              <w:top w:val="single" w:sz="4" w:space="0" w:color="auto"/>
              <w:left w:val="single" w:sz="4" w:space="0" w:color="auto"/>
              <w:bottom w:val="nil"/>
              <w:right w:val="nil"/>
            </w:tcBorders>
            <w:shd w:val="clear" w:color="000000" w:fill="FFFFFF"/>
            <w:noWrap/>
            <w:vAlign w:val="center"/>
            <w:hideMark/>
          </w:tcPr>
          <w:p w14:paraId="1282F602" w14:textId="77777777" w:rsidR="00745B47" w:rsidRPr="00745B47" w:rsidRDefault="00745B47" w:rsidP="0027176B">
            <w:pPr>
              <w:ind w:right="-2231" w:firstLineChars="100" w:firstLine="181"/>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Remuneration for Senior Officers with responsibility for the management of Surrey Police were:</w:t>
            </w:r>
          </w:p>
        </w:tc>
        <w:tc>
          <w:tcPr>
            <w:tcW w:w="1134" w:type="dxa"/>
            <w:gridSpan w:val="2"/>
            <w:tcBorders>
              <w:top w:val="single" w:sz="4" w:space="0" w:color="auto"/>
              <w:left w:val="nil"/>
              <w:bottom w:val="nil"/>
              <w:right w:val="nil"/>
            </w:tcBorders>
            <w:shd w:val="clear" w:color="000000" w:fill="FFFFFF"/>
            <w:vAlign w:val="center"/>
            <w:hideMark/>
          </w:tcPr>
          <w:p w14:paraId="45247787" w14:textId="77777777" w:rsidR="00745B47" w:rsidRPr="00745B47" w:rsidRDefault="00745B47" w:rsidP="00745B47">
            <w:pPr>
              <w:ind w:firstLineChars="100" w:firstLine="181"/>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1270" w:type="dxa"/>
            <w:tcBorders>
              <w:top w:val="single" w:sz="4" w:space="0" w:color="auto"/>
              <w:left w:val="nil"/>
              <w:bottom w:val="nil"/>
              <w:right w:val="nil"/>
            </w:tcBorders>
            <w:shd w:val="clear" w:color="000000" w:fill="FFFFFF"/>
            <w:vAlign w:val="center"/>
            <w:hideMark/>
          </w:tcPr>
          <w:p w14:paraId="230A56DA" w14:textId="77777777" w:rsidR="00745B47" w:rsidRPr="00745B47" w:rsidRDefault="00745B47" w:rsidP="00745B47">
            <w:pPr>
              <w:ind w:firstLineChars="100" w:firstLine="181"/>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1559" w:type="dxa"/>
            <w:gridSpan w:val="2"/>
            <w:tcBorders>
              <w:top w:val="single" w:sz="4" w:space="0" w:color="auto"/>
              <w:left w:val="nil"/>
              <w:bottom w:val="nil"/>
              <w:right w:val="nil"/>
            </w:tcBorders>
            <w:shd w:val="clear" w:color="000000" w:fill="FFFFFF"/>
            <w:vAlign w:val="center"/>
            <w:hideMark/>
          </w:tcPr>
          <w:p w14:paraId="5EB2B6BF" w14:textId="77777777" w:rsidR="00745B47" w:rsidRPr="00745B47" w:rsidRDefault="00745B47" w:rsidP="00745B47">
            <w:pPr>
              <w:ind w:firstLineChars="100" w:firstLine="181"/>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520" w:type="dxa"/>
            <w:tcBorders>
              <w:top w:val="single" w:sz="4" w:space="0" w:color="auto"/>
              <w:left w:val="nil"/>
              <w:bottom w:val="nil"/>
              <w:right w:val="single" w:sz="4" w:space="0" w:color="auto"/>
            </w:tcBorders>
            <w:shd w:val="clear" w:color="000000" w:fill="FFFFFF"/>
            <w:vAlign w:val="center"/>
            <w:hideMark/>
          </w:tcPr>
          <w:p w14:paraId="09199728" w14:textId="77777777" w:rsidR="00745B47" w:rsidRPr="00745B47" w:rsidRDefault="00745B47" w:rsidP="00745B47">
            <w:pPr>
              <w:ind w:firstLineChars="100" w:firstLine="181"/>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r>
      <w:tr w:rsidR="00745B47" w:rsidRPr="00745B47" w14:paraId="4E582980" w14:textId="77777777" w:rsidTr="00F5442C">
        <w:trPr>
          <w:trHeight w:val="300"/>
        </w:trPr>
        <w:tc>
          <w:tcPr>
            <w:tcW w:w="354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2FADA78E" w14:textId="77777777" w:rsidR="00745B47" w:rsidRPr="00745B47" w:rsidRDefault="00745B47" w:rsidP="00745B47">
            <w:pP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1559" w:type="dxa"/>
            <w:tcBorders>
              <w:top w:val="single" w:sz="4" w:space="0" w:color="000000"/>
              <w:left w:val="nil"/>
              <w:bottom w:val="single" w:sz="4" w:space="0" w:color="000000"/>
              <w:right w:val="nil"/>
            </w:tcBorders>
            <w:shd w:val="clear" w:color="000000" w:fill="FFFFFF"/>
            <w:noWrap/>
            <w:vAlign w:val="center"/>
            <w:hideMark/>
          </w:tcPr>
          <w:p w14:paraId="3401CAB4" w14:textId="77777777" w:rsidR="00745B47" w:rsidRPr="00745B47" w:rsidRDefault="00745B47" w:rsidP="00745B47">
            <w:pP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1276" w:type="dxa"/>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3CA3D3F" w14:textId="77777777" w:rsidR="00745B47" w:rsidRPr="00745B47" w:rsidRDefault="00745B47" w:rsidP="00745B47">
            <w:pPr>
              <w:jc w:val="right"/>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8452" w:type="dxa"/>
            <w:gridSpan w:val="9"/>
            <w:tcBorders>
              <w:top w:val="single" w:sz="4" w:space="0" w:color="auto"/>
              <w:left w:val="single" w:sz="4" w:space="0" w:color="000000"/>
              <w:bottom w:val="single" w:sz="4" w:space="0" w:color="auto"/>
              <w:right w:val="single" w:sz="4" w:space="0" w:color="000000"/>
            </w:tcBorders>
            <w:shd w:val="clear" w:color="000000" w:fill="FFFFFF"/>
            <w:noWrap/>
            <w:vAlign w:val="center"/>
            <w:hideMark/>
          </w:tcPr>
          <w:p w14:paraId="409C7C45" w14:textId="77777777" w:rsidR="00745B47" w:rsidRPr="00745B47" w:rsidRDefault="00745B47" w:rsidP="00745B47">
            <w:pPr>
              <w:jc w:val="cente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2019/2020</w:t>
            </w:r>
          </w:p>
        </w:tc>
      </w:tr>
      <w:tr w:rsidR="00745B47" w:rsidRPr="00745B47" w14:paraId="1CE3E9B4" w14:textId="77777777" w:rsidTr="00514C09">
        <w:trPr>
          <w:trHeight w:val="675"/>
        </w:trPr>
        <w:tc>
          <w:tcPr>
            <w:tcW w:w="354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273CE373"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Position</w:t>
            </w:r>
          </w:p>
        </w:tc>
        <w:tc>
          <w:tcPr>
            <w:tcW w:w="1559" w:type="dxa"/>
            <w:tcBorders>
              <w:top w:val="single" w:sz="4" w:space="0" w:color="000000"/>
              <w:left w:val="nil"/>
              <w:bottom w:val="single" w:sz="4" w:space="0" w:color="auto"/>
              <w:right w:val="single" w:sz="4" w:space="0" w:color="auto"/>
            </w:tcBorders>
            <w:shd w:val="clear" w:color="000000" w:fill="FFFFFF"/>
            <w:vAlign w:val="center"/>
            <w:hideMark/>
          </w:tcPr>
          <w:p w14:paraId="65EE8559"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Position Start Date</w:t>
            </w:r>
          </w:p>
        </w:tc>
        <w:tc>
          <w:tcPr>
            <w:tcW w:w="1276" w:type="dxa"/>
            <w:tcBorders>
              <w:top w:val="single" w:sz="4" w:space="0" w:color="000000"/>
              <w:left w:val="nil"/>
              <w:bottom w:val="single" w:sz="4" w:space="0" w:color="auto"/>
              <w:right w:val="single" w:sz="4" w:space="0" w:color="auto"/>
            </w:tcBorders>
            <w:shd w:val="clear" w:color="000000" w:fill="FFFFFF"/>
            <w:vAlign w:val="center"/>
            <w:hideMark/>
          </w:tcPr>
          <w:p w14:paraId="0A7E879E"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Position End Date</w:t>
            </w:r>
          </w:p>
        </w:tc>
        <w:tc>
          <w:tcPr>
            <w:tcW w:w="1360" w:type="dxa"/>
            <w:tcBorders>
              <w:top w:val="nil"/>
              <w:left w:val="nil"/>
              <w:bottom w:val="single" w:sz="4" w:space="0" w:color="auto"/>
              <w:right w:val="single" w:sz="4" w:space="0" w:color="auto"/>
            </w:tcBorders>
            <w:shd w:val="clear" w:color="000000" w:fill="FFFFFF"/>
            <w:vAlign w:val="center"/>
            <w:hideMark/>
          </w:tcPr>
          <w:p w14:paraId="33257B89"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Salary, Fees &amp; Allowances</w:t>
            </w:r>
          </w:p>
        </w:tc>
        <w:tc>
          <w:tcPr>
            <w:tcW w:w="1481" w:type="dxa"/>
            <w:tcBorders>
              <w:top w:val="nil"/>
              <w:left w:val="nil"/>
              <w:bottom w:val="single" w:sz="4" w:space="0" w:color="auto"/>
              <w:right w:val="single" w:sz="4" w:space="0" w:color="auto"/>
            </w:tcBorders>
            <w:shd w:val="clear" w:color="000000" w:fill="FFFFFF"/>
            <w:vAlign w:val="center"/>
            <w:hideMark/>
          </w:tcPr>
          <w:p w14:paraId="40010705"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Employers Pension Contribution</w:t>
            </w:r>
          </w:p>
        </w:tc>
        <w:tc>
          <w:tcPr>
            <w:tcW w:w="1270" w:type="dxa"/>
            <w:gridSpan w:val="2"/>
            <w:tcBorders>
              <w:top w:val="nil"/>
              <w:left w:val="nil"/>
              <w:bottom w:val="single" w:sz="4" w:space="0" w:color="auto"/>
              <w:right w:val="single" w:sz="4" w:space="0" w:color="auto"/>
            </w:tcBorders>
            <w:shd w:val="clear" w:color="000000" w:fill="FFFFFF"/>
            <w:vAlign w:val="center"/>
            <w:hideMark/>
          </w:tcPr>
          <w:p w14:paraId="027712E7"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P11D Benefit</w:t>
            </w:r>
          </w:p>
        </w:tc>
        <w:tc>
          <w:tcPr>
            <w:tcW w:w="992" w:type="dxa"/>
            <w:tcBorders>
              <w:top w:val="nil"/>
              <w:left w:val="nil"/>
              <w:bottom w:val="single" w:sz="4" w:space="0" w:color="auto"/>
              <w:right w:val="single" w:sz="4" w:space="0" w:color="auto"/>
            </w:tcBorders>
            <w:shd w:val="clear" w:color="000000" w:fill="FFFFFF"/>
            <w:vAlign w:val="center"/>
            <w:hideMark/>
          </w:tcPr>
          <w:p w14:paraId="2D1CD15B"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Comp for Loss of Office’</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59854B2"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Accrued Annual Leave not yet taken</w:t>
            </w:r>
          </w:p>
        </w:tc>
        <w:tc>
          <w:tcPr>
            <w:tcW w:w="1648" w:type="dxa"/>
            <w:gridSpan w:val="2"/>
            <w:tcBorders>
              <w:top w:val="nil"/>
              <w:left w:val="nil"/>
              <w:bottom w:val="single" w:sz="4" w:space="0" w:color="auto"/>
              <w:right w:val="single" w:sz="4" w:space="0" w:color="auto"/>
            </w:tcBorders>
            <w:shd w:val="clear" w:color="000000" w:fill="FFFFFF"/>
            <w:vAlign w:val="center"/>
            <w:hideMark/>
          </w:tcPr>
          <w:p w14:paraId="7FF609D3" w14:textId="77777777" w:rsidR="00745B47" w:rsidRPr="0027176B" w:rsidRDefault="00745B47" w:rsidP="00745B47">
            <w:pPr>
              <w:jc w:val="center"/>
              <w:rPr>
                <w:rFonts w:ascii="Verdana" w:eastAsia="Times New Roman" w:hAnsi="Verdana" w:cs="Calibri"/>
                <w:b/>
                <w:bCs/>
                <w:color w:val="000000"/>
                <w:sz w:val="16"/>
                <w:szCs w:val="16"/>
                <w:lang w:val="en-GB" w:eastAsia="en-GB"/>
              </w:rPr>
            </w:pPr>
            <w:r w:rsidRPr="0027176B">
              <w:rPr>
                <w:rFonts w:ascii="Verdana" w:eastAsia="Times New Roman" w:hAnsi="Verdana" w:cs="Calibri"/>
                <w:b/>
                <w:bCs/>
                <w:color w:val="000000"/>
                <w:sz w:val="16"/>
                <w:szCs w:val="16"/>
                <w:lang w:val="en-GB" w:eastAsia="en-GB"/>
              </w:rPr>
              <w:t xml:space="preserve">Total Remuneration </w:t>
            </w:r>
          </w:p>
        </w:tc>
      </w:tr>
      <w:tr w:rsidR="00745B47" w:rsidRPr="00745B47" w14:paraId="04BA116F" w14:textId="77777777" w:rsidTr="00514C09">
        <w:trPr>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6E895037" w14:textId="77777777" w:rsidR="00745B47" w:rsidRPr="00745B47" w:rsidRDefault="00745B47" w:rsidP="00745B47">
            <w:pPr>
              <w:ind w:firstLineChars="100" w:firstLine="161"/>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 </w:t>
            </w:r>
          </w:p>
        </w:tc>
        <w:tc>
          <w:tcPr>
            <w:tcW w:w="1559" w:type="dxa"/>
            <w:tcBorders>
              <w:top w:val="nil"/>
              <w:left w:val="nil"/>
              <w:bottom w:val="single" w:sz="4" w:space="0" w:color="auto"/>
              <w:right w:val="single" w:sz="4" w:space="0" w:color="auto"/>
            </w:tcBorders>
            <w:shd w:val="clear" w:color="000000" w:fill="FFFFFF"/>
            <w:vAlign w:val="center"/>
            <w:hideMark/>
          </w:tcPr>
          <w:p w14:paraId="24D7462B"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 </w:t>
            </w:r>
          </w:p>
        </w:tc>
        <w:tc>
          <w:tcPr>
            <w:tcW w:w="1276" w:type="dxa"/>
            <w:tcBorders>
              <w:top w:val="nil"/>
              <w:left w:val="nil"/>
              <w:bottom w:val="single" w:sz="4" w:space="0" w:color="auto"/>
              <w:right w:val="single" w:sz="4" w:space="0" w:color="auto"/>
            </w:tcBorders>
            <w:shd w:val="clear" w:color="000000" w:fill="FFFFFF"/>
            <w:vAlign w:val="center"/>
            <w:hideMark/>
          </w:tcPr>
          <w:p w14:paraId="71ABA095"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603C6079"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w:t>
            </w:r>
          </w:p>
        </w:tc>
        <w:tc>
          <w:tcPr>
            <w:tcW w:w="1481" w:type="dxa"/>
            <w:tcBorders>
              <w:top w:val="nil"/>
              <w:left w:val="nil"/>
              <w:bottom w:val="single" w:sz="4" w:space="0" w:color="auto"/>
              <w:right w:val="single" w:sz="4" w:space="0" w:color="auto"/>
            </w:tcBorders>
            <w:shd w:val="clear" w:color="000000" w:fill="FFFFFF"/>
            <w:vAlign w:val="center"/>
            <w:hideMark/>
          </w:tcPr>
          <w:p w14:paraId="074DF4FA"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w:t>
            </w:r>
          </w:p>
        </w:tc>
        <w:tc>
          <w:tcPr>
            <w:tcW w:w="1270" w:type="dxa"/>
            <w:gridSpan w:val="2"/>
            <w:tcBorders>
              <w:top w:val="nil"/>
              <w:left w:val="nil"/>
              <w:bottom w:val="single" w:sz="4" w:space="0" w:color="auto"/>
              <w:right w:val="single" w:sz="4" w:space="0" w:color="auto"/>
            </w:tcBorders>
            <w:shd w:val="clear" w:color="000000" w:fill="FFFFFF"/>
            <w:vAlign w:val="center"/>
            <w:hideMark/>
          </w:tcPr>
          <w:p w14:paraId="54BBC754"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w:t>
            </w:r>
          </w:p>
        </w:tc>
        <w:tc>
          <w:tcPr>
            <w:tcW w:w="992" w:type="dxa"/>
            <w:tcBorders>
              <w:top w:val="nil"/>
              <w:left w:val="nil"/>
              <w:bottom w:val="single" w:sz="4" w:space="0" w:color="auto"/>
              <w:right w:val="single" w:sz="4" w:space="0" w:color="auto"/>
            </w:tcBorders>
            <w:shd w:val="clear" w:color="000000" w:fill="FFFFFF"/>
            <w:vAlign w:val="center"/>
            <w:hideMark/>
          </w:tcPr>
          <w:p w14:paraId="42DAB74F"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BB72AB6"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 </w:t>
            </w:r>
          </w:p>
        </w:tc>
        <w:tc>
          <w:tcPr>
            <w:tcW w:w="1648" w:type="dxa"/>
            <w:gridSpan w:val="2"/>
            <w:tcBorders>
              <w:top w:val="nil"/>
              <w:left w:val="nil"/>
              <w:bottom w:val="single" w:sz="4" w:space="0" w:color="auto"/>
              <w:right w:val="single" w:sz="4" w:space="0" w:color="auto"/>
            </w:tcBorders>
            <w:shd w:val="clear" w:color="000000" w:fill="FFFFFF"/>
            <w:vAlign w:val="center"/>
            <w:hideMark/>
          </w:tcPr>
          <w:p w14:paraId="1CEE803B" w14:textId="77777777" w:rsidR="00745B47" w:rsidRPr="00745B47" w:rsidRDefault="00745B47" w:rsidP="00745B47">
            <w:pPr>
              <w:jc w:val="center"/>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w:t>
            </w:r>
          </w:p>
        </w:tc>
      </w:tr>
      <w:tr w:rsidR="00745B47" w:rsidRPr="00745B47" w14:paraId="2F6178B3" w14:textId="77777777" w:rsidTr="00514C09">
        <w:trPr>
          <w:trHeight w:val="300"/>
        </w:trPr>
        <w:tc>
          <w:tcPr>
            <w:tcW w:w="3544" w:type="dxa"/>
            <w:tcBorders>
              <w:top w:val="nil"/>
              <w:left w:val="single" w:sz="4" w:space="0" w:color="auto"/>
              <w:bottom w:val="nil"/>
              <w:right w:val="nil"/>
            </w:tcBorders>
            <w:shd w:val="clear" w:color="000000" w:fill="FFFFFF"/>
            <w:vAlign w:val="center"/>
            <w:hideMark/>
          </w:tcPr>
          <w:p w14:paraId="713B7310"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Chief Constable-G Stevens</w:t>
            </w:r>
          </w:p>
        </w:tc>
        <w:tc>
          <w:tcPr>
            <w:tcW w:w="1559" w:type="dxa"/>
            <w:tcBorders>
              <w:top w:val="nil"/>
              <w:left w:val="single" w:sz="4" w:space="0" w:color="auto"/>
              <w:bottom w:val="nil"/>
              <w:right w:val="nil"/>
            </w:tcBorders>
            <w:shd w:val="clear" w:color="000000" w:fill="FFFFFF"/>
            <w:vAlign w:val="center"/>
            <w:hideMark/>
          </w:tcPr>
          <w:p w14:paraId="10BA1F4E"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20/01/2019</w:t>
            </w:r>
          </w:p>
        </w:tc>
        <w:tc>
          <w:tcPr>
            <w:tcW w:w="1276" w:type="dxa"/>
            <w:tcBorders>
              <w:top w:val="nil"/>
              <w:left w:val="single" w:sz="4" w:space="0" w:color="auto"/>
              <w:bottom w:val="nil"/>
              <w:right w:val="nil"/>
            </w:tcBorders>
            <w:shd w:val="clear" w:color="000000" w:fill="FFFFFF"/>
            <w:vAlign w:val="center"/>
            <w:hideMark/>
          </w:tcPr>
          <w:p w14:paraId="4F4FBBC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auto" w:fill="auto"/>
            <w:noWrap/>
            <w:vAlign w:val="center"/>
            <w:hideMark/>
          </w:tcPr>
          <w:p w14:paraId="40E42706"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152,710</w:t>
            </w:r>
          </w:p>
        </w:tc>
        <w:tc>
          <w:tcPr>
            <w:tcW w:w="1481" w:type="dxa"/>
            <w:tcBorders>
              <w:top w:val="nil"/>
              <w:left w:val="single" w:sz="4" w:space="0" w:color="auto"/>
              <w:bottom w:val="nil"/>
              <w:right w:val="single" w:sz="4" w:space="0" w:color="auto"/>
            </w:tcBorders>
            <w:shd w:val="clear" w:color="auto" w:fill="auto"/>
            <w:vAlign w:val="center"/>
            <w:hideMark/>
          </w:tcPr>
          <w:p w14:paraId="0BB9E793"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22,556</w:t>
            </w:r>
          </w:p>
        </w:tc>
        <w:tc>
          <w:tcPr>
            <w:tcW w:w="1270" w:type="dxa"/>
            <w:gridSpan w:val="2"/>
            <w:tcBorders>
              <w:top w:val="nil"/>
              <w:left w:val="nil"/>
              <w:bottom w:val="nil"/>
              <w:right w:val="single" w:sz="4" w:space="0" w:color="auto"/>
            </w:tcBorders>
            <w:shd w:val="clear" w:color="auto" w:fill="auto"/>
            <w:vAlign w:val="center"/>
            <w:hideMark/>
          </w:tcPr>
          <w:p w14:paraId="75F5B66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4,171</w:t>
            </w:r>
          </w:p>
        </w:tc>
        <w:tc>
          <w:tcPr>
            <w:tcW w:w="992" w:type="dxa"/>
            <w:tcBorders>
              <w:top w:val="nil"/>
              <w:left w:val="nil"/>
              <w:bottom w:val="nil"/>
              <w:right w:val="single" w:sz="4" w:space="0" w:color="auto"/>
            </w:tcBorders>
            <w:shd w:val="clear" w:color="auto" w:fill="auto"/>
            <w:vAlign w:val="center"/>
            <w:hideMark/>
          </w:tcPr>
          <w:p w14:paraId="6E64BDD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auto" w:fill="auto"/>
            <w:vAlign w:val="center"/>
            <w:hideMark/>
          </w:tcPr>
          <w:p w14:paraId="29D3517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2,868</w:t>
            </w:r>
          </w:p>
        </w:tc>
        <w:tc>
          <w:tcPr>
            <w:tcW w:w="1648" w:type="dxa"/>
            <w:gridSpan w:val="2"/>
            <w:tcBorders>
              <w:top w:val="nil"/>
              <w:left w:val="nil"/>
              <w:bottom w:val="nil"/>
              <w:right w:val="single" w:sz="4" w:space="0" w:color="auto"/>
            </w:tcBorders>
            <w:shd w:val="clear" w:color="000000" w:fill="FFFFFF"/>
            <w:vAlign w:val="center"/>
            <w:hideMark/>
          </w:tcPr>
          <w:p w14:paraId="2AE85DC1"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182,305</w:t>
            </w:r>
          </w:p>
        </w:tc>
      </w:tr>
      <w:tr w:rsidR="00745B47" w:rsidRPr="00745B47" w14:paraId="26ECAFFC" w14:textId="77777777" w:rsidTr="00514C09">
        <w:trPr>
          <w:trHeight w:val="300"/>
        </w:trPr>
        <w:tc>
          <w:tcPr>
            <w:tcW w:w="3544" w:type="dxa"/>
            <w:tcBorders>
              <w:top w:val="nil"/>
              <w:left w:val="single" w:sz="4" w:space="0" w:color="auto"/>
              <w:bottom w:val="nil"/>
              <w:right w:val="nil"/>
            </w:tcBorders>
            <w:shd w:val="clear" w:color="000000" w:fill="FFFFFF"/>
            <w:vAlign w:val="center"/>
            <w:hideMark/>
          </w:tcPr>
          <w:p w14:paraId="49603EB9"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Temporary Deputy Chief Constable</w:t>
            </w:r>
          </w:p>
        </w:tc>
        <w:tc>
          <w:tcPr>
            <w:tcW w:w="1559" w:type="dxa"/>
            <w:tcBorders>
              <w:top w:val="nil"/>
              <w:left w:val="single" w:sz="4" w:space="0" w:color="auto"/>
              <w:bottom w:val="nil"/>
              <w:right w:val="nil"/>
            </w:tcBorders>
            <w:shd w:val="clear" w:color="000000" w:fill="FFFFFF"/>
            <w:vAlign w:val="center"/>
            <w:hideMark/>
          </w:tcPr>
          <w:p w14:paraId="0C5314EE"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20/01/2019</w:t>
            </w:r>
          </w:p>
        </w:tc>
        <w:tc>
          <w:tcPr>
            <w:tcW w:w="1276" w:type="dxa"/>
            <w:tcBorders>
              <w:top w:val="nil"/>
              <w:left w:val="single" w:sz="4" w:space="0" w:color="auto"/>
              <w:bottom w:val="nil"/>
              <w:right w:val="nil"/>
            </w:tcBorders>
            <w:shd w:val="clear" w:color="000000" w:fill="FFFFFF"/>
            <w:vAlign w:val="center"/>
            <w:hideMark/>
          </w:tcPr>
          <w:p w14:paraId="6A569A2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23/09/2019</w:t>
            </w:r>
          </w:p>
        </w:tc>
        <w:tc>
          <w:tcPr>
            <w:tcW w:w="1360" w:type="dxa"/>
            <w:tcBorders>
              <w:top w:val="nil"/>
              <w:left w:val="single" w:sz="4" w:space="0" w:color="auto"/>
              <w:bottom w:val="nil"/>
              <w:right w:val="nil"/>
            </w:tcBorders>
            <w:shd w:val="clear" w:color="000000" w:fill="FFFFFF"/>
            <w:noWrap/>
            <w:vAlign w:val="center"/>
            <w:hideMark/>
          </w:tcPr>
          <w:p w14:paraId="1764535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64,421</w:t>
            </w:r>
          </w:p>
        </w:tc>
        <w:tc>
          <w:tcPr>
            <w:tcW w:w="1481" w:type="dxa"/>
            <w:tcBorders>
              <w:top w:val="nil"/>
              <w:left w:val="single" w:sz="4" w:space="0" w:color="auto"/>
              <w:bottom w:val="nil"/>
              <w:right w:val="single" w:sz="4" w:space="0" w:color="auto"/>
            </w:tcBorders>
            <w:shd w:val="clear" w:color="000000" w:fill="FFFFFF"/>
            <w:vAlign w:val="center"/>
            <w:hideMark/>
          </w:tcPr>
          <w:p w14:paraId="7EDCDDA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17,991</w:t>
            </w:r>
          </w:p>
        </w:tc>
        <w:tc>
          <w:tcPr>
            <w:tcW w:w="1270" w:type="dxa"/>
            <w:gridSpan w:val="2"/>
            <w:tcBorders>
              <w:top w:val="nil"/>
              <w:left w:val="nil"/>
              <w:bottom w:val="nil"/>
              <w:right w:val="single" w:sz="4" w:space="0" w:color="auto"/>
            </w:tcBorders>
            <w:shd w:val="clear" w:color="000000" w:fill="FFFFFF"/>
            <w:vAlign w:val="center"/>
            <w:hideMark/>
          </w:tcPr>
          <w:p w14:paraId="7A31503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50DE954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0610F20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2,366</w:t>
            </w:r>
          </w:p>
        </w:tc>
        <w:tc>
          <w:tcPr>
            <w:tcW w:w="1648" w:type="dxa"/>
            <w:gridSpan w:val="2"/>
            <w:tcBorders>
              <w:top w:val="nil"/>
              <w:left w:val="nil"/>
              <w:bottom w:val="nil"/>
              <w:right w:val="single" w:sz="4" w:space="0" w:color="auto"/>
            </w:tcBorders>
            <w:shd w:val="clear" w:color="000000" w:fill="FFFFFF"/>
            <w:vAlign w:val="center"/>
            <w:hideMark/>
          </w:tcPr>
          <w:p w14:paraId="5320A87D"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84,778</w:t>
            </w:r>
          </w:p>
        </w:tc>
      </w:tr>
      <w:tr w:rsidR="00745B47" w:rsidRPr="00745B47" w14:paraId="5664C5D3" w14:textId="77777777" w:rsidTr="00514C09">
        <w:trPr>
          <w:trHeight w:val="225"/>
        </w:trPr>
        <w:tc>
          <w:tcPr>
            <w:tcW w:w="3544" w:type="dxa"/>
            <w:tcBorders>
              <w:top w:val="nil"/>
              <w:left w:val="single" w:sz="4" w:space="0" w:color="auto"/>
              <w:bottom w:val="nil"/>
              <w:right w:val="nil"/>
            </w:tcBorders>
            <w:shd w:val="clear" w:color="000000" w:fill="FFFFFF"/>
            <w:vAlign w:val="center"/>
            <w:hideMark/>
          </w:tcPr>
          <w:p w14:paraId="61281197"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Deputy Chief Constable</w:t>
            </w:r>
          </w:p>
        </w:tc>
        <w:tc>
          <w:tcPr>
            <w:tcW w:w="1559" w:type="dxa"/>
            <w:tcBorders>
              <w:top w:val="nil"/>
              <w:left w:val="single" w:sz="4" w:space="0" w:color="auto"/>
              <w:bottom w:val="nil"/>
              <w:right w:val="nil"/>
            </w:tcBorders>
            <w:shd w:val="clear" w:color="000000" w:fill="FFFFFF"/>
            <w:vAlign w:val="center"/>
            <w:hideMark/>
          </w:tcPr>
          <w:p w14:paraId="5937ACCA"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23/09/2019</w:t>
            </w:r>
          </w:p>
        </w:tc>
        <w:tc>
          <w:tcPr>
            <w:tcW w:w="1276" w:type="dxa"/>
            <w:tcBorders>
              <w:top w:val="nil"/>
              <w:left w:val="single" w:sz="4" w:space="0" w:color="auto"/>
              <w:bottom w:val="nil"/>
              <w:right w:val="nil"/>
            </w:tcBorders>
            <w:shd w:val="clear" w:color="000000" w:fill="FFFFFF"/>
            <w:vAlign w:val="center"/>
            <w:hideMark/>
          </w:tcPr>
          <w:p w14:paraId="47ECA08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5BD7C23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64,102</w:t>
            </w:r>
          </w:p>
        </w:tc>
        <w:tc>
          <w:tcPr>
            <w:tcW w:w="1481" w:type="dxa"/>
            <w:tcBorders>
              <w:top w:val="nil"/>
              <w:left w:val="single" w:sz="4" w:space="0" w:color="auto"/>
              <w:bottom w:val="nil"/>
              <w:right w:val="single" w:sz="4" w:space="0" w:color="auto"/>
            </w:tcBorders>
            <w:shd w:val="clear" w:color="000000" w:fill="FFFFFF"/>
            <w:vAlign w:val="center"/>
            <w:hideMark/>
          </w:tcPr>
          <w:p w14:paraId="7F41DFD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19,973</w:t>
            </w:r>
          </w:p>
        </w:tc>
        <w:tc>
          <w:tcPr>
            <w:tcW w:w="1270" w:type="dxa"/>
            <w:gridSpan w:val="2"/>
            <w:tcBorders>
              <w:top w:val="nil"/>
              <w:left w:val="nil"/>
              <w:bottom w:val="nil"/>
              <w:right w:val="single" w:sz="4" w:space="0" w:color="auto"/>
            </w:tcBorders>
            <w:shd w:val="clear" w:color="000000" w:fill="FFFFFF"/>
            <w:vAlign w:val="center"/>
            <w:hideMark/>
          </w:tcPr>
          <w:p w14:paraId="1D360A1D"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1,689</w:t>
            </w:r>
          </w:p>
        </w:tc>
        <w:tc>
          <w:tcPr>
            <w:tcW w:w="992" w:type="dxa"/>
            <w:tcBorders>
              <w:top w:val="nil"/>
              <w:left w:val="nil"/>
              <w:bottom w:val="nil"/>
              <w:right w:val="single" w:sz="4" w:space="0" w:color="auto"/>
            </w:tcBorders>
            <w:shd w:val="clear" w:color="000000" w:fill="FFFFFF"/>
            <w:vAlign w:val="center"/>
            <w:hideMark/>
          </w:tcPr>
          <w:p w14:paraId="3D2EB28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4382F301"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11B135AC"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85,764</w:t>
            </w:r>
          </w:p>
        </w:tc>
      </w:tr>
      <w:tr w:rsidR="00745B47" w:rsidRPr="00745B47" w14:paraId="0FB5FF37" w14:textId="77777777" w:rsidTr="00514C09">
        <w:trPr>
          <w:trHeight w:val="225"/>
        </w:trPr>
        <w:tc>
          <w:tcPr>
            <w:tcW w:w="3544" w:type="dxa"/>
            <w:tcBorders>
              <w:top w:val="nil"/>
              <w:left w:val="single" w:sz="4" w:space="0" w:color="auto"/>
              <w:bottom w:val="nil"/>
              <w:right w:val="nil"/>
            </w:tcBorders>
            <w:shd w:val="clear" w:color="000000" w:fill="FFFFFF"/>
            <w:vAlign w:val="center"/>
            <w:hideMark/>
          </w:tcPr>
          <w:p w14:paraId="73060E49"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Assistant Chief Constable</w:t>
            </w:r>
          </w:p>
        </w:tc>
        <w:tc>
          <w:tcPr>
            <w:tcW w:w="1559" w:type="dxa"/>
            <w:tcBorders>
              <w:top w:val="nil"/>
              <w:left w:val="single" w:sz="4" w:space="0" w:color="auto"/>
              <w:bottom w:val="nil"/>
              <w:right w:val="nil"/>
            </w:tcBorders>
            <w:shd w:val="clear" w:color="000000" w:fill="FFFFFF"/>
            <w:vAlign w:val="center"/>
            <w:hideMark/>
          </w:tcPr>
          <w:p w14:paraId="4A5EF02B"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07/05/2017</w:t>
            </w:r>
          </w:p>
        </w:tc>
        <w:tc>
          <w:tcPr>
            <w:tcW w:w="1276" w:type="dxa"/>
            <w:tcBorders>
              <w:top w:val="nil"/>
              <w:left w:val="single" w:sz="4" w:space="0" w:color="auto"/>
              <w:bottom w:val="nil"/>
              <w:right w:val="nil"/>
            </w:tcBorders>
            <w:shd w:val="clear" w:color="000000" w:fill="FFFFFF"/>
            <w:vAlign w:val="center"/>
            <w:hideMark/>
          </w:tcPr>
          <w:p w14:paraId="37307FF5"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22/09/2019</w:t>
            </w:r>
          </w:p>
        </w:tc>
        <w:tc>
          <w:tcPr>
            <w:tcW w:w="1360" w:type="dxa"/>
            <w:tcBorders>
              <w:top w:val="nil"/>
              <w:left w:val="single" w:sz="4" w:space="0" w:color="auto"/>
              <w:bottom w:val="nil"/>
              <w:right w:val="nil"/>
            </w:tcBorders>
            <w:shd w:val="clear" w:color="000000" w:fill="FFFFFF"/>
            <w:noWrap/>
            <w:vAlign w:val="center"/>
            <w:hideMark/>
          </w:tcPr>
          <w:p w14:paraId="5AA9A7C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54,420</w:t>
            </w:r>
          </w:p>
        </w:tc>
        <w:tc>
          <w:tcPr>
            <w:tcW w:w="1481" w:type="dxa"/>
            <w:tcBorders>
              <w:top w:val="nil"/>
              <w:left w:val="single" w:sz="4" w:space="0" w:color="auto"/>
              <w:bottom w:val="nil"/>
              <w:right w:val="single" w:sz="4" w:space="0" w:color="auto"/>
            </w:tcBorders>
            <w:shd w:val="clear" w:color="000000" w:fill="FFFFFF"/>
            <w:vAlign w:val="center"/>
            <w:hideMark/>
          </w:tcPr>
          <w:p w14:paraId="39966BF6"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16,661</w:t>
            </w:r>
          </w:p>
        </w:tc>
        <w:tc>
          <w:tcPr>
            <w:tcW w:w="1270" w:type="dxa"/>
            <w:gridSpan w:val="2"/>
            <w:tcBorders>
              <w:top w:val="nil"/>
              <w:left w:val="nil"/>
              <w:bottom w:val="nil"/>
              <w:right w:val="single" w:sz="4" w:space="0" w:color="auto"/>
            </w:tcBorders>
            <w:shd w:val="clear" w:color="000000" w:fill="FFFFFF"/>
            <w:vAlign w:val="center"/>
            <w:hideMark/>
          </w:tcPr>
          <w:p w14:paraId="5AB8A11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627</w:t>
            </w:r>
          </w:p>
        </w:tc>
        <w:tc>
          <w:tcPr>
            <w:tcW w:w="992" w:type="dxa"/>
            <w:tcBorders>
              <w:top w:val="nil"/>
              <w:left w:val="nil"/>
              <w:bottom w:val="nil"/>
              <w:right w:val="single" w:sz="4" w:space="0" w:color="auto"/>
            </w:tcBorders>
            <w:shd w:val="clear" w:color="000000" w:fill="FFFFFF"/>
            <w:vAlign w:val="center"/>
            <w:hideMark/>
          </w:tcPr>
          <w:p w14:paraId="78080E2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681497A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1,976</w:t>
            </w:r>
          </w:p>
        </w:tc>
        <w:tc>
          <w:tcPr>
            <w:tcW w:w="1648" w:type="dxa"/>
            <w:gridSpan w:val="2"/>
            <w:tcBorders>
              <w:top w:val="nil"/>
              <w:left w:val="nil"/>
              <w:bottom w:val="nil"/>
              <w:right w:val="single" w:sz="4" w:space="0" w:color="auto"/>
            </w:tcBorders>
            <w:shd w:val="clear" w:color="000000" w:fill="FFFFFF"/>
            <w:vAlign w:val="center"/>
            <w:hideMark/>
          </w:tcPr>
          <w:p w14:paraId="790A002F"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73,684</w:t>
            </w:r>
          </w:p>
        </w:tc>
      </w:tr>
      <w:tr w:rsidR="00745B47" w:rsidRPr="00745B47" w14:paraId="2E96EEEC"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540CA96F"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Temporary Assistant Chief Constable </w:t>
            </w:r>
          </w:p>
        </w:tc>
        <w:tc>
          <w:tcPr>
            <w:tcW w:w="1559" w:type="dxa"/>
            <w:tcBorders>
              <w:top w:val="nil"/>
              <w:left w:val="single" w:sz="4" w:space="0" w:color="auto"/>
              <w:bottom w:val="nil"/>
              <w:right w:val="nil"/>
            </w:tcBorders>
            <w:shd w:val="clear" w:color="000000" w:fill="FFFFFF"/>
            <w:vAlign w:val="center"/>
            <w:hideMark/>
          </w:tcPr>
          <w:p w14:paraId="04CCF9F8"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07/10/2019</w:t>
            </w:r>
          </w:p>
        </w:tc>
        <w:tc>
          <w:tcPr>
            <w:tcW w:w="1276" w:type="dxa"/>
            <w:tcBorders>
              <w:top w:val="nil"/>
              <w:left w:val="single" w:sz="4" w:space="0" w:color="auto"/>
              <w:bottom w:val="nil"/>
              <w:right w:val="nil"/>
            </w:tcBorders>
            <w:shd w:val="clear" w:color="000000" w:fill="FFFFFF"/>
            <w:vAlign w:val="center"/>
            <w:hideMark/>
          </w:tcPr>
          <w:p w14:paraId="469E4F1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424E42A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50,723</w:t>
            </w:r>
          </w:p>
        </w:tc>
        <w:tc>
          <w:tcPr>
            <w:tcW w:w="1481" w:type="dxa"/>
            <w:tcBorders>
              <w:top w:val="nil"/>
              <w:left w:val="single" w:sz="4" w:space="0" w:color="auto"/>
              <w:bottom w:val="nil"/>
              <w:right w:val="single" w:sz="4" w:space="0" w:color="auto"/>
            </w:tcBorders>
            <w:shd w:val="clear" w:color="000000" w:fill="FFFFFF"/>
            <w:vAlign w:val="center"/>
            <w:hideMark/>
          </w:tcPr>
          <w:p w14:paraId="4F60248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9,160</w:t>
            </w:r>
          </w:p>
        </w:tc>
        <w:tc>
          <w:tcPr>
            <w:tcW w:w="1270" w:type="dxa"/>
            <w:gridSpan w:val="2"/>
            <w:tcBorders>
              <w:top w:val="nil"/>
              <w:left w:val="nil"/>
              <w:bottom w:val="nil"/>
              <w:right w:val="single" w:sz="4" w:space="0" w:color="auto"/>
            </w:tcBorders>
            <w:shd w:val="clear" w:color="000000" w:fill="FFFFFF"/>
            <w:vAlign w:val="center"/>
            <w:hideMark/>
          </w:tcPr>
          <w:p w14:paraId="36667F2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625</w:t>
            </w:r>
          </w:p>
        </w:tc>
        <w:tc>
          <w:tcPr>
            <w:tcW w:w="992" w:type="dxa"/>
            <w:tcBorders>
              <w:top w:val="nil"/>
              <w:left w:val="nil"/>
              <w:bottom w:val="nil"/>
              <w:right w:val="single" w:sz="4" w:space="0" w:color="auto"/>
            </w:tcBorders>
            <w:shd w:val="clear" w:color="000000" w:fill="FFFFFF"/>
            <w:vAlign w:val="center"/>
            <w:hideMark/>
          </w:tcPr>
          <w:p w14:paraId="1527C2E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316D987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547F3166"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60,508</w:t>
            </w:r>
          </w:p>
        </w:tc>
      </w:tr>
      <w:tr w:rsidR="00745B47" w:rsidRPr="00745B47" w14:paraId="7B0EC6CF" w14:textId="77777777" w:rsidTr="00514C09">
        <w:trPr>
          <w:trHeight w:val="900"/>
        </w:trPr>
        <w:tc>
          <w:tcPr>
            <w:tcW w:w="3544" w:type="dxa"/>
            <w:tcBorders>
              <w:top w:val="nil"/>
              <w:left w:val="single" w:sz="4" w:space="0" w:color="auto"/>
              <w:bottom w:val="nil"/>
              <w:right w:val="nil"/>
            </w:tcBorders>
            <w:shd w:val="clear" w:color="000000" w:fill="FFFFFF"/>
            <w:vAlign w:val="center"/>
            <w:hideMark/>
          </w:tcPr>
          <w:p w14:paraId="6F58978B"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Chief Superintendent </w:t>
            </w:r>
          </w:p>
        </w:tc>
        <w:tc>
          <w:tcPr>
            <w:tcW w:w="1559" w:type="dxa"/>
            <w:tcBorders>
              <w:top w:val="nil"/>
              <w:left w:val="single" w:sz="4" w:space="0" w:color="auto"/>
              <w:bottom w:val="nil"/>
              <w:right w:val="nil"/>
            </w:tcBorders>
            <w:shd w:val="clear" w:color="000000" w:fill="FFFFFF"/>
            <w:vAlign w:val="center"/>
            <w:hideMark/>
          </w:tcPr>
          <w:p w14:paraId="34BA9819"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18/10/2017</w:t>
            </w:r>
          </w:p>
        </w:tc>
        <w:tc>
          <w:tcPr>
            <w:tcW w:w="1276" w:type="dxa"/>
            <w:tcBorders>
              <w:top w:val="nil"/>
              <w:left w:val="single" w:sz="4" w:space="0" w:color="auto"/>
              <w:bottom w:val="nil"/>
              <w:right w:val="nil"/>
            </w:tcBorders>
            <w:shd w:val="clear" w:color="000000" w:fill="FFFFFF"/>
            <w:vAlign w:val="center"/>
            <w:hideMark/>
          </w:tcPr>
          <w:p w14:paraId="7569C06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06/10/2019</w:t>
            </w:r>
          </w:p>
        </w:tc>
        <w:tc>
          <w:tcPr>
            <w:tcW w:w="1360" w:type="dxa"/>
            <w:tcBorders>
              <w:top w:val="nil"/>
              <w:left w:val="single" w:sz="4" w:space="0" w:color="auto"/>
              <w:bottom w:val="nil"/>
              <w:right w:val="nil"/>
            </w:tcBorders>
            <w:shd w:val="clear" w:color="000000" w:fill="FFFFFF"/>
            <w:noWrap/>
            <w:vAlign w:val="center"/>
            <w:hideMark/>
          </w:tcPr>
          <w:p w14:paraId="75085BD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46,106</w:t>
            </w:r>
          </w:p>
        </w:tc>
        <w:tc>
          <w:tcPr>
            <w:tcW w:w="1481" w:type="dxa"/>
            <w:tcBorders>
              <w:top w:val="nil"/>
              <w:left w:val="single" w:sz="4" w:space="0" w:color="auto"/>
              <w:bottom w:val="nil"/>
              <w:right w:val="single" w:sz="4" w:space="0" w:color="auto"/>
            </w:tcBorders>
            <w:shd w:val="clear" w:color="000000" w:fill="FFFFFF"/>
            <w:vAlign w:val="center"/>
            <w:hideMark/>
          </w:tcPr>
          <w:p w14:paraId="5CB8D26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13,820</w:t>
            </w:r>
          </w:p>
        </w:tc>
        <w:tc>
          <w:tcPr>
            <w:tcW w:w="1270" w:type="dxa"/>
            <w:gridSpan w:val="2"/>
            <w:tcBorders>
              <w:top w:val="nil"/>
              <w:left w:val="nil"/>
              <w:bottom w:val="nil"/>
              <w:right w:val="single" w:sz="4" w:space="0" w:color="auto"/>
            </w:tcBorders>
            <w:shd w:val="clear" w:color="000000" w:fill="FFFFFF"/>
            <w:vAlign w:val="center"/>
            <w:hideMark/>
          </w:tcPr>
          <w:p w14:paraId="396B836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625</w:t>
            </w:r>
          </w:p>
        </w:tc>
        <w:tc>
          <w:tcPr>
            <w:tcW w:w="992" w:type="dxa"/>
            <w:tcBorders>
              <w:top w:val="nil"/>
              <w:left w:val="nil"/>
              <w:bottom w:val="nil"/>
              <w:right w:val="single" w:sz="4" w:space="0" w:color="auto"/>
            </w:tcBorders>
            <w:shd w:val="clear" w:color="000000" w:fill="FFFFFF"/>
            <w:vAlign w:val="center"/>
            <w:hideMark/>
          </w:tcPr>
          <w:p w14:paraId="6C9D71D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6F253A5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023D0C55"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60,551</w:t>
            </w:r>
          </w:p>
        </w:tc>
      </w:tr>
      <w:tr w:rsidR="00745B47" w:rsidRPr="00745B47" w14:paraId="4F0B1412"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00EDDA4F"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Temporary Assistant Chief Constable </w:t>
            </w:r>
          </w:p>
        </w:tc>
        <w:tc>
          <w:tcPr>
            <w:tcW w:w="1559" w:type="dxa"/>
            <w:tcBorders>
              <w:top w:val="nil"/>
              <w:left w:val="single" w:sz="4" w:space="0" w:color="auto"/>
              <w:bottom w:val="nil"/>
              <w:right w:val="nil"/>
            </w:tcBorders>
            <w:shd w:val="clear" w:color="000000" w:fill="FFFFFF"/>
            <w:vAlign w:val="center"/>
            <w:hideMark/>
          </w:tcPr>
          <w:p w14:paraId="3FDCAA7E"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16/12/2019</w:t>
            </w:r>
          </w:p>
        </w:tc>
        <w:tc>
          <w:tcPr>
            <w:tcW w:w="1276" w:type="dxa"/>
            <w:tcBorders>
              <w:top w:val="nil"/>
              <w:left w:val="single" w:sz="4" w:space="0" w:color="auto"/>
              <w:bottom w:val="nil"/>
              <w:right w:val="nil"/>
            </w:tcBorders>
            <w:shd w:val="clear" w:color="000000" w:fill="FFFFFF"/>
            <w:vAlign w:val="center"/>
            <w:hideMark/>
          </w:tcPr>
          <w:p w14:paraId="0F857A8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auto" w:fill="auto"/>
            <w:noWrap/>
            <w:vAlign w:val="center"/>
            <w:hideMark/>
          </w:tcPr>
          <w:p w14:paraId="0EBAF27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64,084</w:t>
            </w:r>
          </w:p>
        </w:tc>
        <w:tc>
          <w:tcPr>
            <w:tcW w:w="1481" w:type="dxa"/>
            <w:tcBorders>
              <w:top w:val="nil"/>
              <w:left w:val="single" w:sz="4" w:space="0" w:color="auto"/>
              <w:bottom w:val="nil"/>
              <w:right w:val="single" w:sz="4" w:space="0" w:color="auto"/>
            </w:tcBorders>
            <w:shd w:val="clear" w:color="000000" w:fill="FFFFFF"/>
            <w:vAlign w:val="center"/>
            <w:hideMark/>
          </w:tcPr>
          <w:p w14:paraId="34F4ECD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18,398</w:t>
            </w:r>
          </w:p>
        </w:tc>
        <w:tc>
          <w:tcPr>
            <w:tcW w:w="1270" w:type="dxa"/>
            <w:gridSpan w:val="2"/>
            <w:tcBorders>
              <w:top w:val="nil"/>
              <w:left w:val="nil"/>
              <w:bottom w:val="nil"/>
              <w:right w:val="single" w:sz="4" w:space="0" w:color="auto"/>
            </w:tcBorders>
            <w:shd w:val="clear" w:color="auto" w:fill="auto"/>
            <w:vAlign w:val="center"/>
            <w:hideMark/>
          </w:tcPr>
          <w:p w14:paraId="332EC8A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auto" w:fill="auto"/>
            <w:vAlign w:val="center"/>
            <w:hideMark/>
          </w:tcPr>
          <w:p w14:paraId="24D377C5"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auto" w:fill="auto"/>
            <w:vAlign w:val="center"/>
            <w:hideMark/>
          </w:tcPr>
          <w:p w14:paraId="5FA68BA5"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134812EF"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82,482</w:t>
            </w:r>
          </w:p>
        </w:tc>
      </w:tr>
      <w:tr w:rsidR="00745B47" w:rsidRPr="00745B47" w14:paraId="30085EBD"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770DC7AF"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Chief Superintendent </w:t>
            </w:r>
          </w:p>
        </w:tc>
        <w:tc>
          <w:tcPr>
            <w:tcW w:w="1559" w:type="dxa"/>
            <w:tcBorders>
              <w:top w:val="nil"/>
              <w:left w:val="single" w:sz="4" w:space="0" w:color="auto"/>
              <w:bottom w:val="nil"/>
              <w:right w:val="nil"/>
            </w:tcBorders>
            <w:shd w:val="clear" w:color="000000" w:fill="FFFFFF"/>
            <w:vAlign w:val="center"/>
            <w:hideMark/>
          </w:tcPr>
          <w:p w14:paraId="66B279E9"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01/12/2018</w:t>
            </w:r>
          </w:p>
        </w:tc>
        <w:tc>
          <w:tcPr>
            <w:tcW w:w="1276" w:type="dxa"/>
            <w:tcBorders>
              <w:top w:val="nil"/>
              <w:left w:val="single" w:sz="4" w:space="0" w:color="auto"/>
              <w:bottom w:val="nil"/>
              <w:right w:val="nil"/>
            </w:tcBorders>
            <w:shd w:val="clear" w:color="000000" w:fill="FFFFFF"/>
            <w:vAlign w:val="center"/>
            <w:hideMark/>
          </w:tcPr>
          <w:p w14:paraId="67FBCADD"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15/12/2019</w:t>
            </w:r>
          </w:p>
        </w:tc>
        <w:tc>
          <w:tcPr>
            <w:tcW w:w="1360" w:type="dxa"/>
            <w:tcBorders>
              <w:top w:val="nil"/>
              <w:left w:val="single" w:sz="4" w:space="0" w:color="auto"/>
              <w:bottom w:val="nil"/>
              <w:right w:val="nil"/>
            </w:tcBorders>
            <w:shd w:val="clear" w:color="000000" w:fill="FFFFFF"/>
            <w:noWrap/>
            <w:vAlign w:val="center"/>
            <w:hideMark/>
          </w:tcPr>
          <w:p w14:paraId="41A27DB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31,949</w:t>
            </w:r>
          </w:p>
        </w:tc>
        <w:tc>
          <w:tcPr>
            <w:tcW w:w="1481" w:type="dxa"/>
            <w:tcBorders>
              <w:top w:val="nil"/>
              <w:left w:val="single" w:sz="4" w:space="0" w:color="auto"/>
              <w:bottom w:val="nil"/>
              <w:right w:val="single" w:sz="4" w:space="0" w:color="auto"/>
            </w:tcBorders>
            <w:shd w:val="clear" w:color="000000" w:fill="FFFFFF"/>
            <w:vAlign w:val="center"/>
            <w:hideMark/>
          </w:tcPr>
          <w:p w14:paraId="11BDB1D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9,339</w:t>
            </w:r>
          </w:p>
        </w:tc>
        <w:tc>
          <w:tcPr>
            <w:tcW w:w="1270" w:type="dxa"/>
            <w:gridSpan w:val="2"/>
            <w:tcBorders>
              <w:top w:val="nil"/>
              <w:left w:val="nil"/>
              <w:bottom w:val="nil"/>
              <w:right w:val="single" w:sz="4" w:space="0" w:color="auto"/>
            </w:tcBorders>
            <w:shd w:val="clear" w:color="000000" w:fill="FFFFFF"/>
            <w:vAlign w:val="center"/>
            <w:hideMark/>
          </w:tcPr>
          <w:p w14:paraId="355D6A11"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5BBACE8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28925F1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12570931"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41,288</w:t>
            </w:r>
          </w:p>
        </w:tc>
      </w:tr>
      <w:tr w:rsidR="00745B47" w:rsidRPr="00745B47" w14:paraId="61A4C543"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4C274C81"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Chief Superintendent</w:t>
            </w:r>
          </w:p>
        </w:tc>
        <w:tc>
          <w:tcPr>
            <w:tcW w:w="1559" w:type="dxa"/>
            <w:tcBorders>
              <w:top w:val="nil"/>
              <w:left w:val="single" w:sz="4" w:space="0" w:color="auto"/>
              <w:bottom w:val="nil"/>
              <w:right w:val="nil"/>
            </w:tcBorders>
            <w:shd w:val="clear" w:color="000000" w:fill="FFFFFF"/>
            <w:vAlign w:val="center"/>
            <w:hideMark/>
          </w:tcPr>
          <w:p w14:paraId="1AAED485"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07/01/2013</w:t>
            </w:r>
          </w:p>
        </w:tc>
        <w:tc>
          <w:tcPr>
            <w:tcW w:w="1276" w:type="dxa"/>
            <w:tcBorders>
              <w:top w:val="nil"/>
              <w:left w:val="single" w:sz="4" w:space="0" w:color="auto"/>
              <w:bottom w:val="nil"/>
              <w:right w:val="nil"/>
            </w:tcBorders>
            <w:shd w:val="clear" w:color="000000" w:fill="FFFFFF"/>
            <w:vAlign w:val="center"/>
            <w:hideMark/>
          </w:tcPr>
          <w:p w14:paraId="401BBC1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27/05/2020</w:t>
            </w:r>
          </w:p>
        </w:tc>
        <w:tc>
          <w:tcPr>
            <w:tcW w:w="1360" w:type="dxa"/>
            <w:tcBorders>
              <w:top w:val="nil"/>
              <w:left w:val="single" w:sz="4" w:space="0" w:color="auto"/>
              <w:bottom w:val="nil"/>
              <w:right w:val="nil"/>
            </w:tcBorders>
            <w:shd w:val="clear" w:color="000000" w:fill="FFFFFF"/>
            <w:noWrap/>
            <w:vAlign w:val="center"/>
            <w:hideMark/>
          </w:tcPr>
          <w:p w14:paraId="030CC7E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13,750</w:t>
            </w:r>
          </w:p>
        </w:tc>
        <w:tc>
          <w:tcPr>
            <w:tcW w:w="1481" w:type="dxa"/>
            <w:tcBorders>
              <w:top w:val="nil"/>
              <w:left w:val="single" w:sz="4" w:space="0" w:color="auto"/>
              <w:bottom w:val="nil"/>
              <w:right w:val="single" w:sz="4" w:space="0" w:color="auto"/>
            </w:tcBorders>
            <w:shd w:val="clear" w:color="000000" w:fill="FFFFFF"/>
            <w:vAlign w:val="center"/>
            <w:hideMark/>
          </w:tcPr>
          <w:p w14:paraId="1C5CDBA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4,148</w:t>
            </w:r>
          </w:p>
        </w:tc>
        <w:tc>
          <w:tcPr>
            <w:tcW w:w="1270" w:type="dxa"/>
            <w:gridSpan w:val="2"/>
            <w:tcBorders>
              <w:top w:val="nil"/>
              <w:left w:val="nil"/>
              <w:bottom w:val="nil"/>
              <w:right w:val="single" w:sz="4" w:space="0" w:color="auto"/>
            </w:tcBorders>
            <w:shd w:val="clear" w:color="000000" w:fill="FFFFFF"/>
            <w:vAlign w:val="center"/>
            <w:hideMark/>
          </w:tcPr>
          <w:p w14:paraId="31646CF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64</w:t>
            </w:r>
          </w:p>
        </w:tc>
        <w:tc>
          <w:tcPr>
            <w:tcW w:w="992" w:type="dxa"/>
            <w:tcBorders>
              <w:top w:val="nil"/>
              <w:left w:val="nil"/>
              <w:bottom w:val="nil"/>
              <w:right w:val="single" w:sz="4" w:space="0" w:color="auto"/>
            </w:tcBorders>
            <w:shd w:val="clear" w:color="000000" w:fill="FFFFFF"/>
            <w:vAlign w:val="center"/>
            <w:hideMark/>
          </w:tcPr>
          <w:p w14:paraId="74B6216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0A2BE05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504AD39B"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17,962</w:t>
            </w:r>
          </w:p>
        </w:tc>
      </w:tr>
      <w:tr w:rsidR="00745B47" w:rsidRPr="00745B47" w14:paraId="29C65904"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09308105"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Temporary Assistant Chief Constable </w:t>
            </w:r>
          </w:p>
        </w:tc>
        <w:tc>
          <w:tcPr>
            <w:tcW w:w="1559" w:type="dxa"/>
            <w:tcBorders>
              <w:top w:val="nil"/>
              <w:left w:val="single" w:sz="4" w:space="0" w:color="auto"/>
              <w:bottom w:val="nil"/>
              <w:right w:val="nil"/>
            </w:tcBorders>
            <w:shd w:val="clear" w:color="000000" w:fill="FFFFFF"/>
            <w:vAlign w:val="center"/>
            <w:hideMark/>
          </w:tcPr>
          <w:p w14:paraId="24D262F4"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20/01/2019</w:t>
            </w:r>
          </w:p>
        </w:tc>
        <w:tc>
          <w:tcPr>
            <w:tcW w:w="1276" w:type="dxa"/>
            <w:tcBorders>
              <w:top w:val="nil"/>
              <w:left w:val="single" w:sz="4" w:space="0" w:color="auto"/>
              <w:bottom w:val="nil"/>
              <w:right w:val="nil"/>
            </w:tcBorders>
            <w:shd w:val="clear" w:color="000000" w:fill="FFFFFF"/>
            <w:vAlign w:val="center"/>
            <w:hideMark/>
          </w:tcPr>
          <w:p w14:paraId="362ADEB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25AEF58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100,951</w:t>
            </w:r>
          </w:p>
        </w:tc>
        <w:tc>
          <w:tcPr>
            <w:tcW w:w="1481" w:type="dxa"/>
            <w:tcBorders>
              <w:top w:val="nil"/>
              <w:left w:val="single" w:sz="4" w:space="0" w:color="auto"/>
              <w:bottom w:val="nil"/>
              <w:right w:val="single" w:sz="4" w:space="0" w:color="auto"/>
            </w:tcBorders>
            <w:shd w:val="clear" w:color="000000" w:fill="FFFFFF"/>
            <w:vAlign w:val="center"/>
            <w:hideMark/>
          </w:tcPr>
          <w:p w14:paraId="440E678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27,230</w:t>
            </w:r>
          </w:p>
        </w:tc>
        <w:tc>
          <w:tcPr>
            <w:tcW w:w="1270" w:type="dxa"/>
            <w:gridSpan w:val="2"/>
            <w:tcBorders>
              <w:top w:val="nil"/>
              <w:left w:val="nil"/>
              <w:bottom w:val="nil"/>
              <w:right w:val="single" w:sz="4" w:space="0" w:color="auto"/>
            </w:tcBorders>
            <w:shd w:val="clear" w:color="000000" w:fill="FFFFFF"/>
            <w:vAlign w:val="center"/>
            <w:hideMark/>
          </w:tcPr>
          <w:p w14:paraId="77A783C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1,233</w:t>
            </w:r>
          </w:p>
        </w:tc>
        <w:tc>
          <w:tcPr>
            <w:tcW w:w="992" w:type="dxa"/>
            <w:tcBorders>
              <w:top w:val="nil"/>
              <w:left w:val="nil"/>
              <w:bottom w:val="nil"/>
              <w:right w:val="single" w:sz="4" w:space="0" w:color="auto"/>
            </w:tcBorders>
            <w:shd w:val="clear" w:color="000000" w:fill="FFFFFF"/>
            <w:vAlign w:val="center"/>
            <w:hideMark/>
          </w:tcPr>
          <w:p w14:paraId="7078722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57BFB61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1,717</w:t>
            </w:r>
          </w:p>
        </w:tc>
        <w:tc>
          <w:tcPr>
            <w:tcW w:w="1648" w:type="dxa"/>
            <w:gridSpan w:val="2"/>
            <w:tcBorders>
              <w:top w:val="nil"/>
              <w:left w:val="nil"/>
              <w:bottom w:val="nil"/>
              <w:right w:val="single" w:sz="4" w:space="0" w:color="auto"/>
            </w:tcBorders>
            <w:shd w:val="clear" w:color="000000" w:fill="FFFFFF"/>
            <w:vAlign w:val="center"/>
            <w:hideMark/>
          </w:tcPr>
          <w:p w14:paraId="70B9FA5B"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131,131</w:t>
            </w:r>
          </w:p>
        </w:tc>
      </w:tr>
      <w:tr w:rsidR="00745B47" w:rsidRPr="00745B47" w14:paraId="78D2225B"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3951ADEB"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Chief Information Office</w:t>
            </w:r>
          </w:p>
        </w:tc>
        <w:tc>
          <w:tcPr>
            <w:tcW w:w="1559" w:type="dxa"/>
            <w:tcBorders>
              <w:top w:val="nil"/>
              <w:left w:val="single" w:sz="4" w:space="0" w:color="auto"/>
              <w:bottom w:val="nil"/>
              <w:right w:val="nil"/>
            </w:tcBorders>
            <w:shd w:val="clear" w:color="000000" w:fill="FFFFFF"/>
            <w:vAlign w:val="center"/>
            <w:hideMark/>
          </w:tcPr>
          <w:p w14:paraId="0D89E472"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03/12/2018</w:t>
            </w:r>
          </w:p>
        </w:tc>
        <w:tc>
          <w:tcPr>
            <w:tcW w:w="1276" w:type="dxa"/>
            <w:tcBorders>
              <w:top w:val="nil"/>
              <w:left w:val="single" w:sz="4" w:space="0" w:color="auto"/>
              <w:bottom w:val="nil"/>
              <w:right w:val="nil"/>
            </w:tcBorders>
            <w:shd w:val="clear" w:color="000000" w:fill="FFFFFF"/>
            <w:vAlign w:val="center"/>
            <w:hideMark/>
          </w:tcPr>
          <w:p w14:paraId="7E0D953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6A2375B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132,533</w:t>
            </w:r>
          </w:p>
        </w:tc>
        <w:tc>
          <w:tcPr>
            <w:tcW w:w="1481" w:type="dxa"/>
            <w:tcBorders>
              <w:top w:val="nil"/>
              <w:left w:val="single" w:sz="4" w:space="0" w:color="auto"/>
              <w:bottom w:val="nil"/>
              <w:right w:val="single" w:sz="4" w:space="0" w:color="auto"/>
            </w:tcBorders>
            <w:shd w:val="clear" w:color="000000" w:fill="FFFFFF"/>
            <w:vAlign w:val="center"/>
            <w:hideMark/>
          </w:tcPr>
          <w:p w14:paraId="6D66DF0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16,646</w:t>
            </w:r>
          </w:p>
        </w:tc>
        <w:tc>
          <w:tcPr>
            <w:tcW w:w="1270" w:type="dxa"/>
            <w:gridSpan w:val="2"/>
            <w:tcBorders>
              <w:top w:val="nil"/>
              <w:left w:val="nil"/>
              <w:bottom w:val="nil"/>
              <w:right w:val="single" w:sz="4" w:space="0" w:color="auto"/>
            </w:tcBorders>
            <w:shd w:val="clear" w:color="000000" w:fill="FFFFFF"/>
            <w:vAlign w:val="center"/>
            <w:hideMark/>
          </w:tcPr>
          <w:p w14:paraId="1E87776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4DFB515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3D6CBB5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1,717</w:t>
            </w:r>
          </w:p>
        </w:tc>
        <w:tc>
          <w:tcPr>
            <w:tcW w:w="1648" w:type="dxa"/>
            <w:gridSpan w:val="2"/>
            <w:tcBorders>
              <w:top w:val="nil"/>
              <w:left w:val="nil"/>
              <w:bottom w:val="nil"/>
              <w:right w:val="single" w:sz="4" w:space="0" w:color="auto"/>
            </w:tcBorders>
            <w:shd w:val="clear" w:color="000000" w:fill="FFFFFF"/>
            <w:vAlign w:val="center"/>
            <w:hideMark/>
          </w:tcPr>
          <w:p w14:paraId="0F5CDE8B"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150,896</w:t>
            </w:r>
          </w:p>
        </w:tc>
      </w:tr>
      <w:tr w:rsidR="00745B47" w:rsidRPr="00745B47" w14:paraId="5BFFC5B7"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307CEF2D"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Head of Corporate Communications </w:t>
            </w:r>
          </w:p>
        </w:tc>
        <w:tc>
          <w:tcPr>
            <w:tcW w:w="1559" w:type="dxa"/>
            <w:tcBorders>
              <w:top w:val="nil"/>
              <w:left w:val="single" w:sz="4" w:space="0" w:color="auto"/>
              <w:bottom w:val="nil"/>
              <w:right w:val="nil"/>
            </w:tcBorders>
            <w:shd w:val="clear" w:color="000000" w:fill="FFFFFF"/>
            <w:vAlign w:val="center"/>
            <w:hideMark/>
          </w:tcPr>
          <w:p w14:paraId="43F05D66"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16/07/2018</w:t>
            </w:r>
          </w:p>
        </w:tc>
        <w:tc>
          <w:tcPr>
            <w:tcW w:w="1276" w:type="dxa"/>
            <w:tcBorders>
              <w:top w:val="nil"/>
              <w:left w:val="single" w:sz="4" w:space="0" w:color="auto"/>
              <w:bottom w:val="nil"/>
              <w:right w:val="nil"/>
            </w:tcBorders>
            <w:shd w:val="clear" w:color="000000" w:fill="FFFFFF"/>
            <w:vAlign w:val="center"/>
            <w:hideMark/>
          </w:tcPr>
          <w:p w14:paraId="773BF9E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52EF09A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73,774</w:t>
            </w:r>
          </w:p>
        </w:tc>
        <w:tc>
          <w:tcPr>
            <w:tcW w:w="1481" w:type="dxa"/>
            <w:tcBorders>
              <w:top w:val="nil"/>
              <w:left w:val="single" w:sz="4" w:space="0" w:color="auto"/>
              <w:bottom w:val="nil"/>
              <w:right w:val="single" w:sz="4" w:space="0" w:color="auto"/>
            </w:tcBorders>
            <w:shd w:val="clear" w:color="000000" w:fill="FFFFFF"/>
            <w:vAlign w:val="center"/>
            <w:hideMark/>
          </w:tcPr>
          <w:p w14:paraId="37532E4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9,821</w:t>
            </w:r>
          </w:p>
        </w:tc>
        <w:tc>
          <w:tcPr>
            <w:tcW w:w="1270" w:type="dxa"/>
            <w:gridSpan w:val="2"/>
            <w:tcBorders>
              <w:top w:val="nil"/>
              <w:left w:val="nil"/>
              <w:bottom w:val="nil"/>
              <w:right w:val="single" w:sz="4" w:space="0" w:color="auto"/>
            </w:tcBorders>
            <w:shd w:val="clear" w:color="000000" w:fill="FFFFFF"/>
            <w:vAlign w:val="center"/>
            <w:hideMark/>
          </w:tcPr>
          <w:p w14:paraId="0D2434DD"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410CC38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21B6B3B8"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200</w:t>
            </w:r>
          </w:p>
        </w:tc>
        <w:tc>
          <w:tcPr>
            <w:tcW w:w="1648" w:type="dxa"/>
            <w:gridSpan w:val="2"/>
            <w:tcBorders>
              <w:top w:val="nil"/>
              <w:left w:val="nil"/>
              <w:bottom w:val="nil"/>
              <w:right w:val="single" w:sz="4" w:space="0" w:color="auto"/>
            </w:tcBorders>
            <w:shd w:val="clear" w:color="000000" w:fill="FFFFFF"/>
            <w:vAlign w:val="center"/>
            <w:hideMark/>
          </w:tcPr>
          <w:p w14:paraId="791955DC"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83,795</w:t>
            </w:r>
          </w:p>
        </w:tc>
      </w:tr>
      <w:tr w:rsidR="00745B47" w:rsidRPr="00745B47" w14:paraId="7E7B427E"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7E50F3CA"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Chief Superintendent </w:t>
            </w:r>
          </w:p>
        </w:tc>
        <w:tc>
          <w:tcPr>
            <w:tcW w:w="1559" w:type="dxa"/>
            <w:tcBorders>
              <w:top w:val="nil"/>
              <w:left w:val="single" w:sz="4" w:space="0" w:color="auto"/>
              <w:bottom w:val="nil"/>
              <w:right w:val="nil"/>
            </w:tcBorders>
            <w:shd w:val="clear" w:color="000000" w:fill="FFFFFF"/>
            <w:vAlign w:val="center"/>
            <w:hideMark/>
          </w:tcPr>
          <w:p w14:paraId="02A58552"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01/04/2017</w:t>
            </w:r>
          </w:p>
        </w:tc>
        <w:tc>
          <w:tcPr>
            <w:tcW w:w="1276" w:type="dxa"/>
            <w:tcBorders>
              <w:top w:val="nil"/>
              <w:left w:val="single" w:sz="4" w:space="0" w:color="auto"/>
              <w:bottom w:val="nil"/>
              <w:right w:val="nil"/>
            </w:tcBorders>
            <w:shd w:val="clear" w:color="000000" w:fill="FFFFFF"/>
            <w:vAlign w:val="center"/>
            <w:hideMark/>
          </w:tcPr>
          <w:p w14:paraId="22F854D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29/07/2019</w:t>
            </w:r>
          </w:p>
        </w:tc>
        <w:tc>
          <w:tcPr>
            <w:tcW w:w="1360" w:type="dxa"/>
            <w:tcBorders>
              <w:top w:val="nil"/>
              <w:left w:val="single" w:sz="4" w:space="0" w:color="auto"/>
              <w:bottom w:val="nil"/>
              <w:right w:val="nil"/>
            </w:tcBorders>
            <w:shd w:val="clear" w:color="000000" w:fill="FFFFFF"/>
            <w:noWrap/>
            <w:vAlign w:val="center"/>
            <w:hideMark/>
          </w:tcPr>
          <w:p w14:paraId="2BDC4D0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28,129</w:t>
            </w:r>
          </w:p>
        </w:tc>
        <w:tc>
          <w:tcPr>
            <w:tcW w:w="1481" w:type="dxa"/>
            <w:tcBorders>
              <w:top w:val="nil"/>
              <w:left w:val="single" w:sz="4" w:space="0" w:color="auto"/>
              <w:bottom w:val="nil"/>
              <w:right w:val="single" w:sz="4" w:space="0" w:color="auto"/>
            </w:tcBorders>
            <w:shd w:val="clear" w:color="000000" w:fill="FFFFFF"/>
            <w:vAlign w:val="center"/>
            <w:hideMark/>
          </w:tcPr>
          <w:p w14:paraId="3D82B1A5"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7,225</w:t>
            </w:r>
          </w:p>
        </w:tc>
        <w:tc>
          <w:tcPr>
            <w:tcW w:w="1270" w:type="dxa"/>
            <w:gridSpan w:val="2"/>
            <w:tcBorders>
              <w:top w:val="nil"/>
              <w:left w:val="nil"/>
              <w:bottom w:val="nil"/>
              <w:right w:val="single" w:sz="4" w:space="0" w:color="auto"/>
            </w:tcBorders>
            <w:shd w:val="clear" w:color="000000" w:fill="FFFFFF"/>
            <w:vAlign w:val="center"/>
            <w:hideMark/>
          </w:tcPr>
          <w:p w14:paraId="59E5ED11"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64C4951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649987F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710240C2"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35,354</w:t>
            </w:r>
          </w:p>
        </w:tc>
      </w:tr>
      <w:tr w:rsidR="00745B47" w:rsidRPr="00745B47" w14:paraId="6EEBD705"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59B2CAE4"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Chief Superintendent </w:t>
            </w:r>
          </w:p>
        </w:tc>
        <w:tc>
          <w:tcPr>
            <w:tcW w:w="1559" w:type="dxa"/>
            <w:tcBorders>
              <w:top w:val="nil"/>
              <w:left w:val="single" w:sz="4" w:space="0" w:color="auto"/>
              <w:bottom w:val="nil"/>
              <w:right w:val="nil"/>
            </w:tcBorders>
            <w:shd w:val="clear" w:color="000000" w:fill="FFFFFF"/>
            <w:vAlign w:val="center"/>
            <w:hideMark/>
          </w:tcPr>
          <w:p w14:paraId="3B1E750E"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09/06/2014</w:t>
            </w:r>
          </w:p>
        </w:tc>
        <w:tc>
          <w:tcPr>
            <w:tcW w:w="1276" w:type="dxa"/>
            <w:tcBorders>
              <w:top w:val="nil"/>
              <w:left w:val="single" w:sz="4" w:space="0" w:color="auto"/>
              <w:bottom w:val="nil"/>
              <w:right w:val="nil"/>
            </w:tcBorders>
            <w:shd w:val="clear" w:color="000000" w:fill="FFFFFF"/>
            <w:vAlign w:val="center"/>
            <w:hideMark/>
          </w:tcPr>
          <w:p w14:paraId="1A7D66F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57E3D32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91,494</w:t>
            </w:r>
          </w:p>
        </w:tc>
        <w:tc>
          <w:tcPr>
            <w:tcW w:w="1481" w:type="dxa"/>
            <w:tcBorders>
              <w:top w:val="nil"/>
              <w:left w:val="single" w:sz="4" w:space="0" w:color="auto"/>
              <w:bottom w:val="nil"/>
              <w:right w:val="single" w:sz="4" w:space="0" w:color="auto"/>
            </w:tcBorders>
            <w:shd w:val="clear" w:color="000000" w:fill="FFFFFF"/>
            <w:vAlign w:val="center"/>
            <w:hideMark/>
          </w:tcPr>
          <w:p w14:paraId="5A27FBD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27,466</w:t>
            </w:r>
          </w:p>
        </w:tc>
        <w:tc>
          <w:tcPr>
            <w:tcW w:w="1270" w:type="dxa"/>
            <w:gridSpan w:val="2"/>
            <w:tcBorders>
              <w:top w:val="nil"/>
              <w:left w:val="nil"/>
              <w:bottom w:val="nil"/>
              <w:right w:val="single" w:sz="4" w:space="0" w:color="auto"/>
            </w:tcBorders>
            <w:shd w:val="clear" w:color="000000" w:fill="FFFFFF"/>
            <w:vAlign w:val="center"/>
            <w:hideMark/>
          </w:tcPr>
          <w:p w14:paraId="4AF67426"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2,013</w:t>
            </w:r>
          </w:p>
        </w:tc>
        <w:tc>
          <w:tcPr>
            <w:tcW w:w="992" w:type="dxa"/>
            <w:tcBorders>
              <w:top w:val="nil"/>
              <w:left w:val="nil"/>
              <w:bottom w:val="nil"/>
              <w:right w:val="single" w:sz="4" w:space="0" w:color="auto"/>
            </w:tcBorders>
            <w:shd w:val="clear" w:color="000000" w:fill="FFFFFF"/>
            <w:vAlign w:val="center"/>
            <w:hideMark/>
          </w:tcPr>
          <w:p w14:paraId="6BD2C35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0F9D1C9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195F0FBF"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120,973</w:t>
            </w:r>
          </w:p>
        </w:tc>
      </w:tr>
      <w:tr w:rsidR="00745B47" w:rsidRPr="00745B47" w14:paraId="47AE9DA1"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68A4C357"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Chief Superintendent </w:t>
            </w:r>
          </w:p>
        </w:tc>
        <w:tc>
          <w:tcPr>
            <w:tcW w:w="1559" w:type="dxa"/>
            <w:tcBorders>
              <w:top w:val="nil"/>
              <w:left w:val="single" w:sz="4" w:space="0" w:color="auto"/>
              <w:bottom w:val="nil"/>
              <w:right w:val="nil"/>
            </w:tcBorders>
            <w:shd w:val="clear" w:color="000000" w:fill="FFFFFF"/>
            <w:vAlign w:val="center"/>
            <w:hideMark/>
          </w:tcPr>
          <w:p w14:paraId="13E6C96F"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02/01/2018</w:t>
            </w:r>
          </w:p>
        </w:tc>
        <w:tc>
          <w:tcPr>
            <w:tcW w:w="1276" w:type="dxa"/>
            <w:tcBorders>
              <w:top w:val="nil"/>
              <w:left w:val="single" w:sz="4" w:space="0" w:color="auto"/>
              <w:bottom w:val="nil"/>
              <w:right w:val="nil"/>
            </w:tcBorders>
            <w:shd w:val="clear" w:color="000000" w:fill="FFFFFF"/>
            <w:vAlign w:val="center"/>
            <w:hideMark/>
          </w:tcPr>
          <w:p w14:paraId="17CA5F3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49B3D48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92,482</w:t>
            </w:r>
          </w:p>
        </w:tc>
        <w:tc>
          <w:tcPr>
            <w:tcW w:w="1481" w:type="dxa"/>
            <w:tcBorders>
              <w:top w:val="nil"/>
              <w:left w:val="single" w:sz="4" w:space="0" w:color="auto"/>
              <w:bottom w:val="nil"/>
              <w:right w:val="single" w:sz="4" w:space="0" w:color="auto"/>
            </w:tcBorders>
            <w:shd w:val="clear" w:color="000000" w:fill="FFFFFF"/>
            <w:vAlign w:val="center"/>
            <w:hideMark/>
          </w:tcPr>
          <w:p w14:paraId="12EC986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27,054</w:t>
            </w:r>
          </w:p>
        </w:tc>
        <w:tc>
          <w:tcPr>
            <w:tcW w:w="1270" w:type="dxa"/>
            <w:gridSpan w:val="2"/>
            <w:tcBorders>
              <w:top w:val="nil"/>
              <w:left w:val="nil"/>
              <w:bottom w:val="nil"/>
              <w:right w:val="single" w:sz="4" w:space="0" w:color="auto"/>
            </w:tcBorders>
            <w:shd w:val="clear" w:color="000000" w:fill="FFFFFF"/>
            <w:vAlign w:val="center"/>
            <w:hideMark/>
          </w:tcPr>
          <w:p w14:paraId="199EA59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76428DD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7247FC4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310</w:t>
            </w:r>
          </w:p>
        </w:tc>
        <w:tc>
          <w:tcPr>
            <w:tcW w:w="1648" w:type="dxa"/>
            <w:gridSpan w:val="2"/>
            <w:tcBorders>
              <w:top w:val="nil"/>
              <w:left w:val="nil"/>
              <w:bottom w:val="nil"/>
              <w:right w:val="single" w:sz="4" w:space="0" w:color="auto"/>
            </w:tcBorders>
            <w:shd w:val="clear" w:color="000000" w:fill="FFFFFF"/>
            <w:vAlign w:val="center"/>
            <w:hideMark/>
          </w:tcPr>
          <w:p w14:paraId="4EA5BF74"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119,846</w:t>
            </w:r>
          </w:p>
        </w:tc>
      </w:tr>
      <w:tr w:rsidR="00745B47" w:rsidRPr="00745B47" w14:paraId="18089AF7"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10E21730"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Temporary Chief Superintendent </w:t>
            </w:r>
          </w:p>
        </w:tc>
        <w:tc>
          <w:tcPr>
            <w:tcW w:w="1559" w:type="dxa"/>
            <w:tcBorders>
              <w:top w:val="nil"/>
              <w:left w:val="single" w:sz="4" w:space="0" w:color="auto"/>
              <w:bottom w:val="nil"/>
              <w:right w:val="nil"/>
            </w:tcBorders>
            <w:shd w:val="clear" w:color="000000" w:fill="FFFFFF"/>
            <w:vAlign w:val="center"/>
            <w:hideMark/>
          </w:tcPr>
          <w:p w14:paraId="4CA03CEA"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14/10/2019</w:t>
            </w:r>
          </w:p>
        </w:tc>
        <w:tc>
          <w:tcPr>
            <w:tcW w:w="1276" w:type="dxa"/>
            <w:tcBorders>
              <w:top w:val="nil"/>
              <w:left w:val="single" w:sz="4" w:space="0" w:color="auto"/>
              <w:bottom w:val="nil"/>
              <w:right w:val="nil"/>
            </w:tcBorders>
            <w:shd w:val="clear" w:color="000000" w:fill="FFFFFF"/>
            <w:vAlign w:val="center"/>
            <w:hideMark/>
          </w:tcPr>
          <w:p w14:paraId="3A4DCADA"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556BF1F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40,871</w:t>
            </w:r>
          </w:p>
        </w:tc>
        <w:tc>
          <w:tcPr>
            <w:tcW w:w="1481" w:type="dxa"/>
            <w:tcBorders>
              <w:top w:val="nil"/>
              <w:left w:val="single" w:sz="4" w:space="0" w:color="auto"/>
              <w:bottom w:val="nil"/>
              <w:right w:val="single" w:sz="4" w:space="0" w:color="auto"/>
            </w:tcBorders>
            <w:shd w:val="clear" w:color="000000" w:fill="FFFFFF"/>
            <w:vAlign w:val="center"/>
            <w:hideMark/>
          </w:tcPr>
          <w:p w14:paraId="292EC310"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11,561</w:t>
            </w:r>
          </w:p>
        </w:tc>
        <w:tc>
          <w:tcPr>
            <w:tcW w:w="1270" w:type="dxa"/>
            <w:gridSpan w:val="2"/>
            <w:tcBorders>
              <w:top w:val="nil"/>
              <w:left w:val="nil"/>
              <w:bottom w:val="nil"/>
              <w:right w:val="single" w:sz="4" w:space="0" w:color="auto"/>
            </w:tcBorders>
            <w:shd w:val="clear" w:color="000000" w:fill="FFFFFF"/>
            <w:vAlign w:val="center"/>
            <w:hideMark/>
          </w:tcPr>
          <w:p w14:paraId="01FDFBF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07B8846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4CBB5FE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4B5BB3AC"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52,432</w:t>
            </w:r>
          </w:p>
        </w:tc>
      </w:tr>
      <w:tr w:rsidR="00745B47" w:rsidRPr="00745B47" w14:paraId="54481705"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1D2DA22A"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Temporary Chief Superintendent </w:t>
            </w:r>
          </w:p>
        </w:tc>
        <w:tc>
          <w:tcPr>
            <w:tcW w:w="1559" w:type="dxa"/>
            <w:tcBorders>
              <w:top w:val="nil"/>
              <w:left w:val="single" w:sz="4" w:space="0" w:color="auto"/>
              <w:bottom w:val="nil"/>
              <w:right w:val="nil"/>
            </w:tcBorders>
            <w:shd w:val="clear" w:color="000000" w:fill="FFFFFF"/>
            <w:vAlign w:val="center"/>
            <w:hideMark/>
          </w:tcPr>
          <w:p w14:paraId="7AB2F414"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16/12/2019</w:t>
            </w:r>
          </w:p>
        </w:tc>
        <w:tc>
          <w:tcPr>
            <w:tcW w:w="1276" w:type="dxa"/>
            <w:tcBorders>
              <w:top w:val="nil"/>
              <w:left w:val="single" w:sz="4" w:space="0" w:color="auto"/>
              <w:bottom w:val="nil"/>
              <w:right w:val="nil"/>
            </w:tcBorders>
            <w:shd w:val="clear" w:color="000000" w:fill="FFFFFF"/>
            <w:vAlign w:val="center"/>
            <w:hideMark/>
          </w:tcPr>
          <w:p w14:paraId="3E4AA6C4"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50EC7EA6"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25,285</w:t>
            </w:r>
          </w:p>
        </w:tc>
        <w:tc>
          <w:tcPr>
            <w:tcW w:w="1481" w:type="dxa"/>
            <w:tcBorders>
              <w:top w:val="nil"/>
              <w:left w:val="single" w:sz="4" w:space="0" w:color="auto"/>
              <w:bottom w:val="nil"/>
              <w:right w:val="single" w:sz="4" w:space="0" w:color="auto"/>
            </w:tcBorders>
            <w:shd w:val="clear" w:color="000000" w:fill="FFFFFF"/>
            <w:vAlign w:val="center"/>
            <w:hideMark/>
          </w:tcPr>
          <w:p w14:paraId="1BC39128"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7,612</w:t>
            </w:r>
          </w:p>
        </w:tc>
        <w:tc>
          <w:tcPr>
            <w:tcW w:w="1270" w:type="dxa"/>
            <w:gridSpan w:val="2"/>
            <w:tcBorders>
              <w:top w:val="nil"/>
              <w:left w:val="nil"/>
              <w:bottom w:val="nil"/>
              <w:right w:val="single" w:sz="4" w:space="0" w:color="auto"/>
            </w:tcBorders>
            <w:shd w:val="clear" w:color="000000" w:fill="FFFFFF"/>
            <w:vAlign w:val="center"/>
            <w:hideMark/>
          </w:tcPr>
          <w:p w14:paraId="38A45FC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792</w:t>
            </w:r>
          </w:p>
        </w:tc>
        <w:tc>
          <w:tcPr>
            <w:tcW w:w="992" w:type="dxa"/>
            <w:tcBorders>
              <w:top w:val="nil"/>
              <w:left w:val="nil"/>
              <w:bottom w:val="nil"/>
              <w:right w:val="single" w:sz="4" w:space="0" w:color="auto"/>
            </w:tcBorders>
            <w:shd w:val="clear" w:color="000000" w:fill="FFFFFF"/>
            <w:vAlign w:val="center"/>
            <w:hideMark/>
          </w:tcPr>
          <w:p w14:paraId="14FA601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6445C259"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1,627</w:t>
            </w:r>
          </w:p>
        </w:tc>
        <w:tc>
          <w:tcPr>
            <w:tcW w:w="1648" w:type="dxa"/>
            <w:gridSpan w:val="2"/>
            <w:tcBorders>
              <w:top w:val="nil"/>
              <w:left w:val="nil"/>
              <w:bottom w:val="nil"/>
              <w:right w:val="single" w:sz="4" w:space="0" w:color="auto"/>
            </w:tcBorders>
            <w:shd w:val="clear" w:color="000000" w:fill="FFFFFF"/>
            <w:vAlign w:val="center"/>
            <w:hideMark/>
          </w:tcPr>
          <w:p w14:paraId="633DC8AA"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35,316</w:t>
            </w:r>
          </w:p>
        </w:tc>
      </w:tr>
      <w:tr w:rsidR="00745B47" w:rsidRPr="00745B47" w14:paraId="73778DE5"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6CA7FEEB"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Assistant Chief Officer </w:t>
            </w:r>
          </w:p>
        </w:tc>
        <w:tc>
          <w:tcPr>
            <w:tcW w:w="1559" w:type="dxa"/>
            <w:tcBorders>
              <w:top w:val="nil"/>
              <w:left w:val="single" w:sz="4" w:space="0" w:color="auto"/>
              <w:bottom w:val="nil"/>
              <w:right w:val="nil"/>
            </w:tcBorders>
            <w:shd w:val="clear" w:color="000000" w:fill="FFFFFF"/>
            <w:vAlign w:val="center"/>
            <w:hideMark/>
          </w:tcPr>
          <w:p w14:paraId="03EB70FD"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27/08/2013</w:t>
            </w:r>
          </w:p>
        </w:tc>
        <w:tc>
          <w:tcPr>
            <w:tcW w:w="1276" w:type="dxa"/>
            <w:tcBorders>
              <w:top w:val="nil"/>
              <w:left w:val="single" w:sz="4" w:space="0" w:color="auto"/>
              <w:bottom w:val="nil"/>
              <w:right w:val="nil"/>
            </w:tcBorders>
            <w:shd w:val="clear" w:color="000000" w:fill="FFFFFF"/>
            <w:vAlign w:val="center"/>
            <w:hideMark/>
          </w:tcPr>
          <w:p w14:paraId="7A5A57D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31/12/2019</w:t>
            </w:r>
          </w:p>
        </w:tc>
        <w:tc>
          <w:tcPr>
            <w:tcW w:w="1360" w:type="dxa"/>
            <w:tcBorders>
              <w:top w:val="nil"/>
              <w:left w:val="single" w:sz="4" w:space="0" w:color="auto"/>
              <w:bottom w:val="nil"/>
              <w:right w:val="nil"/>
            </w:tcBorders>
            <w:shd w:val="clear" w:color="000000" w:fill="FFFFFF"/>
            <w:noWrap/>
            <w:vAlign w:val="center"/>
            <w:hideMark/>
          </w:tcPr>
          <w:p w14:paraId="76EA0E87"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113,348</w:t>
            </w:r>
          </w:p>
        </w:tc>
        <w:tc>
          <w:tcPr>
            <w:tcW w:w="1481" w:type="dxa"/>
            <w:tcBorders>
              <w:top w:val="nil"/>
              <w:left w:val="single" w:sz="4" w:space="0" w:color="auto"/>
              <w:bottom w:val="nil"/>
              <w:right w:val="single" w:sz="4" w:space="0" w:color="auto"/>
            </w:tcBorders>
            <w:shd w:val="clear" w:color="000000" w:fill="FFFFFF"/>
            <w:vAlign w:val="center"/>
            <w:hideMark/>
          </w:tcPr>
          <w:p w14:paraId="0C3C4F73"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12,949</w:t>
            </w:r>
          </w:p>
        </w:tc>
        <w:tc>
          <w:tcPr>
            <w:tcW w:w="1270" w:type="dxa"/>
            <w:gridSpan w:val="2"/>
            <w:tcBorders>
              <w:top w:val="nil"/>
              <w:left w:val="nil"/>
              <w:bottom w:val="nil"/>
              <w:right w:val="single" w:sz="4" w:space="0" w:color="auto"/>
            </w:tcBorders>
            <w:shd w:val="clear" w:color="000000" w:fill="FFFFFF"/>
            <w:vAlign w:val="center"/>
            <w:hideMark/>
          </w:tcPr>
          <w:p w14:paraId="00C0B2B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7B95CCD5"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93,538</w:t>
            </w:r>
          </w:p>
        </w:tc>
        <w:tc>
          <w:tcPr>
            <w:tcW w:w="1701" w:type="dxa"/>
            <w:gridSpan w:val="2"/>
            <w:tcBorders>
              <w:top w:val="nil"/>
              <w:left w:val="nil"/>
              <w:bottom w:val="nil"/>
              <w:right w:val="single" w:sz="4" w:space="0" w:color="auto"/>
            </w:tcBorders>
            <w:shd w:val="clear" w:color="000000" w:fill="FFFFFF"/>
            <w:vAlign w:val="center"/>
            <w:hideMark/>
          </w:tcPr>
          <w:p w14:paraId="3CDFEED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648" w:type="dxa"/>
            <w:gridSpan w:val="2"/>
            <w:tcBorders>
              <w:top w:val="nil"/>
              <w:left w:val="nil"/>
              <w:bottom w:val="nil"/>
              <w:right w:val="single" w:sz="4" w:space="0" w:color="auto"/>
            </w:tcBorders>
            <w:shd w:val="clear" w:color="000000" w:fill="FFFFFF"/>
            <w:vAlign w:val="center"/>
            <w:hideMark/>
          </w:tcPr>
          <w:p w14:paraId="75DB2717"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219,835</w:t>
            </w:r>
          </w:p>
        </w:tc>
      </w:tr>
      <w:tr w:rsidR="00745B47" w:rsidRPr="00745B47" w14:paraId="6B9ECC28" w14:textId="77777777" w:rsidTr="00514C09">
        <w:trPr>
          <w:trHeight w:val="315"/>
        </w:trPr>
        <w:tc>
          <w:tcPr>
            <w:tcW w:w="3544" w:type="dxa"/>
            <w:tcBorders>
              <w:top w:val="nil"/>
              <w:left w:val="single" w:sz="4" w:space="0" w:color="auto"/>
              <w:bottom w:val="nil"/>
              <w:right w:val="nil"/>
            </w:tcBorders>
            <w:shd w:val="clear" w:color="000000" w:fill="FFFFFF"/>
            <w:vAlign w:val="center"/>
            <w:hideMark/>
          </w:tcPr>
          <w:p w14:paraId="4C8B83CD"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xml:space="preserve">Head of Finance &amp; Services </w:t>
            </w:r>
          </w:p>
        </w:tc>
        <w:tc>
          <w:tcPr>
            <w:tcW w:w="1559" w:type="dxa"/>
            <w:tcBorders>
              <w:top w:val="nil"/>
              <w:left w:val="single" w:sz="4" w:space="0" w:color="auto"/>
              <w:bottom w:val="nil"/>
              <w:right w:val="nil"/>
            </w:tcBorders>
            <w:shd w:val="clear" w:color="000000" w:fill="FFFFFF"/>
            <w:vAlign w:val="center"/>
            <w:hideMark/>
          </w:tcPr>
          <w:p w14:paraId="1F4C21D2" w14:textId="77777777" w:rsidR="00745B47" w:rsidRPr="00745B47" w:rsidRDefault="00745B47" w:rsidP="00745B47">
            <w:pPr>
              <w:ind w:firstLineChars="100" w:firstLine="160"/>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01/09/2010</w:t>
            </w:r>
          </w:p>
        </w:tc>
        <w:tc>
          <w:tcPr>
            <w:tcW w:w="1276" w:type="dxa"/>
            <w:tcBorders>
              <w:top w:val="nil"/>
              <w:left w:val="single" w:sz="4" w:space="0" w:color="auto"/>
              <w:bottom w:val="nil"/>
              <w:right w:val="nil"/>
            </w:tcBorders>
            <w:shd w:val="clear" w:color="000000" w:fill="FFFFFF"/>
            <w:vAlign w:val="center"/>
            <w:hideMark/>
          </w:tcPr>
          <w:p w14:paraId="46BA40AB"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360" w:type="dxa"/>
            <w:tcBorders>
              <w:top w:val="nil"/>
              <w:left w:val="single" w:sz="4" w:space="0" w:color="auto"/>
              <w:bottom w:val="nil"/>
              <w:right w:val="nil"/>
            </w:tcBorders>
            <w:shd w:val="clear" w:color="000000" w:fill="FFFFFF"/>
            <w:noWrap/>
            <w:vAlign w:val="center"/>
            <w:hideMark/>
          </w:tcPr>
          <w:p w14:paraId="724FAF9E"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99,048</w:t>
            </w:r>
          </w:p>
        </w:tc>
        <w:tc>
          <w:tcPr>
            <w:tcW w:w="1481" w:type="dxa"/>
            <w:tcBorders>
              <w:top w:val="nil"/>
              <w:left w:val="single" w:sz="4" w:space="0" w:color="auto"/>
              <w:bottom w:val="nil"/>
              <w:right w:val="single" w:sz="4" w:space="0" w:color="auto"/>
            </w:tcBorders>
            <w:shd w:val="clear" w:color="000000" w:fill="FFFFFF"/>
            <w:vAlign w:val="center"/>
            <w:hideMark/>
          </w:tcPr>
          <w:p w14:paraId="761135E2"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12,248</w:t>
            </w:r>
          </w:p>
        </w:tc>
        <w:tc>
          <w:tcPr>
            <w:tcW w:w="1270" w:type="dxa"/>
            <w:gridSpan w:val="2"/>
            <w:tcBorders>
              <w:top w:val="nil"/>
              <w:left w:val="nil"/>
              <w:bottom w:val="nil"/>
              <w:right w:val="single" w:sz="4" w:space="0" w:color="auto"/>
            </w:tcBorders>
            <w:shd w:val="clear" w:color="000000" w:fill="FFFFFF"/>
            <w:vAlign w:val="center"/>
            <w:hideMark/>
          </w:tcPr>
          <w:p w14:paraId="0D4D181D"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992" w:type="dxa"/>
            <w:tcBorders>
              <w:top w:val="nil"/>
              <w:left w:val="nil"/>
              <w:bottom w:val="nil"/>
              <w:right w:val="single" w:sz="4" w:space="0" w:color="auto"/>
            </w:tcBorders>
            <w:shd w:val="clear" w:color="000000" w:fill="FFFFFF"/>
            <w:vAlign w:val="center"/>
            <w:hideMark/>
          </w:tcPr>
          <w:p w14:paraId="61A2D17F"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 </w:t>
            </w:r>
          </w:p>
        </w:tc>
        <w:tc>
          <w:tcPr>
            <w:tcW w:w="1701" w:type="dxa"/>
            <w:gridSpan w:val="2"/>
            <w:tcBorders>
              <w:top w:val="nil"/>
              <w:left w:val="nil"/>
              <w:bottom w:val="nil"/>
              <w:right w:val="single" w:sz="4" w:space="0" w:color="auto"/>
            </w:tcBorders>
            <w:shd w:val="clear" w:color="000000" w:fill="FFFFFF"/>
            <w:vAlign w:val="center"/>
            <w:hideMark/>
          </w:tcPr>
          <w:p w14:paraId="3E4BE17C" w14:textId="77777777" w:rsidR="00745B47" w:rsidRPr="00745B47" w:rsidRDefault="00745B47" w:rsidP="00745B47">
            <w:pPr>
              <w:jc w:val="center"/>
              <w:rPr>
                <w:rFonts w:ascii="Verdana" w:eastAsia="Times New Roman" w:hAnsi="Verdana" w:cs="Calibri"/>
                <w:color w:val="000000"/>
                <w:sz w:val="16"/>
                <w:szCs w:val="16"/>
                <w:lang w:val="en-GB" w:eastAsia="en-GB"/>
              </w:rPr>
            </w:pPr>
            <w:r w:rsidRPr="00745B47">
              <w:rPr>
                <w:rFonts w:ascii="Verdana" w:eastAsia="Times New Roman" w:hAnsi="Verdana" w:cs="Calibri"/>
                <w:color w:val="000000"/>
                <w:sz w:val="16"/>
                <w:szCs w:val="16"/>
                <w:lang w:val="en-GB" w:eastAsia="en-GB"/>
              </w:rPr>
              <w:t>1,296</w:t>
            </w:r>
          </w:p>
        </w:tc>
        <w:tc>
          <w:tcPr>
            <w:tcW w:w="1648" w:type="dxa"/>
            <w:gridSpan w:val="2"/>
            <w:tcBorders>
              <w:top w:val="nil"/>
              <w:left w:val="nil"/>
              <w:bottom w:val="nil"/>
              <w:right w:val="single" w:sz="4" w:space="0" w:color="auto"/>
            </w:tcBorders>
            <w:shd w:val="clear" w:color="000000" w:fill="FFFFFF"/>
            <w:vAlign w:val="center"/>
            <w:hideMark/>
          </w:tcPr>
          <w:p w14:paraId="00161E8E" w14:textId="77777777" w:rsidR="00745B47" w:rsidRPr="00745B47" w:rsidRDefault="00745B47" w:rsidP="00745B47">
            <w:pPr>
              <w:jc w:val="right"/>
              <w:rPr>
                <w:rFonts w:ascii="Verdana" w:eastAsia="Times New Roman" w:hAnsi="Verdana" w:cs="Calibri"/>
                <w:b/>
                <w:bCs/>
                <w:color w:val="000000"/>
                <w:sz w:val="16"/>
                <w:szCs w:val="16"/>
                <w:lang w:val="en-GB" w:eastAsia="en-GB"/>
              </w:rPr>
            </w:pPr>
            <w:r w:rsidRPr="00745B47">
              <w:rPr>
                <w:rFonts w:ascii="Verdana" w:eastAsia="Times New Roman" w:hAnsi="Verdana" w:cs="Calibri"/>
                <w:b/>
                <w:bCs/>
                <w:color w:val="000000"/>
                <w:sz w:val="16"/>
                <w:szCs w:val="16"/>
                <w:lang w:val="en-GB" w:eastAsia="en-GB"/>
              </w:rPr>
              <w:t>112,592</w:t>
            </w:r>
          </w:p>
        </w:tc>
      </w:tr>
      <w:tr w:rsidR="00745B47" w:rsidRPr="00745B47" w14:paraId="13620EB1" w14:textId="77777777" w:rsidTr="00514C09">
        <w:trPr>
          <w:trHeight w:val="315"/>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460AF891" w14:textId="77777777" w:rsidR="00745B47" w:rsidRPr="00745B47" w:rsidRDefault="00745B47" w:rsidP="00745B47">
            <w:pP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TOTAL CHIEF CONSTABLE</w:t>
            </w:r>
          </w:p>
        </w:tc>
        <w:tc>
          <w:tcPr>
            <w:tcW w:w="1559"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2DEEB8A8" w14:textId="77777777" w:rsidR="00745B47" w:rsidRPr="00745B47" w:rsidRDefault="00745B47" w:rsidP="00745B47">
            <w:pP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1276" w:type="dxa"/>
            <w:vMerge w:val="restart"/>
            <w:tcBorders>
              <w:top w:val="single" w:sz="4" w:space="0" w:color="auto"/>
              <w:left w:val="single" w:sz="4" w:space="0" w:color="auto"/>
              <w:bottom w:val="single" w:sz="4" w:space="0" w:color="000000"/>
              <w:right w:val="nil"/>
            </w:tcBorders>
            <w:shd w:val="clear" w:color="000000" w:fill="FFFFFF"/>
            <w:noWrap/>
            <w:vAlign w:val="bottom"/>
            <w:hideMark/>
          </w:tcPr>
          <w:p w14:paraId="3A2EC0AD" w14:textId="77777777" w:rsidR="00745B47" w:rsidRPr="00745B47" w:rsidRDefault="00745B47" w:rsidP="00745B47">
            <w:pP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 </w:t>
            </w:r>
          </w:p>
        </w:tc>
        <w:tc>
          <w:tcPr>
            <w:tcW w:w="1360" w:type="dxa"/>
            <w:vMerge w:val="restart"/>
            <w:tcBorders>
              <w:top w:val="single" w:sz="4" w:space="0" w:color="auto"/>
              <w:left w:val="single" w:sz="4" w:space="0" w:color="auto"/>
              <w:bottom w:val="single" w:sz="4" w:space="0" w:color="000000"/>
              <w:right w:val="nil"/>
            </w:tcBorders>
            <w:shd w:val="clear" w:color="000000" w:fill="FFFFFF"/>
            <w:noWrap/>
            <w:vAlign w:val="bottom"/>
            <w:hideMark/>
          </w:tcPr>
          <w:p w14:paraId="2EA276CE" w14:textId="77777777" w:rsidR="00745B47" w:rsidRPr="00745B47" w:rsidRDefault="00745B47" w:rsidP="00745B47">
            <w:pPr>
              <w:jc w:val="cente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1,340,180</w:t>
            </w:r>
          </w:p>
        </w:tc>
        <w:tc>
          <w:tcPr>
            <w:tcW w:w="1481" w:type="dxa"/>
            <w:vMerge w:val="restart"/>
            <w:tcBorders>
              <w:top w:val="single" w:sz="4" w:space="0" w:color="auto"/>
              <w:left w:val="single" w:sz="4" w:space="0" w:color="auto"/>
              <w:bottom w:val="single" w:sz="4" w:space="0" w:color="000000"/>
              <w:right w:val="nil"/>
            </w:tcBorders>
            <w:shd w:val="clear" w:color="000000" w:fill="FFFFFF"/>
            <w:noWrap/>
            <w:vAlign w:val="bottom"/>
            <w:hideMark/>
          </w:tcPr>
          <w:p w14:paraId="29B47B07" w14:textId="77777777" w:rsidR="00745B47" w:rsidRPr="00745B47" w:rsidRDefault="00745B47" w:rsidP="00745B47">
            <w:pPr>
              <w:jc w:val="cente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291,858</w:t>
            </w:r>
          </w:p>
        </w:tc>
        <w:tc>
          <w:tcPr>
            <w:tcW w:w="1270" w:type="dxa"/>
            <w:gridSpan w:val="2"/>
            <w:vMerge w:val="restart"/>
            <w:tcBorders>
              <w:top w:val="single" w:sz="4" w:space="0" w:color="auto"/>
              <w:left w:val="single" w:sz="4" w:space="0" w:color="auto"/>
              <w:bottom w:val="single" w:sz="4" w:space="0" w:color="000000"/>
              <w:right w:val="nil"/>
            </w:tcBorders>
            <w:shd w:val="clear" w:color="000000" w:fill="FFFFFF"/>
            <w:noWrap/>
            <w:vAlign w:val="bottom"/>
            <w:hideMark/>
          </w:tcPr>
          <w:p w14:paraId="0BE08C3F" w14:textId="77777777" w:rsidR="00745B47" w:rsidRPr="00745B47" w:rsidRDefault="00745B47" w:rsidP="00745B47">
            <w:pPr>
              <w:jc w:val="cente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11,839</w:t>
            </w:r>
          </w:p>
        </w:tc>
        <w:tc>
          <w:tcPr>
            <w:tcW w:w="992" w:type="dxa"/>
            <w:vMerge w:val="restart"/>
            <w:tcBorders>
              <w:top w:val="single" w:sz="4" w:space="0" w:color="auto"/>
              <w:left w:val="single" w:sz="4" w:space="0" w:color="auto"/>
              <w:bottom w:val="single" w:sz="4" w:space="0" w:color="000000"/>
              <w:right w:val="nil"/>
            </w:tcBorders>
            <w:shd w:val="clear" w:color="000000" w:fill="FFFFFF"/>
            <w:noWrap/>
            <w:vAlign w:val="bottom"/>
            <w:hideMark/>
          </w:tcPr>
          <w:p w14:paraId="4070F20D" w14:textId="77777777" w:rsidR="00745B47" w:rsidRPr="00745B47" w:rsidRDefault="00745B47" w:rsidP="00745B47">
            <w:pPr>
              <w:jc w:val="cente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93,538</w:t>
            </w:r>
          </w:p>
        </w:tc>
        <w:tc>
          <w:tcPr>
            <w:tcW w:w="1701" w:type="dxa"/>
            <w:gridSpan w:val="2"/>
            <w:vMerge w:val="restart"/>
            <w:tcBorders>
              <w:top w:val="single" w:sz="4" w:space="0" w:color="auto"/>
              <w:left w:val="single" w:sz="4" w:space="0" w:color="auto"/>
              <w:bottom w:val="single" w:sz="4" w:space="0" w:color="000000"/>
              <w:right w:val="nil"/>
            </w:tcBorders>
            <w:shd w:val="clear" w:color="000000" w:fill="FFFFFF"/>
            <w:noWrap/>
            <w:vAlign w:val="bottom"/>
            <w:hideMark/>
          </w:tcPr>
          <w:p w14:paraId="4802BA28" w14:textId="77777777" w:rsidR="00745B47" w:rsidRPr="00745B47" w:rsidRDefault="00745B47" w:rsidP="00745B47">
            <w:pPr>
              <w:jc w:val="center"/>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14,077</w:t>
            </w:r>
          </w:p>
        </w:tc>
        <w:tc>
          <w:tcPr>
            <w:tcW w:w="1648"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2BAC7DC7" w14:textId="77777777" w:rsidR="00745B47" w:rsidRPr="00745B47" w:rsidRDefault="00745B47" w:rsidP="00745B47">
            <w:pPr>
              <w:jc w:val="right"/>
              <w:rPr>
                <w:rFonts w:ascii="Verdana" w:eastAsia="Times New Roman" w:hAnsi="Verdana" w:cs="Calibri"/>
                <w:b/>
                <w:bCs/>
                <w:color w:val="000000"/>
                <w:sz w:val="18"/>
                <w:szCs w:val="18"/>
                <w:lang w:val="en-GB" w:eastAsia="en-GB"/>
              </w:rPr>
            </w:pPr>
            <w:r w:rsidRPr="00745B47">
              <w:rPr>
                <w:rFonts w:ascii="Verdana" w:eastAsia="Times New Roman" w:hAnsi="Verdana" w:cs="Calibri"/>
                <w:b/>
                <w:bCs/>
                <w:color w:val="000000"/>
                <w:sz w:val="18"/>
                <w:szCs w:val="18"/>
                <w:lang w:val="en-GB" w:eastAsia="en-GB"/>
              </w:rPr>
              <w:t>1,751,492</w:t>
            </w:r>
          </w:p>
        </w:tc>
      </w:tr>
      <w:tr w:rsidR="00745B47" w:rsidRPr="00745B47" w14:paraId="756A3489" w14:textId="77777777" w:rsidTr="00514C09">
        <w:trPr>
          <w:trHeight w:val="293"/>
        </w:trPr>
        <w:tc>
          <w:tcPr>
            <w:tcW w:w="3544" w:type="dxa"/>
            <w:vMerge/>
            <w:tcBorders>
              <w:top w:val="single" w:sz="4" w:space="0" w:color="auto"/>
              <w:left w:val="single" w:sz="4" w:space="0" w:color="auto"/>
              <w:bottom w:val="single" w:sz="4" w:space="0" w:color="000000"/>
              <w:right w:val="single" w:sz="4" w:space="0" w:color="auto"/>
            </w:tcBorders>
            <w:vAlign w:val="center"/>
            <w:hideMark/>
          </w:tcPr>
          <w:p w14:paraId="33DA5626"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1559" w:type="dxa"/>
            <w:vMerge/>
            <w:tcBorders>
              <w:top w:val="single" w:sz="4" w:space="0" w:color="auto"/>
              <w:left w:val="single" w:sz="4" w:space="0" w:color="auto"/>
              <w:bottom w:val="single" w:sz="4" w:space="0" w:color="000000"/>
              <w:right w:val="nil"/>
            </w:tcBorders>
            <w:vAlign w:val="center"/>
            <w:hideMark/>
          </w:tcPr>
          <w:p w14:paraId="5A27ABF9"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1276" w:type="dxa"/>
            <w:vMerge/>
            <w:tcBorders>
              <w:top w:val="single" w:sz="4" w:space="0" w:color="auto"/>
              <w:left w:val="single" w:sz="4" w:space="0" w:color="auto"/>
              <w:bottom w:val="single" w:sz="4" w:space="0" w:color="000000"/>
              <w:right w:val="nil"/>
            </w:tcBorders>
            <w:vAlign w:val="center"/>
            <w:hideMark/>
          </w:tcPr>
          <w:p w14:paraId="3EFD43D4"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1360" w:type="dxa"/>
            <w:vMerge/>
            <w:tcBorders>
              <w:top w:val="single" w:sz="4" w:space="0" w:color="auto"/>
              <w:left w:val="single" w:sz="4" w:space="0" w:color="auto"/>
              <w:bottom w:val="single" w:sz="4" w:space="0" w:color="000000"/>
              <w:right w:val="nil"/>
            </w:tcBorders>
            <w:vAlign w:val="center"/>
            <w:hideMark/>
          </w:tcPr>
          <w:p w14:paraId="151FE3BA"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1481" w:type="dxa"/>
            <w:vMerge/>
            <w:tcBorders>
              <w:top w:val="single" w:sz="4" w:space="0" w:color="auto"/>
              <w:left w:val="single" w:sz="4" w:space="0" w:color="auto"/>
              <w:bottom w:val="single" w:sz="4" w:space="0" w:color="000000"/>
              <w:right w:val="nil"/>
            </w:tcBorders>
            <w:vAlign w:val="center"/>
            <w:hideMark/>
          </w:tcPr>
          <w:p w14:paraId="03700388"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1270" w:type="dxa"/>
            <w:gridSpan w:val="2"/>
            <w:vMerge/>
            <w:tcBorders>
              <w:top w:val="single" w:sz="4" w:space="0" w:color="auto"/>
              <w:left w:val="single" w:sz="4" w:space="0" w:color="auto"/>
              <w:bottom w:val="single" w:sz="4" w:space="0" w:color="000000"/>
              <w:right w:val="nil"/>
            </w:tcBorders>
            <w:vAlign w:val="center"/>
            <w:hideMark/>
          </w:tcPr>
          <w:p w14:paraId="7B442B47"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992" w:type="dxa"/>
            <w:vMerge/>
            <w:tcBorders>
              <w:top w:val="single" w:sz="4" w:space="0" w:color="auto"/>
              <w:left w:val="single" w:sz="4" w:space="0" w:color="auto"/>
              <w:bottom w:val="single" w:sz="4" w:space="0" w:color="000000"/>
              <w:right w:val="nil"/>
            </w:tcBorders>
            <w:vAlign w:val="center"/>
            <w:hideMark/>
          </w:tcPr>
          <w:p w14:paraId="013D4FD0"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1701" w:type="dxa"/>
            <w:gridSpan w:val="2"/>
            <w:vMerge/>
            <w:tcBorders>
              <w:top w:val="single" w:sz="4" w:space="0" w:color="auto"/>
              <w:left w:val="single" w:sz="4" w:space="0" w:color="auto"/>
              <w:bottom w:val="single" w:sz="4" w:space="0" w:color="000000"/>
              <w:right w:val="nil"/>
            </w:tcBorders>
            <w:vAlign w:val="center"/>
            <w:hideMark/>
          </w:tcPr>
          <w:p w14:paraId="282B8C58" w14:textId="77777777" w:rsidR="00745B47" w:rsidRPr="00745B47" w:rsidRDefault="00745B47" w:rsidP="00745B47">
            <w:pPr>
              <w:rPr>
                <w:rFonts w:ascii="Verdana" w:eastAsia="Times New Roman" w:hAnsi="Verdana" w:cs="Calibri"/>
                <w:b/>
                <w:bCs/>
                <w:color w:val="000000"/>
                <w:sz w:val="18"/>
                <w:szCs w:val="18"/>
                <w:lang w:val="en-GB" w:eastAsia="en-GB"/>
              </w:rPr>
            </w:pPr>
          </w:p>
        </w:tc>
        <w:tc>
          <w:tcPr>
            <w:tcW w:w="1648" w:type="dxa"/>
            <w:gridSpan w:val="2"/>
            <w:vMerge/>
            <w:tcBorders>
              <w:top w:val="single" w:sz="4" w:space="0" w:color="auto"/>
              <w:left w:val="single" w:sz="4" w:space="0" w:color="auto"/>
              <w:bottom w:val="single" w:sz="4" w:space="0" w:color="000000"/>
              <w:right w:val="single" w:sz="4" w:space="0" w:color="auto"/>
            </w:tcBorders>
            <w:vAlign w:val="center"/>
            <w:hideMark/>
          </w:tcPr>
          <w:p w14:paraId="29B3E523" w14:textId="77777777" w:rsidR="00745B47" w:rsidRPr="00745B47" w:rsidRDefault="00745B47" w:rsidP="00745B47">
            <w:pPr>
              <w:rPr>
                <w:rFonts w:ascii="Verdana" w:eastAsia="Times New Roman" w:hAnsi="Verdana" w:cs="Calibri"/>
                <w:b/>
                <w:bCs/>
                <w:color w:val="000000"/>
                <w:sz w:val="18"/>
                <w:szCs w:val="18"/>
                <w:lang w:val="en-GB" w:eastAsia="en-GB"/>
              </w:rPr>
            </w:pPr>
          </w:p>
        </w:tc>
      </w:tr>
    </w:tbl>
    <w:p w14:paraId="066E528A" w14:textId="77777777" w:rsidR="00496A86" w:rsidRDefault="00496A86">
      <w:pPr>
        <w:pStyle w:val="Normal0"/>
        <w:spacing w:after="160" w:line="259" w:lineRule="auto"/>
        <w:rPr>
          <w:rFonts w:ascii="Verdana" w:eastAsia="Verdana" w:hAnsi="Verdana" w:cs="Verdana"/>
          <w:sz w:val="22"/>
          <w:szCs w:val="22"/>
          <w:highlight w:val="yellow"/>
          <w:lang w:val="en-GB"/>
        </w:rPr>
      </w:pPr>
    </w:p>
    <w:p w14:paraId="77972BA6" w14:textId="77777777" w:rsidR="00514C09" w:rsidRPr="00E65F27" w:rsidRDefault="00514C09" w:rsidP="00514C09">
      <w:pPr>
        <w:pStyle w:val="Normal0"/>
        <w:jc w:val="both"/>
        <w:rPr>
          <w:rFonts w:ascii="Verdana" w:eastAsia="Times New Roman" w:hAnsi="Verdana" w:cs="Arial"/>
          <w:sz w:val="22"/>
          <w:szCs w:val="22"/>
          <w:lang w:val="en-GB" w:eastAsia="en-GB"/>
        </w:rPr>
      </w:pPr>
      <w:r w:rsidRPr="00E65F27">
        <w:rPr>
          <w:rFonts w:ascii="Verdana" w:eastAsia="Times New Roman" w:hAnsi="Verdana" w:cs="Arial"/>
          <w:sz w:val="22"/>
          <w:szCs w:val="22"/>
          <w:lang w:val="en-GB" w:eastAsia="en-GB"/>
        </w:rPr>
        <w:t>In line with Trade Union (Facility Time Publication Requirements) Regulations 2017 (SI 2017/328) the Chief Constable has an obligation to report annually on paid time off provided to trade union representatives for trade union duties and activities. The following details relate to 2020/21. There were 11 employees who were union officials during the period (6.5 full time equivalents)  The total cost of this facility time was £93,837 which represents 0.11% of the total pay bill.</w:t>
      </w:r>
    </w:p>
    <w:p w14:paraId="7D727517" w14:textId="77777777" w:rsidR="00514C09" w:rsidRPr="00A00ADD" w:rsidRDefault="00514C09" w:rsidP="00514C09">
      <w:pPr>
        <w:rPr>
          <w:rFonts w:eastAsia="Times New Roman" w:cs="Calibri"/>
          <w:b/>
          <w:bCs/>
          <w:color w:val="000000"/>
          <w:sz w:val="18"/>
          <w:szCs w:val="18"/>
          <w:lang w:val="en-GB" w:eastAsia="en-GB"/>
        </w:rPr>
      </w:pPr>
    </w:p>
    <w:p w14:paraId="2B02E1E0" w14:textId="77777777" w:rsidR="00514C09" w:rsidRPr="00514C09" w:rsidRDefault="00514C09" w:rsidP="00514C09">
      <w:pPr>
        <w:pStyle w:val="T1TableStyle"/>
        <w:rPr>
          <w:rFonts w:ascii="Verdana" w:eastAsia="Verdana" w:hAnsi="Verdana" w:cs="Verdana"/>
          <w:b/>
          <w:color w:val="000000"/>
          <w:sz w:val="22"/>
          <w:szCs w:val="22"/>
          <w:lang w:val="en-GB"/>
        </w:rPr>
      </w:pPr>
    </w:p>
    <w:p w14:paraId="28A02538" w14:textId="77777777" w:rsidR="00514C09" w:rsidRPr="00514C09" w:rsidRDefault="00514C09" w:rsidP="00514C09">
      <w:pPr>
        <w:pStyle w:val="T1TableStyle"/>
        <w:rPr>
          <w:rFonts w:ascii="Verdana" w:eastAsia="Verdana" w:hAnsi="Verdana" w:cs="Verdana"/>
          <w:b/>
          <w:color w:val="000000"/>
          <w:sz w:val="22"/>
          <w:szCs w:val="22"/>
          <w:lang w:val="en-GB"/>
        </w:rPr>
      </w:pPr>
    </w:p>
    <w:p w14:paraId="22C09CD4" w14:textId="77777777" w:rsidR="00514C09" w:rsidRPr="00514C09" w:rsidRDefault="00514C09" w:rsidP="00514C09">
      <w:pPr>
        <w:pStyle w:val="T1TableStyle"/>
        <w:rPr>
          <w:rFonts w:ascii="Verdana" w:eastAsia="Verdana" w:hAnsi="Verdana" w:cs="Verdana"/>
          <w:b/>
          <w:color w:val="000000"/>
          <w:sz w:val="22"/>
          <w:szCs w:val="22"/>
          <w:lang w:val="en-GB"/>
        </w:rPr>
      </w:pPr>
      <w:r w:rsidRPr="00514C09">
        <w:rPr>
          <w:rFonts w:ascii="Verdana" w:eastAsia="Verdana" w:hAnsi="Verdana" w:cs="Verdana"/>
          <w:b/>
          <w:color w:val="000000"/>
          <w:sz w:val="22"/>
          <w:szCs w:val="22"/>
          <w:lang w:val="en-GB"/>
        </w:rPr>
        <w:t>Exit Packages</w:t>
      </w:r>
    </w:p>
    <w:p w14:paraId="524D2F6E" w14:textId="77777777" w:rsidR="00514C09" w:rsidRDefault="00514C09" w:rsidP="00514C09">
      <w:pPr>
        <w:pStyle w:val="T1TableStyle"/>
        <w:rPr>
          <w:rFonts w:ascii="Verdana" w:eastAsia="Verdana" w:hAnsi="Verdana" w:cs="Verdana"/>
          <w:b/>
          <w:color w:val="000000"/>
          <w:lang w:val="en-GB"/>
        </w:rPr>
      </w:pPr>
    </w:p>
    <w:p w14:paraId="76217490" w14:textId="77777777" w:rsidR="00514C09" w:rsidRPr="00514C09" w:rsidRDefault="00514C09" w:rsidP="00514C09">
      <w:pPr>
        <w:pStyle w:val="T1TableStyle"/>
        <w:rPr>
          <w:rFonts w:ascii="Verdana" w:eastAsia="Verdana" w:hAnsi="Verdana" w:cs="Verdana"/>
          <w:color w:val="000000"/>
          <w:sz w:val="22"/>
          <w:szCs w:val="22"/>
          <w:lang w:val="en-GB"/>
        </w:rPr>
      </w:pPr>
      <w:r w:rsidRPr="00514C09">
        <w:rPr>
          <w:rFonts w:ascii="Verdana" w:eastAsia="Verdana" w:hAnsi="Verdana" w:cs="Verdana"/>
          <w:color w:val="000000"/>
          <w:sz w:val="22"/>
          <w:szCs w:val="22"/>
          <w:lang w:val="en-GB"/>
        </w:rPr>
        <w:t>The 2020/21 Code requires disclosure of the number and cost of exit packages agreed, including:</w:t>
      </w:r>
    </w:p>
    <w:p w14:paraId="7C819DD6" w14:textId="77777777" w:rsidR="00514C09" w:rsidRPr="00514C09" w:rsidRDefault="00514C09" w:rsidP="00514C09">
      <w:pPr>
        <w:pStyle w:val="T1TableStyle"/>
        <w:rPr>
          <w:rFonts w:ascii="Verdana" w:eastAsia="Verdana" w:hAnsi="Verdana" w:cs="Verdana"/>
          <w:color w:val="000000"/>
          <w:sz w:val="22"/>
          <w:szCs w:val="22"/>
          <w:lang w:val="en-GB"/>
        </w:rPr>
      </w:pPr>
    </w:p>
    <w:p w14:paraId="13911FBE" w14:textId="77777777" w:rsidR="00514C09" w:rsidRPr="00514C09" w:rsidRDefault="00514C09" w:rsidP="00514C09">
      <w:pPr>
        <w:pStyle w:val="T1TableStyle"/>
        <w:numPr>
          <w:ilvl w:val="0"/>
          <w:numId w:val="31"/>
        </w:numPr>
        <w:rPr>
          <w:rFonts w:ascii="Verdana" w:eastAsia="Verdana" w:hAnsi="Verdana" w:cs="Verdana"/>
          <w:color w:val="000000"/>
          <w:sz w:val="22"/>
          <w:szCs w:val="22"/>
          <w:lang w:val="en-GB"/>
        </w:rPr>
      </w:pPr>
      <w:r w:rsidRPr="00514C09">
        <w:rPr>
          <w:rFonts w:ascii="Verdana" w:eastAsia="Verdana" w:hAnsi="Verdana" w:cs="Verdana"/>
          <w:color w:val="000000"/>
          <w:sz w:val="22"/>
          <w:szCs w:val="22"/>
          <w:lang w:val="en-GB"/>
        </w:rPr>
        <w:t>Number of packages agreed (in bands of £29k up to £100k and £50k thereafter)</w:t>
      </w:r>
    </w:p>
    <w:p w14:paraId="417B7F62" w14:textId="77777777" w:rsidR="00514C09" w:rsidRPr="00514C09" w:rsidRDefault="00514C09" w:rsidP="00514C09">
      <w:pPr>
        <w:pStyle w:val="T1TableStyle"/>
        <w:numPr>
          <w:ilvl w:val="0"/>
          <w:numId w:val="31"/>
        </w:numPr>
        <w:rPr>
          <w:rFonts w:ascii="Verdana" w:eastAsia="Verdana" w:hAnsi="Verdana" w:cs="Verdana"/>
          <w:color w:val="000000"/>
          <w:sz w:val="22"/>
          <w:szCs w:val="22"/>
          <w:lang w:val="en-GB"/>
        </w:rPr>
      </w:pPr>
      <w:r w:rsidRPr="00514C09">
        <w:rPr>
          <w:rFonts w:ascii="Verdana" w:eastAsia="Verdana" w:hAnsi="Verdana" w:cs="Verdana"/>
          <w:color w:val="000000"/>
          <w:sz w:val="22"/>
          <w:szCs w:val="22"/>
          <w:lang w:val="en-GB"/>
        </w:rPr>
        <w:t>Analysis between compulsory redundancies and “other” agreed departures</w:t>
      </w:r>
    </w:p>
    <w:p w14:paraId="39D2B7C1" w14:textId="77777777" w:rsidR="00514C09" w:rsidRPr="00514C09" w:rsidRDefault="00514C09" w:rsidP="00514C09">
      <w:pPr>
        <w:pStyle w:val="T1TableStyle"/>
        <w:numPr>
          <w:ilvl w:val="0"/>
          <w:numId w:val="31"/>
        </w:numPr>
        <w:rPr>
          <w:rFonts w:ascii="Verdana" w:eastAsia="Verdana" w:hAnsi="Verdana" w:cs="Verdana"/>
          <w:color w:val="000000"/>
          <w:sz w:val="22"/>
          <w:szCs w:val="22"/>
          <w:lang w:val="en-GB"/>
        </w:rPr>
      </w:pPr>
      <w:r w:rsidRPr="00514C09">
        <w:rPr>
          <w:rFonts w:ascii="Verdana" w:eastAsia="Verdana" w:hAnsi="Verdana" w:cs="Verdana"/>
          <w:color w:val="000000"/>
          <w:sz w:val="22"/>
          <w:szCs w:val="22"/>
          <w:lang w:val="en-GB"/>
        </w:rPr>
        <w:t>Total cost for each band</w:t>
      </w:r>
    </w:p>
    <w:p w14:paraId="63E04931" w14:textId="77777777" w:rsidR="00514C09" w:rsidRDefault="00514C09" w:rsidP="00514C09">
      <w:pPr>
        <w:pStyle w:val="T1TableStyle"/>
        <w:rPr>
          <w:rFonts w:ascii="Verdana" w:eastAsia="Verdana" w:hAnsi="Verdana" w:cs="Verdana"/>
          <w:b/>
          <w:color w:val="000000"/>
          <w:lang w:val="en-GB"/>
        </w:rPr>
      </w:pPr>
    </w:p>
    <w:p w14:paraId="15A52A70" w14:textId="77777777" w:rsidR="00337681" w:rsidRDefault="00337681">
      <w:pPr>
        <w:pStyle w:val="T1TableStyle"/>
        <w:rPr>
          <w:rFonts w:ascii="Verdana" w:eastAsia="Verdana" w:hAnsi="Verdana" w:cs="Verdana"/>
          <w:sz w:val="22"/>
          <w:highlight w:val="yellow"/>
          <w:lang w:val="en-GB"/>
        </w:rPr>
      </w:pPr>
    </w:p>
    <w:p w14:paraId="7C59B791" w14:textId="77777777" w:rsidR="00D8454A" w:rsidRDefault="00D8454A" w:rsidP="00D8454A">
      <w:pPr>
        <w:pStyle w:val="T1TableStyle"/>
        <w:ind w:left="3600"/>
        <w:rPr>
          <w:rFonts w:ascii="Verdana" w:eastAsia="Verdana" w:hAnsi="Verdana" w:cs="Verdana"/>
          <w:sz w:val="22"/>
          <w:highlight w:val="yellow"/>
          <w:lang w:val="en-GB"/>
        </w:rPr>
      </w:pPr>
      <w:r w:rsidRPr="00043A44">
        <w:rPr>
          <w:rFonts w:ascii="Verdana" w:eastAsia="Verdana" w:hAnsi="Verdana" w:cs="Verdana"/>
          <w:b/>
          <w:color w:val="000000"/>
          <w:lang w:val="en-GB"/>
        </w:rPr>
        <w:t>Exit Packages</w:t>
      </w:r>
    </w:p>
    <w:p w14:paraId="18E42E50" w14:textId="77777777" w:rsidR="00D8454A" w:rsidRDefault="00D8454A" w:rsidP="00D8454A">
      <w:pPr>
        <w:pStyle w:val="T1TableStyle"/>
        <w:rPr>
          <w:rFonts w:ascii="Verdana" w:eastAsia="Verdana" w:hAnsi="Verdana" w:cs="Verdana"/>
          <w:sz w:val="22"/>
          <w:highlight w:val="yellow"/>
          <w:lang w:val="en-GB"/>
        </w:rPr>
      </w:pPr>
    </w:p>
    <w:tbl>
      <w:tblPr>
        <w:tblW w:w="0" w:type="auto"/>
        <w:jc w:val="center"/>
        <w:tblLayout w:type="fixed"/>
        <w:tblLook w:val="04A0" w:firstRow="1" w:lastRow="0" w:firstColumn="1" w:lastColumn="0" w:noHBand="0" w:noVBand="1"/>
      </w:tblPr>
      <w:tblGrid>
        <w:gridCol w:w="1980"/>
        <w:gridCol w:w="945"/>
        <w:gridCol w:w="945"/>
        <w:gridCol w:w="1305"/>
        <w:gridCol w:w="1305"/>
      </w:tblGrid>
      <w:tr w:rsidR="00D8454A" w:rsidRPr="00043A44" w14:paraId="72157A99" w14:textId="77777777" w:rsidTr="008932D4">
        <w:trPr>
          <w:trHeight w:val="795"/>
          <w:jc w:val="center"/>
        </w:trPr>
        <w:tc>
          <w:tcPr>
            <w:tcW w:w="1980" w:type="dxa"/>
            <w:shd w:val="clear" w:color="auto" w:fill="auto"/>
            <w:tcMar>
              <w:top w:w="20" w:type="dxa"/>
              <w:left w:w="20" w:type="dxa"/>
              <w:bottom w:w="20" w:type="dxa"/>
              <w:right w:w="20" w:type="dxa"/>
            </w:tcMar>
            <w:vAlign w:val="center"/>
          </w:tcPr>
          <w:p w14:paraId="04D177A0" w14:textId="77777777" w:rsidR="00D8454A" w:rsidRPr="00043A44" w:rsidRDefault="00D8454A" w:rsidP="008932D4">
            <w:pPr>
              <w:pStyle w:val="T1TableStyle"/>
              <w:rPr>
                <w:rFonts w:ascii="Verdana" w:eastAsia="Verdana" w:hAnsi="Verdana" w:cs="Verdana"/>
                <w:b/>
                <w:color w:val="000000"/>
                <w:sz w:val="16"/>
                <w:lang w:val="en-GB"/>
              </w:rPr>
            </w:pPr>
            <w:r w:rsidRPr="00043A44">
              <w:rPr>
                <w:rFonts w:ascii="Verdana" w:eastAsia="Verdana" w:hAnsi="Verdana" w:cs="Verdana"/>
                <w:b/>
                <w:color w:val="000000"/>
                <w:sz w:val="16"/>
                <w:lang w:val="en-GB"/>
              </w:rPr>
              <w:t>Exit package cost band (including special payments)</w:t>
            </w:r>
          </w:p>
        </w:tc>
        <w:tc>
          <w:tcPr>
            <w:tcW w:w="1890" w:type="dxa"/>
            <w:gridSpan w:val="2"/>
            <w:shd w:val="clear" w:color="auto" w:fill="auto"/>
            <w:tcMar>
              <w:top w:w="20" w:type="dxa"/>
              <w:left w:w="20" w:type="dxa"/>
              <w:bottom w:w="20" w:type="dxa"/>
              <w:right w:w="20" w:type="dxa"/>
            </w:tcMar>
            <w:vAlign w:val="center"/>
          </w:tcPr>
          <w:p w14:paraId="72E6F051" w14:textId="77777777" w:rsidR="00D8454A" w:rsidRPr="00043A44" w:rsidRDefault="00D8454A" w:rsidP="008932D4">
            <w:pPr>
              <w:pStyle w:val="T1TableStyle"/>
              <w:jc w:val="center"/>
              <w:rPr>
                <w:rFonts w:ascii="Verdana" w:eastAsia="Verdana" w:hAnsi="Verdana" w:cs="Verdana"/>
                <w:b/>
                <w:color w:val="000000"/>
                <w:sz w:val="16"/>
                <w:lang w:val="en-GB"/>
              </w:rPr>
            </w:pPr>
            <w:r w:rsidRPr="00043A44">
              <w:rPr>
                <w:rFonts w:ascii="Verdana" w:eastAsia="Verdana" w:hAnsi="Verdana" w:cs="Verdana"/>
                <w:b/>
                <w:color w:val="000000"/>
                <w:sz w:val="16"/>
                <w:lang w:val="en-GB"/>
              </w:rPr>
              <w:t>Total number of exit packages by cost band</w:t>
            </w:r>
          </w:p>
        </w:tc>
        <w:tc>
          <w:tcPr>
            <w:tcW w:w="2610" w:type="dxa"/>
            <w:gridSpan w:val="2"/>
            <w:shd w:val="clear" w:color="auto" w:fill="auto"/>
            <w:tcMar>
              <w:top w:w="20" w:type="dxa"/>
              <w:left w:w="20" w:type="dxa"/>
              <w:bottom w:w="20" w:type="dxa"/>
              <w:right w:w="20" w:type="dxa"/>
            </w:tcMar>
            <w:vAlign w:val="center"/>
          </w:tcPr>
          <w:p w14:paraId="209E404D" w14:textId="77777777" w:rsidR="00D8454A" w:rsidRPr="00043A44" w:rsidRDefault="00D8454A" w:rsidP="008932D4">
            <w:pPr>
              <w:pStyle w:val="T1TableStyle"/>
              <w:jc w:val="center"/>
              <w:rPr>
                <w:rFonts w:ascii="Verdana" w:eastAsia="Verdana" w:hAnsi="Verdana" w:cs="Verdana"/>
                <w:b/>
                <w:color w:val="000000"/>
                <w:sz w:val="16"/>
                <w:lang w:val="en-GB"/>
              </w:rPr>
            </w:pPr>
            <w:r w:rsidRPr="00043A44">
              <w:rPr>
                <w:rFonts w:ascii="Verdana" w:eastAsia="Verdana" w:hAnsi="Verdana" w:cs="Verdana"/>
                <w:b/>
                <w:color w:val="000000"/>
                <w:sz w:val="16"/>
                <w:lang w:val="en-GB"/>
              </w:rPr>
              <w:t>Total cost of exit packages in each band (£)</w:t>
            </w:r>
          </w:p>
        </w:tc>
      </w:tr>
      <w:tr w:rsidR="00D8454A" w:rsidRPr="00043A44" w14:paraId="5184329B" w14:textId="77777777" w:rsidTr="008932D4">
        <w:trPr>
          <w:trHeight w:val="210"/>
          <w:jc w:val="center"/>
        </w:trPr>
        <w:tc>
          <w:tcPr>
            <w:tcW w:w="1980" w:type="dxa"/>
            <w:tcBorders>
              <w:bottom w:val="single" w:sz="2" w:space="0" w:color="000000"/>
            </w:tcBorders>
            <w:shd w:val="clear" w:color="auto" w:fill="auto"/>
            <w:tcMar>
              <w:top w:w="20" w:type="dxa"/>
              <w:left w:w="20" w:type="dxa"/>
              <w:bottom w:w="20" w:type="dxa"/>
              <w:right w:w="20" w:type="dxa"/>
            </w:tcMar>
          </w:tcPr>
          <w:p w14:paraId="3D0D3B5D" w14:textId="77777777" w:rsidR="00D8454A" w:rsidRPr="00043A44" w:rsidRDefault="00D8454A" w:rsidP="008932D4">
            <w:pPr>
              <w:pStyle w:val="T1TableStyle"/>
              <w:jc w:val="center"/>
              <w:rPr>
                <w:rFonts w:ascii="Verdana" w:eastAsia="Verdana" w:hAnsi="Verdana" w:cs="Verdana"/>
                <w:b/>
                <w:color w:val="000000"/>
                <w:sz w:val="2"/>
                <w:lang w:val="en-GB"/>
              </w:rPr>
            </w:pPr>
            <w:r w:rsidRPr="00043A44">
              <w:rPr>
                <w:rFonts w:ascii="Verdana" w:eastAsia="Verdana" w:hAnsi="Verdana" w:cs="Verdana"/>
                <w:b/>
                <w:color w:val="000000"/>
                <w:sz w:val="2"/>
                <w:lang w:val="en-GB"/>
              </w:rPr>
              <w:t xml:space="preserve"> </w:t>
            </w:r>
          </w:p>
        </w:tc>
        <w:tc>
          <w:tcPr>
            <w:tcW w:w="945" w:type="dxa"/>
            <w:tcBorders>
              <w:bottom w:val="single" w:sz="2" w:space="0" w:color="000000"/>
            </w:tcBorders>
            <w:shd w:val="clear" w:color="auto" w:fill="auto"/>
            <w:tcMar>
              <w:top w:w="20" w:type="dxa"/>
              <w:left w:w="20" w:type="dxa"/>
              <w:bottom w:w="20" w:type="dxa"/>
              <w:right w:w="20" w:type="dxa"/>
            </w:tcMar>
            <w:vAlign w:val="bottom"/>
          </w:tcPr>
          <w:p w14:paraId="3FAB3B52"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2019/20</w:t>
            </w:r>
          </w:p>
        </w:tc>
        <w:tc>
          <w:tcPr>
            <w:tcW w:w="945" w:type="dxa"/>
            <w:tcBorders>
              <w:bottom w:val="single" w:sz="2" w:space="0" w:color="000000"/>
            </w:tcBorders>
            <w:shd w:val="clear" w:color="auto" w:fill="auto"/>
            <w:tcMar>
              <w:top w:w="20" w:type="dxa"/>
              <w:left w:w="20" w:type="dxa"/>
              <w:bottom w:w="20" w:type="dxa"/>
              <w:right w:w="20" w:type="dxa"/>
            </w:tcMar>
            <w:vAlign w:val="bottom"/>
          </w:tcPr>
          <w:p w14:paraId="270F9F25"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2020/21</w:t>
            </w:r>
          </w:p>
        </w:tc>
        <w:tc>
          <w:tcPr>
            <w:tcW w:w="1305" w:type="dxa"/>
            <w:tcBorders>
              <w:bottom w:val="single" w:sz="2" w:space="0" w:color="000000"/>
            </w:tcBorders>
            <w:shd w:val="clear" w:color="auto" w:fill="auto"/>
            <w:tcMar>
              <w:top w:w="20" w:type="dxa"/>
              <w:left w:w="20" w:type="dxa"/>
              <w:bottom w:w="20" w:type="dxa"/>
              <w:right w:w="20" w:type="dxa"/>
            </w:tcMar>
            <w:vAlign w:val="bottom"/>
          </w:tcPr>
          <w:p w14:paraId="1D590691"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2019/20</w:t>
            </w:r>
          </w:p>
        </w:tc>
        <w:tc>
          <w:tcPr>
            <w:tcW w:w="1305" w:type="dxa"/>
            <w:tcBorders>
              <w:bottom w:val="single" w:sz="2" w:space="0" w:color="000000"/>
            </w:tcBorders>
            <w:shd w:val="clear" w:color="auto" w:fill="auto"/>
            <w:tcMar>
              <w:top w:w="20" w:type="dxa"/>
              <w:left w:w="20" w:type="dxa"/>
              <w:bottom w:w="20" w:type="dxa"/>
              <w:right w:w="20" w:type="dxa"/>
            </w:tcMar>
            <w:vAlign w:val="bottom"/>
          </w:tcPr>
          <w:p w14:paraId="7B5D9E05"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2020/21</w:t>
            </w:r>
          </w:p>
        </w:tc>
      </w:tr>
      <w:tr w:rsidR="00D8454A" w:rsidRPr="00043A44" w14:paraId="4B3C2BAA" w14:textId="77777777" w:rsidTr="008932D4">
        <w:trPr>
          <w:trHeight w:val="210"/>
          <w:jc w:val="center"/>
        </w:trPr>
        <w:tc>
          <w:tcPr>
            <w:tcW w:w="1980" w:type="dxa"/>
            <w:shd w:val="clear" w:color="auto" w:fill="auto"/>
            <w:tcMar>
              <w:top w:w="20" w:type="dxa"/>
              <w:left w:w="20" w:type="dxa"/>
              <w:bottom w:w="20" w:type="dxa"/>
              <w:right w:w="20" w:type="dxa"/>
            </w:tcMar>
            <w:vAlign w:val="center"/>
          </w:tcPr>
          <w:p w14:paraId="579649D6" w14:textId="77777777" w:rsidR="00D8454A" w:rsidRPr="00043A44" w:rsidRDefault="00D8454A" w:rsidP="008932D4">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£0-£20,000</w:t>
            </w:r>
          </w:p>
        </w:tc>
        <w:tc>
          <w:tcPr>
            <w:tcW w:w="945" w:type="dxa"/>
            <w:shd w:val="clear" w:color="auto" w:fill="auto"/>
            <w:tcMar>
              <w:top w:w="20" w:type="dxa"/>
              <w:left w:w="20" w:type="dxa"/>
              <w:bottom w:w="20" w:type="dxa"/>
              <w:right w:w="20" w:type="dxa"/>
            </w:tcMar>
          </w:tcPr>
          <w:p w14:paraId="3B9B754D"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p>
        </w:tc>
        <w:tc>
          <w:tcPr>
            <w:tcW w:w="945" w:type="dxa"/>
            <w:shd w:val="clear" w:color="auto" w:fill="auto"/>
            <w:tcMar>
              <w:top w:w="20" w:type="dxa"/>
              <w:left w:w="20" w:type="dxa"/>
              <w:bottom w:w="20" w:type="dxa"/>
              <w:right w:w="20" w:type="dxa"/>
            </w:tcMar>
          </w:tcPr>
          <w:p w14:paraId="55EFEDA7"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p>
        </w:tc>
        <w:tc>
          <w:tcPr>
            <w:tcW w:w="1305" w:type="dxa"/>
            <w:shd w:val="clear" w:color="auto" w:fill="auto"/>
            <w:tcMar>
              <w:top w:w="20" w:type="dxa"/>
              <w:left w:w="20" w:type="dxa"/>
              <w:bottom w:w="20" w:type="dxa"/>
              <w:right w:w="20" w:type="dxa"/>
            </w:tcMar>
          </w:tcPr>
          <w:p w14:paraId="707D01F9"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75,741</w:t>
            </w:r>
          </w:p>
        </w:tc>
        <w:tc>
          <w:tcPr>
            <w:tcW w:w="1305" w:type="dxa"/>
            <w:shd w:val="clear" w:color="auto" w:fill="auto"/>
            <w:tcMar>
              <w:top w:w="20" w:type="dxa"/>
              <w:left w:w="20" w:type="dxa"/>
              <w:bottom w:w="20" w:type="dxa"/>
              <w:right w:w="20" w:type="dxa"/>
            </w:tcMar>
          </w:tcPr>
          <w:p w14:paraId="06C1934A"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21,063</w:t>
            </w:r>
          </w:p>
        </w:tc>
      </w:tr>
      <w:tr w:rsidR="00D8454A" w:rsidRPr="00043A44" w14:paraId="57718E7D" w14:textId="77777777" w:rsidTr="008932D4">
        <w:trPr>
          <w:trHeight w:val="210"/>
          <w:jc w:val="center"/>
        </w:trPr>
        <w:tc>
          <w:tcPr>
            <w:tcW w:w="1980" w:type="dxa"/>
            <w:shd w:val="clear" w:color="auto" w:fill="auto"/>
            <w:tcMar>
              <w:top w:w="20" w:type="dxa"/>
              <w:left w:w="20" w:type="dxa"/>
              <w:bottom w:w="20" w:type="dxa"/>
              <w:right w:w="20" w:type="dxa"/>
            </w:tcMar>
            <w:vAlign w:val="center"/>
          </w:tcPr>
          <w:p w14:paraId="5E63F1EC" w14:textId="77777777" w:rsidR="00D8454A" w:rsidRPr="00043A44" w:rsidRDefault="00D8454A" w:rsidP="008932D4">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£20,001 - £40,000</w:t>
            </w:r>
          </w:p>
        </w:tc>
        <w:tc>
          <w:tcPr>
            <w:tcW w:w="945" w:type="dxa"/>
            <w:shd w:val="clear" w:color="auto" w:fill="auto"/>
            <w:tcMar>
              <w:top w:w="20" w:type="dxa"/>
              <w:left w:w="20" w:type="dxa"/>
              <w:bottom w:w="20" w:type="dxa"/>
              <w:right w:w="20" w:type="dxa"/>
            </w:tcMar>
          </w:tcPr>
          <w:p w14:paraId="3B44CA6B"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945" w:type="dxa"/>
            <w:shd w:val="clear" w:color="auto" w:fill="auto"/>
            <w:tcMar>
              <w:top w:w="20" w:type="dxa"/>
              <w:left w:w="20" w:type="dxa"/>
              <w:bottom w:w="20" w:type="dxa"/>
              <w:right w:w="20" w:type="dxa"/>
            </w:tcMar>
          </w:tcPr>
          <w:p w14:paraId="591642FC" w14:textId="77777777" w:rsidR="00D8454A" w:rsidRPr="00043A44" w:rsidRDefault="00D8454A" w:rsidP="008932D4">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w:t>
            </w:r>
          </w:p>
        </w:tc>
        <w:tc>
          <w:tcPr>
            <w:tcW w:w="1305" w:type="dxa"/>
            <w:shd w:val="clear" w:color="auto" w:fill="auto"/>
            <w:tcMar>
              <w:top w:w="20" w:type="dxa"/>
              <w:left w:w="20" w:type="dxa"/>
              <w:bottom w:w="20" w:type="dxa"/>
              <w:right w:w="20" w:type="dxa"/>
            </w:tcMar>
          </w:tcPr>
          <w:p w14:paraId="4614AEC3"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30,770</w:t>
            </w:r>
          </w:p>
        </w:tc>
        <w:tc>
          <w:tcPr>
            <w:tcW w:w="1305" w:type="dxa"/>
            <w:shd w:val="clear" w:color="auto" w:fill="auto"/>
            <w:tcMar>
              <w:top w:w="20" w:type="dxa"/>
              <w:left w:w="20" w:type="dxa"/>
              <w:bottom w:w="20" w:type="dxa"/>
              <w:right w:w="20" w:type="dxa"/>
            </w:tcMar>
          </w:tcPr>
          <w:p w14:paraId="22815A4A"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21,155</w:t>
            </w:r>
          </w:p>
        </w:tc>
      </w:tr>
      <w:tr w:rsidR="00D8454A" w:rsidRPr="00043A44" w14:paraId="305C929C" w14:textId="77777777" w:rsidTr="008932D4">
        <w:trPr>
          <w:trHeight w:val="210"/>
          <w:jc w:val="center"/>
        </w:trPr>
        <w:tc>
          <w:tcPr>
            <w:tcW w:w="1980" w:type="dxa"/>
            <w:shd w:val="clear" w:color="auto" w:fill="auto"/>
            <w:tcMar>
              <w:top w:w="20" w:type="dxa"/>
              <w:left w:w="20" w:type="dxa"/>
              <w:bottom w:w="20" w:type="dxa"/>
              <w:right w:w="20" w:type="dxa"/>
            </w:tcMar>
            <w:vAlign w:val="center"/>
          </w:tcPr>
          <w:p w14:paraId="3A7447CC" w14:textId="77777777" w:rsidR="00D8454A" w:rsidRPr="00043A44" w:rsidRDefault="00D8454A" w:rsidP="008932D4">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£40,001 - £60,000</w:t>
            </w:r>
          </w:p>
        </w:tc>
        <w:tc>
          <w:tcPr>
            <w:tcW w:w="945" w:type="dxa"/>
            <w:shd w:val="clear" w:color="auto" w:fill="auto"/>
            <w:tcMar>
              <w:top w:w="20" w:type="dxa"/>
              <w:left w:w="20" w:type="dxa"/>
              <w:bottom w:w="20" w:type="dxa"/>
              <w:right w:w="20" w:type="dxa"/>
            </w:tcMar>
          </w:tcPr>
          <w:p w14:paraId="19F336A7"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945" w:type="dxa"/>
            <w:shd w:val="clear" w:color="auto" w:fill="auto"/>
            <w:tcMar>
              <w:top w:w="20" w:type="dxa"/>
              <w:left w:w="20" w:type="dxa"/>
              <w:bottom w:w="20" w:type="dxa"/>
              <w:right w:w="20" w:type="dxa"/>
            </w:tcMar>
          </w:tcPr>
          <w:p w14:paraId="22845A78"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14:paraId="4A8F711B"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50,000</w:t>
            </w:r>
          </w:p>
        </w:tc>
        <w:tc>
          <w:tcPr>
            <w:tcW w:w="1305" w:type="dxa"/>
            <w:shd w:val="clear" w:color="auto" w:fill="auto"/>
            <w:tcMar>
              <w:top w:w="20" w:type="dxa"/>
              <w:left w:w="20" w:type="dxa"/>
              <w:bottom w:w="20" w:type="dxa"/>
              <w:right w:w="20" w:type="dxa"/>
            </w:tcMar>
          </w:tcPr>
          <w:p w14:paraId="7BF2E588"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D8454A" w:rsidRPr="00043A44" w14:paraId="5F6E5C63" w14:textId="77777777" w:rsidTr="008932D4">
        <w:trPr>
          <w:trHeight w:val="210"/>
          <w:jc w:val="center"/>
        </w:trPr>
        <w:tc>
          <w:tcPr>
            <w:tcW w:w="1980" w:type="dxa"/>
            <w:shd w:val="clear" w:color="auto" w:fill="auto"/>
            <w:tcMar>
              <w:top w:w="20" w:type="dxa"/>
              <w:left w:w="20" w:type="dxa"/>
              <w:bottom w:w="20" w:type="dxa"/>
              <w:right w:w="20" w:type="dxa"/>
            </w:tcMar>
            <w:vAlign w:val="center"/>
          </w:tcPr>
          <w:p w14:paraId="6A713C6B" w14:textId="77777777" w:rsidR="00D8454A" w:rsidRPr="00043A44" w:rsidRDefault="00D8454A" w:rsidP="008932D4">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£150000- £200000</w:t>
            </w:r>
          </w:p>
        </w:tc>
        <w:tc>
          <w:tcPr>
            <w:tcW w:w="945" w:type="dxa"/>
            <w:shd w:val="clear" w:color="auto" w:fill="auto"/>
            <w:tcMar>
              <w:top w:w="20" w:type="dxa"/>
              <w:left w:w="20" w:type="dxa"/>
              <w:bottom w:w="20" w:type="dxa"/>
              <w:right w:w="20" w:type="dxa"/>
            </w:tcMar>
          </w:tcPr>
          <w:p w14:paraId="1527B53B"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p>
        </w:tc>
        <w:tc>
          <w:tcPr>
            <w:tcW w:w="945" w:type="dxa"/>
            <w:shd w:val="clear" w:color="auto" w:fill="auto"/>
            <w:tcMar>
              <w:top w:w="20" w:type="dxa"/>
              <w:left w:w="20" w:type="dxa"/>
              <w:bottom w:w="20" w:type="dxa"/>
              <w:right w:w="20" w:type="dxa"/>
            </w:tcMar>
          </w:tcPr>
          <w:p w14:paraId="2F60628A"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14:paraId="1FB11443"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345,656</w:t>
            </w:r>
          </w:p>
        </w:tc>
        <w:tc>
          <w:tcPr>
            <w:tcW w:w="1305" w:type="dxa"/>
            <w:shd w:val="clear" w:color="auto" w:fill="auto"/>
            <w:tcMar>
              <w:top w:w="20" w:type="dxa"/>
              <w:left w:w="20" w:type="dxa"/>
              <w:bottom w:w="20" w:type="dxa"/>
              <w:right w:w="20" w:type="dxa"/>
            </w:tcMar>
          </w:tcPr>
          <w:p w14:paraId="676316CB" w14:textId="77777777" w:rsidR="00D8454A" w:rsidRPr="00043A44" w:rsidRDefault="00D8454A" w:rsidP="008932D4">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D8454A" w:rsidRPr="00043A44" w14:paraId="5D43F505" w14:textId="77777777" w:rsidTr="008932D4">
        <w:trPr>
          <w:trHeight w:val="225"/>
          <w:jc w:val="center"/>
        </w:trPr>
        <w:tc>
          <w:tcPr>
            <w:tcW w:w="198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27DB185C" w14:textId="77777777" w:rsidR="00D8454A" w:rsidRPr="00043A44" w:rsidRDefault="00D8454A" w:rsidP="008932D4">
            <w:pPr>
              <w:pStyle w:val="T1TableStyle"/>
              <w:rPr>
                <w:rFonts w:ascii="Verdana" w:eastAsia="Verdana" w:hAnsi="Verdana" w:cs="Verdana"/>
                <w:b/>
                <w:color w:val="000000"/>
                <w:sz w:val="16"/>
                <w:lang w:val="en-GB"/>
              </w:rPr>
            </w:pPr>
            <w:r w:rsidRPr="00043A44">
              <w:rPr>
                <w:rFonts w:ascii="Verdana" w:eastAsia="Verdana" w:hAnsi="Verdana" w:cs="Verdana"/>
                <w:b/>
                <w:color w:val="000000"/>
                <w:sz w:val="16"/>
                <w:lang w:val="en-GB"/>
              </w:rPr>
              <w:t>Total</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14:paraId="1B424576"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11</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14:paraId="586F70A5"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14:paraId="46414D4C"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502,167</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14:paraId="523F30E7" w14:textId="77777777" w:rsidR="00D8454A" w:rsidRPr="00043A44" w:rsidRDefault="00D8454A" w:rsidP="008932D4">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41,218</w:t>
            </w:r>
          </w:p>
        </w:tc>
      </w:tr>
    </w:tbl>
    <w:p w14:paraId="131B9843" w14:textId="77777777" w:rsidR="00F96F86" w:rsidRPr="00514C09" w:rsidRDefault="00F96F86">
      <w:pPr>
        <w:pStyle w:val="T1TableStyle"/>
        <w:rPr>
          <w:rFonts w:ascii="Verdana" w:eastAsia="Verdana" w:hAnsi="Verdana" w:cs="Verdana"/>
          <w:sz w:val="22"/>
          <w:lang w:val="en-GB"/>
        </w:rPr>
      </w:pPr>
    </w:p>
    <w:p w14:paraId="24ACF4D8" w14:textId="77777777" w:rsidR="00F227D9" w:rsidRPr="00514C09" w:rsidRDefault="00F227D9">
      <w:pPr>
        <w:pStyle w:val="T1TableStyle"/>
        <w:rPr>
          <w:rFonts w:ascii="Verdana" w:eastAsia="Verdana" w:hAnsi="Verdana" w:cs="Verdana"/>
          <w:sz w:val="22"/>
          <w:lang w:val="en-GB"/>
        </w:rPr>
      </w:pPr>
    </w:p>
    <w:p w14:paraId="1A39C648" w14:textId="77777777" w:rsidR="00F227D9" w:rsidRPr="00514C09" w:rsidRDefault="00F227D9">
      <w:pPr>
        <w:pStyle w:val="Normal0"/>
        <w:spacing w:after="160" w:line="259" w:lineRule="auto"/>
        <w:rPr>
          <w:rFonts w:ascii="Verdana" w:eastAsia="Verdana" w:hAnsi="Verdana" w:cs="Verdana"/>
          <w:sz w:val="22"/>
          <w:szCs w:val="22"/>
          <w:lang w:val="en-GB"/>
        </w:rPr>
      </w:pPr>
      <w:r w:rsidRPr="00514C09">
        <w:rPr>
          <w:rFonts w:ascii="Verdana" w:eastAsia="Verdana" w:hAnsi="Verdana" w:cs="Verdana"/>
          <w:sz w:val="22"/>
          <w:szCs w:val="22"/>
          <w:lang w:val="en-GB"/>
        </w:rPr>
        <w:t>The numbers and total amounts of exit packages paid to employees were as shown in the table above. All payments were voluntary redundancies.</w:t>
      </w:r>
    </w:p>
    <w:p w14:paraId="69FC3E0B"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0CE52589"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4DDD9DB5"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49F817A6"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4DB00E8D"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762B097E"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6C18118B"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7265FB8D"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4D704C61"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682EFE53" w14:textId="77777777" w:rsidR="0027176B" w:rsidRDefault="0027176B" w:rsidP="001B66A5">
      <w:pPr>
        <w:pStyle w:val="Normal0"/>
        <w:jc w:val="both"/>
        <w:rPr>
          <w:rFonts w:ascii="Verdana" w:eastAsia="Times New Roman" w:hAnsi="Verdana" w:cs="Arial"/>
          <w:sz w:val="22"/>
          <w:szCs w:val="22"/>
          <w:highlight w:val="yellow"/>
          <w:lang w:val="en-GB" w:eastAsia="en-GB"/>
        </w:rPr>
      </w:pPr>
    </w:p>
    <w:p w14:paraId="6DDFB53A" w14:textId="77777777" w:rsidR="0027176B" w:rsidRPr="00DC1077" w:rsidRDefault="0027176B" w:rsidP="001B66A5">
      <w:pPr>
        <w:pStyle w:val="Normal0"/>
        <w:jc w:val="both"/>
        <w:rPr>
          <w:rFonts w:ascii="Verdana" w:eastAsia="Times New Roman" w:hAnsi="Verdana" w:cs="Arial"/>
          <w:sz w:val="22"/>
          <w:szCs w:val="22"/>
          <w:highlight w:val="yellow"/>
          <w:lang w:val="en-GB" w:eastAsia="en-GB"/>
        </w:rPr>
      </w:pPr>
    </w:p>
    <w:p w14:paraId="3A3874AC" w14:textId="77777777" w:rsidR="00F96F86" w:rsidRPr="00DC1077" w:rsidRDefault="00F96F86">
      <w:pPr>
        <w:pStyle w:val="Normal0"/>
        <w:spacing w:after="160" w:line="259" w:lineRule="auto"/>
        <w:rPr>
          <w:rFonts w:ascii="Verdana" w:eastAsia="Verdana" w:hAnsi="Verdana" w:cs="Verdana"/>
          <w:sz w:val="22"/>
          <w:szCs w:val="22"/>
          <w:highlight w:val="yellow"/>
          <w:lang w:val="en-GB"/>
        </w:rPr>
      </w:pPr>
    </w:p>
    <w:p w14:paraId="22E0B50A" w14:textId="77777777" w:rsidR="002A45A6" w:rsidRPr="009B5BC9" w:rsidRDefault="00F227D9" w:rsidP="00F227D9">
      <w:pPr>
        <w:pStyle w:val="Heading1"/>
        <w:spacing w:after="240"/>
        <w:rPr>
          <w:lang w:val="pt-BR"/>
        </w:rPr>
      </w:pPr>
      <w:bookmarkStart w:id="23" w:name="_Toc77095574"/>
      <w:r w:rsidRPr="009B5BC9">
        <w:rPr>
          <w:lang w:val="pt-BR"/>
        </w:rPr>
        <w:t>Note 15 - External Audit Costs</w:t>
      </w:r>
      <w:bookmarkEnd w:id="23"/>
      <w:r w:rsidRPr="009B5BC9">
        <w:rPr>
          <w:lang w:val="pt-BR"/>
        </w:rPr>
        <w:t xml:space="preserve"> </w:t>
      </w:r>
    </w:p>
    <w:p w14:paraId="218E1035" w14:textId="77777777" w:rsidR="00A83F24" w:rsidRPr="00B03A8D" w:rsidRDefault="00A83F24" w:rsidP="00A83F24">
      <w:pPr>
        <w:pStyle w:val="Normal0"/>
        <w:spacing w:after="160"/>
        <w:rPr>
          <w:rFonts w:ascii="Verdana" w:eastAsia="Verdana" w:hAnsi="Verdana" w:cs="Verdana"/>
          <w:sz w:val="22"/>
          <w:szCs w:val="22"/>
          <w:lang w:val="en-GB"/>
        </w:rPr>
      </w:pPr>
      <w:r w:rsidRPr="00B03A8D">
        <w:rPr>
          <w:rFonts w:ascii="Verdana" w:eastAsia="Verdana" w:hAnsi="Verdana" w:cs="Verdana"/>
          <w:sz w:val="22"/>
          <w:szCs w:val="22"/>
          <w:lang w:val="en-GB"/>
        </w:rPr>
        <w:t>The Chief Constable incurred the following costs in relation to the audit of the Statement of Accounts services provided by external auditors to the Chief Constable:</w:t>
      </w:r>
    </w:p>
    <w:p w14:paraId="62109758" w14:textId="77777777" w:rsidR="009B5BC9" w:rsidRPr="009B5BC9" w:rsidRDefault="009B5BC9" w:rsidP="009B5BC9">
      <w:pPr>
        <w:rPr>
          <w:highlight w:val="yellow"/>
          <w:lang w:val="pt-BR"/>
        </w:rPr>
      </w:pPr>
    </w:p>
    <w:tbl>
      <w:tblPr>
        <w:tblW w:w="5578" w:type="dxa"/>
        <w:tblInd w:w="1368" w:type="dxa"/>
        <w:tblLook w:val="04A0" w:firstRow="1" w:lastRow="0" w:firstColumn="1" w:lastColumn="0" w:noHBand="0" w:noVBand="1"/>
      </w:tblPr>
      <w:tblGrid>
        <w:gridCol w:w="1009"/>
        <w:gridCol w:w="3560"/>
        <w:gridCol w:w="1009"/>
      </w:tblGrid>
      <w:tr w:rsidR="009B5BC9" w:rsidRPr="009B5BC9" w14:paraId="41DF84D8" w14:textId="77777777" w:rsidTr="00DF7ACC">
        <w:trPr>
          <w:trHeight w:val="288"/>
        </w:trPr>
        <w:tc>
          <w:tcPr>
            <w:tcW w:w="1009" w:type="dxa"/>
            <w:tcBorders>
              <w:top w:val="nil"/>
              <w:left w:val="nil"/>
              <w:bottom w:val="nil"/>
              <w:right w:val="nil"/>
            </w:tcBorders>
            <w:shd w:val="clear" w:color="000000" w:fill="FFFFFF"/>
            <w:noWrap/>
            <w:vAlign w:val="center"/>
            <w:hideMark/>
          </w:tcPr>
          <w:p w14:paraId="318AFFDC"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2019/20</w:t>
            </w:r>
          </w:p>
        </w:tc>
        <w:tc>
          <w:tcPr>
            <w:tcW w:w="3560" w:type="dxa"/>
            <w:tcBorders>
              <w:top w:val="nil"/>
              <w:left w:val="nil"/>
              <w:bottom w:val="nil"/>
              <w:right w:val="nil"/>
            </w:tcBorders>
            <w:shd w:val="clear" w:color="000000" w:fill="FFFFFF"/>
            <w:noWrap/>
            <w:vAlign w:val="center"/>
            <w:hideMark/>
          </w:tcPr>
          <w:p w14:paraId="3C865C2F" w14:textId="77777777" w:rsidR="009B5BC9" w:rsidRPr="009B5BC9" w:rsidRDefault="009B5BC9" w:rsidP="009B5BC9">
            <w:pPr>
              <w:ind w:firstLineChars="100" w:firstLine="161"/>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098B58EF"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2020/21</w:t>
            </w:r>
          </w:p>
        </w:tc>
      </w:tr>
      <w:tr w:rsidR="009B5BC9" w:rsidRPr="009B5BC9" w14:paraId="4F9C3DF4" w14:textId="77777777" w:rsidTr="00DF7ACC">
        <w:trPr>
          <w:trHeight w:val="300"/>
        </w:trPr>
        <w:tc>
          <w:tcPr>
            <w:tcW w:w="1009" w:type="dxa"/>
            <w:tcBorders>
              <w:top w:val="nil"/>
              <w:left w:val="nil"/>
              <w:bottom w:val="single" w:sz="8" w:space="0" w:color="auto"/>
              <w:right w:val="nil"/>
            </w:tcBorders>
            <w:shd w:val="clear" w:color="000000" w:fill="FFFFFF"/>
            <w:noWrap/>
            <w:vAlign w:val="center"/>
            <w:hideMark/>
          </w:tcPr>
          <w:p w14:paraId="3F6A5FA0"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£0</w:t>
            </w:r>
          </w:p>
        </w:tc>
        <w:tc>
          <w:tcPr>
            <w:tcW w:w="3560" w:type="dxa"/>
            <w:tcBorders>
              <w:top w:val="nil"/>
              <w:left w:val="nil"/>
              <w:bottom w:val="single" w:sz="8" w:space="0" w:color="auto"/>
              <w:right w:val="nil"/>
            </w:tcBorders>
            <w:shd w:val="clear" w:color="000000" w:fill="FFFFFF"/>
            <w:noWrap/>
            <w:vAlign w:val="center"/>
            <w:hideMark/>
          </w:tcPr>
          <w:p w14:paraId="6EE34D5F" w14:textId="77777777" w:rsidR="009B5BC9" w:rsidRPr="009B5BC9" w:rsidRDefault="009B5BC9" w:rsidP="009B5BC9">
            <w:pPr>
              <w:ind w:firstLineChars="100" w:firstLine="160"/>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c>
          <w:tcPr>
            <w:tcW w:w="1009" w:type="dxa"/>
            <w:tcBorders>
              <w:top w:val="nil"/>
              <w:left w:val="nil"/>
              <w:bottom w:val="single" w:sz="8" w:space="0" w:color="auto"/>
              <w:right w:val="nil"/>
            </w:tcBorders>
            <w:shd w:val="clear" w:color="000000" w:fill="FFFFFF"/>
            <w:noWrap/>
            <w:vAlign w:val="center"/>
            <w:hideMark/>
          </w:tcPr>
          <w:p w14:paraId="211C23F5"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£0</w:t>
            </w:r>
          </w:p>
        </w:tc>
      </w:tr>
      <w:tr w:rsidR="009B5BC9" w:rsidRPr="009B5BC9" w14:paraId="3BE3D156" w14:textId="77777777" w:rsidTr="00514C09">
        <w:trPr>
          <w:trHeight w:val="50"/>
        </w:trPr>
        <w:tc>
          <w:tcPr>
            <w:tcW w:w="1009" w:type="dxa"/>
            <w:tcBorders>
              <w:top w:val="nil"/>
              <w:left w:val="nil"/>
              <w:bottom w:val="nil"/>
              <w:right w:val="nil"/>
            </w:tcBorders>
            <w:shd w:val="clear" w:color="000000" w:fill="FFFFFF"/>
            <w:noWrap/>
            <w:vAlign w:val="center"/>
            <w:hideMark/>
          </w:tcPr>
          <w:p w14:paraId="38018C36"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 </w:t>
            </w:r>
          </w:p>
        </w:tc>
        <w:tc>
          <w:tcPr>
            <w:tcW w:w="3560" w:type="dxa"/>
            <w:tcBorders>
              <w:top w:val="nil"/>
              <w:left w:val="nil"/>
              <w:bottom w:val="nil"/>
              <w:right w:val="nil"/>
            </w:tcBorders>
            <w:shd w:val="clear" w:color="000000" w:fill="FFFFFF"/>
            <w:noWrap/>
            <w:vAlign w:val="center"/>
            <w:hideMark/>
          </w:tcPr>
          <w:p w14:paraId="2E6CD3E7" w14:textId="77777777" w:rsidR="009B5BC9" w:rsidRPr="009B5BC9" w:rsidRDefault="009B5BC9" w:rsidP="009B5BC9">
            <w:pPr>
              <w:ind w:firstLineChars="100" w:firstLine="160"/>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200A080E"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 </w:t>
            </w:r>
          </w:p>
        </w:tc>
      </w:tr>
      <w:tr w:rsidR="009B5BC9" w:rsidRPr="009B5BC9" w14:paraId="6E23B5F4" w14:textId="77777777" w:rsidTr="00514C09">
        <w:trPr>
          <w:trHeight w:val="70"/>
        </w:trPr>
        <w:tc>
          <w:tcPr>
            <w:tcW w:w="1009" w:type="dxa"/>
            <w:tcBorders>
              <w:top w:val="nil"/>
              <w:left w:val="nil"/>
              <w:bottom w:val="nil"/>
              <w:right w:val="nil"/>
            </w:tcBorders>
            <w:shd w:val="clear" w:color="000000" w:fill="FFFFFF"/>
            <w:noWrap/>
            <w:vAlign w:val="center"/>
            <w:hideMark/>
          </w:tcPr>
          <w:p w14:paraId="2DE29853"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 </w:t>
            </w:r>
          </w:p>
        </w:tc>
        <w:tc>
          <w:tcPr>
            <w:tcW w:w="3560" w:type="dxa"/>
            <w:tcBorders>
              <w:top w:val="nil"/>
              <w:left w:val="nil"/>
              <w:bottom w:val="nil"/>
              <w:right w:val="nil"/>
            </w:tcBorders>
            <w:shd w:val="clear" w:color="000000" w:fill="FFFFFF"/>
            <w:noWrap/>
            <w:vAlign w:val="center"/>
            <w:hideMark/>
          </w:tcPr>
          <w:p w14:paraId="68FA77F3" w14:textId="77777777" w:rsidR="009B5BC9" w:rsidRPr="009B5BC9" w:rsidRDefault="009B5BC9" w:rsidP="009B5BC9">
            <w:pPr>
              <w:ind w:firstLineChars="100" w:firstLine="160"/>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6BD89046" w14:textId="77777777" w:rsidR="009B5BC9" w:rsidRPr="009B5BC9" w:rsidRDefault="009B5BC9" w:rsidP="009B5BC9">
            <w:pPr>
              <w:jc w:val="center"/>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 </w:t>
            </w:r>
          </w:p>
        </w:tc>
      </w:tr>
      <w:tr w:rsidR="009B5BC9" w:rsidRPr="009B5BC9" w14:paraId="6B971F51" w14:textId="77777777" w:rsidTr="00DF7ACC">
        <w:trPr>
          <w:trHeight w:val="612"/>
        </w:trPr>
        <w:tc>
          <w:tcPr>
            <w:tcW w:w="1009" w:type="dxa"/>
            <w:tcBorders>
              <w:top w:val="nil"/>
              <w:left w:val="nil"/>
              <w:bottom w:val="nil"/>
              <w:right w:val="nil"/>
            </w:tcBorders>
            <w:shd w:val="clear" w:color="000000" w:fill="FFFFFF"/>
            <w:noWrap/>
            <w:vAlign w:val="center"/>
            <w:hideMark/>
          </w:tcPr>
          <w:p w14:paraId="6B083A77" w14:textId="2F01B149" w:rsidR="009B5BC9" w:rsidRPr="009B5BC9" w:rsidRDefault="009B5BC9" w:rsidP="00514C09">
            <w:pPr>
              <w:ind w:firstLineChars="100" w:firstLine="160"/>
              <w:jc w:val="right"/>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11.</w:t>
            </w:r>
            <w:r w:rsidR="00514C09">
              <w:rPr>
                <w:rFonts w:ascii="Verdana" w:eastAsia="Times New Roman" w:hAnsi="Verdana" w:cs="Calibri"/>
                <w:color w:val="000000"/>
                <w:sz w:val="16"/>
                <w:szCs w:val="16"/>
                <w:lang w:val="en-GB" w:eastAsia="en-GB"/>
              </w:rPr>
              <w:t>6</w:t>
            </w:r>
          </w:p>
        </w:tc>
        <w:tc>
          <w:tcPr>
            <w:tcW w:w="3560" w:type="dxa"/>
            <w:tcBorders>
              <w:top w:val="nil"/>
              <w:left w:val="nil"/>
              <w:bottom w:val="nil"/>
              <w:right w:val="nil"/>
            </w:tcBorders>
            <w:shd w:val="clear" w:color="000000" w:fill="FFFFFF"/>
            <w:vAlign w:val="center"/>
            <w:hideMark/>
          </w:tcPr>
          <w:p w14:paraId="35B7C591" w14:textId="77777777" w:rsidR="009B5BC9" w:rsidRPr="009B5BC9" w:rsidRDefault="009B5BC9" w:rsidP="009B5BC9">
            <w:pPr>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Fees payable to Ernst &amp; Young with regard to  external audit services carried out by the appointed auditor for the year</w:t>
            </w:r>
          </w:p>
        </w:tc>
        <w:tc>
          <w:tcPr>
            <w:tcW w:w="1009" w:type="dxa"/>
            <w:tcBorders>
              <w:top w:val="nil"/>
              <w:left w:val="nil"/>
              <w:bottom w:val="nil"/>
              <w:right w:val="nil"/>
            </w:tcBorders>
            <w:shd w:val="clear" w:color="000000" w:fill="FFFFFF"/>
            <w:noWrap/>
            <w:vAlign w:val="center"/>
            <w:hideMark/>
          </w:tcPr>
          <w:p w14:paraId="66231986" w14:textId="60A9FE52" w:rsidR="009B5BC9" w:rsidRPr="009B5BC9" w:rsidRDefault="009B5BC9" w:rsidP="00514C09">
            <w:pPr>
              <w:ind w:firstLineChars="100" w:firstLine="160"/>
              <w:jc w:val="right"/>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11.</w:t>
            </w:r>
            <w:r w:rsidR="00514C09">
              <w:rPr>
                <w:rFonts w:ascii="Verdana" w:eastAsia="Times New Roman" w:hAnsi="Verdana" w:cs="Calibri"/>
                <w:color w:val="000000"/>
                <w:sz w:val="16"/>
                <w:szCs w:val="16"/>
                <w:lang w:val="en-GB" w:eastAsia="en-GB"/>
              </w:rPr>
              <w:t>6</w:t>
            </w:r>
          </w:p>
        </w:tc>
      </w:tr>
      <w:tr w:rsidR="009B5BC9" w:rsidRPr="009B5BC9" w14:paraId="6D873911" w14:textId="77777777" w:rsidTr="00DF7ACC">
        <w:trPr>
          <w:trHeight w:val="288"/>
        </w:trPr>
        <w:tc>
          <w:tcPr>
            <w:tcW w:w="1009" w:type="dxa"/>
            <w:tcBorders>
              <w:top w:val="nil"/>
              <w:left w:val="nil"/>
              <w:bottom w:val="nil"/>
              <w:right w:val="nil"/>
            </w:tcBorders>
            <w:shd w:val="clear" w:color="000000" w:fill="FFFFFF"/>
            <w:noWrap/>
            <w:vAlign w:val="center"/>
            <w:hideMark/>
          </w:tcPr>
          <w:p w14:paraId="1F994703" w14:textId="77777777" w:rsidR="009B5BC9" w:rsidRPr="009B5BC9" w:rsidRDefault="009B5BC9" w:rsidP="009B5BC9">
            <w:pPr>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c>
          <w:tcPr>
            <w:tcW w:w="3560" w:type="dxa"/>
            <w:tcBorders>
              <w:top w:val="nil"/>
              <w:left w:val="nil"/>
              <w:bottom w:val="nil"/>
              <w:right w:val="nil"/>
            </w:tcBorders>
            <w:shd w:val="clear" w:color="000000" w:fill="FFFFFF"/>
            <w:noWrap/>
            <w:vAlign w:val="center"/>
            <w:hideMark/>
          </w:tcPr>
          <w:p w14:paraId="5645F6CF" w14:textId="77777777" w:rsidR="009B5BC9" w:rsidRPr="009B5BC9" w:rsidRDefault="009B5BC9" w:rsidP="009B5BC9">
            <w:pPr>
              <w:ind w:firstLineChars="100" w:firstLine="160"/>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551A504B" w14:textId="77777777" w:rsidR="009B5BC9" w:rsidRPr="009B5BC9" w:rsidRDefault="009B5BC9" w:rsidP="009B5BC9">
            <w:pPr>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r>
      <w:tr w:rsidR="009B5BC9" w:rsidRPr="009B5BC9" w14:paraId="7D7EADDE" w14:textId="77777777" w:rsidTr="00DF7ACC">
        <w:trPr>
          <w:trHeight w:val="288"/>
        </w:trPr>
        <w:tc>
          <w:tcPr>
            <w:tcW w:w="1009" w:type="dxa"/>
            <w:tcBorders>
              <w:top w:val="nil"/>
              <w:left w:val="nil"/>
              <w:bottom w:val="nil"/>
              <w:right w:val="nil"/>
            </w:tcBorders>
            <w:shd w:val="clear" w:color="000000" w:fill="FFFFFF"/>
            <w:noWrap/>
            <w:vAlign w:val="center"/>
            <w:hideMark/>
          </w:tcPr>
          <w:p w14:paraId="77A5299F" w14:textId="77777777" w:rsidR="009B5BC9" w:rsidRPr="009B5BC9" w:rsidRDefault="009B5BC9" w:rsidP="009B5BC9">
            <w:pPr>
              <w:ind w:firstLineChars="100" w:firstLine="160"/>
              <w:jc w:val="right"/>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10.7*</w:t>
            </w:r>
          </w:p>
        </w:tc>
        <w:tc>
          <w:tcPr>
            <w:tcW w:w="3560" w:type="dxa"/>
            <w:tcBorders>
              <w:top w:val="nil"/>
              <w:left w:val="nil"/>
              <w:bottom w:val="nil"/>
              <w:right w:val="nil"/>
            </w:tcBorders>
            <w:shd w:val="clear" w:color="000000" w:fill="FFFFFF"/>
            <w:vAlign w:val="center"/>
            <w:hideMark/>
          </w:tcPr>
          <w:p w14:paraId="163AC10F" w14:textId="77777777" w:rsidR="009B5BC9" w:rsidRPr="009B5BC9" w:rsidRDefault="009B5BC9" w:rsidP="009B5BC9">
            <w:pPr>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VFM Significant risks</w:t>
            </w:r>
          </w:p>
        </w:tc>
        <w:tc>
          <w:tcPr>
            <w:tcW w:w="1009" w:type="dxa"/>
            <w:tcBorders>
              <w:top w:val="nil"/>
              <w:left w:val="nil"/>
              <w:bottom w:val="nil"/>
              <w:right w:val="nil"/>
            </w:tcBorders>
            <w:shd w:val="clear" w:color="000000" w:fill="FFFFFF"/>
            <w:noWrap/>
            <w:vAlign w:val="center"/>
            <w:hideMark/>
          </w:tcPr>
          <w:p w14:paraId="670D1F82" w14:textId="77777777" w:rsidR="009B5BC9" w:rsidRPr="009B5BC9" w:rsidRDefault="009B5BC9" w:rsidP="009B5BC9">
            <w:pPr>
              <w:ind w:firstLineChars="100" w:firstLine="160"/>
              <w:jc w:val="right"/>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r>
      <w:tr w:rsidR="009B5BC9" w:rsidRPr="009B5BC9" w14:paraId="1D9B65CB" w14:textId="77777777" w:rsidTr="00514C09">
        <w:trPr>
          <w:trHeight w:val="70"/>
        </w:trPr>
        <w:tc>
          <w:tcPr>
            <w:tcW w:w="1009" w:type="dxa"/>
            <w:tcBorders>
              <w:top w:val="nil"/>
              <w:left w:val="nil"/>
              <w:bottom w:val="nil"/>
              <w:right w:val="nil"/>
            </w:tcBorders>
            <w:shd w:val="clear" w:color="000000" w:fill="FFFFFF"/>
            <w:noWrap/>
            <w:vAlign w:val="center"/>
            <w:hideMark/>
          </w:tcPr>
          <w:p w14:paraId="7FE11036" w14:textId="77777777" w:rsidR="009B5BC9" w:rsidRPr="009B5BC9" w:rsidRDefault="009B5BC9" w:rsidP="009B5BC9">
            <w:pPr>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c>
          <w:tcPr>
            <w:tcW w:w="3560" w:type="dxa"/>
            <w:tcBorders>
              <w:top w:val="nil"/>
              <w:left w:val="nil"/>
              <w:bottom w:val="nil"/>
              <w:right w:val="nil"/>
            </w:tcBorders>
            <w:shd w:val="clear" w:color="000000" w:fill="FFFFFF"/>
            <w:noWrap/>
            <w:vAlign w:val="center"/>
            <w:hideMark/>
          </w:tcPr>
          <w:p w14:paraId="7837DD7A" w14:textId="77777777" w:rsidR="009B5BC9" w:rsidRPr="009B5BC9" w:rsidRDefault="009B5BC9" w:rsidP="009B5BC9">
            <w:pPr>
              <w:ind w:firstLineChars="100" w:firstLine="160"/>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123886E3" w14:textId="77777777" w:rsidR="009B5BC9" w:rsidRPr="009B5BC9" w:rsidRDefault="009B5BC9" w:rsidP="009B5BC9">
            <w:pPr>
              <w:rPr>
                <w:rFonts w:ascii="Verdana" w:eastAsia="Times New Roman" w:hAnsi="Verdana" w:cs="Calibri"/>
                <w:color w:val="000000"/>
                <w:sz w:val="16"/>
                <w:szCs w:val="16"/>
                <w:lang w:val="en-GB" w:eastAsia="en-GB"/>
              </w:rPr>
            </w:pPr>
            <w:r w:rsidRPr="009B5BC9">
              <w:rPr>
                <w:rFonts w:ascii="Verdana" w:eastAsia="Times New Roman" w:hAnsi="Verdana" w:cs="Calibri"/>
                <w:color w:val="000000"/>
                <w:sz w:val="16"/>
                <w:szCs w:val="16"/>
                <w:lang w:val="en-GB" w:eastAsia="en-GB"/>
              </w:rPr>
              <w:t> </w:t>
            </w:r>
          </w:p>
        </w:tc>
      </w:tr>
      <w:tr w:rsidR="009B5BC9" w:rsidRPr="009B5BC9" w14:paraId="1397B096" w14:textId="77777777" w:rsidTr="00DF7ACC">
        <w:trPr>
          <w:trHeight w:val="300"/>
        </w:trPr>
        <w:tc>
          <w:tcPr>
            <w:tcW w:w="1009" w:type="dxa"/>
            <w:tcBorders>
              <w:top w:val="single" w:sz="8" w:space="0" w:color="auto"/>
              <w:left w:val="nil"/>
              <w:bottom w:val="single" w:sz="8" w:space="0" w:color="auto"/>
              <w:right w:val="nil"/>
            </w:tcBorders>
            <w:shd w:val="clear" w:color="000000" w:fill="FFFFFF"/>
            <w:noWrap/>
            <w:vAlign w:val="center"/>
            <w:hideMark/>
          </w:tcPr>
          <w:p w14:paraId="6D9CE07B" w14:textId="38D27200" w:rsidR="009B5BC9" w:rsidRPr="009B5BC9" w:rsidRDefault="00514C09" w:rsidP="009B5BC9">
            <w:pPr>
              <w:ind w:firstLineChars="100" w:firstLine="161"/>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22.3</w:t>
            </w:r>
          </w:p>
        </w:tc>
        <w:tc>
          <w:tcPr>
            <w:tcW w:w="3560" w:type="dxa"/>
            <w:tcBorders>
              <w:top w:val="single" w:sz="8" w:space="0" w:color="auto"/>
              <w:left w:val="nil"/>
              <w:bottom w:val="single" w:sz="8" w:space="0" w:color="auto"/>
              <w:right w:val="nil"/>
            </w:tcBorders>
            <w:shd w:val="clear" w:color="000000" w:fill="FFFFFF"/>
            <w:noWrap/>
            <w:vAlign w:val="center"/>
            <w:hideMark/>
          </w:tcPr>
          <w:p w14:paraId="365CB051" w14:textId="77777777" w:rsidR="009B5BC9" w:rsidRPr="009B5BC9" w:rsidRDefault="009B5BC9" w:rsidP="009B5BC9">
            <w:pPr>
              <w:ind w:firstLineChars="100" w:firstLine="161"/>
              <w:rPr>
                <w:rFonts w:ascii="Verdana" w:eastAsia="Times New Roman" w:hAnsi="Verdana" w:cs="Calibri"/>
                <w:b/>
                <w:bCs/>
                <w:color w:val="000000"/>
                <w:sz w:val="16"/>
                <w:szCs w:val="16"/>
                <w:lang w:val="en-GB" w:eastAsia="en-GB"/>
              </w:rPr>
            </w:pPr>
            <w:r w:rsidRPr="009B5BC9">
              <w:rPr>
                <w:rFonts w:ascii="Verdana" w:eastAsia="Times New Roman" w:hAnsi="Verdana" w:cs="Calibri"/>
                <w:b/>
                <w:bCs/>
                <w:color w:val="000000"/>
                <w:sz w:val="16"/>
                <w:szCs w:val="16"/>
                <w:lang w:val="en-GB" w:eastAsia="en-GB"/>
              </w:rPr>
              <w:t>Total</w:t>
            </w:r>
          </w:p>
        </w:tc>
        <w:tc>
          <w:tcPr>
            <w:tcW w:w="1009" w:type="dxa"/>
            <w:tcBorders>
              <w:top w:val="single" w:sz="8" w:space="0" w:color="auto"/>
              <w:left w:val="nil"/>
              <w:bottom w:val="single" w:sz="8" w:space="0" w:color="auto"/>
              <w:right w:val="nil"/>
            </w:tcBorders>
            <w:shd w:val="clear" w:color="000000" w:fill="FFFFFF"/>
            <w:noWrap/>
            <w:vAlign w:val="center"/>
            <w:hideMark/>
          </w:tcPr>
          <w:p w14:paraId="1CE4E0FB" w14:textId="162C5A87" w:rsidR="009B5BC9" w:rsidRPr="009B5BC9" w:rsidRDefault="00514C09" w:rsidP="009B5BC9">
            <w:pPr>
              <w:ind w:firstLineChars="100" w:firstLine="161"/>
              <w:jc w:val="right"/>
              <w:rPr>
                <w:rFonts w:ascii="Verdana" w:eastAsia="Times New Roman" w:hAnsi="Verdana" w:cs="Calibri"/>
                <w:b/>
                <w:bCs/>
                <w:color w:val="000000"/>
                <w:sz w:val="16"/>
                <w:szCs w:val="16"/>
                <w:lang w:val="en-GB" w:eastAsia="en-GB"/>
              </w:rPr>
            </w:pPr>
            <w:r>
              <w:rPr>
                <w:rFonts w:ascii="Verdana" w:eastAsia="Times New Roman" w:hAnsi="Verdana" w:cs="Calibri"/>
                <w:b/>
                <w:bCs/>
                <w:color w:val="000000"/>
                <w:sz w:val="16"/>
                <w:szCs w:val="16"/>
                <w:lang w:val="en-GB" w:eastAsia="en-GB"/>
              </w:rPr>
              <w:t>11.6</w:t>
            </w:r>
          </w:p>
        </w:tc>
      </w:tr>
    </w:tbl>
    <w:p w14:paraId="3D5E3532" w14:textId="77777777" w:rsidR="009B5BC9" w:rsidRPr="009B5BC9" w:rsidRDefault="009B5BC9" w:rsidP="009B5BC9">
      <w:pPr>
        <w:rPr>
          <w:highlight w:val="yellow"/>
          <w:lang w:val="pt-BR"/>
        </w:rPr>
      </w:pPr>
    </w:p>
    <w:p w14:paraId="256DEE7A" w14:textId="77777777" w:rsidR="00514C09" w:rsidRDefault="00514C09" w:rsidP="00514C09">
      <w:pPr>
        <w:pStyle w:val="Normal0"/>
        <w:rPr>
          <w:rFonts w:ascii="Verdana" w:hAnsi="Verdana" w:cs="Arial"/>
          <w:sz w:val="16"/>
          <w:szCs w:val="16"/>
        </w:rPr>
      </w:pPr>
      <w:r>
        <w:rPr>
          <w:rFonts w:ascii="Verdana" w:hAnsi="Verdana" w:cs="Arial"/>
          <w:sz w:val="16"/>
          <w:szCs w:val="16"/>
        </w:rPr>
        <w:t>*</w:t>
      </w:r>
      <w:r w:rsidRPr="004415BA">
        <w:rPr>
          <w:rFonts w:ascii="Verdana" w:hAnsi="Verdana" w:cs="Arial"/>
          <w:sz w:val="16"/>
          <w:szCs w:val="16"/>
        </w:rPr>
        <w:t xml:space="preserve">The additional </w:t>
      </w:r>
      <w:r>
        <w:rPr>
          <w:rFonts w:ascii="Verdana" w:hAnsi="Verdana" w:cs="Arial"/>
          <w:sz w:val="16"/>
          <w:szCs w:val="16"/>
        </w:rPr>
        <w:t>fee of £10,735 incurred recorded in 2019/20 related to audit work undertaken during 2018/19. This variation was agreed with Chief Officers but required approval from PSAA and was therefore not included within the 2018/19 statutory accounts.</w:t>
      </w:r>
    </w:p>
    <w:p w14:paraId="3E2666B3" w14:textId="77777777" w:rsidR="00355738" w:rsidRPr="00DC1077" w:rsidRDefault="00355738" w:rsidP="00355738">
      <w:pPr>
        <w:rPr>
          <w:highlight w:val="yellow"/>
          <w:lang w:val="pt-BR"/>
        </w:rPr>
      </w:pPr>
    </w:p>
    <w:p w14:paraId="623EB04D" w14:textId="77777777" w:rsidR="00F227D9" w:rsidRPr="00584083" w:rsidRDefault="00F227D9" w:rsidP="00F227D9">
      <w:pPr>
        <w:pStyle w:val="Heading1"/>
        <w:spacing w:after="240"/>
        <w:rPr>
          <w:lang w:val="pt-BR"/>
        </w:rPr>
      </w:pPr>
      <w:bookmarkStart w:id="24" w:name="_Toc77095575"/>
      <w:r w:rsidRPr="00584083">
        <w:rPr>
          <w:lang w:val="pt-BR"/>
        </w:rPr>
        <w:t>Note 16 - Related Parties</w:t>
      </w:r>
      <w:bookmarkEnd w:id="24"/>
      <w:r w:rsidRPr="00584083">
        <w:rPr>
          <w:lang w:val="pt-BR"/>
        </w:rPr>
        <w:t xml:space="preserve"> </w:t>
      </w:r>
    </w:p>
    <w:p w14:paraId="19FE5A8F" w14:textId="77777777" w:rsidR="00F227D9" w:rsidRPr="00584083" w:rsidRDefault="00F227D9" w:rsidP="004856EB">
      <w:pPr>
        <w:pStyle w:val="Normal0"/>
        <w:spacing w:after="160"/>
        <w:jc w:val="both"/>
        <w:rPr>
          <w:rFonts w:ascii="Verdana" w:eastAsia="Verdana" w:hAnsi="Verdana" w:cs="Verdana"/>
          <w:sz w:val="22"/>
          <w:szCs w:val="22"/>
          <w:lang w:val="en-GB"/>
        </w:rPr>
      </w:pPr>
      <w:r w:rsidRPr="00584083">
        <w:rPr>
          <w:rFonts w:ascii="Verdana" w:eastAsia="Verdana" w:hAnsi="Verdana" w:cs="Verdana"/>
          <w:sz w:val="22"/>
          <w:szCs w:val="22"/>
          <w:lang w:val="en-GB"/>
        </w:rPr>
        <w:t>The Chief Constable is required to disclose material transactions with related parties – bodies or individuals that have the potential to control or influence the Chief Constable or to be controlled or influenced by the Chief Constable. Disclosure of these transactions allows readers to assess the extent to which the Chief Constable might have constrained in its ability to operate independently or might have secured the ability to limit another party’s ability to bargain freely with the Chief Constable.</w:t>
      </w:r>
    </w:p>
    <w:p w14:paraId="4DE4D898" w14:textId="77777777" w:rsidR="00050307" w:rsidRPr="00584083" w:rsidRDefault="00F227D9" w:rsidP="004856EB">
      <w:pPr>
        <w:pStyle w:val="Normal0"/>
        <w:spacing w:after="160"/>
        <w:jc w:val="both"/>
        <w:rPr>
          <w:rFonts w:ascii="Verdana" w:eastAsia="Verdana" w:hAnsi="Verdana" w:cs="Verdana"/>
          <w:sz w:val="22"/>
          <w:szCs w:val="22"/>
          <w:lang w:val="en-GB"/>
        </w:rPr>
      </w:pPr>
      <w:r w:rsidRPr="00584083">
        <w:rPr>
          <w:rFonts w:ascii="Verdana" w:eastAsia="Verdana" w:hAnsi="Verdana" w:cs="Verdana"/>
          <w:sz w:val="22"/>
          <w:szCs w:val="22"/>
          <w:lang w:val="en-GB"/>
        </w:rPr>
        <w:t>The Chief Executive of the Police and Crime Commissioner for Surrey has written to all Chief Officers of the Chief Constable to collect this information on behalf of the Group. Responses were received from all recipients of the letter and</w:t>
      </w:r>
      <w:r w:rsidR="00050307" w:rsidRPr="00584083">
        <w:rPr>
          <w:rFonts w:ascii="Verdana" w:eastAsia="Verdana" w:hAnsi="Verdana" w:cs="Verdana"/>
          <w:sz w:val="22"/>
          <w:szCs w:val="22"/>
          <w:lang w:val="en-GB"/>
        </w:rPr>
        <w:t xml:space="preserve"> the following</w:t>
      </w:r>
      <w:r w:rsidRPr="00584083">
        <w:rPr>
          <w:rFonts w:ascii="Verdana" w:eastAsia="Verdana" w:hAnsi="Verdana" w:cs="Verdana"/>
          <w:sz w:val="22"/>
          <w:szCs w:val="22"/>
          <w:lang w:val="en-GB"/>
        </w:rPr>
        <w:t xml:space="preserve"> related party transac</w:t>
      </w:r>
      <w:r w:rsidR="006803CF" w:rsidRPr="00584083">
        <w:rPr>
          <w:rFonts w:ascii="Verdana" w:eastAsia="Verdana" w:hAnsi="Verdana" w:cs="Verdana"/>
          <w:sz w:val="22"/>
          <w:szCs w:val="22"/>
          <w:lang w:val="en-GB"/>
        </w:rPr>
        <w:t>tions are disclosed</w:t>
      </w:r>
      <w:r w:rsidR="00050307" w:rsidRPr="00584083">
        <w:rPr>
          <w:rFonts w:ascii="Verdana" w:eastAsia="Verdana" w:hAnsi="Verdana" w:cs="Verdana"/>
          <w:sz w:val="22"/>
          <w:szCs w:val="22"/>
          <w:lang w:val="en-GB"/>
        </w:rPr>
        <w:t xml:space="preserve"> </w:t>
      </w:r>
      <w:r w:rsidR="006803CF" w:rsidRPr="00584083">
        <w:rPr>
          <w:rFonts w:ascii="Verdana" w:eastAsia="Verdana" w:hAnsi="Verdana" w:cs="Verdana"/>
          <w:sz w:val="22"/>
          <w:szCs w:val="22"/>
          <w:lang w:val="en-GB"/>
        </w:rPr>
        <w:t>for the 20</w:t>
      </w:r>
      <w:r w:rsidR="00584083">
        <w:rPr>
          <w:rFonts w:ascii="Verdana" w:eastAsia="Verdana" w:hAnsi="Verdana" w:cs="Verdana"/>
          <w:sz w:val="22"/>
          <w:szCs w:val="22"/>
          <w:lang w:val="en-GB"/>
        </w:rPr>
        <w:t>20</w:t>
      </w:r>
      <w:r w:rsidRPr="00584083">
        <w:rPr>
          <w:rFonts w:ascii="Verdana" w:eastAsia="Verdana" w:hAnsi="Verdana" w:cs="Verdana"/>
          <w:sz w:val="22"/>
          <w:szCs w:val="22"/>
          <w:lang w:val="en-GB"/>
        </w:rPr>
        <w:t>/</w:t>
      </w:r>
      <w:r w:rsidR="006803CF" w:rsidRPr="00584083">
        <w:rPr>
          <w:rFonts w:ascii="Verdana" w:eastAsia="Verdana" w:hAnsi="Verdana" w:cs="Verdana"/>
          <w:sz w:val="22"/>
          <w:szCs w:val="22"/>
          <w:lang w:val="en-GB"/>
        </w:rPr>
        <w:t>2</w:t>
      </w:r>
      <w:r w:rsidR="00584083">
        <w:rPr>
          <w:rFonts w:ascii="Verdana" w:eastAsia="Verdana" w:hAnsi="Verdana" w:cs="Verdana"/>
          <w:sz w:val="22"/>
          <w:szCs w:val="22"/>
          <w:lang w:val="en-GB"/>
        </w:rPr>
        <w:t>1</w:t>
      </w:r>
      <w:r w:rsidRPr="00584083">
        <w:rPr>
          <w:rFonts w:ascii="Verdana" w:eastAsia="Verdana" w:hAnsi="Verdana" w:cs="Verdana"/>
          <w:sz w:val="22"/>
          <w:szCs w:val="22"/>
          <w:lang w:val="en-GB"/>
        </w:rPr>
        <w:t xml:space="preserve"> year in respect of the </w:t>
      </w:r>
      <w:r w:rsidR="00050307" w:rsidRPr="00584083">
        <w:rPr>
          <w:rFonts w:ascii="Verdana" w:eastAsia="Verdana" w:hAnsi="Verdana" w:cs="Verdana"/>
          <w:sz w:val="22"/>
          <w:szCs w:val="22"/>
          <w:lang w:val="en-GB"/>
        </w:rPr>
        <w:t>Chief Constable</w:t>
      </w:r>
      <w:r w:rsidRPr="00584083">
        <w:rPr>
          <w:rFonts w:ascii="Verdana" w:eastAsia="Verdana" w:hAnsi="Verdana" w:cs="Verdana"/>
          <w:sz w:val="22"/>
          <w:szCs w:val="22"/>
          <w:lang w:val="en-GB"/>
        </w:rPr>
        <w:t xml:space="preserve">. </w:t>
      </w:r>
    </w:p>
    <w:p w14:paraId="5F562558" w14:textId="77777777" w:rsidR="00F227D9" w:rsidRPr="006A00DA" w:rsidRDefault="00F227D9" w:rsidP="004856EB">
      <w:pPr>
        <w:pStyle w:val="Normal0"/>
        <w:spacing w:after="160"/>
        <w:jc w:val="both"/>
        <w:rPr>
          <w:rFonts w:ascii="Verdana" w:eastAsia="Verdana" w:hAnsi="Verdana" w:cs="Verdana"/>
          <w:sz w:val="22"/>
          <w:szCs w:val="22"/>
          <w:lang w:val="en-GB"/>
        </w:rPr>
      </w:pPr>
      <w:r w:rsidRPr="006A00DA">
        <w:rPr>
          <w:rFonts w:ascii="Verdana" w:eastAsia="Verdana" w:hAnsi="Verdana" w:cs="Verdana"/>
          <w:sz w:val="22"/>
          <w:szCs w:val="22"/>
          <w:lang w:val="en-GB"/>
        </w:rPr>
        <w:t xml:space="preserve">Legal services were provided to the Surrey </w:t>
      </w:r>
      <w:r w:rsidRPr="006A00DA">
        <w:rPr>
          <w:rFonts w:ascii="Verdana" w:eastAsia="Verdana" w:hAnsi="Verdana" w:cs="Verdana"/>
          <w:sz w:val="22"/>
          <w:szCs w:val="22"/>
          <w:shd w:val="clear" w:color="auto" w:fill="FFFFFF" w:themeFill="background1"/>
          <w:lang w:val="en-GB"/>
        </w:rPr>
        <w:t>Police Group of circa £</w:t>
      </w:r>
      <w:r w:rsidR="000D4B72" w:rsidRPr="006A00DA">
        <w:rPr>
          <w:rFonts w:ascii="Verdana" w:eastAsia="Verdana" w:hAnsi="Verdana" w:cs="Verdana"/>
          <w:sz w:val="22"/>
          <w:szCs w:val="22"/>
          <w:shd w:val="clear" w:color="auto" w:fill="FFFFFF" w:themeFill="background1"/>
          <w:lang w:val="en-GB"/>
        </w:rPr>
        <w:t>1</w:t>
      </w:r>
      <w:r w:rsidRPr="006A00DA">
        <w:rPr>
          <w:rFonts w:ascii="Verdana" w:eastAsia="Verdana" w:hAnsi="Verdana" w:cs="Verdana"/>
          <w:sz w:val="22"/>
          <w:szCs w:val="22"/>
          <w:shd w:val="clear" w:color="auto" w:fill="FFFFFF" w:themeFill="background1"/>
          <w:lang w:val="en-GB"/>
        </w:rPr>
        <w:t>.</w:t>
      </w:r>
      <w:r w:rsidR="006A00DA" w:rsidRPr="006A00DA">
        <w:rPr>
          <w:rFonts w:ascii="Verdana" w:eastAsia="Verdana" w:hAnsi="Verdana" w:cs="Verdana"/>
          <w:sz w:val="22"/>
          <w:szCs w:val="22"/>
          <w:shd w:val="clear" w:color="auto" w:fill="FFFFFF" w:themeFill="background1"/>
          <w:lang w:val="en-GB"/>
        </w:rPr>
        <w:t>1</w:t>
      </w:r>
      <w:r w:rsidRPr="006A00DA">
        <w:rPr>
          <w:rFonts w:ascii="Verdana" w:eastAsia="Verdana" w:hAnsi="Verdana" w:cs="Verdana"/>
          <w:sz w:val="22"/>
          <w:szCs w:val="22"/>
          <w:shd w:val="clear" w:color="auto" w:fill="FFFFFF" w:themeFill="background1"/>
          <w:lang w:val="en-GB"/>
        </w:rPr>
        <w:t>m (201</w:t>
      </w:r>
      <w:r w:rsidR="00584083" w:rsidRPr="006A00DA">
        <w:rPr>
          <w:rFonts w:ascii="Verdana" w:eastAsia="Verdana" w:hAnsi="Verdana" w:cs="Verdana"/>
          <w:sz w:val="22"/>
          <w:szCs w:val="22"/>
          <w:shd w:val="clear" w:color="auto" w:fill="FFFFFF" w:themeFill="background1"/>
          <w:lang w:val="en-GB"/>
        </w:rPr>
        <w:t>9</w:t>
      </w:r>
      <w:r w:rsidRPr="006A00DA">
        <w:rPr>
          <w:rFonts w:ascii="Verdana" w:eastAsia="Verdana" w:hAnsi="Verdana" w:cs="Verdana"/>
          <w:sz w:val="22"/>
          <w:szCs w:val="22"/>
          <w:shd w:val="clear" w:color="auto" w:fill="FFFFFF" w:themeFill="background1"/>
          <w:lang w:val="en-GB"/>
        </w:rPr>
        <w:t>/</w:t>
      </w:r>
      <w:r w:rsidR="00584083" w:rsidRPr="006A00DA">
        <w:rPr>
          <w:rFonts w:ascii="Verdana" w:eastAsia="Verdana" w:hAnsi="Verdana" w:cs="Verdana"/>
          <w:sz w:val="22"/>
          <w:szCs w:val="22"/>
          <w:shd w:val="clear" w:color="auto" w:fill="FFFFFF" w:themeFill="background1"/>
          <w:lang w:val="en-GB"/>
        </w:rPr>
        <w:t>20</w:t>
      </w:r>
      <w:r w:rsidRPr="006A00DA">
        <w:rPr>
          <w:rFonts w:ascii="Verdana" w:eastAsia="Verdana" w:hAnsi="Verdana" w:cs="Verdana"/>
          <w:sz w:val="22"/>
          <w:szCs w:val="22"/>
          <w:shd w:val="clear" w:color="auto" w:fill="FFFFFF" w:themeFill="background1"/>
          <w:lang w:val="en-GB"/>
        </w:rPr>
        <w:t xml:space="preserve"> £1.</w:t>
      </w:r>
      <w:r w:rsidR="00584083" w:rsidRPr="006A00DA">
        <w:rPr>
          <w:rFonts w:ascii="Verdana" w:eastAsia="Verdana" w:hAnsi="Verdana" w:cs="Verdana"/>
          <w:sz w:val="22"/>
          <w:szCs w:val="22"/>
          <w:shd w:val="clear" w:color="auto" w:fill="FFFFFF" w:themeFill="background1"/>
          <w:lang w:val="en-GB"/>
        </w:rPr>
        <w:t>3</w:t>
      </w:r>
      <w:r w:rsidRPr="006A00DA">
        <w:rPr>
          <w:rFonts w:ascii="Verdana" w:eastAsia="Verdana" w:hAnsi="Verdana" w:cs="Verdana"/>
          <w:sz w:val="22"/>
          <w:szCs w:val="22"/>
          <w:shd w:val="clear" w:color="auto" w:fill="FFFFFF" w:themeFill="background1"/>
          <w:lang w:val="en-GB"/>
        </w:rPr>
        <w:t>m) by</w:t>
      </w:r>
      <w:r w:rsidRPr="006A00DA">
        <w:rPr>
          <w:rFonts w:ascii="Verdana" w:eastAsia="Verdana" w:hAnsi="Verdana" w:cs="Verdana"/>
          <w:sz w:val="22"/>
          <w:szCs w:val="22"/>
          <w:lang w:val="en-GB"/>
        </w:rPr>
        <w:t xml:space="preserve"> Weightmans LLP Solicitor in the normal course of business during the year, Ms Hannah Walsh (Solicitor to the Surrey Police Group from 1 April 2017) is employed by Weightmans LLP.</w:t>
      </w:r>
    </w:p>
    <w:p w14:paraId="06E390EA" w14:textId="77777777" w:rsidR="00F227D9" w:rsidRPr="00514C09" w:rsidRDefault="00F227D9" w:rsidP="004856EB">
      <w:pPr>
        <w:pStyle w:val="Normal0"/>
        <w:spacing w:after="160"/>
        <w:jc w:val="both"/>
        <w:rPr>
          <w:rFonts w:ascii="Verdana" w:eastAsia="Verdana" w:hAnsi="Verdana" w:cs="Verdana"/>
          <w:sz w:val="22"/>
          <w:szCs w:val="22"/>
          <w:lang w:val="en-GB"/>
        </w:rPr>
      </w:pPr>
      <w:r w:rsidRPr="00514C09">
        <w:rPr>
          <w:rFonts w:ascii="Verdana" w:eastAsia="Verdana" w:hAnsi="Verdana" w:cs="Verdana"/>
          <w:sz w:val="22"/>
          <w:szCs w:val="22"/>
          <w:lang w:val="en-GB"/>
        </w:rPr>
        <w:t>Central Government has effective control over the general operations of Chief Constable as it is responsible for providing the statutory framework within which the Chief Constable operates and provides the majority of funding to the Group. Grants received from Central Government by the Group are set out in the Police and the Crime Commissioner for Surrey Group accounts 20</w:t>
      </w:r>
      <w:r w:rsidR="00584083" w:rsidRPr="00514C09">
        <w:rPr>
          <w:rFonts w:ascii="Verdana" w:eastAsia="Verdana" w:hAnsi="Verdana" w:cs="Verdana"/>
          <w:sz w:val="22"/>
          <w:szCs w:val="22"/>
          <w:lang w:val="en-GB"/>
        </w:rPr>
        <w:t>20</w:t>
      </w:r>
      <w:r w:rsidR="006803CF" w:rsidRPr="00514C09">
        <w:rPr>
          <w:rFonts w:ascii="Verdana" w:eastAsia="Verdana" w:hAnsi="Verdana" w:cs="Verdana"/>
          <w:sz w:val="22"/>
          <w:szCs w:val="22"/>
          <w:lang w:val="en-GB"/>
        </w:rPr>
        <w:t>/2</w:t>
      </w:r>
      <w:r w:rsidR="00584083" w:rsidRPr="00514C09">
        <w:rPr>
          <w:rFonts w:ascii="Verdana" w:eastAsia="Verdana" w:hAnsi="Verdana" w:cs="Verdana"/>
          <w:sz w:val="22"/>
          <w:szCs w:val="22"/>
          <w:lang w:val="en-GB"/>
        </w:rPr>
        <w:t>1</w:t>
      </w:r>
      <w:r w:rsidR="006803CF" w:rsidRPr="00514C09">
        <w:rPr>
          <w:rFonts w:ascii="Verdana" w:eastAsia="Verdana" w:hAnsi="Verdana" w:cs="Verdana"/>
          <w:sz w:val="22"/>
          <w:szCs w:val="22"/>
          <w:lang w:val="en-GB"/>
        </w:rPr>
        <w:t>.</w:t>
      </w:r>
    </w:p>
    <w:p w14:paraId="633B22B8" w14:textId="77777777" w:rsidR="00F227D9" w:rsidRPr="00514C09" w:rsidRDefault="00F227D9" w:rsidP="00F227D9">
      <w:pPr>
        <w:pStyle w:val="Normal0"/>
        <w:spacing w:after="160"/>
        <w:rPr>
          <w:rFonts w:ascii="Verdana" w:hAnsi="Verdana"/>
          <w:sz w:val="4"/>
          <w:szCs w:val="4"/>
          <w:lang w:val="pt-BR"/>
        </w:rPr>
      </w:pPr>
    </w:p>
    <w:p w14:paraId="6EAFD225" w14:textId="77777777" w:rsidR="00F227D9" w:rsidRPr="00514C09" w:rsidRDefault="00F227D9" w:rsidP="00F227D9">
      <w:pPr>
        <w:pStyle w:val="Heading1"/>
        <w:spacing w:line="259" w:lineRule="auto"/>
        <w:rPr>
          <w:lang w:val="en-GB"/>
        </w:rPr>
      </w:pPr>
      <w:bookmarkStart w:id="25" w:name="_Toc77095576"/>
      <w:r w:rsidRPr="00514C09">
        <w:rPr>
          <w:lang w:val="en-GB"/>
        </w:rPr>
        <w:t>Note 17 - Defined Benefit Pension Scheme</w:t>
      </w:r>
      <w:bookmarkEnd w:id="25"/>
      <w:r w:rsidRPr="00514C09">
        <w:rPr>
          <w:lang w:val="en-GB"/>
        </w:rPr>
        <w:t xml:space="preserve"> </w:t>
      </w:r>
    </w:p>
    <w:p w14:paraId="6A1DC575" w14:textId="77777777" w:rsidR="00F227D9" w:rsidRPr="00514C09" w:rsidRDefault="00F227D9" w:rsidP="00F227D9">
      <w:pPr>
        <w:pStyle w:val="Normal0"/>
        <w:spacing w:after="160" w:line="259" w:lineRule="auto"/>
        <w:rPr>
          <w:sz w:val="22"/>
          <w:szCs w:val="22"/>
          <w:lang w:val="en-GB"/>
        </w:rPr>
      </w:pPr>
    </w:p>
    <w:p w14:paraId="132D08A0" w14:textId="77777777" w:rsidR="00F227D9" w:rsidRPr="00514C09" w:rsidRDefault="00F227D9" w:rsidP="007C11F3">
      <w:pPr>
        <w:pStyle w:val="Normal0"/>
        <w:spacing w:after="160" w:line="259" w:lineRule="auto"/>
        <w:jc w:val="both"/>
        <w:rPr>
          <w:rFonts w:ascii="Verdana" w:hAnsi="Verdana"/>
          <w:sz w:val="22"/>
          <w:szCs w:val="22"/>
          <w:lang w:val="en-GB"/>
        </w:rPr>
      </w:pPr>
      <w:r w:rsidRPr="00514C09">
        <w:rPr>
          <w:rFonts w:ascii="Verdana" w:eastAsia="Calibri" w:hAnsi="Verdana" w:cs="Arial"/>
          <w:sz w:val="22"/>
          <w:szCs w:val="22"/>
          <w:lang w:val="en-GB"/>
        </w:rPr>
        <w:t xml:space="preserve">As part of the terms and conditions of employment of its officers and other employees, the Group offers retirement benefits. Although these benefits will not actually be payable until employees retire, the </w:t>
      </w:r>
      <w:r w:rsidR="007C11F3" w:rsidRPr="00514C09">
        <w:rPr>
          <w:rFonts w:ascii="Verdana" w:eastAsia="Calibri" w:hAnsi="Verdana" w:cs="Arial"/>
          <w:sz w:val="22"/>
          <w:szCs w:val="22"/>
          <w:lang w:val="en-GB"/>
        </w:rPr>
        <w:t>Chief Constable</w:t>
      </w:r>
      <w:r w:rsidRPr="00514C09">
        <w:rPr>
          <w:rFonts w:ascii="Verdana" w:eastAsia="Calibri" w:hAnsi="Verdana" w:cs="Arial"/>
          <w:sz w:val="22"/>
          <w:szCs w:val="22"/>
          <w:lang w:val="en-GB"/>
        </w:rPr>
        <w:t xml:space="preserve"> has a commitment to make the payments that need to be disclosed at the time that employees earn their future entitlement. These commitments are included in the Chief Constables Accounts and consolidated into the Group Accounts.</w:t>
      </w:r>
      <w:r w:rsidRPr="00514C09">
        <w:rPr>
          <w:rFonts w:ascii="Verdana" w:eastAsia="Calibri" w:hAnsi="Verdana" w:cs="Arial"/>
          <w:sz w:val="22"/>
          <w:szCs w:val="22"/>
          <w:lang w:val="en-GB"/>
        </w:rPr>
        <w:tab/>
      </w:r>
    </w:p>
    <w:p w14:paraId="41B0A3EA" w14:textId="77777777" w:rsidR="00F227D9" w:rsidRPr="00514C09" w:rsidRDefault="00F227D9" w:rsidP="007C11F3">
      <w:pPr>
        <w:pStyle w:val="Normal0"/>
        <w:spacing w:after="160" w:line="259" w:lineRule="auto"/>
        <w:jc w:val="both"/>
        <w:rPr>
          <w:rFonts w:ascii="Verdana" w:hAnsi="Verdana"/>
          <w:sz w:val="22"/>
          <w:szCs w:val="22"/>
          <w:lang w:val="en-GB"/>
        </w:rPr>
      </w:pPr>
      <w:r w:rsidRPr="00514C09">
        <w:rPr>
          <w:rFonts w:ascii="Verdana" w:eastAsia="Calibri" w:hAnsi="Verdana" w:cs="Arial"/>
          <w:sz w:val="22"/>
          <w:szCs w:val="22"/>
          <w:lang w:val="en-GB"/>
        </w:rPr>
        <w:t xml:space="preserve">The </w:t>
      </w:r>
      <w:r w:rsidR="007C11F3" w:rsidRPr="00514C09">
        <w:rPr>
          <w:rFonts w:ascii="Verdana" w:eastAsia="Calibri" w:hAnsi="Verdana" w:cs="Arial"/>
          <w:sz w:val="22"/>
          <w:szCs w:val="22"/>
          <w:lang w:val="en-GB"/>
        </w:rPr>
        <w:t>Chief Constable</w:t>
      </w:r>
      <w:r w:rsidRPr="00514C09">
        <w:rPr>
          <w:rFonts w:ascii="Verdana" w:eastAsia="Calibri" w:hAnsi="Verdana" w:cs="Arial"/>
          <w:sz w:val="22"/>
          <w:szCs w:val="22"/>
          <w:lang w:val="en-GB"/>
        </w:rPr>
        <w:t xml:space="preserve"> participates in separate pension schemes for police staff and police officers:</w:t>
      </w:r>
    </w:p>
    <w:p w14:paraId="308D0DEB" w14:textId="77777777" w:rsidR="00F227D9" w:rsidRPr="00514C09" w:rsidRDefault="00F227D9" w:rsidP="007C11F3">
      <w:pPr>
        <w:pStyle w:val="Normal0"/>
        <w:spacing w:after="160" w:line="259" w:lineRule="auto"/>
        <w:jc w:val="both"/>
        <w:rPr>
          <w:rFonts w:ascii="Verdana" w:hAnsi="Verdana"/>
          <w:sz w:val="22"/>
          <w:szCs w:val="22"/>
          <w:lang w:val="en-GB"/>
        </w:rPr>
      </w:pPr>
      <w:r w:rsidRPr="00514C09">
        <w:rPr>
          <w:rFonts w:ascii="Verdana" w:eastAsia="Calibri" w:hAnsi="Verdana" w:cs="Arial"/>
          <w:sz w:val="22"/>
          <w:szCs w:val="22"/>
          <w:lang w:val="en-GB"/>
        </w:rPr>
        <w:t>•</w:t>
      </w:r>
      <w:r w:rsidRPr="00514C09">
        <w:rPr>
          <w:rFonts w:ascii="Verdana" w:eastAsia="Calibri" w:hAnsi="Verdana" w:cs="Arial"/>
          <w:sz w:val="22"/>
          <w:szCs w:val="22"/>
          <w:lang w:val="en-GB"/>
        </w:rPr>
        <w:tab/>
      </w:r>
      <w:r w:rsidRPr="00514C09">
        <w:rPr>
          <w:rFonts w:ascii="Verdana" w:eastAsia="Calibri" w:hAnsi="Verdana" w:cs="Arial"/>
          <w:b/>
          <w:sz w:val="22"/>
          <w:szCs w:val="22"/>
          <w:lang w:val="en-GB"/>
        </w:rPr>
        <w:t>The Local Government Pension Scheme (LGPS) for police staff employees</w:t>
      </w:r>
      <w:r w:rsidRPr="00514C09">
        <w:rPr>
          <w:rFonts w:ascii="Verdana" w:eastAsia="Calibri" w:hAnsi="Verdana" w:cs="Arial"/>
          <w:sz w:val="22"/>
          <w:szCs w:val="22"/>
          <w:lang w:val="en-GB"/>
        </w:rPr>
        <w:t>, administered locally by Surrey County Council – this is a funded defined benefit scheme, meaning that the Group and employees pay contributions into a fund, calculated at a level intended to balance the pension liabilities with investment assets. Up to 31 March 2014 the scheme was based on final salary but from 1 April 2014 the scheme has been based on career average.</w:t>
      </w:r>
    </w:p>
    <w:p w14:paraId="2E5BB5E8" w14:textId="77777777" w:rsidR="00F227D9" w:rsidRPr="00514C09" w:rsidRDefault="00F227D9" w:rsidP="007C11F3">
      <w:pPr>
        <w:pStyle w:val="Normal0"/>
        <w:spacing w:after="160" w:line="259" w:lineRule="auto"/>
        <w:jc w:val="both"/>
        <w:rPr>
          <w:rFonts w:ascii="Verdana" w:hAnsi="Verdana"/>
          <w:sz w:val="22"/>
          <w:szCs w:val="22"/>
          <w:lang w:val="en-GB"/>
        </w:rPr>
      </w:pPr>
      <w:r w:rsidRPr="00514C09">
        <w:rPr>
          <w:rFonts w:ascii="Verdana" w:eastAsia="Calibri" w:hAnsi="Verdana" w:cs="Arial"/>
          <w:sz w:val="22"/>
          <w:szCs w:val="22"/>
          <w:lang w:val="en-GB"/>
        </w:rPr>
        <w:t>•</w:t>
      </w:r>
      <w:r w:rsidRPr="00514C09">
        <w:rPr>
          <w:rFonts w:ascii="Verdana" w:eastAsia="Calibri" w:hAnsi="Verdana" w:cs="Arial"/>
          <w:sz w:val="22"/>
          <w:szCs w:val="22"/>
          <w:lang w:val="en-GB"/>
        </w:rPr>
        <w:tab/>
      </w:r>
      <w:r w:rsidRPr="00514C09">
        <w:rPr>
          <w:rFonts w:ascii="Verdana" w:eastAsia="Calibri" w:hAnsi="Verdana" w:cs="Arial"/>
          <w:b/>
          <w:sz w:val="22"/>
          <w:szCs w:val="22"/>
          <w:lang w:val="en-GB"/>
        </w:rPr>
        <w:t>The Police Pension Schemes for police officers</w:t>
      </w:r>
      <w:r w:rsidRPr="00514C09">
        <w:rPr>
          <w:rFonts w:ascii="Verdana" w:eastAsia="Calibri" w:hAnsi="Verdana" w:cs="Arial"/>
          <w:sz w:val="22"/>
          <w:szCs w:val="22"/>
          <w:lang w:val="en-GB"/>
        </w:rPr>
        <w:t xml:space="preserve"> – these are unfunded defined benefit final salary scheme, the funding arrangements of which are contained in the Police Pension Fund Regulations 2007 (SI 2007/1932).  The Group and employees pay contributions into the fund during the year, but there is no investment assets built up to meet the pension liabilities and payments as they fall due. The regulations require that if the pension fund does not have enough funds to meet the cost of pensions in any year, the amount required to meet the deficit must be transferred from the Group to the pension fund. Subject to Parliamentary scrutiny and approval, up to 100% of this amount is then recouped by the Group in the form of a top-up grant paid by Central Government. Conversely, if the police pension fund is in surplus for the year, the surplus is required to be transferred from the pension fund to the Group, which in turn is required to pay the amount to central Government. </w:t>
      </w:r>
    </w:p>
    <w:p w14:paraId="0F5E4E57" w14:textId="77777777" w:rsidR="00F227D9" w:rsidRPr="00514C09" w:rsidRDefault="00F227D9" w:rsidP="007C11F3">
      <w:pPr>
        <w:pStyle w:val="Normal0"/>
        <w:spacing w:after="160" w:line="259" w:lineRule="auto"/>
        <w:jc w:val="both"/>
        <w:rPr>
          <w:rFonts w:ascii="Verdana" w:hAnsi="Verdana"/>
          <w:sz w:val="22"/>
          <w:szCs w:val="22"/>
          <w:lang w:val="en-GB"/>
        </w:rPr>
      </w:pPr>
      <w:r w:rsidRPr="00514C09">
        <w:rPr>
          <w:rFonts w:ascii="Verdana" w:eastAsia="Calibri" w:hAnsi="Verdana" w:cs="Arial"/>
          <w:sz w:val="22"/>
          <w:szCs w:val="22"/>
          <w:lang w:val="en-GB"/>
        </w:rPr>
        <w:t>The costs of retirement benefits are recognised in the Net Cost of Services when they are earned by employees, rather than when the benefits are eventually paid as pensions. In accordance with IAS 19 requirements, the amount includes current and past service costs, curtailments and settlements, together with the gains/losses on the police injury pension.  The current service cost and valuation of the Schemes as at 31 March 2020 have been produced by actuaries. The following transactions reflect the total charges in the Chief Constable's Comprehensive Income and Expenditure Statement. Although these benefits will not actually be payable until employees retire, the Group has a commitment to make the payments for those benefits and to disclose them at the time the employee earns them.</w:t>
      </w:r>
    </w:p>
    <w:p w14:paraId="2FF016E7" w14:textId="77777777" w:rsidR="007C11F3" w:rsidRPr="00514C09" w:rsidRDefault="007C11F3" w:rsidP="007C11F3">
      <w:pPr>
        <w:spacing w:after="160" w:line="259" w:lineRule="auto"/>
        <w:rPr>
          <w:rFonts w:ascii="Verdana" w:hAnsi="Verdana"/>
          <w:b/>
          <w:sz w:val="22"/>
          <w:szCs w:val="22"/>
          <w:lang w:val="en-GB"/>
        </w:rPr>
      </w:pPr>
      <w:r w:rsidRPr="00514C09">
        <w:rPr>
          <w:rFonts w:ascii="Verdana" w:eastAsia="Calibri" w:hAnsi="Verdana" w:cs="Arial"/>
          <w:b/>
          <w:sz w:val="22"/>
          <w:szCs w:val="22"/>
          <w:lang w:val="en-GB"/>
        </w:rPr>
        <w:t>McCloud / Sargeant judgement</w:t>
      </w:r>
    </w:p>
    <w:p w14:paraId="28AB77B5" w14:textId="77777777" w:rsidR="007C11F3" w:rsidRPr="00514C09" w:rsidRDefault="007C11F3" w:rsidP="007C11F3">
      <w:pPr>
        <w:spacing w:after="160" w:line="259" w:lineRule="auto"/>
        <w:jc w:val="both"/>
        <w:rPr>
          <w:rFonts w:ascii="Verdana" w:hAnsi="Verdana"/>
          <w:sz w:val="22"/>
          <w:szCs w:val="22"/>
          <w:lang w:val="en-GB"/>
        </w:rPr>
      </w:pPr>
      <w:r w:rsidRPr="00514C09">
        <w:rPr>
          <w:rFonts w:ascii="Verdana" w:eastAsia="Calibri" w:hAnsi="Verdana" w:cs="Arial"/>
          <w:sz w:val="22"/>
          <w:szCs w:val="22"/>
          <w:lang w:val="en-GB"/>
        </w:rPr>
        <w:t>The Chief Constable of Surrey, along with the other Chief Constables and the Home Office, currently has a number of claims lodged against them with the Central London Employment Tribunal.  The claims are in respect of alleged unlawful discrimination arising from the Transitional Provisions in the Police Pension Regulations 2015.</w:t>
      </w:r>
    </w:p>
    <w:p w14:paraId="551C21C9" w14:textId="77777777" w:rsidR="007C11F3" w:rsidRPr="00514C09" w:rsidRDefault="007C11F3" w:rsidP="007C11F3">
      <w:pPr>
        <w:spacing w:after="160" w:line="259" w:lineRule="auto"/>
        <w:jc w:val="both"/>
        <w:rPr>
          <w:rFonts w:ascii="Verdana" w:hAnsi="Verdana"/>
          <w:sz w:val="22"/>
          <w:szCs w:val="22"/>
        </w:rPr>
      </w:pPr>
      <w:r w:rsidRPr="00514C09">
        <w:rPr>
          <w:rFonts w:ascii="Verdana" w:hAnsi="Verdana"/>
          <w:sz w:val="22"/>
          <w:szCs w:val="22"/>
        </w:rPr>
        <w:t>The McCloud and Sargeant judgements concerned the introduction of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w:t>
      </w:r>
    </w:p>
    <w:p w14:paraId="3348FD5A" w14:textId="77777777" w:rsidR="007C11F3" w:rsidRDefault="007C11F3" w:rsidP="007C11F3">
      <w:pPr>
        <w:jc w:val="both"/>
        <w:rPr>
          <w:rFonts w:ascii="Verdana" w:hAnsi="Verdana"/>
          <w:sz w:val="22"/>
          <w:szCs w:val="22"/>
        </w:rPr>
      </w:pPr>
      <w:r w:rsidRPr="00514C09">
        <w:rPr>
          <w:rFonts w:ascii="Verdana" w:hAnsi="Verdana"/>
          <w:sz w:val="22"/>
          <w:szCs w:val="22"/>
        </w:rPr>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14:paraId="1DBD7BAC" w14:textId="77777777" w:rsidR="00514C09" w:rsidRDefault="00514C09" w:rsidP="007C11F3">
      <w:pPr>
        <w:jc w:val="both"/>
        <w:rPr>
          <w:rFonts w:ascii="Verdana" w:hAnsi="Verdana"/>
          <w:sz w:val="22"/>
          <w:szCs w:val="22"/>
        </w:rPr>
      </w:pPr>
    </w:p>
    <w:p w14:paraId="15A4D843" w14:textId="77777777" w:rsidR="00514C09" w:rsidRPr="00514C09" w:rsidRDefault="00514C09" w:rsidP="00514C09">
      <w:pPr>
        <w:jc w:val="both"/>
        <w:rPr>
          <w:rFonts w:ascii="Verdana" w:hAnsi="Verdana"/>
          <w:sz w:val="22"/>
          <w:szCs w:val="22"/>
        </w:rPr>
      </w:pPr>
      <w:r w:rsidRPr="00514C09">
        <w:rPr>
          <w:rFonts w:ascii="Verdana" w:hAnsi="Verdana"/>
          <w:sz w:val="22"/>
          <w:szCs w:val="22"/>
        </w:rPr>
        <w:t>In respect of the Police pension schemes, a case management was held in October 2019 resulted in an Order including an interim declaration that claimants are entitled to be treated as if they had been given full transitional protection and had remained in their existing scheme after 1 April 2015. The Government later issued a Ministerial Statement on 25 March 2020 that non-claimants would also be treated in the same way. On 16 July 2020, HM Treasury issued a consultation on transitional arrangements for public sector pensions to eliminate discrimination identified via McCloud/Sargeant cases. This meant that members of the pension scheme on or before 31 March 2012 and on or after 1April to be eligible for the remedy.</w:t>
      </w:r>
    </w:p>
    <w:p w14:paraId="70094E77" w14:textId="77777777" w:rsidR="00514C09" w:rsidRPr="00514C09" w:rsidRDefault="00514C09" w:rsidP="00514C09">
      <w:pPr>
        <w:jc w:val="both"/>
        <w:rPr>
          <w:rFonts w:ascii="Verdana" w:hAnsi="Verdana"/>
          <w:sz w:val="22"/>
          <w:szCs w:val="22"/>
        </w:rPr>
      </w:pPr>
    </w:p>
    <w:p w14:paraId="3014258D" w14:textId="77777777" w:rsidR="00514C09" w:rsidRPr="00514C09" w:rsidRDefault="00514C09" w:rsidP="00514C09">
      <w:pPr>
        <w:jc w:val="both"/>
        <w:rPr>
          <w:rFonts w:ascii="Verdana" w:hAnsi="Verdana"/>
          <w:sz w:val="22"/>
          <w:szCs w:val="22"/>
        </w:rPr>
      </w:pPr>
      <w:r w:rsidRPr="00514C09">
        <w:rPr>
          <w:rFonts w:ascii="Verdana" w:hAnsi="Verdana"/>
          <w:sz w:val="22"/>
          <w:szCs w:val="22"/>
        </w:rPr>
        <w:t xml:space="preserve">On 4 February 2021, HM Treasury issued a response to the consultation confirming remedy arrangement requirements that were set out in the consultation with members being given a choice as to whether they retain benefits from their legacy pension scheme, or their new scheme, during the remedy period of 2015 to 2022 so as not to disadvantage any of those members. This choice will be deferred for members until retirement which creates further uncertainty of impact for employers. The legacy pension schemes will then be removed from April 2022 and replaced by the new pension schemes originally introduced in 2015 as it was only the transitional arrangements that were found to be discriminatory, not the actual new pension schemes. </w:t>
      </w:r>
    </w:p>
    <w:p w14:paraId="0FF16D44" w14:textId="77777777" w:rsidR="00514C09" w:rsidRPr="00514C09" w:rsidRDefault="00514C09" w:rsidP="00514C09">
      <w:pPr>
        <w:jc w:val="both"/>
        <w:rPr>
          <w:rFonts w:ascii="Verdana" w:hAnsi="Verdana"/>
          <w:iCs/>
          <w:sz w:val="22"/>
          <w:szCs w:val="22"/>
        </w:rPr>
      </w:pPr>
    </w:p>
    <w:p w14:paraId="093E3A7F" w14:textId="3BF9716A" w:rsidR="00514C09" w:rsidRDefault="00514C09" w:rsidP="00514C09">
      <w:pPr>
        <w:jc w:val="both"/>
        <w:rPr>
          <w:rFonts w:ascii="Verdana" w:hAnsi="Verdana"/>
          <w:iCs/>
          <w:sz w:val="22"/>
          <w:szCs w:val="22"/>
        </w:rPr>
      </w:pPr>
      <w:r w:rsidRPr="00514C09">
        <w:rPr>
          <w:rFonts w:ascii="Verdana" w:hAnsi="Verdana"/>
          <w:iCs/>
          <w:sz w:val="22"/>
          <w:szCs w:val="22"/>
        </w:rPr>
        <w:t>IAS 19 pension actuarial reports include these impacts and provide for them within the 2020/21 accounts of the PCC Group for both police and staff pension schemes.</w:t>
      </w:r>
    </w:p>
    <w:p w14:paraId="6B80D3AF" w14:textId="77777777" w:rsidR="00514C09" w:rsidRDefault="00514C09" w:rsidP="00514C09">
      <w:pPr>
        <w:jc w:val="both"/>
        <w:rPr>
          <w:rFonts w:ascii="Verdana" w:hAnsi="Verdana"/>
          <w:iCs/>
          <w:sz w:val="22"/>
          <w:szCs w:val="22"/>
        </w:rPr>
      </w:pPr>
    </w:p>
    <w:p w14:paraId="4845DB28" w14:textId="77777777" w:rsidR="00514C09" w:rsidRPr="00514C09" w:rsidRDefault="00514C09" w:rsidP="00514C09">
      <w:pPr>
        <w:jc w:val="both"/>
        <w:rPr>
          <w:rFonts w:ascii="Verdana" w:hAnsi="Verdana"/>
          <w:sz w:val="22"/>
          <w:szCs w:val="22"/>
        </w:rPr>
      </w:pPr>
    </w:p>
    <w:p w14:paraId="122C3DAA" w14:textId="3AF56DAA" w:rsidR="00514C09" w:rsidRDefault="00514C09">
      <w:pPr>
        <w:rPr>
          <w:rFonts w:ascii="Verdana" w:hAnsi="Verdana"/>
          <w:sz w:val="22"/>
          <w:szCs w:val="22"/>
        </w:rPr>
      </w:pPr>
      <w:r>
        <w:rPr>
          <w:rFonts w:ascii="Verdana" w:hAnsi="Verdana"/>
          <w:sz w:val="22"/>
          <w:szCs w:val="22"/>
        </w:rPr>
        <w:br w:type="page"/>
      </w:r>
    </w:p>
    <w:p w14:paraId="747CEE51" w14:textId="77777777" w:rsidR="007C11F3" w:rsidRPr="00514C09" w:rsidRDefault="007C11F3" w:rsidP="007C11F3">
      <w:pPr>
        <w:jc w:val="both"/>
        <w:rPr>
          <w:rFonts w:ascii="Verdana" w:hAnsi="Verdana"/>
          <w:sz w:val="22"/>
          <w:szCs w:val="22"/>
        </w:rPr>
      </w:pPr>
    </w:p>
    <w:tbl>
      <w:tblPr>
        <w:tblW w:w="8361" w:type="pct"/>
        <w:tblLook w:val="04A0" w:firstRow="1" w:lastRow="0" w:firstColumn="1" w:lastColumn="0" w:noHBand="0" w:noVBand="1"/>
      </w:tblPr>
      <w:tblGrid>
        <w:gridCol w:w="1592"/>
        <w:gridCol w:w="2029"/>
        <w:gridCol w:w="2024"/>
        <w:gridCol w:w="3410"/>
        <w:gridCol w:w="1586"/>
        <w:gridCol w:w="1957"/>
        <w:gridCol w:w="2024"/>
        <w:gridCol w:w="5568"/>
        <w:gridCol w:w="5562"/>
      </w:tblGrid>
      <w:tr w:rsidR="00192B82" w:rsidRPr="00192B82" w14:paraId="6CF2C3C2" w14:textId="77777777" w:rsidTr="0091312C">
        <w:trPr>
          <w:gridAfter w:val="2"/>
          <w:wAfter w:w="2161" w:type="pct"/>
          <w:trHeight w:val="302"/>
        </w:trPr>
        <w:tc>
          <w:tcPr>
            <w:tcW w:w="309" w:type="pct"/>
            <w:tcBorders>
              <w:top w:val="nil"/>
              <w:left w:val="nil"/>
              <w:bottom w:val="nil"/>
              <w:right w:val="nil"/>
            </w:tcBorders>
            <w:shd w:val="clear" w:color="auto" w:fill="auto"/>
            <w:noWrap/>
            <w:vAlign w:val="bottom"/>
            <w:hideMark/>
          </w:tcPr>
          <w:p w14:paraId="0A5F2098" w14:textId="77777777" w:rsidR="00192B82" w:rsidRPr="00192B82" w:rsidRDefault="00192B82" w:rsidP="00192B82">
            <w:pPr>
              <w:jc w:val="center"/>
              <w:rPr>
                <w:rFonts w:ascii="Verdana" w:eastAsia="Times New Roman" w:hAnsi="Verdana" w:cs="Calibri"/>
                <w:b/>
                <w:bCs/>
                <w:color w:val="000000"/>
                <w:sz w:val="16"/>
                <w:szCs w:val="16"/>
                <w:lang w:val="en-GB" w:eastAsia="en-GB"/>
              </w:rPr>
            </w:pPr>
          </w:p>
        </w:tc>
        <w:tc>
          <w:tcPr>
            <w:tcW w:w="394" w:type="pct"/>
            <w:tcBorders>
              <w:top w:val="nil"/>
              <w:left w:val="nil"/>
              <w:bottom w:val="nil"/>
              <w:right w:val="nil"/>
            </w:tcBorders>
            <w:shd w:val="clear" w:color="auto" w:fill="auto"/>
            <w:noWrap/>
            <w:vAlign w:val="bottom"/>
            <w:hideMark/>
          </w:tcPr>
          <w:p w14:paraId="7E72269B" w14:textId="77777777" w:rsidR="00192B82" w:rsidRPr="00192B82" w:rsidRDefault="00192B82" w:rsidP="00192B82">
            <w:pPr>
              <w:rPr>
                <w:rFonts w:ascii="Times New Roman" w:eastAsia="Times New Roman" w:hAnsi="Times New Roman" w:cs="Times New Roman"/>
                <w:sz w:val="20"/>
                <w:szCs w:val="20"/>
                <w:lang w:val="en-GB" w:eastAsia="en-GB"/>
              </w:rPr>
            </w:pPr>
          </w:p>
        </w:tc>
        <w:tc>
          <w:tcPr>
            <w:tcW w:w="393" w:type="pct"/>
            <w:tcBorders>
              <w:top w:val="nil"/>
              <w:left w:val="nil"/>
              <w:bottom w:val="nil"/>
              <w:right w:val="nil"/>
            </w:tcBorders>
            <w:shd w:val="clear" w:color="auto" w:fill="auto"/>
            <w:noWrap/>
            <w:vAlign w:val="bottom"/>
            <w:hideMark/>
          </w:tcPr>
          <w:p w14:paraId="7C3FFBC5" w14:textId="77777777" w:rsidR="00192B82" w:rsidRPr="00192B82" w:rsidRDefault="00192B82" w:rsidP="00192B82">
            <w:pPr>
              <w:rPr>
                <w:rFonts w:ascii="Times New Roman" w:eastAsia="Times New Roman" w:hAnsi="Times New Roman" w:cs="Times New Roman"/>
                <w:sz w:val="20"/>
                <w:szCs w:val="20"/>
                <w:lang w:val="en-GB" w:eastAsia="en-GB"/>
              </w:rPr>
            </w:pPr>
          </w:p>
        </w:tc>
        <w:tc>
          <w:tcPr>
            <w:tcW w:w="662" w:type="pct"/>
            <w:tcBorders>
              <w:top w:val="nil"/>
              <w:left w:val="nil"/>
              <w:bottom w:val="nil"/>
              <w:right w:val="nil"/>
            </w:tcBorders>
            <w:shd w:val="clear" w:color="auto" w:fill="auto"/>
            <w:noWrap/>
            <w:vAlign w:val="bottom"/>
            <w:hideMark/>
          </w:tcPr>
          <w:p w14:paraId="3DAAB153" w14:textId="77777777" w:rsidR="00192B82" w:rsidRPr="00192B82" w:rsidRDefault="00192B82" w:rsidP="00192B82">
            <w:pPr>
              <w:rPr>
                <w:rFonts w:ascii="Times New Roman" w:eastAsia="Times New Roman" w:hAnsi="Times New Roman" w:cs="Times New Roman"/>
                <w:sz w:val="20"/>
                <w:szCs w:val="20"/>
                <w:lang w:val="en-GB" w:eastAsia="en-GB"/>
              </w:rPr>
            </w:pPr>
          </w:p>
        </w:tc>
        <w:tc>
          <w:tcPr>
            <w:tcW w:w="308" w:type="pct"/>
            <w:tcBorders>
              <w:top w:val="nil"/>
              <w:left w:val="nil"/>
              <w:bottom w:val="nil"/>
              <w:right w:val="nil"/>
            </w:tcBorders>
            <w:shd w:val="clear" w:color="auto" w:fill="auto"/>
            <w:noWrap/>
            <w:vAlign w:val="bottom"/>
            <w:hideMark/>
          </w:tcPr>
          <w:p w14:paraId="58618143" w14:textId="77777777" w:rsidR="00192B82" w:rsidRPr="00192B82" w:rsidRDefault="00192B82" w:rsidP="00192B82">
            <w:pPr>
              <w:rPr>
                <w:rFonts w:ascii="Times New Roman" w:eastAsia="Times New Roman" w:hAnsi="Times New Roman" w:cs="Times New Roman"/>
                <w:sz w:val="20"/>
                <w:szCs w:val="20"/>
                <w:lang w:val="en-GB" w:eastAsia="en-GB"/>
              </w:rPr>
            </w:pPr>
          </w:p>
        </w:tc>
        <w:tc>
          <w:tcPr>
            <w:tcW w:w="380" w:type="pct"/>
            <w:tcBorders>
              <w:top w:val="nil"/>
              <w:left w:val="nil"/>
              <w:bottom w:val="nil"/>
              <w:right w:val="nil"/>
            </w:tcBorders>
            <w:shd w:val="clear" w:color="auto" w:fill="auto"/>
            <w:noWrap/>
            <w:vAlign w:val="bottom"/>
            <w:hideMark/>
          </w:tcPr>
          <w:p w14:paraId="2FA8C573" w14:textId="77777777" w:rsidR="00192B82" w:rsidRPr="00192B82" w:rsidRDefault="00192B82" w:rsidP="00192B82">
            <w:pPr>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bottom"/>
            <w:hideMark/>
          </w:tcPr>
          <w:p w14:paraId="78ABAC02" w14:textId="77777777" w:rsidR="00192B82" w:rsidRPr="00192B82" w:rsidRDefault="00192B82" w:rsidP="00192B82">
            <w:pPr>
              <w:rPr>
                <w:rFonts w:ascii="Times New Roman" w:eastAsia="Times New Roman" w:hAnsi="Times New Roman" w:cs="Times New Roman"/>
                <w:sz w:val="20"/>
                <w:szCs w:val="20"/>
                <w:lang w:val="en-GB" w:eastAsia="en-GB"/>
              </w:rPr>
            </w:pPr>
          </w:p>
        </w:tc>
      </w:tr>
      <w:tr w:rsidR="00192B82" w:rsidRPr="00192B82" w14:paraId="1276777B" w14:textId="77777777" w:rsidTr="0091312C">
        <w:trPr>
          <w:gridAfter w:val="2"/>
          <w:wAfter w:w="2161" w:type="pct"/>
          <w:trHeight w:val="214"/>
        </w:trPr>
        <w:tc>
          <w:tcPr>
            <w:tcW w:w="1758" w:type="pct"/>
            <w:gridSpan w:val="4"/>
            <w:tcBorders>
              <w:top w:val="nil"/>
              <w:left w:val="nil"/>
              <w:bottom w:val="nil"/>
              <w:right w:val="nil"/>
            </w:tcBorders>
            <w:shd w:val="clear" w:color="auto" w:fill="auto"/>
            <w:noWrap/>
            <w:vAlign w:val="center"/>
            <w:hideMark/>
          </w:tcPr>
          <w:p w14:paraId="384CCD35"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Comprehensive Income and Expenditure Statement</w:t>
            </w:r>
          </w:p>
        </w:tc>
        <w:tc>
          <w:tcPr>
            <w:tcW w:w="308" w:type="pct"/>
            <w:tcBorders>
              <w:top w:val="nil"/>
              <w:left w:val="nil"/>
              <w:bottom w:val="nil"/>
              <w:right w:val="nil"/>
            </w:tcBorders>
            <w:shd w:val="clear" w:color="auto" w:fill="auto"/>
            <w:noWrap/>
            <w:vAlign w:val="bottom"/>
            <w:hideMark/>
          </w:tcPr>
          <w:p w14:paraId="75693B19" w14:textId="77777777" w:rsidR="00192B82" w:rsidRPr="00192B82" w:rsidRDefault="00192B82" w:rsidP="00192B82">
            <w:pPr>
              <w:rPr>
                <w:rFonts w:ascii="Verdana" w:eastAsia="Times New Roman" w:hAnsi="Verdana" w:cs="Calibri"/>
                <w:b/>
                <w:bCs/>
                <w:color w:val="000000"/>
                <w:sz w:val="16"/>
                <w:szCs w:val="16"/>
                <w:lang w:val="en-GB" w:eastAsia="en-GB"/>
              </w:rPr>
            </w:pPr>
          </w:p>
        </w:tc>
        <w:tc>
          <w:tcPr>
            <w:tcW w:w="380" w:type="pct"/>
            <w:tcBorders>
              <w:top w:val="nil"/>
              <w:left w:val="nil"/>
              <w:bottom w:val="nil"/>
              <w:right w:val="nil"/>
            </w:tcBorders>
            <w:shd w:val="clear" w:color="auto" w:fill="auto"/>
            <w:noWrap/>
            <w:vAlign w:val="bottom"/>
            <w:hideMark/>
          </w:tcPr>
          <w:p w14:paraId="610D2DE8" w14:textId="77777777" w:rsidR="00192B82" w:rsidRPr="00192B82" w:rsidRDefault="00192B82" w:rsidP="00192B82">
            <w:pPr>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bottom"/>
            <w:hideMark/>
          </w:tcPr>
          <w:p w14:paraId="51A718FD" w14:textId="77777777" w:rsidR="00192B82" w:rsidRPr="00192B82" w:rsidRDefault="00192B82" w:rsidP="00192B82">
            <w:pPr>
              <w:rPr>
                <w:rFonts w:ascii="Times New Roman" w:eastAsia="Times New Roman" w:hAnsi="Times New Roman" w:cs="Times New Roman"/>
                <w:sz w:val="20"/>
                <w:szCs w:val="20"/>
                <w:lang w:val="en-GB" w:eastAsia="en-GB"/>
              </w:rPr>
            </w:pPr>
          </w:p>
        </w:tc>
      </w:tr>
      <w:tr w:rsidR="00192B82" w:rsidRPr="00192B82" w14:paraId="575B138A" w14:textId="77777777" w:rsidTr="0091312C">
        <w:trPr>
          <w:gridAfter w:val="2"/>
          <w:wAfter w:w="2161" w:type="pct"/>
          <w:trHeight w:val="214"/>
        </w:trPr>
        <w:tc>
          <w:tcPr>
            <w:tcW w:w="703" w:type="pct"/>
            <w:gridSpan w:val="2"/>
            <w:tcBorders>
              <w:top w:val="nil"/>
              <w:left w:val="nil"/>
              <w:bottom w:val="nil"/>
              <w:right w:val="nil"/>
            </w:tcBorders>
            <w:shd w:val="clear" w:color="auto" w:fill="auto"/>
            <w:noWrap/>
            <w:vAlign w:val="center"/>
            <w:hideMark/>
          </w:tcPr>
          <w:p w14:paraId="65D26DCB"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Cost of Services</w:t>
            </w:r>
          </w:p>
        </w:tc>
        <w:tc>
          <w:tcPr>
            <w:tcW w:w="393" w:type="pct"/>
            <w:tcBorders>
              <w:top w:val="nil"/>
              <w:left w:val="nil"/>
              <w:bottom w:val="nil"/>
              <w:right w:val="nil"/>
            </w:tcBorders>
            <w:shd w:val="clear" w:color="auto" w:fill="auto"/>
            <w:noWrap/>
            <w:vAlign w:val="center"/>
            <w:hideMark/>
          </w:tcPr>
          <w:p w14:paraId="54CAE2DB"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p>
        </w:tc>
        <w:tc>
          <w:tcPr>
            <w:tcW w:w="662" w:type="pct"/>
            <w:tcBorders>
              <w:top w:val="nil"/>
              <w:left w:val="nil"/>
              <w:bottom w:val="nil"/>
              <w:right w:val="nil"/>
            </w:tcBorders>
            <w:shd w:val="clear" w:color="auto" w:fill="auto"/>
            <w:noWrap/>
            <w:vAlign w:val="center"/>
            <w:hideMark/>
          </w:tcPr>
          <w:p w14:paraId="066DCACC" w14:textId="77777777" w:rsidR="00192B82" w:rsidRPr="00192B82" w:rsidRDefault="00192B82" w:rsidP="00192B82">
            <w:pPr>
              <w:rPr>
                <w:rFonts w:ascii="Times New Roman" w:eastAsia="Times New Roman" w:hAnsi="Times New Roman" w:cs="Times New Roman"/>
                <w:sz w:val="20"/>
                <w:szCs w:val="20"/>
                <w:lang w:val="en-GB" w:eastAsia="en-GB"/>
              </w:rPr>
            </w:pPr>
          </w:p>
        </w:tc>
        <w:tc>
          <w:tcPr>
            <w:tcW w:w="308" w:type="pct"/>
            <w:tcBorders>
              <w:top w:val="nil"/>
              <w:left w:val="nil"/>
              <w:bottom w:val="nil"/>
              <w:right w:val="nil"/>
            </w:tcBorders>
            <w:shd w:val="clear" w:color="auto" w:fill="auto"/>
            <w:noWrap/>
            <w:vAlign w:val="center"/>
            <w:hideMark/>
          </w:tcPr>
          <w:p w14:paraId="3D09A26A" w14:textId="77777777" w:rsidR="00192B82" w:rsidRPr="00192B82" w:rsidRDefault="00192B82" w:rsidP="00192B82">
            <w:pPr>
              <w:ind w:firstLineChars="100" w:firstLine="200"/>
              <w:rPr>
                <w:rFonts w:ascii="Times New Roman" w:eastAsia="Times New Roman" w:hAnsi="Times New Roman" w:cs="Times New Roman"/>
                <w:sz w:val="20"/>
                <w:szCs w:val="20"/>
                <w:lang w:val="en-GB" w:eastAsia="en-GB"/>
              </w:rPr>
            </w:pPr>
          </w:p>
        </w:tc>
        <w:tc>
          <w:tcPr>
            <w:tcW w:w="380" w:type="pct"/>
            <w:tcBorders>
              <w:top w:val="nil"/>
              <w:left w:val="nil"/>
              <w:bottom w:val="nil"/>
              <w:right w:val="nil"/>
            </w:tcBorders>
            <w:shd w:val="clear" w:color="auto" w:fill="auto"/>
            <w:noWrap/>
            <w:vAlign w:val="center"/>
            <w:hideMark/>
          </w:tcPr>
          <w:p w14:paraId="35A8A017" w14:textId="77777777" w:rsidR="00192B82" w:rsidRPr="00192B82" w:rsidRDefault="00192B82" w:rsidP="00192B82">
            <w:pPr>
              <w:ind w:firstLineChars="100" w:firstLine="200"/>
              <w:jc w:val="right"/>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center"/>
            <w:hideMark/>
          </w:tcPr>
          <w:p w14:paraId="21125532" w14:textId="77777777" w:rsidR="00192B82" w:rsidRPr="00192B82" w:rsidRDefault="00192B82" w:rsidP="00192B82">
            <w:pPr>
              <w:rPr>
                <w:rFonts w:ascii="Times New Roman" w:eastAsia="Times New Roman" w:hAnsi="Times New Roman" w:cs="Times New Roman"/>
                <w:sz w:val="20"/>
                <w:szCs w:val="20"/>
                <w:lang w:val="en-GB" w:eastAsia="en-GB"/>
              </w:rPr>
            </w:pPr>
          </w:p>
        </w:tc>
      </w:tr>
      <w:tr w:rsidR="0091312C" w:rsidRPr="00192B82" w14:paraId="6C389B04" w14:textId="72FAAD9E" w:rsidTr="0091312C">
        <w:trPr>
          <w:trHeight w:val="287"/>
        </w:trPr>
        <w:tc>
          <w:tcPr>
            <w:tcW w:w="1096" w:type="pct"/>
            <w:gridSpan w:val="3"/>
            <w:tcBorders>
              <w:top w:val="nil"/>
              <w:left w:val="nil"/>
              <w:bottom w:val="nil"/>
              <w:right w:val="nil"/>
            </w:tcBorders>
            <w:shd w:val="clear" w:color="auto" w:fill="auto"/>
            <w:noWrap/>
            <w:vAlign w:val="center"/>
            <w:hideMark/>
          </w:tcPr>
          <w:p w14:paraId="5C096DB2" w14:textId="367A88A9" w:rsidR="0091312C" w:rsidRPr="0091312C" w:rsidRDefault="0091312C" w:rsidP="0091312C">
            <w:pPr>
              <w:jc w:val="center"/>
              <w:rPr>
                <w:rFonts w:ascii="Verdana" w:eastAsia="Times New Roman" w:hAnsi="Verdana" w:cs="Times New Roman"/>
                <w:b/>
                <w:sz w:val="16"/>
                <w:szCs w:val="16"/>
                <w:lang w:val="en-GB" w:eastAsia="en-GB"/>
              </w:rPr>
            </w:pPr>
            <w:r w:rsidRPr="0091312C">
              <w:rPr>
                <w:rFonts w:ascii="Verdana" w:eastAsia="Times New Roman" w:hAnsi="Verdana" w:cs="Times New Roman"/>
                <w:b/>
                <w:sz w:val="16"/>
                <w:szCs w:val="16"/>
                <w:lang w:val="en-GB" w:eastAsia="en-GB"/>
              </w:rPr>
              <w:t>2019/20</w:t>
            </w:r>
          </w:p>
        </w:tc>
        <w:tc>
          <w:tcPr>
            <w:tcW w:w="662" w:type="pct"/>
            <w:tcBorders>
              <w:top w:val="nil"/>
              <w:left w:val="nil"/>
              <w:bottom w:val="nil"/>
              <w:right w:val="nil"/>
            </w:tcBorders>
            <w:shd w:val="clear" w:color="auto" w:fill="auto"/>
            <w:noWrap/>
            <w:vAlign w:val="center"/>
            <w:hideMark/>
          </w:tcPr>
          <w:p w14:paraId="70C23A53" w14:textId="77777777" w:rsidR="0091312C" w:rsidRPr="0091312C" w:rsidRDefault="0091312C" w:rsidP="0091312C">
            <w:pPr>
              <w:jc w:val="center"/>
              <w:rPr>
                <w:rFonts w:ascii="Verdana" w:eastAsia="Times New Roman" w:hAnsi="Verdana" w:cs="Times New Roman"/>
                <w:b/>
                <w:sz w:val="16"/>
                <w:szCs w:val="16"/>
                <w:lang w:val="en-GB" w:eastAsia="en-GB"/>
              </w:rPr>
            </w:pPr>
          </w:p>
        </w:tc>
        <w:tc>
          <w:tcPr>
            <w:tcW w:w="1081" w:type="pct"/>
            <w:gridSpan w:val="3"/>
            <w:tcBorders>
              <w:top w:val="nil"/>
              <w:left w:val="nil"/>
              <w:bottom w:val="nil"/>
              <w:right w:val="nil"/>
            </w:tcBorders>
            <w:shd w:val="clear" w:color="auto" w:fill="auto"/>
            <w:noWrap/>
            <w:vAlign w:val="center"/>
            <w:hideMark/>
          </w:tcPr>
          <w:p w14:paraId="66447B3C" w14:textId="3DDF8D6C" w:rsidR="0091312C" w:rsidRPr="0091312C" w:rsidRDefault="0091312C" w:rsidP="0091312C">
            <w:pPr>
              <w:jc w:val="center"/>
              <w:rPr>
                <w:rFonts w:ascii="Verdana" w:eastAsia="Times New Roman" w:hAnsi="Verdana" w:cs="Times New Roman"/>
                <w:b/>
                <w:sz w:val="16"/>
                <w:szCs w:val="16"/>
                <w:lang w:val="en-GB" w:eastAsia="en-GB"/>
              </w:rPr>
            </w:pPr>
            <w:r w:rsidRPr="0091312C">
              <w:rPr>
                <w:rFonts w:ascii="Verdana" w:eastAsia="Times New Roman" w:hAnsi="Verdana" w:cs="Times New Roman"/>
                <w:b/>
                <w:sz w:val="16"/>
                <w:szCs w:val="16"/>
                <w:lang w:val="en-GB" w:eastAsia="en-GB"/>
              </w:rPr>
              <w:t>20</w:t>
            </w:r>
            <w:r>
              <w:rPr>
                <w:rFonts w:ascii="Verdana" w:eastAsia="Times New Roman" w:hAnsi="Verdana" w:cs="Times New Roman"/>
                <w:b/>
                <w:sz w:val="16"/>
                <w:szCs w:val="16"/>
                <w:lang w:val="en-GB" w:eastAsia="en-GB"/>
              </w:rPr>
              <w:t>20</w:t>
            </w:r>
            <w:r w:rsidRPr="0091312C">
              <w:rPr>
                <w:rFonts w:ascii="Verdana" w:eastAsia="Times New Roman" w:hAnsi="Verdana" w:cs="Times New Roman"/>
                <w:b/>
                <w:sz w:val="16"/>
                <w:szCs w:val="16"/>
                <w:lang w:val="en-GB" w:eastAsia="en-GB"/>
              </w:rPr>
              <w:t>/2</w:t>
            </w:r>
            <w:r>
              <w:rPr>
                <w:rFonts w:ascii="Verdana" w:eastAsia="Times New Roman" w:hAnsi="Verdana" w:cs="Times New Roman"/>
                <w:b/>
                <w:sz w:val="16"/>
                <w:szCs w:val="16"/>
                <w:lang w:val="en-GB" w:eastAsia="en-GB"/>
              </w:rPr>
              <w:t>1</w:t>
            </w:r>
          </w:p>
        </w:tc>
        <w:tc>
          <w:tcPr>
            <w:tcW w:w="1081" w:type="pct"/>
            <w:vAlign w:val="center"/>
          </w:tcPr>
          <w:p w14:paraId="15E37C7D" w14:textId="77777777" w:rsidR="0091312C" w:rsidRPr="00192B82" w:rsidRDefault="0091312C" w:rsidP="0091312C"/>
        </w:tc>
        <w:tc>
          <w:tcPr>
            <w:tcW w:w="1081" w:type="pct"/>
            <w:vAlign w:val="center"/>
          </w:tcPr>
          <w:p w14:paraId="532B8513" w14:textId="77777777" w:rsidR="0091312C" w:rsidRPr="00192B82" w:rsidRDefault="0091312C" w:rsidP="0091312C"/>
        </w:tc>
      </w:tr>
      <w:tr w:rsidR="0091312C" w:rsidRPr="00192B82" w14:paraId="18F0A49B"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tcPr>
          <w:p w14:paraId="4366F5B8"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94" w:type="pct"/>
            <w:tcBorders>
              <w:top w:val="nil"/>
              <w:left w:val="nil"/>
              <w:bottom w:val="nil"/>
              <w:right w:val="nil"/>
            </w:tcBorders>
            <w:shd w:val="clear" w:color="auto" w:fill="auto"/>
            <w:vAlign w:val="center"/>
          </w:tcPr>
          <w:p w14:paraId="5FED68F6"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93" w:type="pct"/>
            <w:tcBorders>
              <w:top w:val="nil"/>
              <w:left w:val="nil"/>
              <w:bottom w:val="nil"/>
              <w:right w:val="nil"/>
            </w:tcBorders>
            <w:shd w:val="clear" w:color="auto" w:fill="auto"/>
            <w:vAlign w:val="center"/>
          </w:tcPr>
          <w:p w14:paraId="31E08C65"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662" w:type="pct"/>
            <w:tcBorders>
              <w:top w:val="nil"/>
              <w:left w:val="nil"/>
              <w:bottom w:val="nil"/>
              <w:right w:val="nil"/>
            </w:tcBorders>
            <w:shd w:val="clear" w:color="auto" w:fill="auto"/>
            <w:noWrap/>
            <w:vAlign w:val="center"/>
          </w:tcPr>
          <w:p w14:paraId="0E76CF2B"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08" w:type="pct"/>
            <w:tcBorders>
              <w:top w:val="nil"/>
              <w:left w:val="nil"/>
              <w:bottom w:val="nil"/>
              <w:right w:val="nil"/>
            </w:tcBorders>
            <w:shd w:val="clear" w:color="auto" w:fill="auto"/>
            <w:noWrap/>
            <w:vAlign w:val="center"/>
          </w:tcPr>
          <w:p w14:paraId="7EF65B3E"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80" w:type="pct"/>
            <w:tcBorders>
              <w:top w:val="nil"/>
              <w:left w:val="nil"/>
              <w:bottom w:val="nil"/>
              <w:right w:val="nil"/>
            </w:tcBorders>
            <w:shd w:val="clear" w:color="auto" w:fill="auto"/>
            <w:vAlign w:val="center"/>
          </w:tcPr>
          <w:p w14:paraId="4C174352"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92" w:type="pct"/>
            <w:tcBorders>
              <w:top w:val="nil"/>
              <w:left w:val="nil"/>
              <w:bottom w:val="nil"/>
              <w:right w:val="nil"/>
            </w:tcBorders>
            <w:shd w:val="clear" w:color="auto" w:fill="auto"/>
            <w:vAlign w:val="center"/>
          </w:tcPr>
          <w:p w14:paraId="337E8CE9"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r>
      <w:tr w:rsidR="0091312C" w:rsidRPr="00192B82" w14:paraId="13B9A242"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hideMark/>
          </w:tcPr>
          <w:p w14:paraId="529FC9B6"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394" w:type="pct"/>
            <w:tcBorders>
              <w:top w:val="nil"/>
              <w:left w:val="nil"/>
              <w:bottom w:val="nil"/>
              <w:right w:val="nil"/>
            </w:tcBorders>
            <w:shd w:val="clear" w:color="auto" w:fill="auto"/>
            <w:vAlign w:val="center"/>
            <w:hideMark/>
          </w:tcPr>
          <w:p w14:paraId="570A1C43"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393" w:type="pct"/>
            <w:tcBorders>
              <w:top w:val="nil"/>
              <w:left w:val="nil"/>
              <w:bottom w:val="nil"/>
              <w:right w:val="nil"/>
            </w:tcBorders>
            <w:shd w:val="clear" w:color="auto" w:fill="auto"/>
            <w:vAlign w:val="center"/>
            <w:hideMark/>
          </w:tcPr>
          <w:p w14:paraId="39EB2BAE"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c>
          <w:tcPr>
            <w:tcW w:w="662" w:type="pct"/>
            <w:tcBorders>
              <w:top w:val="nil"/>
              <w:left w:val="nil"/>
              <w:bottom w:val="nil"/>
              <w:right w:val="nil"/>
            </w:tcBorders>
            <w:shd w:val="clear" w:color="auto" w:fill="auto"/>
            <w:noWrap/>
            <w:vAlign w:val="center"/>
            <w:hideMark/>
          </w:tcPr>
          <w:p w14:paraId="0DF776EC"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08" w:type="pct"/>
            <w:tcBorders>
              <w:top w:val="nil"/>
              <w:left w:val="nil"/>
              <w:bottom w:val="nil"/>
              <w:right w:val="nil"/>
            </w:tcBorders>
            <w:shd w:val="clear" w:color="auto" w:fill="auto"/>
            <w:noWrap/>
            <w:vAlign w:val="center"/>
            <w:hideMark/>
          </w:tcPr>
          <w:p w14:paraId="699A04DD"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380" w:type="pct"/>
            <w:tcBorders>
              <w:top w:val="nil"/>
              <w:left w:val="nil"/>
              <w:bottom w:val="nil"/>
              <w:right w:val="nil"/>
            </w:tcBorders>
            <w:shd w:val="clear" w:color="auto" w:fill="auto"/>
            <w:vAlign w:val="center"/>
            <w:hideMark/>
          </w:tcPr>
          <w:p w14:paraId="54B976EA"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392" w:type="pct"/>
            <w:tcBorders>
              <w:top w:val="nil"/>
              <w:left w:val="nil"/>
              <w:bottom w:val="nil"/>
              <w:right w:val="nil"/>
            </w:tcBorders>
            <w:shd w:val="clear" w:color="auto" w:fill="auto"/>
            <w:vAlign w:val="center"/>
            <w:hideMark/>
          </w:tcPr>
          <w:p w14:paraId="6A13C6AC"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r>
      <w:tr w:rsidR="0091312C" w:rsidRPr="00192B82" w14:paraId="41A78D25"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hideMark/>
          </w:tcPr>
          <w:p w14:paraId="5392756C"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394" w:type="pct"/>
            <w:tcBorders>
              <w:top w:val="nil"/>
              <w:left w:val="nil"/>
              <w:bottom w:val="nil"/>
              <w:right w:val="nil"/>
            </w:tcBorders>
            <w:shd w:val="clear" w:color="auto" w:fill="auto"/>
            <w:noWrap/>
            <w:vAlign w:val="center"/>
            <w:hideMark/>
          </w:tcPr>
          <w:p w14:paraId="34AF99F6"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393" w:type="pct"/>
            <w:tcBorders>
              <w:top w:val="nil"/>
              <w:left w:val="nil"/>
              <w:bottom w:val="nil"/>
              <w:right w:val="nil"/>
            </w:tcBorders>
            <w:shd w:val="clear" w:color="auto" w:fill="auto"/>
            <w:noWrap/>
            <w:vAlign w:val="center"/>
            <w:hideMark/>
          </w:tcPr>
          <w:p w14:paraId="4FB23128"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2" w:type="pct"/>
            <w:tcBorders>
              <w:top w:val="nil"/>
              <w:left w:val="nil"/>
              <w:bottom w:val="nil"/>
              <w:right w:val="nil"/>
            </w:tcBorders>
            <w:shd w:val="clear" w:color="auto" w:fill="auto"/>
            <w:noWrap/>
            <w:vAlign w:val="center"/>
            <w:hideMark/>
          </w:tcPr>
          <w:p w14:paraId="0214AD9E"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08" w:type="pct"/>
            <w:tcBorders>
              <w:top w:val="nil"/>
              <w:left w:val="nil"/>
              <w:bottom w:val="nil"/>
              <w:right w:val="nil"/>
            </w:tcBorders>
            <w:shd w:val="clear" w:color="auto" w:fill="auto"/>
            <w:noWrap/>
            <w:vAlign w:val="center"/>
            <w:hideMark/>
          </w:tcPr>
          <w:p w14:paraId="6E5530F5"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380" w:type="pct"/>
            <w:tcBorders>
              <w:top w:val="nil"/>
              <w:left w:val="nil"/>
              <w:bottom w:val="nil"/>
              <w:right w:val="nil"/>
            </w:tcBorders>
            <w:shd w:val="clear" w:color="auto" w:fill="auto"/>
            <w:noWrap/>
            <w:vAlign w:val="center"/>
            <w:hideMark/>
          </w:tcPr>
          <w:p w14:paraId="55440770"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392" w:type="pct"/>
            <w:tcBorders>
              <w:top w:val="nil"/>
              <w:left w:val="nil"/>
              <w:bottom w:val="nil"/>
              <w:right w:val="nil"/>
            </w:tcBorders>
            <w:shd w:val="clear" w:color="auto" w:fill="auto"/>
            <w:noWrap/>
            <w:vAlign w:val="center"/>
            <w:hideMark/>
          </w:tcPr>
          <w:p w14:paraId="2DDE3BC4" w14:textId="77777777" w:rsidR="0091312C" w:rsidRPr="00192B82" w:rsidRDefault="0091312C" w:rsidP="0091312C">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r>
      <w:tr w:rsidR="0091312C" w:rsidRPr="00192B82" w14:paraId="3317E3D0"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hideMark/>
          </w:tcPr>
          <w:p w14:paraId="53DE8E18" w14:textId="77777777" w:rsidR="0091312C" w:rsidRPr="00192B82" w:rsidRDefault="0091312C" w:rsidP="0091312C">
            <w:pPr>
              <w:jc w:val="center"/>
              <w:rPr>
                <w:rFonts w:ascii="Verdana" w:eastAsia="Times New Roman" w:hAnsi="Verdana" w:cs="Calibri"/>
                <w:b/>
                <w:bCs/>
                <w:color w:val="000000"/>
                <w:sz w:val="16"/>
                <w:szCs w:val="16"/>
                <w:lang w:val="en-GB" w:eastAsia="en-GB"/>
              </w:rPr>
            </w:pPr>
          </w:p>
        </w:tc>
        <w:tc>
          <w:tcPr>
            <w:tcW w:w="394" w:type="pct"/>
            <w:tcBorders>
              <w:top w:val="nil"/>
              <w:left w:val="nil"/>
              <w:bottom w:val="nil"/>
              <w:right w:val="nil"/>
            </w:tcBorders>
            <w:shd w:val="clear" w:color="auto" w:fill="auto"/>
            <w:noWrap/>
            <w:vAlign w:val="center"/>
            <w:hideMark/>
          </w:tcPr>
          <w:p w14:paraId="1BFE1DC4" w14:textId="77777777" w:rsidR="0091312C" w:rsidRPr="00192B82" w:rsidRDefault="0091312C" w:rsidP="0091312C">
            <w:pPr>
              <w:rPr>
                <w:rFonts w:ascii="Times New Roman" w:eastAsia="Times New Roman" w:hAnsi="Times New Roman" w:cs="Times New Roman"/>
                <w:sz w:val="20"/>
                <w:szCs w:val="20"/>
                <w:lang w:val="en-GB" w:eastAsia="en-GB"/>
              </w:rPr>
            </w:pPr>
          </w:p>
        </w:tc>
        <w:tc>
          <w:tcPr>
            <w:tcW w:w="393" w:type="pct"/>
            <w:tcBorders>
              <w:top w:val="nil"/>
              <w:left w:val="nil"/>
              <w:bottom w:val="nil"/>
              <w:right w:val="nil"/>
            </w:tcBorders>
            <w:shd w:val="clear" w:color="auto" w:fill="auto"/>
            <w:noWrap/>
            <w:vAlign w:val="center"/>
            <w:hideMark/>
          </w:tcPr>
          <w:p w14:paraId="7EC8A305" w14:textId="77777777" w:rsidR="0091312C" w:rsidRPr="00192B82" w:rsidRDefault="0091312C" w:rsidP="0091312C">
            <w:pPr>
              <w:rPr>
                <w:rFonts w:ascii="Times New Roman" w:eastAsia="Times New Roman" w:hAnsi="Times New Roman" w:cs="Times New Roman"/>
                <w:sz w:val="20"/>
                <w:szCs w:val="20"/>
                <w:lang w:val="en-GB" w:eastAsia="en-GB"/>
              </w:rPr>
            </w:pPr>
          </w:p>
        </w:tc>
        <w:tc>
          <w:tcPr>
            <w:tcW w:w="662" w:type="pct"/>
            <w:tcBorders>
              <w:top w:val="nil"/>
              <w:left w:val="nil"/>
              <w:bottom w:val="nil"/>
              <w:right w:val="nil"/>
            </w:tcBorders>
            <w:shd w:val="clear" w:color="auto" w:fill="auto"/>
            <w:noWrap/>
            <w:vAlign w:val="center"/>
            <w:hideMark/>
          </w:tcPr>
          <w:p w14:paraId="7222E735" w14:textId="77777777" w:rsidR="0091312C" w:rsidRPr="00192B82" w:rsidRDefault="0091312C" w:rsidP="0091312C">
            <w:pPr>
              <w:rPr>
                <w:rFonts w:ascii="Times New Roman" w:eastAsia="Times New Roman" w:hAnsi="Times New Roman" w:cs="Times New Roman"/>
                <w:sz w:val="20"/>
                <w:szCs w:val="20"/>
                <w:lang w:val="en-GB" w:eastAsia="en-GB"/>
              </w:rPr>
            </w:pPr>
          </w:p>
        </w:tc>
        <w:tc>
          <w:tcPr>
            <w:tcW w:w="308" w:type="pct"/>
            <w:tcBorders>
              <w:top w:val="single" w:sz="4" w:space="0" w:color="auto"/>
              <w:left w:val="nil"/>
              <w:bottom w:val="nil"/>
              <w:right w:val="nil"/>
            </w:tcBorders>
            <w:shd w:val="clear" w:color="auto" w:fill="auto"/>
            <w:noWrap/>
            <w:vAlign w:val="center"/>
            <w:hideMark/>
          </w:tcPr>
          <w:p w14:paraId="400CC7C7"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80" w:type="pct"/>
            <w:tcBorders>
              <w:top w:val="single" w:sz="4" w:space="0" w:color="auto"/>
              <w:left w:val="nil"/>
              <w:bottom w:val="nil"/>
              <w:right w:val="nil"/>
            </w:tcBorders>
            <w:shd w:val="clear" w:color="auto" w:fill="auto"/>
            <w:noWrap/>
            <w:vAlign w:val="center"/>
            <w:hideMark/>
          </w:tcPr>
          <w:p w14:paraId="4558E9F2"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92" w:type="pct"/>
            <w:tcBorders>
              <w:top w:val="single" w:sz="4" w:space="0" w:color="auto"/>
              <w:left w:val="nil"/>
              <w:bottom w:val="nil"/>
              <w:right w:val="nil"/>
            </w:tcBorders>
            <w:shd w:val="clear" w:color="auto" w:fill="auto"/>
            <w:noWrap/>
            <w:vAlign w:val="center"/>
            <w:hideMark/>
          </w:tcPr>
          <w:p w14:paraId="7F13BBC8"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91312C" w:rsidRPr="00192B82" w14:paraId="22A869A0"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hideMark/>
          </w:tcPr>
          <w:p w14:paraId="368B7BA7"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394" w:type="pct"/>
            <w:tcBorders>
              <w:top w:val="nil"/>
              <w:left w:val="nil"/>
              <w:bottom w:val="nil"/>
              <w:right w:val="nil"/>
            </w:tcBorders>
            <w:shd w:val="clear" w:color="auto" w:fill="auto"/>
            <w:noWrap/>
            <w:vAlign w:val="center"/>
            <w:hideMark/>
          </w:tcPr>
          <w:p w14:paraId="20138E63"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3" w:type="pct"/>
            <w:tcBorders>
              <w:top w:val="nil"/>
              <w:left w:val="nil"/>
              <w:bottom w:val="nil"/>
              <w:right w:val="nil"/>
            </w:tcBorders>
            <w:shd w:val="clear" w:color="auto" w:fill="auto"/>
            <w:noWrap/>
            <w:vAlign w:val="center"/>
            <w:hideMark/>
          </w:tcPr>
          <w:p w14:paraId="294A21D7"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662" w:type="pct"/>
            <w:tcBorders>
              <w:top w:val="nil"/>
              <w:left w:val="nil"/>
              <w:bottom w:val="nil"/>
              <w:right w:val="nil"/>
            </w:tcBorders>
            <w:shd w:val="clear" w:color="auto" w:fill="auto"/>
            <w:noWrap/>
            <w:vAlign w:val="center"/>
            <w:hideMark/>
          </w:tcPr>
          <w:p w14:paraId="1C00FF96" w14:textId="77777777" w:rsidR="0091312C" w:rsidRPr="00192B82" w:rsidRDefault="0091312C" w:rsidP="0091312C">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Service cost comprising:</w:t>
            </w:r>
          </w:p>
        </w:tc>
        <w:tc>
          <w:tcPr>
            <w:tcW w:w="308" w:type="pct"/>
            <w:tcBorders>
              <w:top w:val="nil"/>
              <w:left w:val="nil"/>
              <w:bottom w:val="nil"/>
              <w:right w:val="nil"/>
            </w:tcBorders>
            <w:shd w:val="clear" w:color="auto" w:fill="auto"/>
            <w:noWrap/>
            <w:vAlign w:val="center"/>
            <w:hideMark/>
          </w:tcPr>
          <w:p w14:paraId="6D59E618" w14:textId="77777777" w:rsidR="0091312C" w:rsidRPr="00192B82" w:rsidRDefault="0091312C" w:rsidP="0091312C">
            <w:pPr>
              <w:ind w:firstLineChars="100" w:firstLine="160"/>
              <w:rPr>
                <w:rFonts w:ascii="Verdana" w:eastAsia="Times New Roman" w:hAnsi="Verdana" w:cs="Calibri"/>
                <w:color w:val="000000"/>
                <w:sz w:val="16"/>
                <w:szCs w:val="16"/>
                <w:lang w:val="en-GB" w:eastAsia="en-GB"/>
              </w:rPr>
            </w:pPr>
          </w:p>
        </w:tc>
        <w:tc>
          <w:tcPr>
            <w:tcW w:w="380" w:type="pct"/>
            <w:tcBorders>
              <w:top w:val="nil"/>
              <w:left w:val="nil"/>
              <w:bottom w:val="nil"/>
              <w:right w:val="nil"/>
            </w:tcBorders>
            <w:shd w:val="clear" w:color="auto" w:fill="auto"/>
            <w:noWrap/>
            <w:vAlign w:val="center"/>
            <w:hideMark/>
          </w:tcPr>
          <w:p w14:paraId="2CDD274C"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center"/>
            <w:hideMark/>
          </w:tcPr>
          <w:p w14:paraId="3B395CC3"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r>
      <w:tr w:rsidR="0091312C" w:rsidRPr="00192B82" w14:paraId="31B17AF1"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hideMark/>
          </w:tcPr>
          <w:p w14:paraId="31E8EF39"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20,410</w:t>
            </w:r>
          </w:p>
        </w:tc>
        <w:tc>
          <w:tcPr>
            <w:tcW w:w="394" w:type="pct"/>
            <w:tcBorders>
              <w:top w:val="nil"/>
              <w:left w:val="nil"/>
              <w:bottom w:val="nil"/>
              <w:right w:val="nil"/>
            </w:tcBorders>
            <w:shd w:val="clear" w:color="auto" w:fill="auto"/>
            <w:noWrap/>
            <w:vAlign w:val="center"/>
            <w:hideMark/>
          </w:tcPr>
          <w:p w14:paraId="502E3E37"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54,660</w:t>
            </w:r>
          </w:p>
        </w:tc>
        <w:tc>
          <w:tcPr>
            <w:tcW w:w="393" w:type="pct"/>
            <w:tcBorders>
              <w:top w:val="nil"/>
              <w:left w:val="nil"/>
              <w:bottom w:val="nil"/>
              <w:right w:val="nil"/>
            </w:tcBorders>
            <w:shd w:val="clear" w:color="auto" w:fill="auto"/>
            <w:noWrap/>
            <w:vAlign w:val="center"/>
            <w:hideMark/>
          </w:tcPr>
          <w:p w14:paraId="19159C06"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75,070</w:t>
            </w:r>
          </w:p>
        </w:tc>
        <w:tc>
          <w:tcPr>
            <w:tcW w:w="662" w:type="pct"/>
            <w:tcBorders>
              <w:top w:val="nil"/>
              <w:left w:val="nil"/>
              <w:bottom w:val="nil"/>
              <w:right w:val="nil"/>
            </w:tcBorders>
            <w:shd w:val="clear" w:color="auto" w:fill="auto"/>
            <w:noWrap/>
            <w:vAlign w:val="center"/>
            <w:hideMark/>
          </w:tcPr>
          <w:p w14:paraId="6D0F5610" w14:textId="77777777" w:rsidR="0091312C" w:rsidRPr="00192B82" w:rsidRDefault="0091312C" w:rsidP="0091312C">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Current service cost</w:t>
            </w:r>
          </w:p>
        </w:tc>
        <w:tc>
          <w:tcPr>
            <w:tcW w:w="308" w:type="pct"/>
            <w:tcBorders>
              <w:top w:val="nil"/>
              <w:left w:val="nil"/>
              <w:bottom w:val="nil"/>
              <w:right w:val="nil"/>
            </w:tcBorders>
            <w:shd w:val="clear" w:color="auto" w:fill="auto"/>
            <w:noWrap/>
            <w:vAlign w:val="center"/>
            <w:hideMark/>
          </w:tcPr>
          <w:p w14:paraId="00659363"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17,786</w:t>
            </w:r>
          </w:p>
        </w:tc>
        <w:tc>
          <w:tcPr>
            <w:tcW w:w="380" w:type="pct"/>
            <w:tcBorders>
              <w:top w:val="nil"/>
              <w:left w:val="nil"/>
              <w:bottom w:val="nil"/>
              <w:right w:val="nil"/>
            </w:tcBorders>
            <w:shd w:val="clear" w:color="auto" w:fill="auto"/>
            <w:noWrap/>
            <w:vAlign w:val="center"/>
            <w:hideMark/>
          </w:tcPr>
          <w:p w14:paraId="53D3DBE9"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53,250</w:t>
            </w:r>
          </w:p>
        </w:tc>
        <w:tc>
          <w:tcPr>
            <w:tcW w:w="392" w:type="pct"/>
            <w:tcBorders>
              <w:top w:val="nil"/>
              <w:left w:val="nil"/>
              <w:bottom w:val="nil"/>
              <w:right w:val="nil"/>
            </w:tcBorders>
            <w:shd w:val="clear" w:color="auto" w:fill="auto"/>
            <w:noWrap/>
            <w:vAlign w:val="center"/>
            <w:hideMark/>
          </w:tcPr>
          <w:p w14:paraId="01A8542A"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71,036</w:t>
            </w:r>
          </w:p>
        </w:tc>
      </w:tr>
      <w:tr w:rsidR="0091312C" w:rsidRPr="00192B82" w14:paraId="0CFD9C8A"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hideMark/>
          </w:tcPr>
          <w:p w14:paraId="00C6456D"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(1,054)</w:t>
            </w:r>
          </w:p>
        </w:tc>
        <w:tc>
          <w:tcPr>
            <w:tcW w:w="394" w:type="pct"/>
            <w:tcBorders>
              <w:top w:val="nil"/>
              <w:left w:val="nil"/>
              <w:bottom w:val="nil"/>
              <w:right w:val="nil"/>
            </w:tcBorders>
            <w:shd w:val="clear" w:color="auto" w:fill="auto"/>
            <w:noWrap/>
            <w:vAlign w:val="center"/>
            <w:hideMark/>
          </w:tcPr>
          <w:p w14:paraId="5162055B"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(13,950)</w:t>
            </w:r>
          </w:p>
        </w:tc>
        <w:tc>
          <w:tcPr>
            <w:tcW w:w="393" w:type="pct"/>
            <w:tcBorders>
              <w:top w:val="nil"/>
              <w:left w:val="nil"/>
              <w:bottom w:val="nil"/>
              <w:right w:val="nil"/>
            </w:tcBorders>
            <w:shd w:val="clear" w:color="auto" w:fill="auto"/>
            <w:noWrap/>
            <w:vAlign w:val="center"/>
            <w:hideMark/>
          </w:tcPr>
          <w:p w14:paraId="38745056"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(15,004)</w:t>
            </w:r>
          </w:p>
        </w:tc>
        <w:tc>
          <w:tcPr>
            <w:tcW w:w="662" w:type="pct"/>
            <w:tcBorders>
              <w:top w:val="nil"/>
              <w:left w:val="nil"/>
              <w:bottom w:val="nil"/>
              <w:right w:val="nil"/>
            </w:tcBorders>
            <w:shd w:val="clear" w:color="auto" w:fill="auto"/>
            <w:noWrap/>
            <w:vAlign w:val="center"/>
            <w:hideMark/>
          </w:tcPr>
          <w:p w14:paraId="613AB986" w14:textId="77777777" w:rsidR="0091312C" w:rsidRPr="00192B82" w:rsidRDefault="0091312C" w:rsidP="0091312C">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Past service cost</w:t>
            </w:r>
          </w:p>
        </w:tc>
        <w:tc>
          <w:tcPr>
            <w:tcW w:w="308" w:type="pct"/>
            <w:tcBorders>
              <w:top w:val="nil"/>
              <w:left w:val="nil"/>
              <w:bottom w:val="nil"/>
              <w:right w:val="nil"/>
            </w:tcBorders>
            <w:shd w:val="clear" w:color="auto" w:fill="auto"/>
            <w:noWrap/>
            <w:vAlign w:val="center"/>
            <w:hideMark/>
          </w:tcPr>
          <w:p w14:paraId="24EC320F"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380" w:type="pct"/>
            <w:tcBorders>
              <w:top w:val="nil"/>
              <w:left w:val="nil"/>
              <w:bottom w:val="nil"/>
              <w:right w:val="nil"/>
            </w:tcBorders>
            <w:shd w:val="clear" w:color="auto" w:fill="auto"/>
            <w:noWrap/>
            <w:vAlign w:val="center"/>
            <w:hideMark/>
          </w:tcPr>
          <w:p w14:paraId="14491DE7"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392" w:type="pct"/>
            <w:tcBorders>
              <w:top w:val="nil"/>
              <w:left w:val="nil"/>
              <w:bottom w:val="nil"/>
              <w:right w:val="nil"/>
            </w:tcBorders>
            <w:shd w:val="clear" w:color="auto" w:fill="auto"/>
            <w:noWrap/>
            <w:vAlign w:val="center"/>
            <w:hideMark/>
          </w:tcPr>
          <w:p w14:paraId="540CE016"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r>
      <w:tr w:rsidR="0091312C" w:rsidRPr="00192B82" w14:paraId="2A68A420" w14:textId="77777777" w:rsidTr="0091312C">
        <w:trPr>
          <w:gridAfter w:val="2"/>
          <w:wAfter w:w="2161" w:type="pct"/>
          <w:trHeight w:val="70"/>
        </w:trPr>
        <w:tc>
          <w:tcPr>
            <w:tcW w:w="309" w:type="pct"/>
            <w:tcBorders>
              <w:top w:val="nil"/>
              <w:left w:val="nil"/>
              <w:bottom w:val="nil"/>
              <w:right w:val="nil"/>
            </w:tcBorders>
            <w:shd w:val="clear" w:color="auto" w:fill="auto"/>
            <w:noWrap/>
            <w:vAlign w:val="center"/>
            <w:hideMark/>
          </w:tcPr>
          <w:p w14:paraId="786B06DD"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394" w:type="pct"/>
            <w:tcBorders>
              <w:top w:val="nil"/>
              <w:left w:val="nil"/>
              <w:bottom w:val="nil"/>
              <w:right w:val="nil"/>
            </w:tcBorders>
            <w:shd w:val="clear" w:color="auto" w:fill="auto"/>
            <w:noWrap/>
            <w:vAlign w:val="center"/>
            <w:hideMark/>
          </w:tcPr>
          <w:p w14:paraId="3CF336FC"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3" w:type="pct"/>
            <w:tcBorders>
              <w:top w:val="nil"/>
              <w:left w:val="nil"/>
              <w:bottom w:val="nil"/>
              <w:right w:val="nil"/>
            </w:tcBorders>
            <w:shd w:val="clear" w:color="auto" w:fill="auto"/>
            <w:noWrap/>
            <w:vAlign w:val="center"/>
            <w:hideMark/>
          </w:tcPr>
          <w:p w14:paraId="59912E33" w14:textId="184C5625"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662" w:type="pct"/>
            <w:tcBorders>
              <w:top w:val="nil"/>
              <w:left w:val="nil"/>
              <w:bottom w:val="nil"/>
              <w:right w:val="nil"/>
            </w:tcBorders>
            <w:shd w:val="clear" w:color="auto" w:fill="auto"/>
            <w:noWrap/>
            <w:vAlign w:val="center"/>
            <w:hideMark/>
          </w:tcPr>
          <w:p w14:paraId="31A62D66"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308" w:type="pct"/>
            <w:tcBorders>
              <w:top w:val="nil"/>
              <w:left w:val="nil"/>
              <w:bottom w:val="nil"/>
              <w:right w:val="nil"/>
            </w:tcBorders>
            <w:shd w:val="clear" w:color="auto" w:fill="auto"/>
            <w:noWrap/>
            <w:vAlign w:val="center"/>
            <w:hideMark/>
          </w:tcPr>
          <w:p w14:paraId="4F2877D9" w14:textId="77777777" w:rsidR="0091312C" w:rsidRPr="00192B82" w:rsidRDefault="0091312C" w:rsidP="0091312C">
            <w:pPr>
              <w:ind w:firstLineChars="100" w:firstLine="200"/>
              <w:rPr>
                <w:rFonts w:ascii="Times New Roman" w:eastAsia="Times New Roman" w:hAnsi="Times New Roman" w:cs="Times New Roman"/>
                <w:sz w:val="20"/>
                <w:szCs w:val="20"/>
                <w:lang w:val="en-GB" w:eastAsia="en-GB"/>
              </w:rPr>
            </w:pPr>
          </w:p>
        </w:tc>
        <w:tc>
          <w:tcPr>
            <w:tcW w:w="380" w:type="pct"/>
            <w:tcBorders>
              <w:top w:val="nil"/>
              <w:left w:val="nil"/>
              <w:bottom w:val="nil"/>
              <w:right w:val="nil"/>
            </w:tcBorders>
            <w:shd w:val="clear" w:color="auto" w:fill="auto"/>
            <w:noWrap/>
            <w:vAlign w:val="center"/>
            <w:hideMark/>
          </w:tcPr>
          <w:p w14:paraId="5E8A98D8"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center"/>
            <w:hideMark/>
          </w:tcPr>
          <w:p w14:paraId="06168E95" w14:textId="40D68502"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r>
      <w:tr w:rsidR="0091312C" w:rsidRPr="00192B82" w14:paraId="3CE69AAF" w14:textId="77777777" w:rsidTr="0091312C">
        <w:trPr>
          <w:gridAfter w:val="2"/>
          <w:wAfter w:w="2161" w:type="pct"/>
          <w:trHeight w:val="428"/>
        </w:trPr>
        <w:tc>
          <w:tcPr>
            <w:tcW w:w="309" w:type="pct"/>
            <w:tcBorders>
              <w:top w:val="nil"/>
              <w:left w:val="nil"/>
              <w:bottom w:val="nil"/>
              <w:right w:val="nil"/>
            </w:tcBorders>
            <w:shd w:val="clear" w:color="auto" w:fill="auto"/>
            <w:noWrap/>
            <w:vAlign w:val="center"/>
            <w:hideMark/>
          </w:tcPr>
          <w:p w14:paraId="0B6D29BC"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394" w:type="pct"/>
            <w:tcBorders>
              <w:top w:val="nil"/>
              <w:left w:val="nil"/>
              <w:bottom w:val="nil"/>
              <w:right w:val="nil"/>
            </w:tcBorders>
            <w:shd w:val="clear" w:color="auto" w:fill="auto"/>
            <w:noWrap/>
            <w:vAlign w:val="center"/>
            <w:hideMark/>
          </w:tcPr>
          <w:p w14:paraId="75E6B70F"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3" w:type="pct"/>
            <w:tcBorders>
              <w:top w:val="nil"/>
              <w:left w:val="nil"/>
              <w:bottom w:val="nil"/>
              <w:right w:val="nil"/>
            </w:tcBorders>
            <w:shd w:val="clear" w:color="auto" w:fill="auto"/>
            <w:noWrap/>
            <w:vAlign w:val="center"/>
            <w:hideMark/>
          </w:tcPr>
          <w:p w14:paraId="2F09A945" w14:textId="43918635"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662" w:type="pct"/>
            <w:tcBorders>
              <w:top w:val="nil"/>
              <w:left w:val="nil"/>
              <w:bottom w:val="nil"/>
              <w:right w:val="nil"/>
            </w:tcBorders>
            <w:shd w:val="clear" w:color="auto" w:fill="auto"/>
            <w:vAlign w:val="center"/>
            <w:hideMark/>
          </w:tcPr>
          <w:p w14:paraId="20AF886C" w14:textId="109D5D86" w:rsidR="0091312C" w:rsidRPr="00192B82" w:rsidRDefault="0091312C" w:rsidP="0091312C">
            <w:pPr>
              <w:ind w:left="181"/>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Financing and Investment Income and Expenditure</w:t>
            </w:r>
          </w:p>
        </w:tc>
        <w:tc>
          <w:tcPr>
            <w:tcW w:w="308" w:type="pct"/>
            <w:tcBorders>
              <w:top w:val="nil"/>
              <w:left w:val="nil"/>
              <w:bottom w:val="nil"/>
              <w:right w:val="nil"/>
            </w:tcBorders>
            <w:shd w:val="clear" w:color="auto" w:fill="auto"/>
            <w:noWrap/>
            <w:vAlign w:val="center"/>
            <w:hideMark/>
          </w:tcPr>
          <w:p w14:paraId="09114E3C" w14:textId="77777777" w:rsidR="0091312C" w:rsidRPr="00192B82" w:rsidRDefault="0091312C" w:rsidP="0091312C">
            <w:pPr>
              <w:ind w:firstLineChars="100" w:firstLine="160"/>
              <w:rPr>
                <w:rFonts w:ascii="Verdana" w:eastAsia="Times New Roman" w:hAnsi="Verdana" w:cs="Calibri"/>
                <w:color w:val="000000"/>
                <w:sz w:val="16"/>
                <w:szCs w:val="16"/>
                <w:lang w:val="en-GB" w:eastAsia="en-GB"/>
              </w:rPr>
            </w:pPr>
          </w:p>
        </w:tc>
        <w:tc>
          <w:tcPr>
            <w:tcW w:w="380" w:type="pct"/>
            <w:tcBorders>
              <w:top w:val="nil"/>
              <w:left w:val="nil"/>
              <w:bottom w:val="nil"/>
              <w:right w:val="nil"/>
            </w:tcBorders>
            <w:shd w:val="clear" w:color="auto" w:fill="auto"/>
            <w:noWrap/>
            <w:vAlign w:val="center"/>
            <w:hideMark/>
          </w:tcPr>
          <w:p w14:paraId="77F313B5"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center"/>
            <w:hideMark/>
          </w:tcPr>
          <w:p w14:paraId="434804A2" w14:textId="00B96AD5"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r>
      <w:tr w:rsidR="0091312C" w:rsidRPr="00192B82" w14:paraId="4E7AB279" w14:textId="77777777" w:rsidTr="0091312C">
        <w:trPr>
          <w:gridAfter w:val="2"/>
          <w:wAfter w:w="2161" w:type="pct"/>
          <w:trHeight w:val="70"/>
        </w:trPr>
        <w:tc>
          <w:tcPr>
            <w:tcW w:w="309" w:type="pct"/>
            <w:tcBorders>
              <w:top w:val="nil"/>
              <w:left w:val="nil"/>
              <w:bottom w:val="nil"/>
              <w:right w:val="nil"/>
            </w:tcBorders>
            <w:shd w:val="clear" w:color="auto" w:fill="auto"/>
            <w:noWrap/>
            <w:vAlign w:val="center"/>
            <w:hideMark/>
          </w:tcPr>
          <w:p w14:paraId="75C911A0"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394" w:type="pct"/>
            <w:tcBorders>
              <w:top w:val="nil"/>
              <w:left w:val="nil"/>
              <w:bottom w:val="nil"/>
              <w:right w:val="nil"/>
            </w:tcBorders>
            <w:shd w:val="clear" w:color="auto" w:fill="auto"/>
            <w:noWrap/>
            <w:vAlign w:val="center"/>
            <w:hideMark/>
          </w:tcPr>
          <w:p w14:paraId="3DB6101A"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3" w:type="pct"/>
            <w:tcBorders>
              <w:top w:val="nil"/>
              <w:left w:val="nil"/>
              <w:bottom w:val="nil"/>
              <w:right w:val="nil"/>
            </w:tcBorders>
            <w:shd w:val="clear" w:color="auto" w:fill="auto"/>
            <w:noWrap/>
            <w:vAlign w:val="center"/>
            <w:hideMark/>
          </w:tcPr>
          <w:p w14:paraId="0C947B5B"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662" w:type="pct"/>
            <w:tcBorders>
              <w:top w:val="nil"/>
              <w:left w:val="nil"/>
              <w:bottom w:val="nil"/>
              <w:right w:val="nil"/>
            </w:tcBorders>
            <w:shd w:val="clear" w:color="auto" w:fill="auto"/>
            <w:noWrap/>
            <w:vAlign w:val="center"/>
            <w:hideMark/>
          </w:tcPr>
          <w:p w14:paraId="374D1798"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08" w:type="pct"/>
            <w:tcBorders>
              <w:top w:val="nil"/>
              <w:left w:val="nil"/>
              <w:bottom w:val="nil"/>
              <w:right w:val="nil"/>
            </w:tcBorders>
            <w:shd w:val="clear" w:color="auto" w:fill="auto"/>
            <w:noWrap/>
            <w:vAlign w:val="center"/>
            <w:hideMark/>
          </w:tcPr>
          <w:p w14:paraId="238EEB47" w14:textId="77777777" w:rsidR="0091312C" w:rsidRPr="00192B82" w:rsidRDefault="0091312C" w:rsidP="0091312C">
            <w:pPr>
              <w:ind w:firstLineChars="100" w:firstLine="200"/>
              <w:rPr>
                <w:rFonts w:ascii="Times New Roman" w:eastAsia="Times New Roman" w:hAnsi="Times New Roman" w:cs="Times New Roman"/>
                <w:sz w:val="20"/>
                <w:szCs w:val="20"/>
                <w:lang w:val="en-GB" w:eastAsia="en-GB"/>
              </w:rPr>
            </w:pPr>
          </w:p>
        </w:tc>
        <w:tc>
          <w:tcPr>
            <w:tcW w:w="380" w:type="pct"/>
            <w:tcBorders>
              <w:top w:val="nil"/>
              <w:left w:val="nil"/>
              <w:bottom w:val="nil"/>
              <w:right w:val="nil"/>
            </w:tcBorders>
            <w:shd w:val="clear" w:color="auto" w:fill="auto"/>
            <w:noWrap/>
            <w:vAlign w:val="center"/>
            <w:hideMark/>
          </w:tcPr>
          <w:p w14:paraId="3CE4BA17"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center"/>
            <w:hideMark/>
          </w:tcPr>
          <w:p w14:paraId="2DC3E025"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r>
      <w:tr w:rsidR="0091312C" w:rsidRPr="00192B82" w14:paraId="4AA84773" w14:textId="77777777" w:rsidTr="0091312C">
        <w:trPr>
          <w:gridAfter w:val="2"/>
          <w:wAfter w:w="2161" w:type="pct"/>
          <w:trHeight w:val="214"/>
        </w:trPr>
        <w:tc>
          <w:tcPr>
            <w:tcW w:w="309" w:type="pct"/>
            <w:tcBorders>
              <w:top w:val="nil"/>
              <w:left w:val="nil"/>
              <w:bottom w:val="nil"/>
              <w:right w:val="nil"/>
            </w:tcBorders>
            <w:shd w:val="clear" w:color="auto" w:fill="auto"/>
            <w:noWrap/>
            <w:vAlign w:val="center"/>
            <w:hideMark/>
          </w:tcPr>
          <w:p w14:paraId="541DAD4A"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4,154</w:t>
            </w:r>
          </w:p>
        </w:tc>
        <w:tc>
          <w:tcPr>
            <w:tcW w:w="394" w:type="pct"/>
            <w:tcBorders>
              <w:top w:val="nil"/>
              <w:left w:val="nil"/>
              <w:bottom w:val="nil"/>
              <w:right w:val="nil"/>
            </w:tcBorders>
            <w:shd w:val="clear" w:color="auto" w:fill="auto"/>
            <w:noWrap/>
            <w:vAlign w:val="center"/>
            <w:hideMark/>
          </w:tcPr>
          <w:p w14:paraId="118DC7DA"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48,960</w:t>
            </w:r>
          </w:p>
        </w:tc>
        <w:tc>
          <w:tcPr>
            <w:tcW w:w="393" w:type="pct"/>
            <w:tcBorders>
              <w:top w:val="nil"/>
              <w:left w:val="nil"/>
              <w:bottom w:val="nil"/>
              <w:right w:val="nil"/>
            </w:tcBorders>
            <w:shd w:val="clear" w:color="auto" w:fill="auto"/>
            <w:noWrap/>
            <w:vAlign w:val="center"/>
            <w:hideMark/>
          </w:tcPr>
          <w:p w14:paraId="0738B31E"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53,114</w:t>
            </w:r>
          </w:p>
        </w:tc>
        <w:tc>
          <w:tcPr>
            <w:tcW w:w="662" w:type="pct"/>
            <w:tcBorders>
              <w:top w:val="nil"/>
              <w:left w:val="nil"/>
              <w:bottom w:val="nil"/>
              <w:right w:val="nil"/>
            </w:tcBorders>
            <w:shd w:val="clear" w:color="auto" w:fill="auto"/>
            <w:noWrap/>
            <w:vAlign w:val="center"/>
            <w:hideMark/>
          </w:tcPr>
          <w:p w14:paraId="253C2CDD" w14:textId="77777777" w:rsidR="0091312C" w:rsidRPr="00192B82" w:rsidRDefault="0091312C" w:rsidP="0091312C">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Net interest expense</w:t>
            </w:r>
          </w:p>
        </w:tc>
        <w:tc>
          <w:tcPr>
            <w:tcW w:w="308" w:type="pct"/>
            <w:tcBorders>
              <w:top w:val="nil"/>
              <w:left w:val="nil"/>
              <w:bottom w:val="nil"/>
              <w:right w:val="nil"/>
            </w:tcBorders>
            <w:shd w:val="clear" w:color="auto" w:fill="auto"/>
            <w:noWrap/>
            <w:vAlign w:val="center"/>
            <w:hideMark/>
          </w:tcPr>
          <w:p w14:paraId="1091DF26"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3,077</w:t>
            </w:r>
          </w:p>
        </w:tc>
        <w:tc>
          <w:tcPr>
            <w:tcW w:w="380" w:type="pct"/>
            <w:tcBorders>
              <w:top w:val="nil"/>
              <w:left w:val="nil"/>
              <w:bottom w:val="nil"/>
              <w:right w:val="nil"/>
            </w:tcBorders>
            <w:shd w:val="clear" w:color="auto" w:fill="auto"/>
            <w:noWrap/>
            <w:vAlign w:val="center"/>
            <w:hideMark/>
          </w:tcPr>
          <w:p w14:paraId="472A6582"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42,820</w:t>
            </w:r>
          </w:p>
        </w:tc>
        <w:tc>
          <w:tcPr>
            <w:tcW w:w="392" w:type="pct"/>
            <w:tcBorders>
              <w:top w:val="nil"/>
              <w:left w:val="nil"/>
              <w:bottom w:val="nil"/>
              <w:right w:val="nil"/>
            </w:tcBorders>
            <w:shd w:val="clear" w:color="auto" w:fill="auto"/>
            <w:noWrap/>
            <w:vAlign w:val="center"/>
            <w:hideMark/>
          </w:tcPr>
          <w:p w14:paraId="4085089D"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45,897</w:t>
            </w:r>
          </w:p>
        </w:tc>
      </w:tr>
      <w:tr w:rsidR="0091312C" w:rsidRPr="00192B82" w14:paraId="06588B38" w14:textId="77777777" w:rsidTr="0091312C">
        <w:trPr>
          <w:gridAfter w:val="2"/>
          <w:wAfter w:w="2161" w:type="pct"/>
          <w:trHeight w:val="70"/>
        </w:trPr>
        <w:tc>
          <w:tcPr>
            <w:tcW w:w="309" w:type="pct"/>
            <w:tcBorders>
              <w:top w:val="nil"/>
              <w:left w:val="nil"/>
              <w:bottom w:val="nil"/>
              <w:right w:val="nil"/>
            </w:tcBorders>
            <w:shd w:val="clear" w:color="auto" w:fill="auto"/>
            <w:noWrap/>
            <w:vAlign w:val="center"/>
            <w:hideMark/>
          </w:tcPr>
          <w:p w14:paraId="34C9ED81" w14:textId="77777777" w:rsidR="0091312C" w:rsidRPr="00192B82" w:rsidRDefault="0091312C" w:rsidP="0091312C">
            <w:pPr>
              <w:ind w:firstLineChars="100" w:firstLine="160"/>
              <w:jc w:val="right"/>
              <w:rPr>
                <w:rFonts w:ascii="Verdana" w:eastAsia="Times New Roman" w:hAnsi="Verdana" w:cs="Calibri"/>
                <w:color w:val="000000"/>
                <w:sz w:val="16"/>
                <w:szCs w:val="16"/>
                <w:lang w:val="en-GB" w:eastAsia="en-GB"/>
              </w:rPr>
            </w:pPr>
          </w:p>
        </w:tc>
        <w:tc>
          <w:tcPr>
            <w:tcW w:w="394" w:type="pct"/>
            <w:tcBorders>
              <w:top w:val="nil"/>
              <w:left w:val="nil"/>
              <w:bottom w:val="nil"/>
              <w:right w:val="nil"/>
            </w:tcBorders>
            <w:shd w:val="clear" w:color="auto" w:fill="auto"/>
            <w:noWrap/>
            <w:vAlign w:val="center"/>
            <w:hideMark/>
          </w:tcPr>
          <w:p w14:paraId="41A948D4"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3" w:type="pct"/>
            <w:tcBorders>
              <w:top w:val="nil"/>
              <w:left w:val="nil"/>
              <w:bottom w:val="nil"/>
              <w:right w:val="nil"/>
            </w:tcBorders>
            <w:shd w:val="clear" w:color="auto" w:fill="auto"/>
            <w:noWrap/>
            <w:vAlign w:val="center"/>
            <w:hideMark/>
          </w:tcPr>
          <w:p w14:paraId="165BB420"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662" w:type="pct"/>
            <w:tcBorders>
              <w:top w:val="nil"/>
              <w:left w:val="nil"/>
              <w:bottom w:val="nil"/>
              <w:right w:val="nil"/>
            </w:tcBorders>
            <w:shd w:val="clear" w:color="auto" w:fill="auto"/>
            <w:noWrap/>
            <w:vAlign w:val="center"/>
            <w:hideMark/>
          </w:tcPr>
          <w:p w14:paraId="5719F190"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08" w:type="pct"/>
            <w:tcBorders>
              <w:top w:val="nil"/>
              <w:left w:val="nil"/>
              <w:bottom w:val="nil"/>
              <w:right w:val="nil"/>
            </w:tcBorders>
            <w:shd w:val="clear" w:color="auto" w:fill="auto"/>
            <w:noWrap/>
            <w:vAlign w:val="center"/>
            <w:hideMark/>
          </w:tcPr>
          <w:p w14:paraId="1954F529" w14:textId="77777777" w:rsidR="0091312C" w:rsidRPr="00192B82" w:rsidRDefault="0091312C" w:rsidP="0091312C">
            <w:pPr>
              <w:ind w:firstLineChars="100" w:firstLine="200"/>
              <w:rPr>
                <w:rFonts w:ascii="Times New Roman" w:eastAsia="Times New Roman" w:hAnsi="Times New Roman" w:cs="Times New Roman"/>
                <w:sz w:val="20"/>
                <w:szCs w:val="20"/>
                <w:lang w:val="en-GB" w:eastAsia="en-GB"/>
              </w:rPr>
            </w:pPr>
          </w:p>
        </w:tc>
        <w:tc>
          <w:tcPr>
            <w:tcW w:w="380" w:type="pct"/>
            <w:tcBorders>
              <w:top w:val="nil"/>
              <w:left w:val="nil"/>
              <w:bottom w:val="nil"/>
              <w:right w:val="nil"/>
            </w:tcBorders>
            <w:shd w:val="clear" w:color="auto" w:fill="auto"/>
            <w:noWrap/>
            <w:vAlign w:val="center"/>
            <w:hideMark/>
          </w:tcPr>
          <w:p w14:paraId="6B4DE32F"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c>
          <w:tcPr>
            <w:tcW w:w="392" w:type="pct"/>
            <w:tcBorders>
              <w:top w:val="nil"/>
              <w:left w:val="nil"/>
              <w:bottom w:val="nil"/>
              <w:right w:val="nil"/>
            </w:tcBorders>
            <w:shd w:val="clear" w:color="auto" w:fill="auto"/>
            <w:noWrap/>
            <w:vAlign w:val="center"/>
            <w:hideMark/>
          </w:tcPr>
          <w:p w14:paraId="2611723E" w14:textId="77777777" w:rsidR="0091312C" w:rsidRPr="00192B82" w:rsidRDefault="0091312C" w:rsidP="0091312C">
            <w:pPr>
              <w:ind w:firstLineChars="100" w:firstLine="200"/>
              <w:jc w:val="right"/>
              <w:rPr>
                <w:rFonts w:ascii="Times New Roman" w:eastAsia="Times New Roman" w:hAnsi="Times New Roman" w:cs="Times New Roman"/>
                <w:sz w:val="20"/>
                <w:szCs w:val="20"/>
                <w:lang w:val="en-GB" w:eastAsia="en-GB"/>
              </w:rPr>
            </w:pPr>
          </w:p>
        </w:tc>
      </w:tr>
      <w:tr w:rsidR="0091312C" w:rsidRPr="00192B82" w14:paraId="65F21167" w14:textId="77777777" w:rsidTr="0091312C">
        <w:trPr>
          <w:gridAfter w:val="2"/>
          <w:wAfter w:w="2161" w:type="pct"/>
          <w:trHeight w:val="60"/>
        </w:trPr>
        <w:tc>
          <w:tcPr>
            <w:tcW w:w="309" w:type="pct"/>
            <w:tcBorders>
              <w:top w:val="single" w:sz="4" w:space="0" w:color="auto"/>
              <w:left w:val="nil"/>
              <w:bottom w:val="single" w:sz="8" w:space="0" w:color="auto"/>
              <w:right w:val="nil"/>
            </w:tcBorders>
            <w:shd w:val="clear" w:color="auto" w:fill="auto"/>
            <w:noWrap/>
            <w:vAlign w:val="center"/>
            <w:hideMark/>
          </w:tcPr>
          <w:p w14:paraId="0DE19CE4" w14:textId="77777777" w:rsidR="0091312C" w:rsidRPr="00192B82" w:rsidRDefault="0091312C" w:rsidP="0091312C">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23,510</w:t>
            </w:r>
          </w:p>
        </w:tc>
        <w:tc>
          <w:tcPr>
            <w:tcW w:w="394" w:type="pct"/>
            <w:tcBorders>
              <w:top w:val="single" w:sz="4" w:space="0" w:color="auto"/>
              <w:left w:val="nil"/>
              <w:bottom w:val="single" w:sz="8" w:space="0" w:color="auto"/>
              <w:right w:val="nil"/>
            </w:tcBorders>
            <w:shd w:val="clear" w:color="auto" w:fill="auto"/>
            <w:noWrap/>
            <w:vAlign w:val="center"/>
            <w:hideMark/>
          </w:tcPr>
          <w:p w14:paraId="234C9D7D" w14:textId="77777777" w:rsidR="0091312C" w:rsidRPr="00192B82" w:rsidRDefault="0091312C" w:rsidP="0091312C">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89,670</w:t>
            </w:r>
          </w:p>
        </w:tc>
        <w:tc>
          <w:tcPr>
            <w:tcW w:w="393" w:type="pct"/>
            <w:tcBorders>
              <w:top w:val="single" w:sz="4" w:space="0" w:color="auto"/>
              <w:left w:val="nil"/>
              <w:bottom w:val="single" w:sz="8" w:space="0" w:color="auto"/>
              <w:right w:val="nil"/>
            </w:tcBorders>
            <w:shd w:val="clear" w:color="auto" w:fill="auto"/>
            <w:noWrap/>
            <w:vAlign w:val="center"/>
            <w:hideMark/>
          </w:tcPr>
          <w:p w14:paraId="4D4282E6" w14:textId="77777777" w:rsidR="0091312C" w:rsidRPr="00192B82" w:rsidRDefault="0091312C" w:rsidP="0091312C">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113,180</w:t>
            </w:r>
          </w:p>
        </w:tc>
        <w:tc>
          <w:tcPr>
            <w:tcW w:w="662" w:type="pct"/>
            <w:tcBorders>
              <w:top w:val="single" w:sz="4" w:space="0" w:color="auto"/>
              <w:left w:val="nil"/>
              <w:bottom w:val="single" w:sz="8" w:space="0" w:color="auto"/>
              <w:right w:val="nil"/>
            </w:tcBorders>
            <w:shd w:val="clear" w:color="auto" w:fill="auto"/>
            <w:vAlign w:val="center"/>
            <w:hideMark/>
          </w:tcPr>
          <w:p w14:paraId="0BA49E21" w14:textId="77777777" w:rsidR="0091312C" w:rsidRPr="00192B82" w:rsidRDefault="0091312C" w:rsidP="0091312C">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 charged to Surplus and Deficit on Provision of Services</w:t>
            </w:r>
          </w:p>
        </w:tc>
        <w:tc>
          <w:tcPr>
            <w:tcW w:w="308" w:type="pct"/>
            <w:tcBorders>
              <w:top w:val="single" w:sz="4" w:space="0" w:color="auto"/>
              <w:left w:val="nil"/>
              <w:bottom w:val="single" w:sz="8" w:space="0" w:color="auto"/>
              <w:right w:val="nil"/>
            </w:tcBorders>
            <w:shd w:val="clear" w:color="auto" w:fill="auto"/>
            <w:noWrap/>
            <w:vAlign w:val="center"/>
            <w:hideMark/>
          </w:tcPr>
          <w:p w14:paraId="45531308" w14:textId="77777777" w:rsidR="0091312C" w:rsidRPr="00192B82" w:rsidRDefault="0091312C" w:rsidP="0091312C">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20,863</w:t>
            </w:r>
          </w:p>
        </w:tc>
        <w:tc>
          <w:tcPr>
            <w:tcW w:w="380" w:type="pct"/>
            <w:tcBorders>
              <w:top w:val="single" w:sz="4" w:space="0" w:color="auto"/>
              <w:left w:val="nil"/>
              <w:bottom w:val="single" w:sz="8" w:space="0" w:color="auto"/>
              <w:right w:val="nil"/>
            </w:tcBorders>
            <w:shd w:val="clear" w:color="auto" w:fill="auto"/>
            <w:noWrap/>
            <w:vAlign w:val="center"/>
            <w:hideMark/>
          </w:tcPr>
          <w:p w14:paraId="1F0DF8D8" w14:textId="77777777" w:rsidR="0091312C" w:rsidRPr="00192B82" w:rsidRDefault="0091312C" w:rsidP="0091312C">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96,070</w:t>
            </w:r>
          </w:p>
        </w:tc>
        <w:tc>
          <w:tcPr>
            <w:tcW w:w="392" w:type="pct"/>
            <w:tcBorders>
              <w:top w:val="single" w:sz="4" w:space="0" w:color="auto"/>
              <w:left w:val="nil"/>
              <w:bottom w:val="single" w:sz="8" w:space="0" w:color="auto"/>
              <w:right w:val="nil"/>
            </w:tcBorders>
            <w:shd w:val="clear" w:color="auto" w:fill="auto"/>
            <w:noWrap/>
            <w:vAlign w:val="center"/>
            <w:hideMark/>
          </w:tcPr>
          <w:p w14:paraId="76102F43" w14:textId="77777777" w:rsidR="0091312C" w:rsidRPr="00192B82" w:rsidRDefault="0091312C" w:rsidP="0091312C">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116,933</w:t>
            </w:r>
          </w:p>
        </w:tc>
      </w:tr>
    </w:tbl>
    <w:p w14:paraId="12928432" w14:textId="77777777" w:rsidR="00C06223" w:rsidRDefault="00C06223">
      <w:pPr>
        <w:pStyle w:val="Normal0"/>
        <w:spacing w:after="160" w:line="259" w:lineRule="auto"/>
        <w:rPr>
          <w:noProof/>
          <w:highlight w:val="yellow"/>
          <w:lang w:val="en-GB" w:eastAsia="en-GB"/>
        </w:rPr>
      </w:pPr>
    </w:p>
    <w:tbl>
      <w:tblPr>
        <w:tblW w:w="14665" w:type="dxa"/>
        <w:tblLook w:val="04A0" w:firstRow="1" w:lastRow="0" w:firstColumn="1" w:lastColumn="0" w:noHBand="0" w:noVBand="1"/>
      </w:tblPr>
      <w:tblGrid>
        <w:gridCol w:w="1703"/>
        <w:gridCol w:w="1994"/>
        <w:gridCol w:w="1967"/>
        <w:gridCol w:w="3420"/>
        <w:gridCol w:w="1696"/>
        <w:gridCol w:w="1970"/>
        <w:gridCol w:w="1915"/>
      </w:tblGrid>
      <w:tr w:rsidR="00192B82" w:rsidRPr="00192B82" w14:paraId="7193D16B" w14:textId="77777777" w:rsidTr="00514C09">
        <w:trPr>
          <w:trHeight w:val="220"/>
        </w:trPr>
        <w:tc>
          <w:tcPr>
            <w:tcW w:w="5664" w:type="dxa"/>
            <w:gridSpan w:val="3"/>
            <w:tcBorders>
              <w:top w:val="nil"/>
              <w:left w:val="nil"/>
              <w:bottom w:val="nil"/>
              <w:right w:val="nil"/>
            </w:tcBorders>
            <w:shd w:val="clear" w:color="000000" w:fill="FFFFFF"/>
            <w:noWrap/>
            <w:vAlign w:val="center"/>
            <w:hideMark/>
          </w:tcPr>
          <w:p w14:paraId="19E63B99"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Other post-employment benefits charged to the Comprehensive Income and Expenditure Statement</w:t>
            </w:r>
          </w:p>
        </w:tc>
        <w:tc>
          <w:tcPr>
            <w:tcW w:w="3420" w:type="dxa"/>
            <w:tcBorders>
              <w:top w:val="nil"/>
              <w:left w:val="nil"/>
              <w:bottom w:val="nil"/>
              <w:right w:val="nil"/>
            </w:tcBorders>
            <w:shd w:val="clear" w:color="auto" w:fill="auto"/>
            <w:noWrap/>
            <w:vAlign w:val="center"/>
            <w:hideMark/>
          </w:tcPr>
          <w:p w14:paraId="3089105C" w14:textId="77777777" w:rsidR="00192B82" w:rsidRPr="00192B82" w:rsidRDefault="00192B82" w:rsidP="00192B82">
            <w:pPr>
              <w:rPr>
                <w:rFonts w:ascii="Verdana" w:eastAsia="Times New Roman" w:hAnsi="Verdana" w:cs="Calibri"/>
                <w:b/>
                <w:bCs/>
                <w:color w:val="000000"/>
                <w:sz w:val="16"/>
                <w:szCs w:val="16"/>
                <w:lang w:val="en-GB" w:eastAsia="en-GB"/>
              </w:rPr>
            </w:pPr>
          </w:p>
        </w:tc>
        <w:tc>
          <w:tcPr>
            <w:tcW w:w="1696" w:type="dxa"/>
            <w:tcBorders>
              <w:top w:val="nil"/>
              <w:left w:val="nil"/>
              <w:bottom w:val="nil"/>
              <w:right w:val="nil"/>
            </w:tcBorders>
            <w:shd w:val="clear" w:color="000000" w:fill="FFFFFF"/>
            <w:noWrap/>
            <w:vAlign w:val="center"/>
            <w:hideMark/>
          </w:tcPr>
          <w:p w14:paraId="1545609B" w14:textId="77777777" w:rsidR="00192B82" w:rsidRPr="00192B82" w:rsidRDefault="00192B82" w:rsidP="00192B82">
            <w:pPr>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70" w:type="dxa"/>
            <w:tcBorders>
              <w:top w:val="nil"/>
              <w:left w:val="nil"/>
              <w:bottom w:val="nil"/>
              <w:right w:val="nil"/>
            </w:tcBorders>
            <w:shd w:val="clear" w:color="000000" w:fill="FFFFFF"/>
            <w:noWrap/>
            <w:vAlign w:val="center"/>
            <w:hideMark/>
          </w:tcPr>
          <w:p w14:paraId="2197E337" w14:textId="77777777" w:rsidR="00192B82" w:rsidRPr="00192B82" w:rsidRDefault="00192B82" w:rsidP="00192B82">
            <w:pPr>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15" w:type="dxa"/>
            <w:tcBorders>
              <w:top w:val="nil"/>
              <w:left w:val="nil"/>
              <w:bottom w:val="nil"/>
              <w:right w:val="nil"/>
            </w:tcBorders>
            <w:shd w:val="clear" w:color="000000" w:fill="FFFFFF"/>
            <w:noWrap/>
            <w:vAlign w:val="center"/>
            <w:hideMark/>
          </w:tcPr>
          <w:p w14:paraId="5AF484B4" w14:textId="77777777" w:rsidR="00192B82" w:rsidRPr="00192B82" w:rsidRDefault="00192B82" w:rsidP="00192B82">
            <w:pPr>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695FFBF3" w14:textId="77777777" w:rsidTr="00514C09">
        <w:trPr>
          <w:trHeight w:val="220"/>
        </w:trPr>
        <w:tc>
          <w:tcPr>
            <w:tcW w:w="1703" w:type="dxa"/>
            <w:tcBorders>
              <w:top w:val="nil"/>
              <w:left w:val="nil"/>
              <w:bottom w:val="nil"/>
              <w:right w:val="nil"/>
            </w:tcBorders>
            <w:shd w:val="clear" w:color="000000" w:fill="FFFFFF"/>
            <w:noWrap/>
            <w:vAlign w:val="center"/>
            <w:hideMark/>
          </w:tcPr>
          <w:p w14:paraId="4ED5E284"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994" w:type="dxa"/>
            <w:tcBorders>
              <w:top w:val="nil"/>
              <w:left w:val="nil"/>
              <w:bottom w:val="nil"/>
              <w:right w:val="nil"/>
            </w:tcBorders>
            <w:shd w:val="clear" w:color="000000" w:fill="FFFFFF"/>
            <w:vAlign w:val="center"/>
            <w:hideMark/>
          </w:tcPr>
          <w:p w14:paraId="7E5FCA7A"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967" w:type="dxa"/>
            <w:tcBorders>
              <w:top w:val="nil"/>
              <w:left w:val="nil"/>
              <w:bottom w:val="nil"/>
              <w:right w:val="nil"/>
            </w:tcBorders>
            <w:shd w:val="clear" w:color="000000" w:fill="FFFFFF"/>
            <w:vAlign w:val="center"/>
            <w:hideMark/>
          </w:tcPr>
          <w:p w14:paraId="3BE79312"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3420" w:type="dxa"/>
            <w:tcBorders>
              <w:top w:val="nil"/>
              <w:left w:val="nil"/>
              <w:bottom w:val="nil"/>
              <w:right w:val="nil"/>
            </w:tcBorders>
            <w:shd w:val="clear" w:color="auto" w:fill="auto"/>
            <w:noWrap/>
            <w:vAlign w:val="center"/>
            <w:hideMark/>
          </w:tcPr>
          <w:p w14:paraId="3E01F0FB" w14:textId="77777777" w:rsidR="00192B82" w:rsidRPr="00192B82" w:rsidRDefault="00192B82" w:rsidP="00192B82">
            <w:pPr>
              <w:rPr>
                <w:rFonts w:ascii="Verdana" w:eastAsia="Times New Roman" w:hAnsi="Verdana" w:cs="Calibri"/>
                <w:b/>
                <w:bCs/>
                <w:color w:val="000000"/>
                <w:sz w:val="16"/>
                <w:szCs w:val="16"/>
                <w:lang w:val="en-GB" w:eastAsia="en-GB"/>
              </w:rPr>
            </w:pPr>
          </w:p>
        </w:tc>
        <w:tc>
          <w:tcPr>
            <w:tcW w:w="1696" w:type="dxa"/>
            <w:tcBorders>
              <w:top w:val="nil"/>
              <w:left w:val="nil"/>
              <w:bottom w:val="nil"/>
              <w:right w:val="nil"/>
            </w:tcBorders>
            <w:shd w:val="clear" w:color="000000" w:fill="FFFFFF"/>
            <w:noWrap/>
            <w:vAlign w:val="center"/>
            <w:hideMark/>
          </w:tcPr>
          <w:p w14:paraId="6B86A60C" w14:textId="77777777" w:rsidR="00192B82" w:rsidRPr="00192B82" w:rsidRDefault="00192B82" w:rsidP="00192B82">
            <w:pPr>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70" w:type="dxa"/>
            <w:tcBorders>
              <w:top w:val="nil"/>
              <w:left w:val="nil"/>
              <w:bottom w:val="nil"/>
              <w:right w:val="nil"/>
            </w:tcBorders>
            <w:shd w:val="clear" w:color="000000" w:fill="FFFFFF"/>
            <w:noWrap/>
            <w:vAlign w:val="center"/>
            <w:hideMark/>
          </w:tcPr>
          <w:p w14:paraId="279D0489" w14:textId="77777777" w:rsidR="00192B82" w:rsidRPr="00192B82" w:rsidRDefault="00192B82" w:rsidP="00192B82">
            <w:pPr>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15" w:type="dxa"/>
            <w:tcBorders>
              <w:top w:val="nil"/>
              <w:left w:val="nil"/>
              <w:bottom w:val="nil"/>
              <w:right w:val="nil"/>
            </w:tcBorders>
            <w:shd w:val="clear" w:color="000000" w:fill="FFFFFF"/>
            <w:noWrap/>
            <w:vAlign w:val="center"/>
            <w:hideMark/>
          </w:tcPr>
          <w:p w14:paraId="4DC3BE15" w14:textId="77777777" w:rsidR="00192B82" w:rsidRPr="00192B82" w:rsidRDefault="00192B82" w:rsidP="00192B82">
            <w:pPr>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10AD7492" w14:textId="77777777" w:rsidTr="00514C09">
        <w:trPr>
          <w:trHeight w:val="220"/>
        </w:trPr>
        <w:tc>
          <w:tcPr>
            <w:tcW w:w="1703" w:type="dxa"/>
            <w:tcBorders>
              <w:top w:val="nil"/>
              <w:left w:val="nil"/>
              <w:bottom w:val="nil"/>
              <w:right w:val="nil"/>
            </w:tcBorders>
            <w:shd w:val="clear" w:color="000000" w:fill="FFFFFF"/>
            <w:noWrap/>
            <w:vAlign w:val="center"/>
            <w:hideMark/>
          </w:tcPr>
          <w:p w14:paraId="22518EB1"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994" w:type="dxa"/>
            <w:tcBorders>
              <w:top w:val="nil"/>
              <w:left w:val="nil"/>
              <w:bottom w:val="nil"/>
              <w:right w:val="nil"/>
            </w:tcBorders>
            <w:shd w:val="clear" w:color="000000" w:fill="FFFFFF"/>
            <w:noWrap/>
            <w:vAlign w:val="center"/>
            <w:hideMark/>
          </w:tcPr>
          <w:p w14:paraId="2DDBE7FB"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967" w:type="dxa"/>
            <w:tcBorders>
              <w:top w:val="nil"/>
              <w:left w:val="nil"/>
              <w:bottom w:val="nil"/>
              <w:right w:val="nil"/>
            </w:tcBorders>
            <w:shd w:val="clear" w:color="000000" w:fill="FFFFFF"/>
            <w:noWrap/>
            <w:vAlign w:val="center"/>
            <w:hideMark/>
          </w:tcPr>
          <w:p w14:paraId="685F4D31"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3420" w:type="dxa"/>
            <w:tcBorders>
              <w:top w:val="nil"/>
              <w:left w:val="nil"/>
              <w:bottom w:val="nil"/>
              <w:right w:val="nil"/>
            </w:tcBorders>
            <w:shd w:val="clear" w:color="000000" w:fill="FFFFFF"/>
            <w:noWrap/>
            <w:vAlign w:val="center"/>
            <w:hideMark/>
          </w:tcPr>
          <w:p w14:paraId="2B2135CE"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696" w:type="dxa"/>
            <w:tcBorders>
              <w:top w:val="nil"/>
              <w:left w:val="nil"/>
              <w:bottom w:val="nil"/>
              <w:right w:val="nil"/>
            </w:tcBorders>
            <w:shd w:val="clear" w:color="000000" w:fill="FFFFFF"/>
            <w:noWrap/>
            <w:vAlign w:val="center"/>
            <w:hideMark/>
          </w:tcPr>
          <w:p w14:paraId="3419F3FB"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970" w:type="dxa"/>
            <w:tcBorders>
              <w:top w:val="nil"/>
              <w:left w:val="nil"/>
              <w:bottom w:val="nil"/>
              <w:right w:val="nil"/>
            </w:tcBorders>
            <w:shd w:val="clear" w:color="000000" w:fill="FFFFFF"/>
            <w:noWrap/>
            <w:vAlign w:val="center"/>
            <w:hideMark/>
          </w:tcPr>
          <w:p w14:paraId="62B1BD59"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915" w:type="dxa"/>
            <w:tcBorders>
              <w:top w:val="nil"/>
              <w:left w:val="nil"/>
              <w:bottom w:val="nil"/>
              <w:right w:val="nil"/>
            </w:tcBorders>
            <w:shd w:val="clear" w:color="000000" w:fill="FFFFFF"/>
            <w:noWrap/>
            <w:vAlign w:val="center"/>
            <w:hideMark/>
          </w:tcPr>
          <w:p w14:paraId="57B9DF0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r>
      <w:tr w:rsidR="00192B82" w:rsidRPr="00192B82" w14:paraId="4BABCC3E" w14:textId="77777777" w:rsidTr="00514C09">
        <w:trPr>
          <w:trHeight w:val="662"/>
        </w:trPr>
        <w:tc>
          <w:tcPr>
            <w:tcW w:w="1703" w:type="dxa"/>
            <w:tcBorders>
              <w:top w:val="single" w:sz="4" w:space="0" w:color="auto"/>
              <w:left w:val="nil"/>
              <w:bottom w:val="nil"/>
              <w:right w:val="nil"/>
            </w:tcBorders>
            <w:shd w:val="clear" w:color="000000" w:fill="FFFFFF"/>
            <w:noWrap/>
            <w:vAlign w:val="center"/>
            <w:hideMark/>
          </w:tcPr>
          <w:p w14:paraId="695DCFE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4" w:type="dxa"/>
            <w:tcBorders>
              <w:top w:val="single" w:sz="4" w:space="0" w:color="auto"/>
              <w:left w:val="nil"/>
              <w:bottom w:val="nil"/>
              <w:right w:val="nil"/>
            </w:tcBorders>
            <w:shd w:val="clear" w:color="000000" w:fill="FFFFFF"/>
            <w:noWrap/>
            <w:vAlign w:val="center"/>
            <w:hideMark/>
          </w:tcPr>
          <w:p w14:paraId="4EFD494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67" w:type="dxa"/>
            <w:tcBorders>
              <w:top w:val="single" w:sz="4" w:space="0" w:color="auto"/>
              <w:left w:val="nil"/>
              <w:bottom w:val="nil"/>
              <w:right w:val="nil"/>
            </w:tcBorders>
            <w:shd w:val="clear" w:color="000000" w:fill="FFFFFF"/>
            <w:noWrap/>
            <w:vAlign w:val="center"/>
            <w:hideMark/>
          </w:tcPr>
          <w:p w14:paraId="65F0EE6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20" w:type="dxa"/>
            <w:tcBorders>
              <w:top w:val="single" w:sz="4" w:space="0" w:color="auto"/>
              <w:left w:val="nil"/>
              <w:bottom w:val="nil"/>
              <w:right w:val="nil"/>
            </w:tcBorders>
            <w:shd w:val="clear" w:color="000000" w:fill="FFFFFF"/>
            <w:vAlign w:val="center"/>
            <w:hideMark/>
          </w:tcPr>
          <w:p w14:paraId="66F6B570"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Re-measurement of the net defined benefit liability comprising:</w:t>
            </w:r>
          </w:p>
        </w:tc>
        <w:tc>
          <w:tcPr>
            <w:tcW w:w="1696" w:type="dxa"/>
            <w:tcBorders>
              <w:top w:val="single" w:sz="4" w:space="0" w:color="auto"/>
              <w:left w:val="nil"/>
              <w:bottom w:val="nil"/>
              <w:right w:val="nil"/>
            </w:tcBorders>
            <w:shd w:val="clear" w:color="000000" w:fill="FFFFFF"/>
            <w:noWrap/>
            <w:vAlign w:val="center"/>
            <w:hideMark/>
          </w:tcPr>
          <w:p w14:paraId="219B899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70" w:type="dxa"/>
            <w:tcBorders>
              <w:top w:val="single" w:sz="4" w:space="0" w:color="auto"/>
              <w:left w:val="nil"/>
              <w:bottom w:val="nil"/>
              <w:right w:val="nil"/>
            </w:tcBorders>
            <w:shd w:val="clear" w:color="000000" w:fill="FFFFFF"/>
            <w:noWrap/>
            <w:vAlign w:val="center"/>
            <w:hideMark/>
          </w:tcPr>
          <w:p w14:paraId="66FA420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15" w:type="dxa"/>
            <w:tcBorders>
              <w:top w:val="single" w:sz="4" w:space="0" w:color="auto"/>
              <w:left w:val="nil"/>
              <w:bottom w:val="nil"/>
              <w:right w:val="nil"/>
            </w:tcBorders>
            <w:shd w:val="clear" w:color="000000" w:fill="FFFFFF"/>
            <w:noWrap/>
            <w:vAlign w:val="center"/>
            <w:hideMark/>
          </w:tcPr>
          <w:p w14:paraId="29C37D5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479AA645" w14:textId="77777777" w:rsidTr="00514C09">
        <w:trPr>
          <w:trHeight w:val="883"/>
        </w:trPr>
        <w:tc>
          <w:tcPr>
            <w:tcW w:w="1703" w:type="dxa"/>
            <w:tcBorders>
              <w:top w:val="nil"/>
              <w:left w:val="nil"/>
              <w:bottom w:val="nil"/>
              <w:right w:val="nil"/>
            </w:tcBorders>
            <w:shd w:val="clear" w:color="000000" w:fill="FFFFFF"/>
            <w:noWrap/>
            <w:vAlign w:val="center"/>
            <w:hideMark/>
          </w:tcPr>
          <w:p w14:paraId="218D6A9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41,563</w:t>
            </w:r>
          </w:p>
        </w:tc>
        <w:tc>
          <w:tcPr>
            <w:tcW w:w="1994" w:type="dxa"/>
            <w:tcBorders>
              <w:top w:val="nil"/>
              <w:left w:val="nil"/>
              <w:bottom w:val="nil"/>
              <w:right w:val="nil"/>
            </w:tcBorders>
            <w:shd w:val="clear" w:color="000000" w:fill="FFFFFF"/>
            <w:noWrap/>
            <w:vAlign w:val="center"/>
            <w:hideMark/>
          </w:tcPr>
          <w:p w14:paraId="493E048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1967" w:type="dxa"/>
            <w:tcBorders>
              <w:top w:val="nil"/>
              <w:left w:val="nil"/>
              <w:bottom w:val="nil"/>
              <w:right w:val="nil"/>
            </w:tcBorders>
            <w:shd w:val="clear" w:color="000000" w:fill="FFFFFF"/>
            <w:noWrap/>
            <w:vAlign w:val="center"/>
            <w:hideMark/>
          </w:tcPr>
          <w:p w14:paraId="6B40B6A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41,563</w:t>
            </w:r>
          </w:p>
        </w:tc>
        <w:tc>
          <w:tcPr>
            <w:tcW w:w="3420" w:type="dxa"/>
            <w:tcBorders>
              <w:top w:val="nil"/>
              <w:left w:val="nil"/>
              <w:bottom w:val="nil"/>
              <w:right w:val="nil"/>
            </w:tcBorders>
            <w:shd w:val="clear" w:color="000000" w:fill="FFFFFF"/>
            <w:vAlign w:val="center"/>
            <w:hideMark/>
          </w:tcPr>
          <w:p w14:paraId="2CAC68C2"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Return on plan assets (excluding the amount included in the net interest expense)</w:t>
            </w:r>
          </w:p>
        </w:tc>
        <w:tc>
          <w:tcPr>
            <w:tcW w:w="1696" w:type="dxa"/>
            <w:tcBorders>
              <w:top w:val="nil"/>
              <w:left w:val="nil"/>
              <w:bottom w:val="nil"/>
              <w:right w:val="nil"/>
            </w:tcBorders>
            <w:shd w:val="clear" w:color="000000" w:fill="FFFFFF"/>
            <w:noWrap/>
            <w:vAlign w:val="center"/>
            <w:hideMark/>
          </w:tcPr>
          <w:p w14:paraId="6D3B9B9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(72,255)</w:t>
            </w:r>
          </w:p>
        </w:tc>
        <w:tc>
          <w:tcPr>
            <w:tcW w:w="1970" w:type="dxa"/>
            <w:tcBorders>
              <w:top w:val="nil"/>
              <w:left w:val="nil"/>
              <w:bottom w:val="nil"/>
              <w:right w:val="nil"/>
            </w:tcBorders>
            <w:shd w:val="clear" w:color="000000" w:fill="FFFFFF"/>
            <w:noWrap/>
            <w:vAlign w:val="center"/>
            <w:hideMark/>
          </w:tcPr>
          <w:p w14:paraId="22CCC3C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1915" w:type="dxa"/>
            <w:tcBorders>
              <w:top w:val="nil"/>
              <w:left w:val="nil"/>
              <w:bottom w:val="nil"/>
              <w:right w:val="nil"/>
            </w:tcBorders>
            <w:shd w:val="clear" w:color="000000" w:fill="FFFFFF"/>
            <w:noWrap/>
            <w:vAlign w:val="center"/>
            <w:hideMark/>
          </w:tcPr>
          <w:p w14:paraId="247F6D8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(72,255)</w:t>
            </w:r>
          </w:p>
        </w:tc>
      </w:tr>
      <w:tr w:rsidR="00192B82" w:rsidRPr="00192B82" w14:paraId="128D6146" w14:textId="77777777" w:rsidTr="00514C09">
        <w:trPr>
          <w:trHeight w:val="441"/>
        </w:trPr>
        <w:tc>
          <w:tcPr>
            <w:tcW w:w="1703" w:type="dxa"/>
            <w:tcBorders>
              <w:top w:val="nil"/>
              <w:left w:val="nil"/>
              <w:bottom w:val="nil"/>
              <w:right w:val="nil"/>
            </w:tcBorders>
            <w:shd w:val="clear" w:color="000000" w:fill="FFFFFF"/>
            <w:noWrap/>
            <w:vAlign w:val="center"/>
            <w:hideMark/>
          </w:tcPr>
          <w:p w14:paraId="6ED5380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(26,633)</w:t>
            </w:r>
          </w:p>
        </w:tc>
        <w:tc>
          <w:tcPr>
            <w:tcW w:w="1994" w:type="dxa"/>
            <w:tcBorders>
              <w:top w:val="nil"/>
              <w:left w:val="nil"/>
              <w:bottom w:val="nil"/>
              <w:right w:val="nil"/>
            </w:tcBorders>
            <w:shd w:val="clear" w:color="000000" w:fill="FFFFFF"/>
            <w:noWrap/>
            <w:vAlign w:val="center"/>
            <w:hideMark/>
          </w:tcPr>
          <w:p w14:paraId="04D2B1F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(33,160)</w:t>
            </w:r>
          </w:p>
        </w:tc>
        <w:tc>
          <w:tcPr>
            <w:tcW w:w="1967" w:type="dxa"/>
            <w:tcBorders>
              <w:top w:val="nil"/>
              <w:left w:val="nil"/>
              <w:bottom w:val="nil"/>
              <w:right w:val="nil"/>
            </w:tcBorders>
            <w:shd w:val="clear" w:color="000000" w:fill="FFFFFF"/>
            <w:noWrap/>
            <w:vAlign w:val="center"/>
            <w:hideMark/>
          </w:tcPr>
          <w:p w14:paraId="220239B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(59,793)</w:t>
            </w:r>
          </w:p>
        </w:tc>
        <w:tc>
          <w:tcPr>
            <w:tcW w:w="3420" w:type="dxa"/>
            <w:tcBorders>
              <w:top w:val="nil"/>
              <w:left w:val="nil"/>
              <w:bottom w:val="nil"/>
              <w:right w:val="nil"/>
            </w:tcBorders>
            <w:shd w:val="clear" w:color="000000" w:fill="FFFFFF"/>
            <w:vAlign w:val="center"/>
            <w:hideMark/>
          </w:tcPr>
          <w:p w14:paraId="4A6C9A96"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Actuarial gains and losses - experience</w:t>
            </w:r>
          </w:p>
        </w:tc>
        <w:tc>
          <w:tcPr>
            <w:tcW w:w="1696" w:type="dxa"/>
            <w:tcBorders>
              <w:top w:val="nil"/>
              <w:left w:val="nil"/>
              <w:bottom w:val="nil"/>
              <w:right w:val="nil"/>
            </w:tcBorders>
            <w:shd w:val="clear" w:color="000000" w:fill="FFFFFF"/>
            <w:noWrap/>
            <w:vAlign w:val="center"/>
            <w:hideMark/>
          </w:tcPr>
          <w:p w14:paraId="4373516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(4,322)</w:t>
            </w:r>
          </w:p>
        </w:tc>
        <w:tc>
          <w:tcPr>
            <w:tcW w:w="1970" w:type="dxa"/>
            <w:tcBorders>
              <w:top w:val="nil"/>
              <w:left w:val="nil"/>
              <w:bottom w:val="nil"/>
              <w:right w:val="nil"/>
            </w:tcBorders>
            <w:shd w:val="clear" w:color="000000" w:fill="FFFFFF"/>
            <w:noWrap/>
            <w:vAlign w:val="center"/>
            <w:hideMark/>
          </w:tcPr>
          <w:p w14:paraId="3A07696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(219,050)</w:t>
            </w:r>
          </w:p>
        </w:tc>
        <w:tc>
          <w:tcPr>
            <w:tcW w:w="1915" w:type="dxa"/>
            <w:tcBorders>
              <w:top w:val="nil"/>
              <w:left w:val="nil"/>
              <w:bottom w:val="nil"/>
              <w:right w:val="nil"/>
            </w:tcBorders>
            <w:shd w:val="clear" w:color="000000" w:fill="FFFFFF"/>
            <w:noWrap/>
            <w:vAlign w:val="center"/>
            <w:hideMark/>
          </w:tcPr>
          <w:p w14:paraId="4963BE6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(223,372)</w:t>
            </w:r>
          </w:p>
        </w:tc>
      </w:tr>
      <w:tr w:rsidR="00192B82" w:rsidRPr="00192B82" w14:paraId="0E2EBF69" w14:textId="77777777" w:rsidTr="00514C09">
        <w:trPr>
          <w:trHeight w:val="70"/>
        </w:trPr>
        <w:tc>
          <w:tcPr>
            <w:tcW w:w="1703" w:type="dxa"/>
            <w:tcBorders>
              <w:top w:val="nil"/>
              <w:left w:val="nil"/>
              <w:bottom w:val="nil"/>
              <w:right w:val="nil"/>
            </w:tcBorders>
            <w:shd w:val="clear" w:color="000000" w:fill="FFFFFF"/>
            <w:noWrap/>
            <w:vAlign w:val="center"/>
            <w:hideMark/>
          </w:tcPr>
          <w:p w14:paraId="54D96FB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4" w:type="dxa"/>
            <w:tcBorders>
              <w:top w:val="nil"/>
              <w:left w:val="nil"/>
              <w:bottom w:val="nil"/>
              <w:right w:val="nil"/>
            </w:tcBorders>
            <w:shd w:val="clear" w:color="000000" w:fill="FFFFFF"/>
            <w:noWrap/>
            <w:vAlign w:val="center"/>
            <w:hideMark/>
          </w:tcPr>
          <w:p w14:paraId="349F2BD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67" w:type="dxa"/>
            <w:tcBorders>
              <w:top w:val="nil"/>
              <w:left w:val="nil"/>
              <w:bottom w:val="nil"/>
              <w:right w:val="nil"/>
            </w:tcBorders>
            <w:shd w:val="clear" w:color="000000" w:fill="FFFFFF"/>
            <w:noWrap/>
            <w:vAlign w:val="center"/>
            <w:hideMark/>
          </w:tcPr>
          <w:p w14:paraId="59620D6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20" w:type="dxa"/>
            <w:tcBorders>
              <w:top w:val="nil"/>
              <w:left w:val="nil"/>
              <w:bottom w:val="nil"/>
              <w:right w:val="nil"/>
            </w:tcBorders>
            <w:shd w:val="clear" w:color="000000" w:fill="FFFFFF"/>
            <w:noWrap/>
            <w:vAlign w:val="center"/>
            <w:hideMark/>
          </w:tcPr>
          <w:p w14:paraId="21A92600"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696" w:type="dxa"/>
            <w:tcBorders>
              <w:top w:val="nil"/>
              <w:left w:val="nil"/>
              <w:bottom w:val="nil"/>
              <w:right w:val="nil"/>
            </w:tcBorders>
            <w:shd w:val="clear" w:color="000000" w:fill="FFFFFF"/>
            <w:noWrap/>
            <w:vAlign w:val="center"/>
            <w:hideMark/>
          </w:tcPr>
          <w:p w14:paraId="712391F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70" w:type="dxa"/>
            <w:tcBorders>
              <w:top w:val="nil"/>
              <w:left w:val="nil"/>
              <w:bottom w:val="nil"/>
              <w:right w:val="nil"/>
            </w:tcBorders>
            <w:shd w:val="clear" w:color="000000" w:fill="FFFFFF"/>
            <w:noWrap/>
            <w:vAlign w:val="center"/>
            <w:hideMark/>
          </w:tcPr>
          <w:p w14:paraId="7CA35A8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15" w:type="dxa"/>
            <w:tcBorders>
              <w:top w:val="nil"/>
              <w:left w:val="nil"/>
              <w:bottom w:val="nil"/>
              <w:right w:val="nil"/>
            </w:tcBorders>
            <w:shd w:val="clear" w:color="000000" w:fill="FFFFFF"/>
            <w:noWrap/>
            <w:vAlign w:val="center"/>
            <w:hideMark/>
          </w:tcPr>
          <w:p w14:paraId="21D547C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71FF4350" w14:textId="77777777" w:rsidTr="00514C09">
        <w:trPr>
          <w:trHeight w:val="70"/>
        </w:trPr>
        <w:tc>
          <w:tcPr>
            <w:tcW w:w="1703" w:type="dxa"/>
            <w:tcBorders>
              <w:top w:val="nil"/>
              <w:left w:val="nil"/>
              <w:bottom w:val="nil"/>
              <w:right w:val="nil"/>
            </w:tcBorders>
            <w:shd w:val="clear" w:color="000000" w:fill="FFFFFF"/>
            <w:noWrap/>
            <w:vAlign w:val="center"/>
            <w:hideMark/>
          </w:tcPr>
          <w:p w14:paraId="3271E22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(54,522)</w:t>
            </w:r>
          </w:p>
        </w:tc>
        <w:tc>
          <w:tcPr>
            <w:tcW w:w="1994" w:type="dxa"/>
            <w:tcBorders>
              <w:top w:val="nil"/>
              <w:left w:val="nil"/>
              <w:bottom w:val="nil"/>
              <w:right w:val="nil"/>
            </w:tcBorders>
            <w:shd w:val="clear" w:color="000000" w:fill="FFFFFF"/>
            <w:noWrap/>
            <w:vAlign w:val="center"/>
            <w:hideMark/>
          </w:tcPr>
          <w:p w14:paraId="55FCF4A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(61,100)</w:t>
            </w:r>
          </w:p>
        </w:tc>
        <w:tc>
          <w:tcPr>
            <w:tcW w:w="1967" w:type="dxa"/>
            <w:tcBorders>
              <w:top w:val="nil"/>
              <w:left w:val="nil"/>
              <w:bottom w:val="nil"/>
              <w:right w:val="nil"/>
            </w:tcBorders>
            <w:shd w:val="clear" w:color="000000" w:fill="FFFFFF"/>
            <w:noWrap/>
            <w:vAlign w:val="center"/>
            <w:hideMark/>
          </w:tcPr>
          <w:p w14:paraId="6442EE1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(115,622)</w:t>
            </w:r>
          </w:p>
        </w:tc>
        <w:tc>
          <w:tcPr>
            <w:tcW w:w="3420" w:type="dxa"/>
            <w:tcBorders>
              <w:top w:val="nil"/>
              <w:left w:val="nil"/>
              <w:bottom w:val="nil"/>
              <w:right w:val="nil"/>
            </w:tcBorders>
            <w:shd w:val="clear" w:color="000000" w:fill="FFFFFF"/>
            <w:vAlign w:val="center"/>
            <w:hideMark/>
          </w:tcPr>
          <w:p w14:paraId="76B46AAD"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Actuarial gains and losses -arising on changes in demographic assumptions</w:t>
            </w:r>
          </w:p>
        </w:tc>
        <w:tc>
          <w:tcPr>
            <w:tcW w:w="1696" w:type="dxa"/>
            <w:tcBorders>
              <w:top w:val="nil"/>
              <w:left w:val="nil"/>
              <w:bottom w:val="nil"/>
              <w:right w:val="nil"/>
            </w:tcBorders>
            <w:shd w:val="clear" w:color="000000" w:fill="FFFFFF"/>
            <w:noWrap/>
            <w:vAlign w:val="center"/>
            <w:hideMark/>
          </w:tcPr>
          <w:p w14:paraId="026D60E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7,087</w:t>
            </w:r>
          </w:p>
        </w:tc>
        <w:tc>
          <w:tcPr>
            <w:tcW w:w="1970" w:type="dxa"/>
            <w:tcBorders>
              <w:top w:val="nil"/>
              <w:left w:val="nil"/>
              <w:bottom w:val="nil"/>
              <w:right w:val="nil"/>
            </w:tcBorders>
            <w:shd w:val="clear" w:color="000000" w:fill="FFFFFF"/>
            <w:noWrap/>
            <w:vAlign w:val="center"/>
            <w:hideMark/>
          </w:tcPr>
          <w:p w14:paraId="392ACFF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1915" w:type="dxa"/>
            <w:tcBorders>
              <w:top w:val="nil"/>
              <w:left w:val="nil"/>
              <w:bottom w:val="nil"/>
              <w:right w:val="nil"/>
            </w:tcBorders>
            <w:shd w:val="clear" w:color="000000" w:fill="FFFFFF"/>
            <w:noWrap/>
            <w:vAlign w:val="center"/>
            <w:hideMark/>
          </w:tcPr>
          <w:p w14:paraId="3A79E97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7,087</w:t>
            </w:r>
          </w:p>
        </w:tc>
      </w:tr>
      <w:tr w:rsidR="00192B82" w:rsidRPr="00192B82" w14:paraId="77F1C45D" w14:textId="77777777" w:rsidTr="00514C09">
        <w:trPr>
          <w:trHeight w:val="70"/>
        </w:trPr>
        <w:tc>
          <w:tcPr>
            <w:tcW w:w="1703" w:type="dxa"/>
            <w:tcBorders>
              <w:top w:val="nil"/>
              <w:left w:val="nil"/>
              <w:bottom w:val="nil"/>
              <w:right w:val="nil"/>
            </w:tcBorders>
            <w:shd w:val="clear" w:color="000000" w:fill="FFFFFF"/>
            <w:noWrap/>
            <w:vAlign w:val="center"/>
            <w:hideMark/>
          </w:tcPr>
          <w:p w14:paraId="68C64B4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4" w:type="dxa"/>
            <w:tcBorders>
              <w:top w:val="nil"/>
              <w:left w:val="nil"/>
              <w:bottom w:val="nil"/>
              <w:right w:val="nil"/>
            </w:tcBorders>
            <w:shd w:val="clear" w:color="000000" w:fill="FFFFFF"/>
            <w:noWrap/>
            <w:vAlign w:val="center"/>
            <w:hideMark/>
          </w:tcPr>
          <w:p w14:paraId="1A4295F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67" w:type="dxa"/>
            <w:tcBorders>
              <w:top w:val="nil"/>
              <w:left w:val="nil"/>
              <w:bottom w:val="nil"/>
              <w:right w:val="nil"/>
            </w:tcBorders>
            <w:shd w:val="clear" w:color="000000" w:fill="FFFFFF"/>
            <w:noWrap/>
            <w:vAlign w:val="center"/>
            <w:hideMark/>
          </w:tcPr>
          <w:p w14:paraId="0780274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20" w:type="dxa"/>
            <w:tcBorders>
              <w:top w:val="nil"/>
              <w:left w:val="nil"/>
              <w:bottom w:val="nil"/>
              <w:right w:val="nil"/>
            </w:tcBorders>
            <w:shd w:val="clear" w:color="000000" w:fill="FFFFFF"/>
            <w:vAlign w:val="center"/>
            <w:hideMark/>
          </w:tcPr>
          <w:p w14:paraId="5A6ED27C"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696" w:type="dxa"/>
            <w:tcBorders>
              <w:top w:val="nil"/>
              <w:left w:val="nil"/>
              <w:bottom w:val="nil"/>
              <w:right w:val="nil"/>
            </w:tcBorders>
            <w:shd w:val="clear" w:color="000000" w:fill="FFFFFF"/>
            <w:noWrap/>
            <w:vAlign w:val="center"/>
            <w:hideMark/>
          </w:tcPr>
          <w:p w14:paraId="688DD22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70" w:type="dxa"/>
            <w:tcBorders>
              <w:top w:val="nil"/>
              <w:left w:val="nil"/>
              <w:bottom w:val="nil"/>
              <w:right w:val="nil"/>
            </w:tcBorders>
            <w:shd w:val="clear" w:color="000000" w:fill="FFFFFF"/>
            <w:noWrap/>
            <w:vAlign w:val="center"/>
            <w:hideMark/>
          </w:tcPr>
          <w:p w14:paraId="23C3628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15" w:type="dxa"/>
            <w:tcBorders>
              <w:top w:val="nil"/>
              <w:left w:val="nil"/>
              <w:bottom w:val="nil"/>
              <w:right w:val="nil"/>
            </w:tcBorders>
            <w:shd w:val="clear" w:color="000000" w:fill="FFFFFF"/>
            <w:noWrap/>
            <w:vAlign w:val="center"/>
            <w:hideMark/>
          </w:tcPr>
          <w:p w14:paraId="19A8B34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3972EC16" w14:textId="77777777" w:rsidTr="00514C09">
        <w:trPr>
          <w:trHeight w:val="70"/>
        </w:trPr>
        <w:tc>
          <w:tcPr>
            <w:tcW w:w="1703" w:type="dxa"/>
            <w:tcBorders>
              <w:top w:val="nil"/>
              <w:left w:val="nil"/>
              <w:bottom w:val="nil"/>
              <w:right w:val="nil"/>
            </w:tcBorders>
            <w:shd w:val="clear" w:color="000000" w:fill="FFFFFF"/>
            <w:noWrap/>
            <w:vAlign w:val="center"/>
            <w:hideMark/>
          </w:tcPr>
          <w:p w14:paraId="1107186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(11,095)</w:t>
            </w:r>
          </w:p>
        </w:tc>
        <w:tc>
          <w:tcPr>
            <w:tcW w:w="1994" w:type="dxa"/>
            <w:tcBorders>
              <w:top w:val="nil"/>
              <w:left w:val="nil"/>
              <w:bottom w:val="nil"/>
              <w:right w:val="nil"/>
            </w:tcBorders>
            <w:shd w:val="clear" w:color="000000" w:fill="FFFFFF"/>
            <w:noWrap/>
            <w:vAlign w:val="center"/>
            <w:hideMark/>
          </w:tcPr>
          <w:p w14:paraId="583EE6A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(46,900)</w:t>
            </w:r>
          </w:p>
        </w:tc>
        <w:tc>
          <w:tcPr>
            <w:tcW w:w="1967" w:type="dxa"/>
            <w:tcBorders>
              <w:top w:val="nil"/>
              <w:left w:val="nil"/>
              <w:bottom w:val="nil"/>
              <w:right w:val="nil"/>
            </w:tcBorders>
            <w:shd w:val="clear" w:color="000000" w:fill="FFFFFF"/>
            <w:noWrap/>
            <w:vAlign w:val="center"/>
            <w:hideMark/>
          </w:tcPr>
          <w:p w14:paraId="00227A7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(57,995)</w:t>
            </w:r>
          </w:p>
        </w:tc>
        <w:tc>
          <w:tcPr>
            <w:tcW w:w="3420" w:type="dxa"/>
            <w:tcBorders>
              <w:top w:val="nil"/>
              <w:left w:val="nil"/>
              <w:bottom w:val="nil"/>
              <w:right w:val="nil"/>
            </w:tcBorders>
            <w:shd w:val="clear" w:color="000000" w:fill="FFFFFF"/>
            <w:vAlign w:val="center"/>
            <w:hideMark/>
          </w:tcPr>
          <w:p w14:paraId="45C1081D"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Actuarial gains and losses -arising on changes in financial assumptions</w:t>
            </w:r>
          </w:p>
        </w:tc>
        <w:tc>
          <w:tcPr>
            <w:tcW w:w="1696" w:type="dxa"/>
            <w:tcBorders>
              <w:top w:val="nil"/>
              <w:left w:val="nil"/>
              <w:bottom w:val="nil"/>
              <w:right w:val="nil"/>
            </w:tcBorders>
            <w:shd w:val="clear" w:color="000000" w:fill="FFFFFF"/>
            <w:noWrap/>
            <w:vAlign w:val="center"/>
            <w:hideMark/>
          </w:tcPr>
          <w:p w14:paraId="1961150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146,210</w:t>
            </w:r>
          </w:p>
        </w:tc>
        <w:tc>
          <w:tcPr>
            <w:tcW w:w="1970" w:type="dxa"/>
            <w:tcBorders>
              <w:top w:val="nil"/>
              <w:left w:val="nil"/>
              <w:bottom w:val="nil"/>
              <w:right w:val="nil"/>
            </w:tcBorders>
            <w:shd w:val="clear" w:color="000000" w:fill="FFFFFF"/>
            <w:noWrap/>
            <w:vAlign w:val="center"/>
            <w:hideMark/>
          </w:tcPr>
          <w:p w14:paraId="3C719E1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222,190</w:t>
            </w:r>
          </w:p>
        </w:tc>
        <w:tc>
          <w:tcPr>
            <w:tcW w:w="1915" w:type="dxa"/>
            <w:tcBorders>
              <w:top w:val="nil"/>
              <w:left w:val="nil"/>
              <w:bottom w:val="nil"/>
              <w:right w:val="nil"/>
            </w:tcBorders>
            <w:shd w:val="clear" w:color="000000" w:fill="FFFFFF"/>
            <w:noWrap/>
            <w:vAlign w:val="center"/>
            <w:hideMark/>
          </w:tcPr>
          <w:p w14:paraId="6DCBAB2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368,400</w:t>
            </w:r>
          </w:p>
        </w:tc>
      </w:tr>
      <w:tr w:rsidR="00192B82" w:rsidRPr="00192B82" w14:paraId="42F84DB1" w14:textId="77777777" w:rsidTr="00514C09">
        <w:trPr>
          <w:trHeight w:val="70"/>
        </w:trPr>
        <w:tc>
          <w:tcPr>
            <w:tcW w:w="1703" w:type="dxa"/>
            <w:tcBorders>
              <w:top w:val="nil"/>
              <w:left w:val="nil"/>
              <w:bottom w:val="nil"/>
              <w:right w:val="nil"/>
            </w:tcBorders>
            <w:shd w:val="clear" w:color="000000" w:fill="FFFFFF"/>
            <w:noWrap/>
            <w:vAlign w:val="center"/>
            <w:hideMark/>
          </w:tcPr>
          <w:p w14:paraId="08D7E2E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4" w:type="dxa"/>
            <w:tcBorders>
              <w:top w:val="nil"/>
              <w:left w:val="nil"/>
              <w:bottom w:val="nil"/>
              <w:right w:val="nil"/>
            </w:tcBorders>
            <w:shd w:val="clear" w:color="000000" w:fill="FFFFFF"/>
            <w:noWrap/>
            <w:vAlign w:val="center"/>
            <w:hideMark/>
          </w:tcPr>
          <w:p w14:paraId="5D27B83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67" w:type="dxa"/>
            <w:tcBorders>
              <w:top w:val="nil"/>
              <w:left w:val="nil"/>
              <w:bottom w:val="nil"/>
              <w:right w:val="nil"/>
            </w:tcBorders>
            <w:shd w:val="clear" w:color="000000" w:fill="FFFFFF"/>
            <w:noWrap/>
            <w:vAlign w:val="center"/>
            <w:hideMark/>
          </w:tcPr>
          <w:p w14:paraId="57D3E89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20" w:type="dxa"/>
            <w:tcBorders>
              <w:top w:val="nil"/>
              <w:left w:val="nil"/>
              <w:bottom w:val="nil"/>
              <w:right w:val="nil"/>
            </w:tcBorders>
            <w:shd w:val="clear" w:color="000000" w:fill="FFFFFF"/>
            <w:noWrap/>
            <w:vAlign w:val="center"/>
            <w:hideMark/>
          </w:tcPr>
          <w:p w14:paraId="778E6F99"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696" w:type="dxa"/>
            <w:tcBorders>
              <w:top w:val="nil"/>
              <w:left w:val="nil"/>
              <w:bottom w:val="nil"/>
              <w:right w:val="nil"/>
            </w:tcBorders>
            <w:shd w:val="clear" w:color="000000" w:fill="FFFFFF"/>
            <w:noWrap/>
            <w:vAlign w:val="center"/>
            <w:hideMark/>
          </w:tcPr>
          <w:p w14:paraId="2E5C27C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70" w:type="dxa"/>
            <w:tcBorders>
              <w:top w:val="nil"/>
              <w:left w:val="nil"/>
              <w:bottom w:val="nil"/>
              <w:right w:val="nil"/>
            </w:tcBorders>
            <w:shd w:val="clear" w:color="000000" w:fill="FFFFFF"/>
            <w:noWrap/>
            <w:vAlign w:val="center"/>
            <w:hideMark/>
          </w:tcPr>
          <w:p w14:paraId="206E1BF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15" w:type="dxa"/>
            <w:tcBorders>
              <w:top w:val="nil"/>
              <w:left w:val="nil"/>
              <w:bottom w:val="nil"/>
              <w:right w:val="nil"/>
            </w:tcBorders>
            <w:shd w:val="clear" w:color="000000" w:fill="FFFFFF"/>
            <w:noWrap/>
            <w:vAlign w:val="center"/>
            <w:hideMark/>
          </w:tcPr>
          <w:p w14:paraId="3B33881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67744C70" w14:textId="77777777" w:rsidTr="00514C09">
        <w:trPr>
          <w:trHeight w:val="60"/>
        </w:trPr>
        <w:tc>
          <w:tcPr>
            <w:tcW w:w="1703" w:type="dxa"/>
            <w:tcBorders>
              <w:top w:val="single" w:sz="4" w:space="0" w:color="auto"/>
              <w:left w:val="nil"/>
              <w:bottom w:val="single" w:sz="8" w:space="0" w:color="auto"/>
              <w:right w:val="nil"/>
            </w:tcBorders>
            <w:shd w:val="clear" w:color="000000" w:fill="FFFFFF"/>
            <w:noWrap/>
            <w:vAlign w:val="center"/>
            <w:hideMark/>
          </w:tcPr>
          <w:p w14:paraId="4AC964C1"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(50,687)</w:t>
            </w:r>
          </w:p>
        </w:tc>
        <w:tc>
          <w:tcPr>
            <w:tcW w:w="1994" w:type="dxa"/>
            <w:tcBorders>
              <w:top w:val="single" w:sz="4" w:space="0" w:color="auto"/>
              <w:left w:val="nil"/>
              <w:bottom w:val="single" w:sz="8" w:space="0" w:color="auto"/>
              <w:right w:val="nil"/>
            </w:tcBorders>
            <w:shd w:val="clear" w:color="000000" w:fill="FFFFFF"/>
            <w:noWrap/>
            <w:vAlign w:val="center"/>
            <w:hideMark/>
          </w:tcPr>
          <w:p w14:paraId="2B2B17B5"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(141,160)</w:t>
            </w:r>
          </w:p>
        </w:tc>
        <w:tc>
          <w:tcPr>
            <w:tcW w:w="1967" w:type="dxa"/>
            <w:tcBorders>
              <w:top w:val="single" w:sz="4" w:space="0" w:color="auto"/>
              <w:left w:val="nil"/>
              <w:bottom w:val="single" w:sz="8" w:space="0" w:color="auto"/>
              <w:right w:val="nil"/>
            </w:tcBorders>
            <w:shd w:val="clear" w:color="000000" w:fill="FFFFFF"/>
            <w:noWrap/>
            <w:vAlign w:val="center"/>
            <w:hideMark/>
          </w:tcPr>
          <w:p w14:paraId="2F393B32"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(191,847)</w:t>
            </w:r>
          </w:p>
        </w:tc>
        <w:tc>
          <w:tcPr>
            <w:tcW w:w="3420" w:type="dxa"/>
            <w:tcBorders>
              <w:top w:val="single" w:sz="4" w:space="0" w:color="auto"/>
              <w:left w:val="nil"/>
              <w:bottom w:val="single" w:sz="8" w:space="0" w:color="auto"/>
              <w:right w:val="nil"/>
            </w:tcBorders>
            <w:shd w:val="clear" w:color="000000" w:fill="FFFFFF"/>
            <w:vAlign w:val="center"/>
            <w:hideMark/>
          </w:tcPr>
          <w:p w14:paraId="41A0A8BB"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 charged to Surplus and Deficit on Provision of Services</w:t>
            </w:r>
          </w:p>
        </w:tc>
        <w:tc>
          <w:tcPr>
            <w:tcW w:w="1696" w:type="dxa"/>
            <w:tcBorders>
              <w:top w:val="single" w:sz="4" w:space="0" w:color="auto"/>
              <w:left w:val="nil"/>
              <w:bottom w:val="single" w:sz="8" w:space="0" w:color="auto"/>
              <w:right w:val="nil"/>
            </w:tcBorders>
            <w:shd w:val="clear" w:color="000000" w:fill="FFFFFF"/>
            <w:noWrap/>
            <w:vAlign w:val="center"/>
            <w:hideMark/>
          </w:tcPr>
          <w:p w14:paraId="4B75F748"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76,720</w:t>
            </w:r>
          </w:p>
        </w:tc>
        <w:tc>
          <w:tcPr>
            <w:tcW w:w="1970" w:type="dxa"/>
            <w:tcBorders>
              <w:top w:val="single" w:sz="4" w:space="0" w:color="auto"/>
              <w:left w:val="nil"/>
              <w:bottom w:val="single" w:sz="8" w:space="0" w:color="auto"/>
              <w:right w:val="nil"/>
            </w:tcBorders>
            <w:shd w:val="clear" w:color="000000" w:fill="FFFFFF"/>
            <w:noWrap/>
            <w:vAlign w:val="center"/>
            <w:hideMark/>
          </w:tcPr>
          <w:p w14:paraId="079C6DD6"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3,140</w:t>
            </w:r>
          </w:p>
        </w:tc>
        <w:tc>
          <w:tcPr>
            <w:tcW w:w="1915" w:type="dxa"/>
            <w:tcBorders>
              <w:top w:val="single" w:sz="4" w:space="0" w:color="auto"/>
              <w:left w:val="nil"/>
              <w:bottom w:val="single" w:sz="8" w:space="0" w:color="auto"/>
              <w:right w:val="nil"/>
            </w:tcBorders>
            <w:shd w:val="clear" w:color="000000" w:fill="FFFFFF"/>
            <w:noWrap/>
            <w:vAlign w:val="center"/>
            <w:hideMark/>
          </w:tcPr>
          <w:p w14:paraId="172E54B4"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79,860</w:t>
            </w:r>
          </w:p>
        </w:tc>
      </w:tr>
      <w:tr w:rsidR="00192B82" w:rsidRPr="00192B82" w14:paraId="3477688D" w14:textId="77777777" w:rsidTr="00514C09">
        <w:trPr>
          <w:trHeight w:val="50"/>
        </w:trPr>
        <w:tc>
          <w:tcPr>
            <w:tcW w:w="1703" w:type="dxa"/>
            <w:tcBorders>
              <w:top w:val="nil"/>
              <w:left w:val="nil"/>
              <w:bottom w:val="nil"/>
              <w:right w:val="nil"/>
            </w:tcBorders>
            <w:shd w:val="clear" w:color="000000" w:fill="FFFFFF"/>
            <w:noWrap/>
            <w:vAlign w:val="bottom"/>
            <w:hideMark/>
          </w:tcPr>
          <w:p w14:paraId="73A556BA" w14:textId="77777777" w:rsidR="00192B82" w:rsidRPr="00514C09" w:rsidRDefault="00192B82" w:rsidP="00192B82">
            <w:pPr>
              <w:rPr>
                <w:rFonts w:ascii="Calibri" w:eastAsia="Times New Roman" w:hAnsi="Calibri" w:cs="Calibri"/>
                <w:color w:val="000000"/>
                <w:sz w:val="4"/>
                <w:szCs w:val="4"/>
                <w:lang w:val="en-GB" w:eastAsia="en-GB"/>
              </w:rPr>
            </w:pPr>
            <w:r w:rsidRPr="00514C09">
              <w:rPr>
                <w:rFonts w:ascii="Calibri" w:eastAsia="Times New Roman" w:hAnsi="Calibri" w:cs="Calibri"/>
                <w:color w:val="000000"/>
                <w:sz w:val="4"/>
                <w:szCs w:val="4"/>
                <w:lang w:val="en-GB" w:eastAsia="en-GB"/>
              </w:rPr>
              <w:t> </w:t>
            </w:r>
          </w:p>
        </w:tc>
        <w:tc>
          <w:tcPr>
            <w:tcW w:w="1994" w:type="dxa"/>
            <w:tcBorders>
              <w:top w:val="nil"/>
              <w:left w:val="nil"/>
              <w:bottom w:val="nil"/>
              <w:right w:val="nil"/>
            </w:tcBorders>
            <w:shd w:val="clear" w:color="000000" w:fill="FFFFFF"/>
            <w:noWrap/>
            <w:vAlign w:val="bottom"/>
            <w:hideMark/>
          </w:tcPr>
          <w:p w14:paraId="28FD08F2" w14:textId="77777777" w:rsidR="00192B82" w:rsidRPr="00514C09" w:rsidRDefault="00192B82" w:rsidP="00192B82">
            <w:pPr>
              <w:rPr>
                <w:rFonts w:ascii="Calibri" w:eastAsia="Times New Roman" w:hAnsi="Calibri" w:cs="Calibri"/>
                <w:color w:val="000000"/>
                <w:sz w:val="4"/>
                <w:szCs w:val="4"/>
                <w:lang w:val="en-GB" w:eastAsia="en-GB"/>
              </w:rPr>
            </w:pPr>
            <w:r w:rsidRPr="00514C09">
              <w:rPr>
                <w:rFonts w:ascii="Calibri" w:eastAsia="Times New Roman" w:hAnsi="Calibri" w:cs="Calibri"/>
                <w:color w:val="000000"/>
                <w:sz w:val="4"/>
                <w:szCs w:val="4"/>
                <w:lang w:val="en-GB" w:eastAsia="en-GB"/>
              </w:rPr>
              <w:t> </w:t>
            </w:r>
          </w:p>
        </w:tc>
        <w:tc>
          <w:tcPr>
            <w:tcW w:w="1967" w:type="dxa"/>
            <w:tcBorders>
              <w:top w:val="nil"/>
              <w:left w:val="nil"/>
              <w:bottom w:val="nil"/>
              <w:right w:val="nil"/>
            </w:tcBorders>
            <w:shd w:val="clear" w:color="000000" w:fill="FFFFFF"/>
            <w:noWrap/>
            <w:vAlign w:val="bottom"/>
            <w:hideMark/>
          </w:tcPr>
          <w:p w14:paraId="0E4CEAA2" w14:textId="77777777" w:rsidR="00192B82" w:rsidRPr="00514C09" w:rsidRDefault="00192B82" w:rsidP="00192B82">
            <w:pPr>
              <w:rPr>
                <w:rFonts w:ascii="Calibri" w:eastAsia="Times New Roman" w:hAnsi="Calibri" w:cs="Calibri"/>
                <w:color w:val="000000"/>
                <w:sz w:val="4"/>
                <w:szCs w:val="4"/>
                <w:lang w:val="en-GB" w:eastAsia="en-GB"/>
              </w:rPr>
            </w:pPr>
            <w:r w:rsidRPr="00514C09">
              <w:rPr>
                <w:rFonts w:ascii="Calibri" w:eastAsia="Times New Roman" w:hAnsi="Calibri" w:cs="Calibri"/>
                <w:color w:val="000000"/>
                <w:sz w:val="4"/>
                <w:szCs w:val="4"/>
                <w:lang w:val="en-GB" w:eastAsia="en-GB"/>
              </w:rPr>
              <w:t> </w:t>
            </w:r>
          </w:p>
        </w:tc>
        <w:tc>
          <w:tcPr>
            <w:tcW w:w="3420" w:type="dxa"/>
            <w:tcBorders>
              <w:top w:val="nil"/>
              <w:left w:val="nil"/>
              <w:bottom w:val="nil"/>
              <w:right w:val="nil"/>
            </w:tcBorders>
            <w:shd w:val="clear" w:color="000000" w:fill="FFFFFF"/>
            <w:noWrap/>
            <w:vAlign w:val="bottom"/>
            <w:hideMark/>
          </w:tcPr>
          <w:p w14:paraId="37D1FD9A" w14:textId="77777777" w:rsidR="00192B82" w:rsidRPr="00514C09" w:rsidRDefault="00192B82" w:rsidP="00192B82">
            <w:pPr>
              <w:rPr>
                <w:rFonts w:ascii="Calibri" w:eastAsia="Times New Roman" w:hAnsi="Calibri" w:cs="Calibri"/>
                <w:color w:val="000000"/>
                <w:sz w:val="4"/>
                <w:szCs w:val="4"/>
                <w:lang w:val="en-GB" w:eastAsia="en-GB"/>
              </w:rPr>
            </w:pPr>
            <w:r w:rsidRPr="00514C09">
              <w:rPr>
                <w:rFonts w:ascii="Calibri" w:eastAsia="Times New Roman" w:hAnsi="Calibri" w:cs="Calibri"/>
                <w:color w:val="000000"/>
                <w:sz w:val="4"/>
                <w:szCs w:val="4"/>
                <w:lang w:val="en-GB" w:eastAsia="en-GB"/>
              </w:rPr>
              <w:t> </w:t>
            </w:r>
          </w:p>
        </w:tc>
        <w:tc>
          <w:tcPr>
            <w:tcW w:w="1696" w:type="dxa"/>
            <w:tcBorders>
              <w:top w:val="nil"/>
              <w:left w:val="nil"/>
              <w:bottom w:val="nil"/>
              <w:right w:val="nil"/>
            </w:tcBorders>
            <w:shd w:val="clear" w:color="000000" w:fill="FFFFFF"/>
            <w:noWrap/>
            <w:vAlign w:val="bottom"/>
            <w:hideMark/>
          </w:tcPr>
          <w:p w14:paraId="0DFAD1FE" w14:textId="77777777" w:rsidR="00192B82" w:rsidRPr="00514C09" w:rsidRDefault="00192B82" w:rsidP="00192B82">
            <w:pPr>
              <w:rPr>
                <w:rFonts w:ascii="Calibri" w:eastAsia="Times New Roman" w:hAnsi="Calibri" w:cs="Calibri"/>
                <w:color w:val="000000"/>
                <w:sz w:val="4"/>
                <w:szCs w:val="4"/>
                <w:lang w:val="en-GB" w:eastAsia="en-GB"/>
              </w:rPr>
            </w:pPr>
            <w:r w:rsidRPr="00514C09">
              <w:rPr>
                <w:rFonts w:ascii="Calibri" w:eastAsia="Times New Roman" w:hAnsi="Calibri" w:cs="Calibri"/>
                <w:color w:val="000000"/>
                <w:sz w:val="4"/>
                <w:szCs w:val="4"/>
                <w:lang w:val="en-GB" w:eastAsia="en-GB"/>
              </w:rPr>
              <w:t> </w:t>
            </w:r>
          </w:p>
        </w:tc>
        <w:tc>
          <w:tcPr>
            <w:tcW w:w="1970" w:type="dxa"/>
            <w:tcBorders>
              <w:top w:val="nil"/>
              <w:left w:val="nil"/>
              <w:bottom w:val="nil"/>
              <w:right w:val="nil"/>
            </w:tcBorders>
            <w:shd w:val="clear" w:color="000000" w:fill="FFFFFF"/>
            <w:noWrap/>
            <w:vAlign w:val="bottom"/>
            <w:hideMark/>
          </w:tcPr>
          <w:p w14:paraId="6A56B6F7" w14:textId="77777777" w:rsidR="00192B82" w:rsidRPr="00514C09" w:rsidRDefault="00192B82" w:rsidP="00192B82">
            <w:pPr>
              <w:rPr>
                <w:rFonts w:ascii="Calibri" w:eastAsia="Times New Roman" w:hAnsi="Calibri" w:cs="Calibri"/>
                <w:color w:val="000000"/>
                <w:sz w:val="4"/>
                <w:szCs w:val="4"/>
                <w:lang w:val="en-GB" w:eastAsia="en-GB"/>
              </w:rPr>
            </w:pPr>
            <w:r w:rsidRPr="00514C09">
              <w:rPr>
                <w:rFonts w:ascii="Calibri" w:eastAsia="Times New Roman" w:hAnsi="Calibri" w:cs="Calibri"/>
                <w:color w:val="000000"/>
                <w:sz w:val="4"/>
                <w:szCs w:val="4"/>
                <w:lang w:val="en-GB" w:eastAsia="en-GB"/>
              </w:rPr>
              <w:t> </w:t>
            </w:r>
          </w:p>
        </w:tc>
        <w:tc>
          <w:tcPr>
            <w:tcW w:w="1915" w:type="dxa"/>
            <w:tcBorders>
              <w:top w:val="nil"/>
              <w:left w:val="nil"/>
              <w:bottom w:val="nil"/>
              <w:right w:val="nil"/>
            </w:tcBorders>
            <w:shd w:val="clear" w:color="000000" w:fill="FFFFFF"/>
            <w:noWrap/>
            <w:vAlign w:val="bottom"/>
            <w:hideMark/>
          </w:tcPr>
          <w:p w14:paraId="1BB61CB1" w14:textId="77777777" w:rsidR="00192B82" w:rsidRPr="00514C09" w:rsidRDefault="00192B82" w:rsidP="00192B82">
            <w:pPr>
              <w:rPr>
                <w:rFonts w:ascii="Calibri" w:eastAsia="Times New Roman" w:hAnsi="Calibri" w:cs="Calibri"/>
                <w:color w:val="000000"/>
                <w:sz w:val="4"/>
                <w:szCs w:val="4"/>
                <w:lang w:val="en-GB" w:eastAsia="en-GB"/>
              </w:rPr>
            </w:pPr>
            <w:r w:rsidRPr="00514C09">
              <w:rPr>
                <w:rFonts w:ascii="Calibri" w:eastAsia="Times New Roman" w:hAnsi="Calibri" w:cs="Calibri"/>
                <w:color w:val="000000"/>
                <w:sz w:val="4"/>
                <w:szCs w:val="4"/>
                <w:lang w:val="en-GB" w:eastAsia="en-GB"/>
              </w:rPr>
              <w:t> </w:t>
            </w:r>
          </w:p>
        </w:tc>
      </w:tr>
      <w:tr w:rsidR="00192B82" w:rsidRPr="00192B82" w14:paraId="323EBC9E" w14:textId="77777777" w:rsidTr="00514C09">
        <w:trPr>
          <w:trHeight w:val="60"/>
        </w:trPr>
        <w:tc>
          <w:tcPr>
            <w:tcW w:w="1703" w:type="dxa"/>
            <w:tcBorders>
              <w:top w:val="single" w:sz="4" w:space="0" w:color="auto"/>
              <w:left w:val="nil"/>
              <w:bottom w:val="single" w:sz="8" w:space="0" w:color="auto"/>
              <w:right w:val="nil"/>
            </w:tcBorders>
            <w:shd w:val="clear" w:color="000000" w:fill="FFFFFF"/>
            <w:noWrap/>
            <w:vAlign w:val="center"/>
            <w:hideMark/>
          </w:tcPr>
          <w:p w14:paraId="63F2B02E"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(27,177)</w:t>
            </w:r>
          </w:p>
        </w:tc>
        <w:tc>
          <w:tcPr>
            <w:tcW w:w="1994" w:type="dxa"/>
            <w:tcBorders>
              <w:top w:val="single" w:sz="4" w:space="0" w:color="auto"/>
              <w:left w:val="nil"/>
              <w:bottom w:val="single" w:sz="8" w:space="0" w:color="auto"/>
              <w:right w:val="nil"/>
            </w:tcBorders>
            <w:shd w:val="clear" w:color="000000" w:fill="FFFFFF"/>
            <w:noWrap/>
            <w:vAlign w:val="center"/>
            <w:hideMark/>
          </w:tcPr>
          <w:p w14:paraId="705DAF12"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(51,490)</w:t>
            </w:r>
          </w:p>
        </w:tc>
        <w:tc>
          <w:tcPr>
            <w:tcW w:w="1967" w:type="dxa"/>
            <w:tcBorders>
              <w:top w:val="single" w:sz="4" w:space="0" w:color="auto"/>
              <w:left w:val="nil"/>
              <w:bottom w:val="single" w:sz="8" w:space="0" w:color="auto"/>
              <w:right w:val="nil"/>
            </w:tcBorders>
            <w:shd w:val="clear" w:color="000000" w:fill="FFFFFF"/>
            <w:noWrap/>
            <w:vAlign w:val="center"/>
            <w:hideMark/>
          </w:tcPr>
          <w:p w14:paraId="551247FD"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(78,667)</w:t>
            </w:r>
          </w:p>
        </w:tc>
        <w:tc>
          <w:tcPr>
            <w:tcW w:w="3420" w:type="dxa"/>
            <w:tcBorders>
              <w:top w:val="single" w:sz="4" w:space="0" w:color="auto"/>
              <w:left w:val="nil"/>
              <w:bottom w:val="single" w:sz="8" w:space="0" w:color="auto"/>
              <w:right w:val="nil"/>
            </w:tcBorders>
            <w:shd w:val="clear" w:color="000000" w:fill="FFFFFF"/>
            <w:vAlign w:val="center"/>
            <w:hideMark/>
          </w:tcPr>
          <w:p w14:paraId="396097E4" w14:textId="38FC3C61" w:rsidR="00192B82" w:rsidRPr="00192B82" w:rsidRDefault="00192B82" w:rsidP="00514C09">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Total charged to the </w:t>
            </w:r>
            <w:r w:rsidR="00514C09">
              <w:rPr>
                <w:rFonts w:ascii="Verdana" w:eastAsia="Times New Roman" w:hAnsi="Verdana" w:cs="Calibri"/>
                <w:b/>
                <w:bCs/>
                <w:color w:val="000000"/>
                <w:sz w:val="16"/>
                <w:szCs w:val="16"/>
                <w:lang w:val="en-GB" w:eastAsia="en-GB"/>
              </w:rPr>
              <w:t>CIES</w:t>
            </w:r>
          </w:p>
        </w:tc>
        <w:tc>
          <w:tcPr>
            <w:tcW w:w="1696" w:type="dxa"/>
            <w:tcBorders>
              <w:top w:val="single" w:sz="4" w:space="0" w:color="auto"/>
              <w:left w:val="nil"/>
              <w:bottom w:val="single" w:sz="8" w:space="0" w:color="auto"/>
              <w:right w:val="nil"/>
            </w:tcBorders>
            <w:shd w:val="clear" w:color="000000" w:fill="FFFFFF"/>
            <w:noWrap/>
            <w:vAlign w:val="center"/>
            <w:hideMark/>
          </w:tcPr>
          <w:p w14:paraId="49AFDDA5"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97,583</w:t>
            </w:r>
          </w:p>
        </w:tc>
        <w:tc>
          <w:tcPr>
            <w:tcW w:w="1970" w:type="dxa"/>
            <w:tcBorders>
              <w:top w:val="single" w:sz="4" w:space="0" w:color="auto"/>
              <w:left w:val="nil"/>
              <w:bottom w:val="single" w:sz="8" w:space="0" w:color="auto"/>
              <w:right w:val="nil"/>
            </w:tcBorders>
            <w:shd w:val="clear" w:color="000000" w:fill="FFFFFF"/>
            <w:noWrap/>
            <w:vAlign w:val="center"/>
            <w:hideMark/>
          </w:tcPr>
          <w:p w14:paraId="7AD6D848"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99,210</w:t>
            </w:r>
          </w:p>
        </w:tc>
        <w:tc>
          <w:tcPr>
            <w:tcW w:w="1915" w:type="dxa"/>
            <w:tcBorders>
              <w:top w:val="single" w:sz="4" w:space="0" w:color="auto"/>
              <w:left w:val="nil"/>
              <w:bottom w:val="single" w:sz="8" w:space="0" w:color="auto"/>
              <w:right w:val="nil"/>
            </w:tcBorders>
            <w:shd w:val="clear" w:color="000000" w:fill="FFFFFF"/>
            <w:noWrap/>
            <w:vAlign w:val="center"/>
            <w:hideMark/>
          </w:tcPr>
          <w:p w14:paraId="1F343E17"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196,793</w:t>
            </w:r>
          </w:p>
        </w:tc>
      </w:tr>
    </w:tbl>
    <w:p w14:paraId="2BD6BF15" w14:textId="77777777" w:rsidR="00192B82" w:rsidRPr="00DC1077" w:rsidRDefault="00192B82">
      <w:pPr>
        <w:pStyle w:val="Normal0"/>
        <w:spacing w:after="160" w:line="259" w:lineRule="auto"/>
        <w:rPr>
          <w:rFonts w:ascii="Verdana" w:eastAsia="Calibri" w:hAnsi="Verdana" w:cs="Arial"/>
          <w:sz w:val="22"/>
          <w:szCs w:val="22"/>
          <w:highlight w:val="yellow"/>
          <w:lang w:val="en-GB"/>
        </w:rPr>
      </w:pPr>
    </w:p>
    <w:p w14:paraId="686D5F9E" w14:textId="77777777" w:rsidR="00DA1BE1" w:rsidRDefault="00DA1BE1">
      <w:pPr>
        <w:pStyle w:val="Normal0"/>
        <w:spacing w:after="160" w:line="259" w:lineRule="auto"/>
        <w:rPr>
          <w:rFonts w:ascii="Verdana" w:eastAsia="Calibri" w:hAnsi="Verdana" w:cs="Arial"/>
          <w:sz w:val="22"/>
          <w:szCs w:val="22"/>
          <w:highlight w:val="yellow"/>
          <w:lang w:val="en-GB"/>
        </w:rPr>
      </w:pPr>
    </w:p>
    <w:tbl>
      <w:tblPr>
        <w:tblW w:w="14928" w:type="dxa"/>
        <w:tblLook w:val="04A0" w:firstRow="1" w:lastRow="0" w:firstColumn="1" w:lastColumn="0" w:noHBand="0" w:noVBand="1"/>
      </w:tblPr>
      <w:tblGrid>
        <w:gridCol w:w="1784"/>
        <w:gridCol w:w="2001"/>
        <w:gridCol w:w="1980"/>
        <w:gridCol w:w="3481"/>
        <w:gridCol w:w="1662"/>
        <w:gridCol w:w="2020"/>
        <w:gridCol w:w="2000"/>
      </w:tblGrid>
      <w:tr w:rsidR="00192B82" w:rsidRPr="00192B82" w14:paraId="336002A5" w14:textId="77777777" w:rsidTr="00514C09">
        <w:trPr>
          <w:trHeight w:val="220"/>
        </w:trPr>
        <w:tc>
          <w:tcPr>
            <w:tcW w:w="5765" w:type="dxa"/>
            <w:gridSpan w:val="3"/>
            <w:tcBorders>
              <w:top w:val="nil"/>
              <w:left w:val="nil"/>
              <w:bottom w:val="nil"/>
              <w:right w:val="nil"/>
            </w:tcBorders>
            <w:shd w:val="clear" w:color="000000" w:fill="FFFFFF"/>
            <w:noWrap/>
            <w:vAlign w:val="center"/>
            <w:hideMark/>
          </w:tcPr>
          <w:p w14:paraId="46FA2C2E"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2019/20</w:t>
            </w:r>
          </w:p>
        </w:tc>
        <w:tc>
          <w:tcPr>
            <w:tcW w:w="3481" w:type="dxa"/>
            <w:tcBorders>
              <w:top w:val="nil"/>
              <w:left w:val="nil"/>
              <w:bottom w:val="nil"/>
              <w:right w:val="nil"/>
            </w:tcBorders>
            <w:shd w:val="clear" w:color="000000" w:fill="FFFFFF"/>
            <w:noWrap/>
            <w:vAlign w:val="center"/>
            <w:hideMark/>
          </w:tcPr>
          <w:p w14:paraId="067DBD40"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682" w:type="dxa"/>
            <w:gridSpan w:val="3"/>
            <w:tcBorders>
              <w:top w:val="nil"/>
              <w:left w:val="nil"/>
              <w:bottom w:val="nil"/>
              <w:right w:val="nil"/>
            </w:tcBorders>
            <w:shd w:val="clear" w:color="000000" w:fill="FFFFFF"/>
            <w:noWrap/>
            <w:vAlign w:val="center"/>
            <w:hideMark/>
          </w:tcPr>
          <w:p w14:paraId="20D2003E"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2020/21</w:t>
            </w:r>
          </w:p>
        </w:tc>
      </w:tr>
      <w:tr w:rsidR="00192B82" w:rsidRPr="00192B82" w14:paraId="73857A2A" w14:textId="77777777" w:rsidTr="00514C09">
        <w:trPr>
          <w:trHeight w:val="156"/>
        </w:trPr>
        <w:tc>
          <w:tcPr>
            <w:tcW w:w="1784" w:type="dxa"/>
            <w:tcBorders>
              <w:top w:val="nil"/>
              <w:left w:val="nil"/>
              <w:bottom w:val="nil"/>
              <w:right w:val="nil"/>
            </w:tcBorders>
            <w:shd w:val="clear" w:color="000000" w:fill="FFFFFF"/>
            <w:noWrap/>
            <w:vAlign w:val="center"/>
            <w:hideMark/>
          </w:tcPr>
          <w:p w14:paraId="05524FA8"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2001" w:type="dxa"/>
            <w:tcBorders>
              <w:top w:val="nil"/>
              <w:left w:val="nil"/>
              <w:bottom w:val="nil"/>
              <w:right w:val="nil"/>
            </w:tcBorders>
            <w:shd w:val="clear" w:color="000000" w:fill="FFFFFF"/>
            <w:vAlign w:val="center"/>
            <w:hideMark/>
          </w:tcPr>
          <w:p w14:paraId="41C6A018"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1980" w:type="dxa"/>
            <w:tcBorders>
              <w:top w:val="nil"/>
              <w:left w:val="nil"/>
              <w:bottom w:val="nil"/>
              <w:right w:val="nil"/>
            </w:tcBorders>
            <w:shd w:val="clear" w:color="000000" w:fill="FFFFFF"/>
            <w:vAlign w:val="center"/>
            <w:hideMark/>
          </w:tcPr>
          <w:p w14:paraId="7BF89E2B"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c>
          <w:tcPr>
            <w:tcW w:w="3481" w:type="dxa"/>
            <w:tcBorders>
              <w:top w:val="nil"/>
              <w:left w:val="nil"/>
              <w:bottom w:val="nil"/>
              <w:right w:val="nil"/>
            </w:tcBorders>
            <w:shd w:val="clear" w:color="000000" w:fill="FFFFFF"/>
            <w:noWrap/>
            <w:vAlign w:val="center"/>
            <w:hideMark/>
          </w:tcPr>
          <w:p w14:paraId="0BD8D594"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662" w:type="dxa"/>
            <w:tcBorders>
              <w:top w:val="nil"/>
              <w:left w:val="nil"/>
              <w:bottom w:val="nil"/>
              <w:right w:val="nil"/>
            </w:tcBorders>
            <w:shd w:val="clear" w:color="000000" w:fill="FFFFFF"/>
            <w:noWrap/>
            <w:vAlign w:val="center"/>
            <w:hideMark/>
          </w:tcPr>
          <w:p w14:paraId="18864F48"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2020" w:type="dxa"/>
            <w:tcBorders>
              <w:top w:val="nil"/>
              <w:left w:val="nil"/>
              <w:bottom w:val="nil"/>
              <w:right w:val="nil"/>
            </w:tcBorders>
            <w:shd w:val="clear" w:color="000000" w:fill="FFFFFF"/>
            <w:vAlign w:val="center"/>
            <w:hideMark/>
          </w:tcPr>
          <w:p w14:paraId="739C3FB1"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1998" w:type="dxa"/>
            <w:tcBorders>
              <w:top w:val="nil"/>
              <w:left w:val="nil"/>
              <w:bottom w:val="nil"/>
              <w:right w:val="nil"/>
            </w:tcBorders>
            <w:shd w:val="clear" w:color="000000" w:fill="FFFFFF"/>
            <w:vAlign w:val="center"/>
            <w:hideMark/>
          </w:tcPr>
          <w:p w14:paraId="4C444E87"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r>
      <w:tr w:rsidR="00192B82" w:rsidRPr="00192B82" w14:paraId="1BE6E691" w14:textId="77777777" w:rsidTr="00514C09">
        <w:trPr>
          <w:trHeight w:val="156"/>
        </w:trPr>
        <w:tc>
          <w:tcPr>
            <w:tcW w:w="5765" w:type="dxa"/>
            <w:gridSpan w:val="3"/>
            <w:tcBorders>
              <w:top w:val="nil"/>
              <w:left w:val="nil"/>
              <w:bottom w:val="nil"/>
              <w:right w:val="nil"/>
            </w:tcBorders>
            <w:shd w:val="clear" w:color="000000" w:fill="FFFFFF"/>
            <w:noWrap/>
            <w:vAlign w:val="bottom"/>
            <w:hideMark/>
          </w:tcPr>
          <w:p w14:paraId="62AC9764"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Movement in Reserves Statement</w:t>
            </w:r>
          </w:p>
        </w:tc>
        <w:tc>
          <w:tcPr>
            <w:tcW w:w="3481" w:type="dxa"/>
            <w:tcBorders>
              <w:top w:val="nil"/>
              <w:left w:val="nil"/>
              <w:bottom w:val="nil"/>
              <w:right w:val="nil"/>
            </w:tcBorders>
            <w:shd w:val="clear" w:color="auto" w:fill="auto"/>
            <w:noWrap/>
            <w:vAlign w:val="bottom"/>
            <w:hideMark/>
          </w:tcPr>
          <w:p w14:paraId="1238B42B" w14:textId="77777777" w:rsidR="00192B82" w:rsidRPr="00192B82" w:rsidRDefault="00192B82" w:rsidP="00192B82">
            <w:pPr>
              <w:rPr>
                <w:rFonts w:ascii="Verdana" w:eastAsia="Times New Roman" w:hAnsi="Verdana" w:cs="Calibri"/>
                <w:b/>
                <w:bCs/>
                <w:color w:val="000000"/>
                <w:sz w:val="16"/>
                <w:szCs w:val="16"/>
                <w:lang w:val="en-GB" w:eastAsia="en-GB"/>
              </w:rPr>
            </w:pPr>
          </w:p>
        </w:tc>
        <w:tc>
          <w:tcPr>
            <w:tcW w:w="1662" w:type="dxa"/>
            <w:tcBorders>
              <w:top w:val="nil"/>
              <w:left w:val="nil"/>
              <w:bottom w:val="nil"/>
              <w:right w:val="nil"/>
            </w:tcBorders>
            <w:shd w:val="clear" w:color="000000" w:fill="FFFFFF"/>
            <w:noWrap/>
            <w:vAlign w:val="bottom"/>
            <w:hideMark/>
          </w:tcPr>
          <w:p w14:paraId="24648B1F"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20" w:type="dxa"/>
            <w:tcBorders>
              <w:top w:val="nil"/>
              <w:left w:val="nil"/>
              <w:bottom w:val="nil"/>
              <w:right w:val="nil"/>
            </w:tcBorders>
            <w:shd w:val="clear" w:color="000000" w:fill="FFFFFF"/>
            <w:noWrap/>
            <w:vAlign w:val="bottom"/>
            <w:hideMark/>
          </w:tcPr>
          <w:p w14:paraId="4039F243"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8" w:type="dxa"/>
            <w:tcBorders>
              <w:top w:val="nil"/>
              <w:left w:val="nil"/>
              <w:bottom w:val="nil"/>
              <w:right w:val="nil"/>
            </w:tcBorders>
            <w:shd w:val="clear" w:color="000000" w:fill="FFFFFF"/>
            <w:noWrap/>
            <w:vAlign w:val="bottom"/>
            <w:hideMark/>
          </w:tcPr>
          <w:p w14:paraId="0A0FD18E"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045E4289" w14:textId="77777777" w:rsidTr="00514C09">
        <w:trPr>
          <w:trHeight w:val="156"/>
        </w:trPr>
        <w:tc>
          <w:tcPr>
            <w:tcW w:w="1784" w:type="dxa"/>
            <w:tcBorders>
              <w:top w:val="nil"/>
              <w:left w:val="nil"/>
              <w:bottom w:val="nil"/>
              <w:right w:val="nil"/>
            </w:tcBorders>
            <w:shd w:val="clear" w:color="000000" w:fill="FFFFFF"/>
            <w:noWrap/>
            <w:vAlign w:val="bottom"/>
            <w:hideMark/>
          </w:tcPr>
          <w:p w14:paraId="04280213"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01" w:type="dxa"/>
            <w:tcBorders>
              <w:top w:val="nil"/>
              <w:left w:val="nil"/>
              <w:bottom w:val="nil"/>
              <w:right w:val="nil"/>
            </w:tcBorders>
            <w:shd w:val="clear" w:color="000000" w:fill="FFFFFF"/>
            <w:noWrap/>
            <w:vAlign w:val="bottom"/>
            <w:hideMark/>
          </w:tcPr>
          <w:p w14:paraId="0DE44BA0"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80" w:type="dxa"/>
            <w:tcBorders>
              <w:top w:val="nil"/>
              <w:left w:val="nil"/>
              <w:bottom w:val="nil"/>
              <w:right w:val="nil"/>
            </w:tcBorders>
            <w:shd w:val="clear" w:color="000000" w:fill="FFFFFF"/>
            <w:noWrap/>
            <w:vAlign w:val="bottom"/>
            <w:hideMark/>
          </w:tcPr>
          <w:p w14:paraId="0A35FFDC"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81" w:type="dxa"/>
            <w:tcBorders>
              <w:top w:val="nil"/>
              <w:left w:val="nil"/>
              <w:bottom w:val="nil"/>
              <w:right w:val="nil"/>
            </w:tcBorders>
            <w:shd w:val="clear" w:color="000000" w:fill="FFFFFF"/>
            <w:noWrap/>
            <w:vAlign w:val="bottom"/>
            <w:hideMark/>
          </w:tcPr>
          <w:p w14:paraId="54A56061"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662" w:type="dxa"/>
            <w:tcBorders>
              <w:top w:val="nil"/>
              <w:left w:val="nil"/>
              <w:bottom w:val="nil"/>
              <w:right w:val="nil"/>
            </w:tcBorders>
            <w:shd w:val="clear" w:color="000000" w:fill="FFFFFF"/>
            <w:noWrap/>
            <w:vAlign w:val="bottom"/>
            <w:hideMark/>
          </w:tcPr>
          <w:p w14:paraId="676F51B0"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20" w:type="dxa"/>
            <w:tcBorders>
              <w:top w:val="nil"/>
              <w:left w:val="nil"/>
              <w:bottom w:val="nil"/>
              <w:right w:val="nil"/>
            </w:tcBorders>
            <w:shd w:val="clear" w:color="000000" w:fill="FFFFFF"/>
            <w:noWrap/>
            <w:vAlign w:val="bottom"/>
            <w:hideMark/>
          </w:tcPr>
          <w:p w14:paraId="349DAEB8"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8" w:type="dxa"/>
            <w:tcBorders>
              <w:top w:val="nil"/>
              <w:left w:val="nil"/>
              <w:bottom w:val="nil"/>
              <w:right w:val="nil"/>
            </w:tcBorders>
            <w:shd w:val="clear" w:color="000000" w:fill="FFFFFF"/>
            <w:noWrap/>
            <w:vAlign w:val="bottom"/>
            <w:hideMark/>
          </w:tcPr>
          <w:p w14:paraId="2044A442"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1906721D" w14:textId="77777777" w:rsidTr="00514C09">
        <w:trPr>
          <w:trHeight w:val="156"/>
        </w:trPr>
        <w:tc>
          <w:tcPr>
            <w:tcW w:w="1784" w:type="dxa"/>
            <w:tcBorders>
              <w:top w:val="nil"/>
              <w:left w:val="nil"/>
              <w:bottom w:val="single" w:sz="4" w:space="0" w:color="auto"/>
              <w:right w:val="nil"/>
            </w:tcBorders>
            <w:shd w:val="clear" w:color="000000" w:fill="FFFFFF"/>
            <w:noWrap/>
            <w:vAlign w:val="center"/>
            <w:hideMark/>
          </w:tcPr>
          <w:p w14:paraId="2F2B2AFB"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2001" w:type="dxa"/>
            <w:tcBorders>
              <w:top w:val="nil"/>
              <w:left w:val="nil"/>
              <w:bottom w:val="single" w:sz="4" w:space="0" w:color="auto"/>
              <w:right w:val="nil"/>
            </w:tcBorders>
            <w:shd w:val="clear" w:color="000000" w:fill="FFFFFF"/>
            <w:noWrap/>
            <w:vAlign w:val="center"/>
            <w:hideMark/>
          </w:tcPr>
          <w:p w14:paraId="261CB547"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980" w:type="dxa"/>
            <w:tcBorders>
              <w:top w:val="nil"/>
              <w:left w:val="nil"/>
              <w:bottom w:val="single" w:sz="4" w:space="0" w:color="auto"/>
              <w:right w:val="nil"/>
            </w:tcBorders>
            <w:shd w:val="clear" w:color="000000" w:fill="FFFFFF"/>
            <w:noWrap/>
            <w:vAlign w:val="center"/>
            <w:hideMark/>
          </w:tcPr>
          <w:p w14:paraId="36633352"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3481" w:type="dxa"/>
            <w:tcBorders>
              <w:top w:val="nil"/>
              <w:left w:val="nil"/>
              <w:bottom w:val="single" w:sz="4" w:space="0" w:color="auto"/>
              <w:right w:val="nil"/>
            </w:tcBorders>
            <w:shd w:val="clear" w:color="000000" w:fill="FFFFFF"/>
            <w:noWrap/>
            <w:vAlign w:val="center"/>
            <w:hideMark/>
          </w:tcPr>
          <w:p w14:paraId="16B4920E"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662" w:type="dxa"/>
            <w:tcBorders>
              <w:top w:val="nil"/>
              <w:left w:val="nil"/>
              <w:bottom w:val="single" w:sz="4" w:space="0" w:color="auto"/>
              <w:right w:val="nil"/>
            </w:tcBorders>
            <w:shd w:val="clear" w:color="000000" w:fill="FFFFFF"/>
            <w:noWrap/>
            <w:vAlign w:val="center"/>
            <w:hideMark/>
          </w:tcPr>
          <w:p w14:paraId="2853DE95"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2020" w:type="dxa"/>
            <w:tcBorders>
              <w:top w:val="nil"/>
              <w:left w:val="nil"/>
              <w:bottom w:val="single" w:sz="4" w:space="0" w:color="auto"/>
              <w:right w:val="nil"/>
            </w:tcBorders>
            <w:shd w:val="clear" w:color="000000" w:fill="FFFFFF"/>
            <w:noWrap/>
            <w:vAlign w:val="center"/>
            <w:hideMark/>
          </w:tcPr>
          <w:p w14:paraId="348EB626"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998" w:type="dxa"/>
            <w:tcBorders>
              <w:top w:val="nil"/>
              <w:left w:val="nil"/>
              <w:bottom w:val="single" w:sz="4" w:space="0" w:color="auto"/>
              <w:right w:val="nil"/>
            </w:tcBorders>
            <w:shd w:val="clear" w:color="000000" w:fill="FFFFFF"/>
            <w:noWrap/>
            <w:vAlign w:val="center"/>
            <w:hideMark/>
          </w:tcPr>
          <w:p w14:paraId="61EE963C"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r>
      <w:tr w:rsidR="00192B82" w:rsidRPr="00192B82" w14:paraId="2FD8431D" w14:textId="77777777" w:rsidTr="00514C09">
        <w:trPr>
          <w:trHeight w:val="625"/>
        </w:trPr>
        <w:tc>
          <w:tcPr>
            <w:tcW w:w="1784" w:type="dxa"/>
            <w:tcBorders>
              <w:top w:val="nil"/>
              <w:left w:val="nil"/>
              <w:bottom w:val="nil"/>
              <w:right w:val="nil"/>
            </w:tcBorders>
            <w:shd w:val="clear" w:color="000000" w:fill="FFFFFF"/>
            <w:noWrap/>
            <w:vAlign w:val="center"/>
            <w:hideMark/>
          </w:tcPr>
          <w:p w14:paraId="27546EB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(23,510)</w:t>
            </w:r>
          </w:p>
        </w:tc>
        <w:tc>
          <w:tcPr>
            <w:tcW w:w="2001" w:type="dxa"/>
            <w:tcBorders>
              <w:top w:val="nil"/>
              <w:left w:val="nil"/>
              <w:bottom w:val="nil"/>
              <w:right w:val="nil"/>
            </w:tcBorders>
            <w:shd w:val="clear" w:color="000000" w:fill="FFFFFF"/>
            <w:noWrap/>
            <w:vAlign w:val="center"/>
            <w:hideMark/>
          </w:tcPr>
          <w:p w14:paraId="6D294F4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(89,670)</w:t>
            </w:r>
          </w:p>
        </w:tc>
        <w:tc>
          <w:tcPr>
            <w:tcW w:w="1980" w:type="dxa"/>
            <w:tcBorders>
              <w:top w:val="nil"/>
              <w:left w:val="nil"/>
              <w:bottom w:val="nil"/>
              <w:right w:val="nil"/>
            </w:tcBorders>
            <w:shd w:val="clear" w:color="000000" w:fill="FFFFFF"/>
            <w:noWrap/>
            <w:vAlign w:val="center"/>
            <w:hideMark/>
          </w:tcPr>
          <w:p w14:paraId="64D44CD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(113,180)</w:t>
            </w:r>
          </w:p>
        </w:tc>
        <w:tc>
          <w:tcPr>
            <w:tcW w:w="3481" w:type="dxa"/>
            <w:tcBorders>
              <w:top w:val="nil"/>
              <w:left w:val="nil"/>
              <w:bottom w:val="nil"/>
              <w:right w:val="nil"/>
            </w:tcBorders>
            <w:shd w:val="clear" w:color="000000" w:fill="FFFFFF"/>
            <w:vAlign w:val="center"/>
            <w:hideMark/>
          </w:tcPr>
          <w:p w14:paraId="3F947DFE"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Reversal of net charges made to the Surplus or Deficit on the Provision of Services</w:t>
            </w:r>
          </w:p>
        </w:tc>
        <w:tc>
          <w:tcPr>
            <w:tcW w:w="1662" w:type="dxa"/>
            <w:tcBorders>
              <w:top w:val="nil"/>
              <w:left w:val="nil"/>
              <w:bottom w:val="nil"/>
              <w:right w:val="nil"/>
            </w:tcBorders>
            <w:shd w:val="clear" w:color="000000" w:fill="FFFFFF"/>
            <w:noWrap/>
            <w:vAlign w:val="center"/>
            <w:hideMark/>
          </w:tcPr>
          <w:p w14:paraId="3EB2415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(20,863)</w:t>
            </w:r>
          </w:p>
        </w:tc>
        <w:tc>
          <w:tcPr>
            <w:tcW w:w="2020" w:type="dxa"/>
            <w:tcBorders>
              <w:top w:val="nil"/>
              <w:left w:val="nil"/>
              <w:bottom w:val="nil"/>
              <w:right w:val="nil"/>
            </w:tcBorders>
            <w:shd w:val="clear" w:color="000000" w:fill="FFFFFF"/>
            <w:noWrap/>
            <w:vAlign w:val="center"/>
            <w:hideMark/>
          </w:tcPr>
          <w:p w14:paraId="57820FD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(96,070)</w:t>
            </w:r>
          </w:p>
        </w:tc>
        <w:tc>
          <w:tcPr>
            <w:tcW w:w="1998" w:type="dxa"/>
            <w:tcBorders>
              <w:top w:val="nil"/>
              <w:left w:val="nil"/>
              <w:bottom w:val="nil"/>
              <w:right w:val="nil"/>
            </w:tcBorders>
            <w:shd w:val="clear" w:color="000000" w:fill="FFFFFF"/>
            <w:noWrap/>
            <w:vAlign w:val="center"/>
            <w:hideMark/>
          </w:tcPr>
          <w:p w14:paraId="33A72F8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(116,933)</w:t>
            </w:r>
          </w:p>
        </w:tc>
      </w:tr>
      <w:tr w:rsidR="00192B82" w:rsidRPr="00192B82" w14:paraId="0544A55A" w14:textId="77777777" w:rsidTr="00514C09">
        <w:trPr>
          <w:trHeight w:val="70"/>
        </w:trPr>
        <w:tc>
          <w:tcPr>
            <w:tcW w:w="1784" w:type="dxa"/>
            <w:tcBorders>
              <w:top w:val="nil"/>
              <w:left w:val="nil"/>
              <w:bottom w:val="nil"/>
              <w:right w:val="nil"/>
            </w:tcBorders>
            <w:shd w:val="clear" w:color="000000" w:fill="FFFFFF"/>
            <w:noWrap/>
            <w:vAlign w:val="center"/>
            <w:hideMark/>
          </w:tcPr>
          <w:p w14:paraId="169371E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01" w:type="dxa"/>
            <w:tcBorders>
              <w:top w:val="nil"/>
              <w:left w:val="nil"/>
              <w:bottom w:val="nil"/>
              <w:right w:val="nil"/>
            </w:tcBorders>
            <w:shd w:val="clear" w:color="000000" w:fill="FFFFFF"/>
            <w:noWrap/>
            <w:vAlign w:val="center"/>
            <w:hideMark/>
          </w:tcPr>
          <w:p w14:paraId="3186420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80" w:type="dxa"/>
            <w:tcBorders>
              <w:top w:val="nil"/>
              <w:left w:val="nil"/>
              <w:bottom w:val="nil"/>
              <w:right w:val="nil"/>
            </w:tcBorders>
            <w:shd w:val="clear" w:color="000000" w:fill="FFFFFF"/>
            <w:noWrap/>
            <w:vAlign w:val="center"/>
            <w:hideMark/>
          </w:tcPr>
          <w:p w14:paraId="069FD17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81" w:type="dxa"/>
            <w:tcBorders>
              <w:top w:val="nil"/>
              <w:left w:val="nil"/>
              <w:bottom w:val="nil"/>
              <w:right w:val="nil"/>
            </w:tcBorders>
            <w:shd w:val="clear" w:color="000000" w:fill="FFFFFF"/>
            <w:noWrap/>
            <w:vAlign w:val="center"/>
            <w:hideMark/>
          </w:tcPr>
          <w:p w14:paraId="3C33DB03"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662" w:type="dxa"/>
            <w:tcBorders>
              <w:top w:val="nil"/>
              <w:left w:val="nil"/>
              <w:bottom w:val="nil"/>
              <w:right w:val="nil"/>
            </w:tcBorders>
            <w:shd w:val="clear" w:color="000000" w:fill="FFFFFF"/>
            <w:noWrap/>
            <w:vAlign w:val="center"/>
            <w:hideMark/>
          </w:tcPr>
          <w:p w14:paraId="2C65C39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20" w:type="dxa"/>
            <w:tcBorders>
              <w:top w:val="nil"/>
              <w:left w:val="nil"/>
              <w:bottom w:val="nil"/>
              <w:right w:val="nil"/>
            </w:tcBorders>
            <w:shd w:val="clear" w:color="000000" w:fill="FFFFFF"/>
            <w:noWrap/>
            <w:vAlign w:val="center"/>
            <w:hideMark/>
          </w:tcPr>
          <w:p w14:paraId="570CD52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8" w:type="dxa"/>
            <w:tcBorders>
              <w:top w:val="nil"/>
              <w:left w:val="nil"/>
              <w:bottom w:val="nil"/>
              <w:right w:val="nil"/>
            </w:tcBorders>
            <w:shd w:val="clear" w:color="000000" w:fill="FFFFFF"/>
            <w:noWrap/>
            <w:vAlign w:val="center"/>
            <w:hideMark/>
          </w:tcPr>
          <w:p w14:paraId="225A824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79463AD6" w14:textId="77777777" w:rsidTr="00514C09">
        <w:trPr>
          <w:trHeight w:val="625"/>
        </w:trPr>
        <w:tc>
          <w:tcPr>
            <w:tcW w:w="1784" w:type="dxa"/>
            <w:tcBorders>
              <w:top w:val="nil"/>
              <w:left w:val="nil"/>
              <w:bottom w:val="nil"/>
              <w:right w:val="nil"/>
            </w:tcBorders>
            <w:shd w:val="clear" w:color="000000" w:fill="FFFFFF"/>
            <w:noWrap/>
            <w:vAlign w:val="center"/>
            <w:hideMark/>
          </w:tcPr>
          <w:p w14:paraId="3588331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01" w:type="dxa"/>
            <w:tcBorders>
              <w:top w:val="nil"/>
              <w:left w:val="nil"/>
              <w:bottom w:val="nil"/>
              <w:right w:val="nil"/>
            </w:tcBorders>
            <w:shd w:val="clear" w:color="000000" w:fill="FFFFFF"/>
            <w:noWrap/>
            <w:vAlign w:val="center"/>
            <w:hideMark/>
          </w:tcPr>
          <w:p w14:paraId="451C67B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80" w:type="dxa"/>
            <w:tcBorders>
              <w:top w:val="nil"/>
              <w:left w:val="nil"/>
              <w:bottom w:val="nil"/>
              <w:right w:val="nil"/>
            </w:tcBorders>
            <w:shd w:val="clear" w:color="000000" w:fill="FFFFFF"/>
            <w:noWrap/>
            <w:vAlign w:val="center"/>
            <w:hideMark/>
          </w:tcPr>
          <w:p w14:paraId="6DC4F04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81" w:type="dxa"/>
            <w:tcBorders>
              <w:top w:val="nil"/>
              <w:left w:val="nil"/>
              <w:bottom w:val="nil"/>
              <w:right w:val="nil"/>
            </w:tcBorders>
            <w:shd w:val="clear" w:color="000000" w:fill="FFFFFF"/>
            <w:vAlign w:val="center"/>
            <w:hideMark/>
          </w:tcPr>
          <w:p w14:paraId="374321EC"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Actual amount charged against the general fund balance for pensions in the year:</w:t>
            </w:r>
          </w:p>
        </w:tc>
        <w:tc>
          <w:tcPr>
            <w:tcW w:w="1662" w:type="dxa"/>
            <w:tcBorders>
              <w:top w:val="nil"/>
              <w:left w:val="nil"/>
              <w:bottom w:val="nil"/>
              <w:right w:val="nil"/>
            </w:tcBorders>
            <w:shd w:val="clear" w:color="000000" w:fill="FFFFFF"/>
            <w:noWrap/>
            <w:vAlign w:val="center"/>
            <w:hideMark/>
          </w:tcPr>
          <w:p w14:paraId="257928E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20" w:type="dxa"/>
            <w:tcBorders>
              <w:top w:val="nil"/>
              <w:left w:val="nil"/>
              <w:bottom w:val="nil"/>
              <w:right w:val="nil"/>
            </w:tcBorders>
            <w:shd w:val="clear" w:color="000000" w:fill="FFFFFF"/>
            <w:noWrap/>
            <w:vAlign w:val="center"/>
            <w:hideMark/>
          </w:tcPr>
          <w:p w14:paraId="3422514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8" w:type="dxa"/>
            <w:tcBorders>
              <w:top w:val="nil"/>
              <w:left w:val="nil"/>
              <w:bottom w:val="nil"/>
              <w:right w:val="nil"/>
            </w:tcBorders>
            <w:shd w:val="clear" w:color="000000" w:fill="FFFFFF"/>
            <w:noWrap/>
            <w:vAlign w:val="center"/>
            <w:hideMark/>
          </w:tcPr>
          <w:p w14:paraId="2393D45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4E679D80" w14:textId="77777777" w:rsidTr="00514C09">
        <w:trPr>
          <w:trHeight w:val="70"/>
        </w:trPr>
        <w:tc>
          <w:tcPr>
            <w:tcW w:w="1784" w:type="dxa"/>
            <w:tcBorders>
              <w:top w:val="nil"/>
              <w:left w:val="nil"/>
              <w:bottom w:val="nil"/>
              <w:right w:val="nil"/>
            </w:tcBorders>
            <w:shd w:val="clear" w:color="000000" w:fill="FFFFFF"/>
            <w:noWrap/>
            <w:vAlign w:val="center"/>
            <w:hideMark/>
          </w:tcPr>
          <w:p w14:paraId="164C222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01" w:type="dxa"/>
            <w:tcBorders>
              <w:top w:val="nil"/>
              <w:left w:val="nil"/>
              <w:bottom w:val="nil"/>
              <w:right w:val="nil"/>
            </w:tcBorders>
            <w:shd w:val="clear" w:color="000000" w:fill="FFFFFF"/>
            <w:noWrap/>
            <w:vAlign w:val="center"/>
            <w:hideMark/>
          </w:tcPr>
          <w:p w14:paraId="01C6CFC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80" w:type="dxa"/>
            <w:tcBorders>
              <w:top w:val="nil"/>
              <w:left w:val="nil"/>
              <w:bottom w:val="nil"/>
              <w:right w:val="nil"/>
            </w:tcBorders>
            <w:shd w:val="clear" w:color="000000" w:fill="FFFFFF"/>
            <w:noWrap/>
            <w:vAlign w:val="center"/>
            <w:hideMark/>
          </w:tcPr>
          <w:p w14:paraId="431D626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81" w:type="dxa"/>
            <w:tcBorders>
              <w:top w:val="nil"/>
              <w:left w:val="nil"/>
              <w:bottom w:val="nil"/>
              <w:right w:val="nil"/>
            </w:tcBorders>
            <w:shd w:val="clear" w:color="000000" w:fill="FFFFFF"/>
            <w:noWrap/>
            <w:vAlign w:val="center"/>
            <w:hideMark/>
          </w:tcPr>
          <w:p w14:paraId="5953E45A"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662" w:type="dxa"/>
            <w:tcBorders>
              <w:top w:val="nil"/>
              <w:left w:val="nil"/>
              <w:bottom w:val="nil"/>
              <w:right w:val="nil"/>
            </w:tcBorders>
            <w:shd w:val="clear" w:color="000000" w:fill="FFFFFF"/>
            <w:noWrap/>
            <w:vAlign w:val="center"/>
            <w:hideMark/>
          </w:tcPr>
          <w:p w14:paraId="026C3B9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20" w:type="dxa"/>
            <w:tcBorders>
              <w:top w:val="nil"/>
              <w:left w:val="nil"/>
              <w:bottom w:val="nil"/>
              <w:right w:val="nil"/>
            </w:tcBorders>
            <w:shd w:val="clear" w:color="000000" w:fill="FFFFFF"/>
            <w:noWrap/>
            <w:vAlign w:val="center"/>
            <w:hideMark/>
          </w:tcPr>
          <w:p w14:paraId="0D37FDF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8" w:type="dxa"/>
            <w:tcBorders>
              <w:top w:val="nil"/>
              <w:left w:val="nil"/>
              <w:bottom w:val="nil"/>
              <w:right w:val="nil"/>
            </w:tcBorders>
            <w:shd w:val="clear" w:color="000000" w:fill="FFFFFF"/>
            <w:noWrap/>
            <w:vAlign w:val="center"/>
            <w:hideMark/>
          </w:tcPr>
          <w:p w14:paraId="3816668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6CD059C1" w14:textId="77777777" w:rsidTr="00514C09">
        <w:trPr>
          <w:trHeight w:val="312"/>
        </w:trPr>
        <w:tc>
          <w:tcPr>
            <w:tcW w:w="1784" w:type="dxa"/>
            <w:tcBorders>
              <w:top w:val="nil"/>
              <w:left w:val="nil"/>
              <w:bottom w:val="nil"/>
              <w:right w:val="nil"/>
            </w:tcBorders>
            <w:shd w:val="clear" w:color="000000" w:fill="FFFFFF"/>
            <w:noWrap/>
            <w:vAlign w:val="center"/>
            <w:hideMark/>
          </w:tcPr>
          <w:p w14:paraId="781213F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9,724</w:t>
            </w:r>
          </w:p>
        </w:tc>
        <w:tc>
          <w:tcPr>
            <w:tcW w:w="2001" w:type="dxa"/>
            <w:tcBorders>
              <w:top w:val="nil"/>
              <w:left w:val="nil"/>
              <w:bottom w:val="nil"/>
              <w:right w:val="nil"/>
            </w:tcBorders>
            <w:shd w:val="clear" w:color="000000" w:fill="FFFFFF"/>
            <w:noWrap/>
            <w:vAlign w:val="center"/>
            <w:hideMark/>
          </w:tcPr>
          <w:p w14:paraId="6894A3C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40,570</w:t>
            </w:r>
          </w:p>
        </w:tc>
        <w:tc>
          <w:tcPr>
            <w:tcW w:w="1980" w:type="dxa"/>
            <w:tcBorders>
              <w:top w:val="nil"/>
              <w:left w:val="nil"/>
              <w:bottom w:val="nil"/>
              <w:right w:val="nil"/>
            </w:tcBorders>
            <w:shd w:val="clear" w:color="000000" w:fill="FFFFFF"/>
            <w:noWrap/>
            <w:vAlign w:val="center"/>
            <w:hideMark/>
          </w:tcPr>
          <w:p w14:paraId="295ADF6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50,294</w:t>
            </w:r>
          </w:p>
        </w:tc>
        <w:tc>
          <w:tcPr>
            <w:tcW w:w="3481" w:type="dxa"/>
            <w:tcBorders>
              <w:top w:val="nil"/>
              <w:left w:val="nil"/>
              <w:bottom w:val="nil"/>
              <w:right w:val="nil"/>
            </w:tcBorders>
            <w:shd w:val="clear" w:color="000000" w:fill="FFFFFF"/>
            <w:vAlign w:val="center"/>
            <w:hideMark/>
          </w:tcPr>
          <w:p w14:paraId="1E3A6145"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Employers' contributions payable to scheme</w:t>
            </w:r>
          </w:p>
        </w:tc>
        <w:tc>
          <w:tcPr>
            <w:tcW w:w="1662" w:type="dxa"/>
            <w:tcBorders>
              <w:top w:val="nil"/>
              <w:left w:val="nil"/>
              <w:bottom w:val="nil"/>
              <w:right w:val="nil"/>
            </w:tcBorders>
            <w:shd w:val="clear" w:color="000000" w:fill="FFFFFF"/>
            <w:noWrap/>
            <w:vAlign w:val="center"/>
            <w:hideMark/>
          </w:tcPr>
          <w:p w14:paraId="40B25388" w14:textId="6B05D0C0" w:rsidR="00192B82" w:rsidRPr="00192B82" w:rsidRDefault="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10,9</w:t>
            </w:r>
            <w:r w:rsidR="00C53179">
              <w:rPr>
                <w:rFonts w:ascii="Verdana" w:eastAsia="Times New Roman" w:hAnsi="Verdana" w:cs="Calibri"/>
                <w:color w:val="000000"/>
                <w:sz w:val="16"/>
                <w:szCs w:val="16"/>
                <w:lang w:val="en-GB" w:eastAsia="en-GB"/>
              </w:rPr>
              <w:t>42</w:t>
            </w:r>
          </w:p>
        </w:tc>
        <w:tc>
          <w:tcPr>
            <w:tcW w:w="2020" w:type="dxa"/>
            <w:tcBorders>
              <w:top w:val="nil"/>
              <w:left w:val="nil"/>
              <w:bottom w:val="nil"/>
              <w:right w:val="nil"/>
            </w:tcBorders>
            <w:shd w:val="clear" w:color="000000" w:fill="FFFFFF"/>
            <w:noWrap/>
            <w:vAlign w:val="center"/>
            <w:hideMark/>
          </w:tcPr>
          <w:p w14:paraId="143B5C7B" w14:textId="59265487" w:rsidR="00192B82" w:rsidRPr="00192B82" w:rsidRDefault="00C53179" w:rsidP="00192B82">
            <w:pPr>
              <w:ind w:firstLineChars="100" w:firstLine="160"/>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38,360</w:t>
            </w:r>
          </w:p>
        </w:tc>
        <w:tc>
          <w:tcPr>
            <w:tcW w:w="1998" w:type="dxa"/>
            <w:tcBorders>
              <w:top w:val="nil"/>
              <w:left w:val="nil"/>
              <w:bottom w:val="nil"/>
              <w:right w:val="nil"/>
            </w:tcBorders>
            <w:shd w:val="clear" w:color="000000" w:fill="FFFFFF"/>
            <w:noWrap/>
            <w:vAlign w:val="center"/>
            <w:hideMark/>
          </w:tcPr>
          <w:p w14:paraId="44578684" w14:textId="2E85A5C5" w:rsidR="00192B82" w:rsidRPr="00192B82" w:rsidRDefault="00C53179" w:rsidP="00192B82">
            <w:pPr>
              <w:ind w:firstLineChars="100" w:firstLine="160"/>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49,302</w:t>
            </w:r>
          </w:p>
        </w:tc>
      </w:tr>
      <w:tr w:rsidR="00192B82" w:rsidRPr="00192B82" w14:paraId="164E3E3B" w14:textId="77777777" w:rsidTr="00514C09">
        <w:trPr>
          <w:trHeight w:val="70"/>
        </w:trPr>
        <w:tc>
          <w:tcPr>
            <w:tcW w:w="1784" w:type="dxa"/>
            <w:tcBorders>
              <w:top w:val="nil"/>
              <w:left w:val="nil"/>
              <w:bottom w:val="nil"/>
              <w:right w:val="nil"/>
            </w:tcBorders>
            <w:shd w:val="clear" w:color="000000" w:fill="FFFFFF"/>
            <w:noWrap/>
            <w:vAlign w:val="center"/>
            <w:hideMark/>
          </w:tcPr>
          <w:p w14:paraId="10103F3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01" w:type="dxa"/>
            <w:tcBorders>
              <w:top w:val="nil"/>
              <w:left w:val="nil"/>
              <w:bottom w:val="nil"/>
              <w:right w:val="nil"/>
            </w:tcBorders>
            <w:shd w:val="clear" w:color="000000" w:fill="FFFFFF"/>
            <w:noWrap/>
            <w:vAlign w:val="center"/>
            <w:hideMark/>
          </w:tcPr>
          <w:p w14:paraId="5A5615C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80" w:type="dxa"/>
            <w:tcBorders>
              <w:top w:val="nil"/>
              <w:left w:val="nil"/>
              <w:bottom w:val="nil"/>
              <w:right w:val="nil"/>
            </w:tcBorders>
            <w:shd w:val="clear" w:color="000000" w:fill="FFFFFF"/>
            <w:noWrap/>
            <w:vAlign w:val="center"/>
            <w:hideMark/>
          </w:tcPr>
          <w:p w14:paraId="338EED6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3481" w:type="dxa"/>
            <w:tcBorders>
              <w:top w:val="nil"/>
              <w:left w:val="nil"/>
              <w:bottom w:val="nil"/>
              <w:right w:val="nil"/>
            </w:tcBorders>
            <w:shd w:val="clear" w:color="000000" w:fill="FFFFFF"/>
            <w:noWrap/>
            <w:vAlign w:val="center"/>
            <w:hideMark/>
          </w:tcPr>
          <w:p w14:paraId="0D366E66"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662" w:type="dxa"/>
            <w:tcBorders>
              <w:top w:val="nil"/>
              <w:left w:val="nil"/>
              <w:bottom w:val="nil"/>
              <w:right w:val="nil"/>
            </w:tcBorders>
            <w:shd w:val="clear" w:color="000000" w:fill="FFFFFF"/>
            <w:noWrap/>
            <w:vAlign w:val="center"/>
            <w:hideMark/>
          </w:tcPr>
          <w:p w14:paraId="7C35FAB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2020" w:type="dxa"/>
            <w:tcBorders>
              <w:top w:val="nil"/>
              <w:left w:val="nil"/>
              <w:bottom w:val="nil"/>
              <w:right w:val="nil"/>
            </w:tcBorders>
            <w:shd w:val="clear" w:color="000000" w:fill="FFFFFF"/>
            <w:noWrap/>
            <w:vAlign w:val="center"/>
            <w:hideMark/>
          </w:tcPr>
          <w:p w14:paraId="3DDF6EF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998" w:type="dxa"/>
            <w:tcBorders>
              <w:top w:val="nil"/>
              <w:left w:val="nil"/>
              <w:bottom w:val="nil"/>
              <w:right w:val="nil"/>
            </w:tcBorders>
            <w:shd w:val="clear" w:color="000000" w:fill="FFFFFF"/>
            <w:noWrap/>
            <w:vAlign w:val="center"/>
            <w:hideMark/>
          </w:tcPr>
          <w:p w14:paraId="3FB177D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0AC02F5D" w14:textId="77777777" w:rsidTr="00514C09">
        <w:trPr>
          <w:trHeight w:val="165"/>
        </w:trPr>
        <w:tc>
          <w:tcPr>
            <w:tcW w:w="1784" w:type="dxa"/>
            <w:tcBorders>
              <w:top w:val="single" w:sz="4" w:space="0" w:color="auto"/>
              <w:left w:val="nil"/>
              <w:bottom w:val="single" w:sz="8" w:space="0" w:color="auto"/>
              <w:right w:val="nil"/>
            </w:tcBorders>
            <w:shd w:val="clear" w:color="000000" w:fill="FFFFFF"/>
            <w:noWrap/>
            <w:vAlign w:val="center"/>
            <w:hideMark/>
          </w:tcPr>
          <w:p w14:paraId="52B624D7"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(13,786)</w:t>
            </w:r>
          </w:p>
        </w:tc>
        <w:tc>
          <w:tcPr>
            <w:tcW w:w="2001" w:type="dxa"/>
            <w:tcBorders>
              <w:top w:val="single" w:sz="4" w:space="0" w:color="auto"/>
              <w:left w:val="nil"/>
              <w:bottom w:val="single" w:sz="8" w:space="0" w:color="auto"/>
              <w:right w:val="nil"/>
            </w:tcBorders>
            <w:shd w:val="clear" w:color="000000" w:fill="FFFFFF"/>
            <w:noWrap/>
            <w:vAlign w:val="center"/>
            <w:hideMark/>
          </w:tcPr>
          <w:p w14:paraId="30B029EB"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(49,100)</w:t>
            </w:r>
          </w:p>
        </w:tc>
        <w:tc>
          <w:tcPr>
            <w:tcW w:w="1980" w:type="dxa"/>
            <w:tcBorders>
              <w:top w:val="single" w:sz="4" w:space="0" w:color="auto"/>
              <w:left w:val="nil"/>
              <w:bottom w:val="single" w:sz="8" w:space="0" w:color="auto"/>
              <w:right w:val="nil"/>
            </w:tcBorders>
            <w:shd w:val="clear" w:color="000000" w:fill="FFFFFF"/>
            <w:noWrap/>
            <w:vAlign w:val="center"/>
            <w:hideMark/>
          </w:tcPr>
          <w:p w14:paraId="7144DFBB"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(62,886)</w:t>
            </w:r>
          </w:p>
        </w:tc>
        <w:tc>
          <w:tcPr>
            <w:tcW w:w="3481" w:type="dxa"/>
            <w:tcBorders>
              <w:top w:val="single" w:sz="4" w:space="0" w:color="auto"/>
              <w:left w:val="nil"/>
              <w:bottom w:val="single" w:sz="8" w:space="0" w:color="auto"/>
              <w:right w:val="nil"/>
            </w:tcBorders>
            <w:shd w:val="clear" w:color="000000" w:fill="FFFFFF"/>
            <w:vAlign w:val="center"/>
            <w:hideMark/>
          </w:tcPr>
          <w:p w14:paraId="7A47EE15"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662" w:type="dxa"/>
            <w:tcBorders>
              <w:top w:val="single" w:sz="4" w:space="0" w:color="auto"/>
              <w:left w:val="nil"/>
              <w:bottom w:val="single" w:sz="8" w:space="0" w:color="auto"/>
              <w:right w:val="nil"/>
            </w:tcBorders>
            <w:shd w:val="clear" w:color="000000" w:fill="FFFFFF"/>
            <w:noWrap/>
            <w:vAlign w:val="center"/>
            <w:hideMark/>
          </w:tcPr>
          <w:p w14:paraId="3485A439" w14:textId="5835518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(9,9</w:t>
            </w:r>
            <w:r w:rsidR="00C53179">
              <w:rPr>
                <w:rFonts w:ascii="Verdana" w:eastAsia="Times New Roman" w:hAnsi="Verdana" w:cs="Calibri"/>
                <w:b/>
                <w:bCs/>
                <w:color w:val="000000"/>
                <w:sz w:val="16"/>
                <w:szCs w:val="16"/>
                <w:lang w:val="en-GB" w:eastAsia="en-GB"/>
              </w:rPr>
              <w:t>21</w:t>
            </w:r>
            <w:r w:rsidRPr="00192B82">
              <w:rPr>
                <w:rFonts w:ascii="Verdana" w:eastAsia="Times New Roman" w:hAnsi="Verdana" w:cs="Calibri"/>
                <w:b/>
                <w:bCs/>
                <w:color w:val="000000"/>
                <w:sz w:val="16"/>
                <w:szCs w:val="16"/>
                <w:lang w:val="en-GB" w:eastAsia="en-GB"/>
              </w:rPr>
              <w:t>)</w:t>
            </w:r>
          </w:p>
        </w:tc>
        <w:tc>
          <w:tcPr>
            <w:tcW w:w="2020" w:type="dxa"/>
            <w:tcBorders>
              <w:top w:val="single" w:sz="4" w:space="0" w:color="auto"/>
              <w:left w:val="nil"/>
              <w:bottom w:val="single" w:sz="8" w:space="0" w:color="auto"/>
              <w:right w:val="nil"/>
            </w:tcBorders>
            <w:shd w:val="clear" w:color="000000" w:fill="FFFFFF"/>
            <w:noWrap/>
            <w:vAlign w:val="center"/>
            <w:hideMark/>
          </w:tcPr>
          <w:p w14:paraId="05F9FDA5" w14:textId="10859584"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(5</w:t>
            </w:r>
            <w:r w:rsidR="00C53179">
              <w:rPr>
                <w:rFonts w:ascii="Verdana" w:eastAsia="Times New Roman" w:hAnsi="Verdana" w:cs="Calibri"/>
                <w:b/>
                <w:bCs/>
                <w:color w:val="000000"/>
                <w:sz w:val="16"/>
                <w:szCs w:val="16"/>
                <w:lang w:val="en-GB" w:eastAsia="en-GB"/>
              </w:rPr>
              <w:t>7,710</w:t>
            </w:r>
            <w:r w:rsidRPr="00192B82">
              <w:rPr>
                <w:rFonts w:ascii="Verdana" w:eastAsia="Times New Roman" w:hAnsi="Verdana" w:cs="Calibri"/>
                <w:b/>
                <w:bCs/>
                <w:color w:val="000000"/>
                <w:sz w:val="16"/>
                <w:szCs w:val="16"/>
                <w:lang w:val="en-GB" w:eastAsia="en-GB"/>
              </w:rPr>
              <w:t>)</w:t>
            </w:r>
          </w:p>
        </w:tc>
        <w:tc>
          <w:tcPr>
            <w:tcW w:w="1998" w:type="dxa"/>
            <w:tcBorders>
              <w:top w:val="single" w:sz="4" w:space="0" w:color="auto"/>
              <w:left w:val="nil"/>
              <w:bottom w:val="single" w:sz="8" w:space="0" w:color="auto"/>
              <w:right w:val="nil"/>
            </w:tcBorders>
            <w:shd w:val="clear" w:color="000000" w:fill="FFFFFF"/>
            <w:noWrap/>
            <w:vAlign w:val="center"/>
            <w:hideMark/>
          </w:tcPr>
          <w:p w14:paraId="62845BBC" w14:textId="6FC5AAE3"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(6</w:t>
            </w:r>
            <w:r w:rsidR="00C53179">
              <w:rPr>
                <w:rFonts w:ascii="Verdana" w:eastAsia="Times New Roman" w:hAnsi="Verdana" w:cs="Calibri"/>
                <w:b/>
                <w:bCs/>
                <w:color w:val="000000"/>
                <w:sz w:val="16"/>
                <w:szCs w:val="16"/>
                <w:lang w:val="en-GB" w:eastAsia="en-GB"/>
              </w:rPr>
              <w:t>7,631</w:t>
            </w:r>
            <w:r w:rsidRPr="00192B82">
              <w:rPr>
                <w:rFonts w:ascii="Verdana" w:eastAsia="Times New Roman" w:hAnsi="Verdana" w:cs="Calibri"/>
                <w:b/>
                <w:bCs/>
                <w:color w:val="000000"/>
                <w:sz w:val="16"/>
                <w:szCs w:val="16"/>
                <w:lang w:val="en-GB" w:eastAsia="en-GB"/>
              </w:rPr>
              <w:t>)</w:t>
            </w:r>
          </w:p>
        </w:tc>
      </w:tr>
    </w:tbl>
    <w:p w14:paraId="4EA1C216" w14:textId="77777777" w:rsidR="00F227D9" w:rsidRPr="00DC1077" w:rsidRDefault="00F227D9">
      <w:pPr>
        <w:pStyle w:val="Normal0"/>
        <w:spacing w:after="160" w:line="259" w:lineRule="auto"/>
        <w:rPr>
          <w:rFonts w:ascii="Verdana" w:hAnsi="Verdana"/>
          <w:sz w:val="22"/>
          <w:szCs w:val="22"/>
          <w:highlight w:val="yellow"/>
          <w:lang w:val="en-GB"/>
        </w:rPr>
      </w:pPr>
    </w:p>
    <w:tbl>
      <w:tblPr>
        <w:tblW w:w="5000" w:type="pct"/>
        <w:tblLook w:val="04A0" w:firstRow="1" w:lastRow="0" w:firstColumn="1" w:lastColumn="0" w:noHBand="0" w:noVBand="1"/>
      </w:tblPr>
      <w:tblGrid>
        <w:gridCol w:w="1762"/>
        <w:gridCol w:w="2003"/>
        <w:gridCol w:w="2003"/>
        <w:gridCol w:w="3462"/>
        <w:gridCol w:w="1762"/>
        <w:gridCol w:w="2204"/>
        <w:gridCol w:w="2204"/>
      </w:tblGrid>
      <w:tr w:rsidR="00192B82" w:rsidRPr="00192B82" w14:paraId="6F4F3EB9" w14:textId="77777777" w:rsidTr="00764626">
        <w:trPr>
          <w:trHeight w:val="288"/>
        </w:trPr>
        <w:tc>
          <w:tcPr>
            <w:tcW w:w="1929" w:type="pct"/>
            <w:gridSpan w:val="3"/>
            <w:tcBorders>
              <w:top w:val="nil"/>
              <w:left w:val="nil"/>
              <w:bottom w:val="nil"/>
              <w:right w:val="nil"/>
            </w:tcBorders>
            <w:shd w:val="clear" w:color="000000" w:fill="FFFFFF"/>
            <w:noWrap/>
            <w:vAlign w:val="center"/>
            <w:hideMark/>
          </w:tcPr>
          <w:p w14:paraId="2E9FA441"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2019/20</w:t>
            </w:r>
          </w:p>
        </w:tc>
        <w:tc>
          <w:tcPr>
            <w:tcW w:w="1143" w:type="pct"/>
            <w:tcBorders>
              <w:top w:val="nil"/>
              <w:left w:val="nil"/>
              <w:bottom w:val="nil"/>
              <w:right w:val="nil"/>
            </w:tcBorders>
            <w:shd w:val="clear" w:color="000000" w:fill="FFFFFF"/>
            <w:noWrap/>
            <w:vAlign w:val="center"/>
            <w:hideMark/>
          </w:tcPr>
          <w:p w14:paraId="3D6D186C"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928" w:type="pct"/>
            <w:gridSpan w:val="3"/>
            <w:tcBorders>
              <w:top w:val="nil"/>
              <w:left w:val="nil"/>
              <w:bottom w:val="nil"/>
              <w:right w:val="nil"/>
            </w:tcBorders>
            <w:shd w:val="clear" w:color="000000" w:fill="FFFFFF"/>
            <w:noWrap/>
            <w:vAlign w:val="center"/>
            <w:hideMark/>
          </w:tcPr>
          <w:p w14:paraId="1D4EB3AA"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2020/21</w:t>
            </w:r>
          </w:p>
        </w:tc>
      </w:tr>
      <w:tr w:rsidR="00192B82" w:rsidRPr="00192B82" w14:paraId="78C34A08" w14:textId="77777777" w:rsidTr="00764626">
        <w:trPr>
          <w:trHeight w:val="612"/>
        </w:trPr>
        <w:tc>
          <w:tcPr>
            <w:tcW w:w="591" w:type="pct"/>
            <w:tcBorders>
              <w:top w:val="nil"/>
              <w:left w:val="nil"/>
              <w:bottom w:val="nil"/>
              <w:right w:val="nil"/>
            </w:tcBorders>
            <w:shd w:val="clear" w:color="000000" w:fill="FFFFFF"/>
            <w:noWrap/>
            <w:vAlign w:val="center"/>
            <w:hideMark/>
          </w:tcPr>
          <w:p w14:paraId="4E26215D"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27DAC4D4"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0EBDBCE7"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143" w:type="pct"/>
            <w:tcBorders>
              <w:top w:val="nil"/>
              <w:left w:val="nil"/>
              <w:bottom w:val="nil"/>
              <w:right w:val="nil"/>
            </w:tcBorders>
            <w:shd w:val="clear" w:color="000000" w:fill="FFFFFF"/>
            <w:vAlign w:val="center"/>
            <w:hideMark/>
          </w:tcPr>
          <w:p w14:paraId="2004B320"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Pensions Assets and Liabilities Recognised in the Balance Sheet</w:t>
            </w:r>
          </w:p>
        </w:tc>
        <w:tc>
          <w:tcPr>
            <w:tcW w:w="591" w:type="pct"/>
            <w:tcBorders>
              <w:top w:val="nil"/>
              <w:left w:val="nil"/>
              <w:bottom w:val="nil"/>
              <w:right w:val="nil"/>
            </w:tcBorders>
            <w:shd w:val="clear" w:color="auto" w:fill="auto"/>
            <w:noWrap/>
            <w:vAlign w:val="center"/>
            <w:hideMark/>
          </w:tcPr>
          <w:p w14:paraId="6F5897DB" w14:textId="77777777" w:rsidR="00192B82" w:rsidRPr="00192B82" w:rsidRDefault="00192B82" w:rsidP="00192B82">
            <w:pPr>
              <w:rPr>
                <w:rFonts w:ascii="Verdana" w:eastAsia="Times New Roman" w:hAnsi="Verdana" w:cs="Calibri"/>
                <w:b/>
                <w:bCs/>
                <w:color w:val="000000"/>
                <w:sz w:val="16"/>
                <w:szCs w:val="16"/>
                <w:lang w:val="en-GB" w:eastAsia="en-GB"/>
              </w:rPr>
            </w:pPr>
          </w:p>
        </w:tc>
        <w:tc>
          <w:tcPr>
            <w:tcW w:w="669" w:type="pct"/>
            <w:tcBorders>
              <w:top w:val="nil"/>
              <w:left w:val="nil"/>
              <w:bottom w:val="nil"/>
              <w:right w:val="nil"/>
            </w:tcBorders>
            <w:shd w:val="clear" w:color="000000" w:fill="FFFFFF"/>
            <w:noWrap/>
            <w:vAlign w:val="center"/>
            <w:hideMark/>
          </w:tcPr>
          <w:p w14:paraId="34C6A678"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43ED1173"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r>
      <w:tr w:rsidR="00192B82" w:rsidRPr="00192B82" w14:paraId="1B62DAD7" w14:textId="77777777" w:rsidTr="00764626">
        <w:trPr>
          <w:trHeight w:val="204"/>
        </w:trPr>
        <w:tc>
          <w:tcPr>
            <w:tcW w:w="591" w:type="pct"/>
            <w:tcBorders>
              <w:top w:val="nil"/>
              <w:left w:val="nil"/>
              <w:bottom w:val="nil"/>
              <w:right w:val="nil"/>
            </w:tcBorders>
            <w:shd w:val="clear" w:color="000000" w:fill="FFFFFF"/>
            <w:noWrap/>
            <w:vAlign w:val="center"/>
            <w:hideMark/>
          </w:tcPr>
          <w:p w14:paraId="76FC0C4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LGPS </w:t>
            </w:r>
          </w:p>
        </w:tc>
        <w:tc>
          <w:tcPr>
            <w:tcW w:w="669" w:type="pct"/>
            <w:tcBorders>
              <w:top w:val="nil"/>
              <w:left w:val="nil"/>
              <w:bottom w:val="nil"/>
              <w:right w:val="nil"/>
            </w:tcBorders>
            <w:shd w:val="clear" w:color="000000" w:fill="FFFFFF"/>
            <w:vAlign w:val="center"/>
            <w:hideMark/>
          </w:tcPr>
          <w:p w14:paraId="3E6F742E"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669" w:type="pct"/>
            <w:tcBorders>
              <w:top w:val="nil"/>
              <w:left w:val="nil"/>
              <w:bottom w:val="nil"/>
              <w:right w:val="nil"/>
            </w:tcBorders>
            <w:shd w:val="clear" w:color="000000" w:fill="FFFFFF"/>
            <w:vAlign w:val="center"/>
            <w:hideMark/>
          </w:tcPr>
          <w:p w14:paraId="54C8DCB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c>
          <w:tcPr>
            <w:tcW w:w="1143" w:type="pct"/>
            <w:tcBorders>
              <w:top w:val="nil"/>
              <w:left w:val="nil"/>
              <w:bottom w:val="nil"/>
              <w:right w:val="nil"/>
            </w:tcBorders>
            <w:shd w:val="clear" w:color="000000" w:fill="FFFFFF"/>
            <w:noWrap/>
            <w:vAlign w:val="center"/>
            <w:hideMark/>
          </w:tcPr>
          <w:p w14:paraId="38C7D6FC"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658F431B"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LGPS </w:t>
            </w:r>
          </w:p>
        </w:tc>
        <w:tc>
          <w:tcPr>
            <w:tcW w:w="669" w:type="pct"/>
            <w:tcBorders>
              <w:top w:val="nil"/>
              <w:left w:val="nil"/>
              <w:bottom w:val="nil"/>
              <w:right w:val="nil"/>
            </w:tcBorders>
            <w:shd w:val="clear" w:color="000000" w:fill="FFFFFF"/>
            <w:vAlign w:val="center"/>
            <w:hideMark/>
          </w:tcPr>
          <w:p w14:paraId="440E608A"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668" w:type="pct"/>
            <w:tcBorders>
              <w:top w:val="nil"/>
              <w:left w:val="nil"/>
              <w:bottom w:val="nil"/>
              <w:right w:val="nil"/>
            </w:tcBorders>
            <w:shd w:val="clear" w:color="000000" w:fill="FFFFFF"/>
            <w:vAlign w:val="center"/>
            <w:hideMark/>
          </w:tcPr>
          <w:p w14:paraId="769A6007"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r>
      <w:tr w:rsidR="00192B82" w:rsidRPr="00192B82" w14:paraId="3DF5B0C1" w14:textId="77777777" w:rsidTr="00764626">
        <w:trPr>
          <w:trHeight w:val="204"/>
        </w:trPr>
        <w:tc>
          <w:tcPr>
            <w:tcW w:w="591" w:type="pct"/>
            <w:tcBorders>
              <w:top w:val="nil"/>
              <w:left w:val="nil"/>
              <w:bottom w:val="nil"/>
              <w:right w:val="nil"/>
            </w:tcBorders>
            <w:shd w:val="clear" w:color="000000" w:fill="FFFFFF"/>
            <w:noWrap/>
            <w:vAlign w:val="bottom"/>
            <w:hideMark/>
          </w:tcPr>
          <w:p w14:paraId="3A722BF8"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490D95F8"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293F32DF"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bottom"/>
            <w:hideMark/>
          </w:tcPr>
          <w:p w14:paraId="788F5E70"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nil"/>
              <w:right w:val="nil"/>
            </w:tcBorders>
            <w:shd w:val="clear" w:color="000000" w:fill="FFFFFF"/>
            <w:noWrap/>
            <w:vAlign w:val="bottom"/>
            <w:hideMark/>
          </w:tcPr>
          <w:p w14:paraId="2F26EF31"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03B2F210"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bottom"/>
            <w:hideMark/>
          </w:tcPr>
          <w:p w14:paraId="02FCF954"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6BFC13FF" w14:textId="77777777" w:rsidTr="00764626">
        <w:trPr>
          <w:trHeight w:val="204"/>
        </w:trPr>
        <w:tc>
          <w:tcPr>
            <w:tcW w:w="591" w:type="pct"/>
            <w:tcBorders>
              <w:top w:val="nil"/>
              <w:left w:val="nil"/>
              <w:bottom w:val="single" w:sz="4" w:space="0" w:color="auto"/>
              <w:right w:val="nil"/>
            </w:tcBorders>
            <w:shd w:val="clear" w:color="000000" w:fill="FFFFFF"/>
            <w:noWrap/>
            <w:vAlign w:val="center"/>
            <w:hideMark/>
          </w:tcPr>
          <w:p w14:paraId="158AC086"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07088816"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6D59585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143" w:type="pct"/>
            <w:tcBorders>
              <w:top w:val="nil"/>
              <w:left w:val="nil"/>
              <w:bottom w:val="single" w:sz="4" w:space="0" w:color="auto"/>
              <w:right w:val="nil"/>
            </w:tcBorders>
            <w:shd w:val="clear" w:color="000000" w:fill="FFFFFF"/>
            <w:noWrap/>
            <w:vAlign w:val="center"/>
            <w:hideMark/>
          </w:tcPr>
          <w:p w14:paraId="179E926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single" w:sz="4" w:space="0" w:color="auto"/>
              <w:right w:val="nil"/>
            </w:tcBorders>
            <w:shd w:val="clear" w:color="000000" w:fill="FFFFFF"/>
            <w:noWrap/>
            <w:vAlign w:val="center"/>
            <w:hideMark/>
          </w:tcPr>
          <w:p w14:paraId="3962D42E"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1F72B7FD"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8" w:type="pct"/>
            <w:tcBorders>
              <w:top w:val="nil"/>
              <w:left w:val="nil"/>
              <w:bottom w:val="single" w:sz="4" w:space="0" w:color="auto"/>
              <w:right w:val="nil"/>
            </w:tcBorders>
            <w:shd w:val="clear" w:color="000000" w:fill="FFFFFF"/>
            <w:noWrap/>
            <w:vAlign w:val="center"/>
            <w:hideMark/>
          </w:tcPr>
          <w:p w14:paraId="0F091F22"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r>
      <w:tr w:rsidR="00192B82" w:rsidRPr="00192B82" w14:paraId="63E5A7F5" w14:textId="77777777" w:rsidTr="00764626">
        <w:trPr>
          <w:trHeight w:val="408"/>
        </w:trPr>
        <w:tc>
          <w:tcPr>
            <w:tcW w:w="591" w:type="pct"/>
            <w:tcBorders>
              <w:top w:val="nil"/>
              <w:left w:val="nil"/>
              <w:bottom w:val="nil"/>
              <w:right w:val="nil"/>
            </w:tcBorders>
            <w:shd w:val="clear" w:color="000000" w:fill="FFFFFF"/>
            <w:noWrap/>
            <w:vAlign w:val="center"/>
            <w:hideMark/>
          </w:tcPr>
          <w:p w14:paraId="409803C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(403,072)</w:t>
            </w:r>
          </w:p>
        </w:tc>
        <w:tc>
          <w:tcPr>
            <w:tcW w:w="669" w:type="pct"/>
            <w:tcBorders>
              <w:top w:val="nil"/>
              <w:left w:val="nil"/>
              <w:bottom w:val="nil"/>
              <w:right w:val="nil"/>
            </w:tcBorders>
            <w:shd w:val="clear" w:color="000000" w:fill="FFFFFF"/>
            <w:noWrap/>
            <w:vAlign w:val="center"/>
            <w:hideMark/>
          </w:tcPr>
          <w:p w14:paraId="22D53FD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(1,896,060)</w:t>
            </w:r>
          </w:p>
        </w:tc>
        <w:tc>
          <w:tcPr>
            <w:tcW w:w="669" w:type="pct"/>
            <w:tcBorders>
              <w:top w:val="nil"/>
              <w:left w:val="nil"/>
              <w:bottom w:val="nil"/>
              <w:right w:val="nil"/>
            </w:tcBorders>
            <w:shd w:val="clear" w:color="000000" w:fill="FFFFFF"/>
            <w:noWrap/>
            <w:vAlign w:val="center"/>
            <w:hideMark/>
          </w:tcPr>
          <w:p w14:paraId="69FFA39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(2,299,132)</w:t>
            </w:r>
          </w:p>
        </w:tc>
        <w:tc>
          <w:tcPr>
            <w:tcW w:w="1143" w:type="pct"/>
            <w:tcBorders>
              <w:top w:val="nil"/>
              <w:left w:val="nil"/>
              <w:bottom w:val="nil"/>
              <w:right w:val="nil"/>
            </w:tcBorders>
            <w:shd w:val="clear" w:color="000000" w:fill="FFFFFF"/>
            <w:vAlign w:val="center"/>
            <w:hideMark/>
          </w:tcPr>
          <w:p w14:paraId="0F342C21" w14:textId="327A0916" w:rsidR="00192B82" w:rsidRPr="00192B82" w:rsidRDefault="00764626" w:rsidP="00192B82">
            <w:pPr>
              <w:ind w:firstLineChars="100" w:firstLine="160"/>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Present value of the defin</w:t>
            </w:r>
            <w:r w:rsidR="00192B82" w:rsidRPr="00192B82">
              <w:rPr>
                <w:rFonts w:ascii="Verdana" w:eastAsia="Times New Roman" w:hAnsi="Verdana" w:cs="Calibri"/>
                <w:color w:val="000000"/>
                <w:sz w:val="16"/>
                <w:szCs w:val="16"/>
                <w:lang w:val="en-GB" w:eastAsia="en-GB"/>
              </w:rPr>
              <w:t>ed obligation</w:t>
            </w:r>
          </w:p>
        </w:tc>
        <w:tc>
          <w:tcPr>
            <w:tcW w:w="591" w:type="pct"/>
            <w:tcBorders>
              <w:top w:val="nil"/>
              <w:left w:val="nil"/>
              <w:bottom w:val="nil"/>
              <w:right w:val="nil"/>
            </w:tcBorders>
            <w:shd w:val="clear" w:color="000000" w:fill="FFFFFF"/>
            <w:noWrap/>
            <w:vAlign w:val="center"/>
            <w:hideMark/>
          </w:tcPr>
          <w:p w14:paraId="5F8DB80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(575,908)</w:t>
            </w:r>
          </w:p>
        </w:tc>
        <w:tc>
          <w:tcPr>
            <w:tcW w:w="669" w:type="pct"/>
            <w:tcBorders>
              <w:top w:val="nil"/>
              <w:left w:val="nil"/>
              <w:bottom w:val="nil"/>
              <w:right w:val="nil"/>
            </w:tcBorders>
            <w:shd w:val="clear" w:color="000000" w:fill="FFFFFF"/>
            <w:noWrap/>
            <w:vAlign w:val="center"/>
            <w:hideMark/>
          </w:tcPr>
          <w:p w14:paraId="5AD95CF9" w14:textId="0D39C0AD" w:rsidR="00192B82" w:rsidRPr="00192B82" w:rsidRDefault="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w:t>
            </w:r>
            <w:r w:rsidR="00A94DE1">
              <w:rPr>
                <w:rFonts w:ascii="Verdana" w:eastAsia="Times New Roman" w:hAnsi="Verdana" w:cs="Calibri"/>
                <w:color w:val="000000"/>
                <w:sz w:val="16"/>
                <w:szCs w:val="16"/>
                <w:lang w:val="en-GB" w:eastAsia="en-GB"/>
              </w:rPr>
              <w:t>956,910</w:t>
            </w:r>
            <w:r w:rsidRPr="00192B82">
              <w:rPr>
                <w:rFonts w:ascii="Verdana" w:eastAsia="Times New Roman" w:hAnsi="Verdana" w:cs="Calibri"/>
                <w:color w:val="000000"/>
                <w:sz w:val="16"/>
                <w:szCs w:val="16"/>
                <w:lang w:val="en-GB" w:eastAsia="en-GB"/>
              </w:rPr>
              <w:t>)</w:t>
            </w:r>
          </w:p>
        </w:tc>
        <w:tc>
          <w:tcPr>
            <w:tcW w:w="668" w:type="pct"/>
            <w:tcBorders>
              <w:top w:val="nil"/>
              <w:left w:val="nil"/>
              <w:bottom w:val="nil"/>
              <w:right w:val="nil"/>
            </w:tcBorders>
            <w:shd w:val="clear" w:color="000000" w:fill="FFFFFF"/>
            <w:noWrap/>
            <w:vAlign w:val="center"/>
            <w:hideMark/>
          </w:tcPr>
          <w:p w14:paraId="5FD0AF65" w14:textId="7BA16A36" w:rsidR="00192B82" w:rsidRPr="00192B82" w:rsidRDefault="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w:t>
            </w:r>
            <w:r w:rsidR="00A94DE1">
              <w:rPr>
                <w:rFonts w:ascii="Verdana" w:eastAsia="Times New Roman" w:hAnsi="Verdana" w:cs="Calibri"/>
                <w:color w:val="000000"/>
                <w:sz w:val="16"/>
                <w:szCs w:val="16"/>
                <w:lang w:val="en-GB" w:eastAsia="en-GB"/>
              </w:rPr>
              <w:t>532,818</w:t>
            </w:r>
            <w:r w:rsidRPr="00192B82">
              <w:rPr>
                <w:rFonts w:ascii="Verdana" w:eastAsia="Times New Roman" w:hAnsi="Verdana" w:cs="Calibri"/>
                <w:color w:val="000000"/>
                <w:sz w:val="16"/>
                <w:szCs w:val="16"/>
                <w:lang w:val="en-GB" w:eastAsia="en-GB"/>
              </w:rPr>
              <w:t>)</w:t>
            </w:r>
          </w:p>
        </w:tc>
      </w:tr>
      <w:tr w:rsidR="00192B82" w:rsidRPr="00192B82" w14:paraId="5B6A6A48" w14:textId="77777777" w:rsidTr="00764626">
        <w:trPr>
          <w:trHeight w:val="70"/>
        </w:trPr>
        <w:tc>
          <w:tcPr>
            <w:tcW w:w="591" w:type="pct"/>
            <w:tcBorders>
              <w:top w:val="nil"/>
              <w:left w:val="nil"/>
              <w:bottom w:val="nil"/>
              <w:right w:val="nil"/>
            </w:tcBorders>
            <w:shd w:val="clear" w:color="000000" w:fill="FFFFFF"/>
            <w:noWrap/>
            <w:vAlign w:val="center"/>
            <w:hideMark/>
          </w:tcPr>
          <w:p w14:paraId="40780E9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272,577</w:t>
            </w:r>
          </w:p>
        </w:tc>
        <w:tc>
          <w:tcPr>
            <w:tcW w:w="669" w:type="pct"/>
            <w:tcBorders>
              <w:top w:val="nil"/>
              <w:left w:val="nil"/>
              <w:bottom w:val="nil"/>
              <w:right w:val="nil"/>
            </w:tcBorders>
            <w:shd w:val="clear" w:color="000000" w:fill="FFFFFF"/>
            <w:noWrap/>
            <w:vAlign w:val="center"/>
            <w:hideMark/>
          </w:tcPr>
          <w:p w14:paraId="58D4245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5D83495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272,577</w:t>
            </w:r>
          </w:p>
        </w:tc>
        <w:tc>
          <w:tcPr>
            <w:tcW w:w="1143" w:type="pct"/>
            <w:tcBorders>
              <w:top w:val="nil"/>
              <w:left w:val="nil"/>
              <w:bottom w:val="nil"/>
              <w:right w:val="nil"/>
            </w:tcBorders>
            <w:shd w:val="clear" w:color="000000" w:fill="FFFFFF"/>
            <w:noWrap/>
            <w:vAlign w:val="center"/>
            <w:hideMark/>
          </w:tcPr>
          <w:p w14:paraId="10A174BC"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Fair value of plan assets</w:t>
            </w:r>
          </w:p>
        </w:tc>
        <w:tc>
          <w:tcPr>
            <w:tcW w:w="591" w:type="pct"/>
            <w:tcBorders>
              <w:top w:val="nil"/>
              <w:left w:val="nil"/>
              <w:bottom w:val="nil"/>
              <w:right w:val="nil"/>
            </w:tcBorders>
            <w:shd w:val="clear" w:color="000000" w:fill="FFFFFF"/>
            <w:noWrap/>
            <w:vAlign w:val="center"/>
            <w:hideMark/>
          </w:tcPr>
          <w:p w14:paraId="1D0819E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358,772</w:t>
            </w:r>
          </w:p>
        </w:tc>
        <w:tc>
          <w:tcPr>
            <w:tcW w:w="669" w:type="pct"/>
            <w:tcBorders>
              <w:top w:val="nil"/>
              <w:left w:val="nil"/>
              <w:bottom w:val="nil"/>
              <w:right w:val="nil"/>
            </w:tcBorders>
            <w:shd w:val="clear" w:color="000000" w:fill="FFFFFF"/>
            <w:noWrap/>
            <w:vAlign w:val="center"/>
            <w:hideMark/>
          </w:tcPr>
          <w:p w14:paraId="5AD58E7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4DC6B71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358,772</w:t>
            </w:r>
          </w:p>
        </w:tc>
      </w:tr>
      <w:tr w:rsidR="00192B82" w:rsidRPr="00192B82" w14:paraId="50AD2590" w14:textId="77777777" w:rsidTr="00764626">
        <w:trPr>
          <w:trHeight w:val="70"/>
        </w:trPr>
        <w:tc>
          <w:tcPr>
            <w:tcW w:w="591" w:type="pct"/>
            <w:tcBorders>
              <w:top w:val="nil"/>
              <w:left w:val="nil"/>
              <w:bottom w:val="nil"/>
              <w:right w:val="nil"/>
            </w:tcBorders>
            <w:shd w:val="clear" w:color="000000" w:fill="FFFFFF"/>
            <w:noWrap/>
            <w:vAlign w:val="center"/>
            <w:hideMark/>
          </w:tcPr>
          <w:p w14:paraId="1C7C3B3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64F7F4B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1773B42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4CD2DAF7"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5027024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03905C9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543D59D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54A1504B" w14:textId="77777777" w:rsidTr="00764626">
        <w:trPr>
          <w:trHeight w:val="624"/>
        </w:trPr>
        <w:tc>
          <w:tcPr>
            <w:tcW w:w="591" w:type="pct"/>
            <w:tcBorders>
              <w:top w:val="single" w:sz="4" w:space="0" w:color="auto"/>
              <w:left w:val="nil"/>
              <w:bottom w:val="single" w:sz="8" w:space="0" w:color="auto"/>
              <w:right w:val="nil"/>
            </w:tcBorders>
            <w:shd w:val="clear" w:color="000000" w:fill="FFFFFF"/>
            <w:noWrap/>
            <w:vAlign w:val="center"/>
            <w:hideMark/>
          </w:tcPr>
          <w:p w14:paraId="1D86DA95"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(130,495)</w:t>
            </w:r>
          </w:p>
        </w:tc>
        <w:tc>
          <w:tcPr>
            <w:tcW w:w="669" w:type="pct"/>
            <w:tcBorders>
              <w:top w:val="single" w:sz="4" w:space="0" w:color="auto"/>
              <w:left w:val="nil"/>
              <w:bottom w:val="single" w:sz="8" w:space="0" w:color="auto"/>
              <w:right w:val="nil"/>
            </w:tcBorders>
            <w:shd w:val="clear" w:color="000000" w:fill="FFFFFF"/>
            <w:noWrap/>
            <w:vAlign w:val="center"/>
            <w:hideMark/>
          </w:tcPr>
          <w:p w14:paraId="597C54BA"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(1,896,060)</w:t>
            </w:r>
          </w:p>
        </w:tc>
        <w:tc>
          <w:tcPr>
            <w:tcW w:w="669" w:type="pct"/>
            <w:tcBorders>
              <w:top w:val="single" w:sz="4" w:space="0" w:color="auto"/>
              <w:left w:val="nil"/>
              <w:bottom w:val="single" w:sz="8" w:space="0" w:color="auto"/>
              <w:right w:val="nil"/>
            </w:tcBorders>
            <w:shd w:val="clear" w:color="000000" w:fill="FFFFFF"/>
            <w:noWrap/>
            <w:vAlign w:val="center"/>
            <w:hideMark/>
          </w:tcPr>
          <w:p w14:paraId="11CB522B"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(2,026,555)</w:t>
            </w:r>
          </w:p>
        </w:tc>
        <w:tc>
          <w:tcPr>
            <w:tcW w:w="1143" w:type="pct"/>
            <w:tcBorders>
              <w:top w:val="single" w:sz="4" w:space="0" w:color="auto"/>
              <w:left w:val="nil"/>
              <w:bottom w:val="single" w:sz="8" w:space="0" w:color="auto"/>
              <w:right w:val="nil"/>
            </w:tcBorders>
            <w:shd w:val="clear" w:color="000000" w:fill="FFFFFF"/>
            <w:vAlign w:val="center"/>
            <w:hideMark/>
          </w:tcPr>
          <w:p w14:paraId="401BF2FE"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Net (liability) / asset arising from the defined benefit obligation</w:t>
            </w:r>
          </w:p>
        </w:tc>
        <w:tc>
          <w:tcPr>
            <w:tcW w:w="591" w:type="pct"/>
            <w:tcBorders>
              <w:top w:val="single" w:sz="4" w:space="0" w:color="auto"/>
              <w:left w:val="nil"/>
              <w:bottom w:val="single" w:sz="8" w:space="0" w:color="auto"/>
              <w:right w:val="nil"/>
            </w:tcBorders>
            <w:shd w:val="clear" w:color="000000" w:fill="FFFFFF"/>
            <w:noWrap/>
            <w:vAlign w:val="center"/>
            <w:hideMark/>
          </w:tcPr>
          <w:p w14:paraId="0B45DD08"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(217,136)</w:t>
            </w:r>
          </w:p>
        </w:tc>
        <w:tc>
          <w:tcPr>
            <w:tcW w:w="669" w:type="pct"/>
            <w:tcBorders>
              <w:top w:val="single" w:sz="4" w:space="0" w:color="auto"/>
              <w:left w:val="nil"/>
              <w:bottom w:val="single" w:sz="8" w:space="0" w:color="auto"/>
              <w:right w:val="nil"/>
            </w:tcBorders>
            <w:shd w:val="clear" w:color="000000" w:fill="FFFFFF"/>
            <w:noWrap/>
            <w:vAlign w:val="center"/>
            <w:hideMark/>
          </w:tcPr>
          <w:p w14:paraId="123D3ED2" w14:textId="7A7490C0"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w:t>
            </w:r>
            <w:r w:rsidR="00A94DE1">
              <w:rPr>
                <w:rFonts w:ascii="Verdana" w:eastAsia="Times New Roman" w:hAnsi="Verdana" w:cs="Calibri"/>
                <w:b/>
                <w:bCs/>
                <w:color w:val="000000"/>
                <w:sz w:val="16"/>
                <w:szCs w:val="16"/>
                <w:lang w:val="en-GB" w:eastAsia="en-GB"/>
              </w:rPr>
              <w:t>956,910</w:t>
            </w:r>
            <w:r w:rsidRPr="00192B82">
              <w:rPr>
                <w:rFonts w:ascii="Verdana" w:eastAsia="Times New Roman" w:hAnsi="Verdana" w:cs="Calibri"/>
                <w:b/>
                <w:bCs/>
                <w:color w:val="000000"/>
                <w:sz w:val="16"/>
                <w:szCs w:val="16"/>
                <w:lang w:val="en-GB" w:eastAsia="en-GB"/>
              </w:rPr>
              <w:t>)</w:t>
            </w:r>
          </w:p>
        </w:tc>
        <w:tc>
          <w:tcPr>
            <w:tcW w:w="668" w:type="pct"/>
            <w:tcBorders>
              <w:top w:val="single" w:sz="4" w:space="0" w:color="auto"/>
              <w:left w:val="nil"/>
              <w:bottom w:val="single" w:sz="8" w:space="0" w:color="auto"/>
              <w:right w:val="nil"/>
            </w:tcBorders>
            <w:shd w:val="clear" w:color="000000" w:fill="FFFFFF"/>
            <w:noWrap/>
            <w:vAlign w:val="center"/>
            <w:hideMark/>
          </w:tcPr>
          <w:p w14:paraId="529FB9A2" w14:textId="64E20EC2"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w:t>
            </w:r>
            <w:r w:rsidR="00A94DE1">
              <w:rPr>
                <w:rFonts w:ascii="Verdana" w:eastAsia="Times New Roman" w:hAnsi="Verdana" w:cs="Calibri"/>
                <w:b/>
                <w:bCs/>
                <w:color w:val="000000"/>
                <w:sz w:val="16"/>
                <w:szCs w:val="16"/>
                <w:lang w:val="en-GB" w:eastAsia="en-GB"/>
              </w:rPr>
              <w:t>174,046</w:t>
            </w:r>
            <w:r w:rsidRPr="00192B82">
              <w:rPr>
                <w:rFonts w:ascii="Verdana" w:eastAsia="Times New Roman" w:hAnsi="Verdana" w:cs="Calibri"/>
                <w:b/>
                <w:bCs/>
                <w:color w:val="000000"/>
                <w:sz w:val="16"/>
                <w:szCs w:val="16"/>
                <w:lang w:val="en-GB" w:eastAsia="en-GB"/>
              </w:rPr>
              <w:t>)</w:t>
            </w:r>
          </w:p>
        </w:tc>
      </w:tr>
    </w:tbl>
    <w:p w14:paraId="1188F7B8" w14:textId="77777777" w:rsidR="00764626" w:rsidRDefault="00764626">
      <w:r>
        <w:br w:type="page"/>
      </w:r>
    </w:p>
    <w:tbl>
      <w:tblPr>
        <w:tblW w:w="5000" w:type="pct"/>
        <w:tblLook w:val="04A0" w:firstRow="1" w:lastRow="0" w:firstColumn="1" w:lastColumn="0" w:noHBand="0" w:noVBand="1"/>
      </w:tblPr>
      <w:tblGrid>
        <w:gridCol w:w="1820"/>
        <w:gridCol w:w="2061"/>
        <w:gridCol w:w="2061"/>
        <w:gridCol w:w="3520"/>
        <w:gridCol w:w="1820"/>
        <w:gridCol w:w="2061"/>
        <w:gridCol w:w="2057"/>
      </w:tblGrid>
      <w:tr w:rsidR="00192B82" w:rsidRPr="00192B82" w14:paraId="03C4333B" w14:textId="77777777" w:rsidTr="00764626">
        <w:trPr>
          <w:trHeight w:val="288"/>
        </w:trPr>
        <w:tc>
          <w:tcPr>
            <w:tcW w:w="591" w:type="pct"/>
            <w:tcBorders>
              <w:top w:val="nil"/>
              <w:left w:val="nil"/>
              <w:bottom w:val="nil"/>
              <w:right w:val="nil"/>
            </w:tcBorders>
            <w:shd w:val="clear" w:color="000000" w:fill="FFFFFF"/>
            <w:noWrap/>
            <w:vAlign w:val="bottom"/>
            <w:hideMark/>
          </w:tcPr>
          <w:p w14:paraId="72A86458" w14:textId="730B3F51" w:rsid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p w14:paraId="411E709D" w14:textId="77777777" w:rsidR="00764626" w:rsidRDefault="00764626" w:rsidP="00192B82">
            <w:pPr>
              <w:rPr>
                <w:rFonts w:ascii="Calibri" w:eastAsia="Times New Roman" w:hAnsi="Calibri" w:cs="Calibri"/>
                <w:color w:val="000000"/>
                <w:sz w:val="22"/>
                <w:szCs w:val="22"/>
                <w:lang w:val="en-GB" w:eastAsia="en-GB"/>
              </w:rPr>
            </w:pPr>
          </w:p>
          <w:p w14:paraId="47D31F8F" w14:textId="77777777" w:rsidR="00764626" w:rsidRDefault="00764626" w:rsidP="00192B82">
            <w:pPr>
              <w:rPr>
                <w:rFonts w:ascii="Calibri" w:eastAsia="Times New Roman" w:hAnsi="Calibri" w:cs="Calibri"/>
                <w:color w:val="000000"/>
                <w:sz w:val="22"/>
                <w:szCs w:val="22"/>
                <w:lang w:val="en-GB" w:eastAsia="en-GB"/>
              </w:rPr>
            </w:pPr>
          </w:p>
          <w:p w14:paraId="096E99B4" w14:textId="77777777" w:rsidR="00764626" w:rsidRDefault="00764626" w:rsidP="00192B82">
            <w:pPr>
              <w:rPr>
                <w:rFonts w:ascii="Calibri" w:eastAsia="Times New Roman" w:hAnsi="Calibri" w:cs="Calibri"/>
                <w:color w:val="000000"/>
                <w:sz w:val="22"/>
                <w:szCs w:val="22"/>
                <w:lang w:val="en-GB" w:eastAsia="en-GB"/>
              </w:rPr>
            </w:pPr>
          </w:p>
          <w:p w14:paraId="4B924249" w14:textId="77777777" w:rsidR="00764626" w:rsidRPr="00192B82" w:rsidRDefault="00764626" w:rsidP="00192B82">
            <w:pPr>
              <w:rPr>
                <w:rFonts w:ascii="Calibri" w:eastAsia="Times New Roman" w:hAnsi="Calibri" w:cs="Calibri"/>
                <w:color w:val="000000"/>
                <w:sz w:val="22"/>
                <w:szCs w:val="22"/>
                <w:lang w:val="en-GB" w:eastAsia="en-GB"/>
              </w:rPr>
            </w:pPr>
          </w:p>
        </w:tc>
        <w:tc>
          <w:tcPr>
            <w:tcW w:w="669" w:type="pct"/>
            <w:tcBorders>
              <w:top w:val="nil"/>
              <w:left w:val="nil"/>
              <w:bottom w:val="nil"/>
              <w:right w:val="nil"/>
            </w:tcBorders>
            <w:shd w:val="clear" w:color="000000" w:fill="FFFFFF"/>
            <w:noWrap/>
            <w:vAlign w:val="bottom"/>
            <w:hideMark/>
          </w:tcPr>
          <w:p w14:paraId="4505B9B8"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9" w:type="pct"/>
            <w:tcBorders>
              <w:top w:val="nil"/>
              <w:left w:val="nil"/>
              <w:bottom w:val="nil"/>
              <w:right w:val="nil"/>
            </w:tcBorders>
            <w:shd w:val="clear" w:color="000000" w:fill="FFFFFF"/>
            <w:noWrap/>
            <w:vAlign w:val="bottom"/>
            <w:hideMark/>
          </w:tcPr>
          <w:p w14:paraId="07B2A176"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1143" w:type="pct"/>
            <w:tcBorders>
              <w:top w:val="nil"/>
              <w:left w:val="nil"/>
              <w:bottom w:val="nil"/>
              <w:right w:val="nil"/>
            </w:tcBorders>
            <w:shd w:val="clear" w:color="000000" w:fill="FFFFFF"/>
            <w:noWrap/>
            <w:vAlign w:val="bottom"/>
            <w:hideMark/>
          </w:tcPr>
          <w:p w14:paraId="6AE8E8A2"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591" w:type="pct"/>
            <w:tcBorders>
              <w:top w:val="nil"/>
              <w:left w:val="nil"/>
              <w:bottom w:val="nil"/>
              <w:right w:val="nil"/>
            </w:tcBorders>
            <w:shd w:val="clear" w:color="000000" w:fill="FFFFFF"/>
            <w:noWrap/>
            <w:vAlign w:val="bottom"/>
            <w:hideMark/>
          </w:tcPr>
          <w:p w14:paraId="0431749C"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9" w:type="pct"/>
            <w:tcBorders>
              <w:top w:val="nil"/>
              <w:left w:val="nil"/>
              <w:bottom w:val="nil"/>
              <w:right w:val="nil"/>
            </w:tcBorders>
            <w:shd w:val="clear" w:color="000000" w:fill="FFFFFF"/>
            <w:noWrap/>
            <w:vAlign w:val="bottom"/>
            <w:hideMark/>
          </w:tcPr>
          <w:p w14:paraId="78532B8E"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8" w:type="pct"/>
            <w:tcBorders>
              <w:top w:val="nil"/>
              <w:left w:val="nil"/>
              <w:bottom w:val="nil"/>
              <w:right w:val="nil"/>
            </w:tcBorders>
            <w:shd w:val="clear" w:color="000000" w:fill="FFFFFF"/>
            <w:noWrap/>
            <w:vAlign w:val="bottom"/>
            <w:hideMark/>
          </w:tcPr>
          <w:p w14:paraId="29BAF134"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r>
      <w:tr w:rsidR="00192B82" w:rsidRPr="00192B82" w14:paraId="44F3F8C0" w14:textId="77777777" w:rsidTr="00764626">
        <w:trPr>
          <w:trHeight w:val="288"/>
        </w:trPr>
        <w:tc>
          <w:tcPr>
            <w:tcW w:w="1929" w:type="pct"/>
            <w:gridSpan w:val="3"/>
            <w:tcBorders>
              <w:top w:val="nil"/>
              <w:left w:val="nil"/>
              <w:bottom w:val="nil"/>
              <w:right w:val="nil"/>
            </w:tcBorders>
            <w:shd w:val="clear" w:color="000000" w:fill="FFFFFF"/>
            <w:noWrap/>
            <w:vAlign w:val="center"/>
            <w:hideMark/>
          </w:tcPr>
          <w:p w14:paraId="18EE2206"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2019/20</w:t>
            </w:r>
          </w:p>
        </w:tc>
        <w:tc>
          <w:tcPr>
            <w:tcW w:w="1143" w:type="pct"/>
            <w:tcBorders>
              <w:top w:val="nil"/>
              <w:left w:val="nil"/>
              <w:bottom w:val="nil"/>
              <w:right w:val="nil"/>
            </w:tcBorders>
            <w:shd w:val="clear" w:color="000000" w:fill="FFFFFF"/>
            <w:noWrap/>
            <w:vAlign w:val="center"/>
            <w:hideMark/>
          </w:tcPr>
          <w:p w14:paraId="029BED84"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928" w:type="pct"/>
            <w:gridSpan w:val="3"/>
            <w:tcBorders>
              <w:top w:val="nil"/>
              <w:left w:val="nil"/>
              <w:bottom w:val="nil"/>
              <w:right w:val="nil"/>
            </w:tcBorders>
            <w:shd w:val="clear" w:color="000000" w:fill="FFFFFF"/>
            <w:noWrap/>
            <w:vAlign w:val="center"/>
            <w:hideMark/>
          </w:tcPr>
          <w:p w14:paraId="32F3904F"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2020/21</w:t>
            </w:r>
          </w:p>
        </w:tc>
      </w:tr>
      <w:tr w:rsidR="00192B82" w:rsidRPr="00192B82" w14:paraId="369D6700" w14:textId="77777777" w:rsidTr="00764626">
        <w:trPr>
          <w:trHeight w:val="408"/>
        </w:trPr>
        <w:tc>
          <w:tcPr>
            <w:tcW w:w="591" w:type="pct"/>
            <w:tcBorders>
              <w:top w:val="nil"/>
              <w:left w:val="nil"/>
              <w:bottom w:val="nil"/>
              <w:right w:val="nil"/>
            </w:tcBorders>
            <w:shd w:val="clear" w:color="000000" w:fill="FFFFFF"/>
            <w:noWrap/>
            <w:vAlign w:val="center"/>
            <w:hideMark/>
          </w:tcPr>
          <w:p w14:paraId="5E9AA442"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669" w:type="pct"/>
            <w:tcBorders>
              <w:top w:val="nil"/>
              <w:left w:val="nil"/>
              <w:bottom w:val="nil"/>
              <w:right w:val="nil"/>
            </w:tcBorders>
            <w:shd w:val="clear" w:color="000000" w:fill="FFFFFF"/>
            <w:vAlign w:val="center"/>
            <w:hideMark/>
          </w:tcPr>
          <w:p w14:paraId="6D9C4EE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669" w:type="pct"/>
            <w:tcBorders>
              <w:top w:val="nil"/>
              <w:left w:val="nil"/>
              <w:bottom w:val="nil"/>
              <w:right w:val="nil"/>
            </w:tcBorders>
            <w:shd w:val="clear" w:color="000000" w:fill="FFFFFF"/>
            <w:vAlign w:val="center"/>
            <w:hideMark/>
          </w:tcPr>
          <w:p w14:paraId="208B75A5"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c>
          <w:tcPr>
            <w:tcW w:w="1143" w:type="pct"/>
            <w:tcBorders>
              <w:top w:val="nil"/>
              <w:left w:val="nil"/>
              <w:bottom w:val="nil"/>
              <w:right w:val="nil"/>
            </w:tcBorders>
            <w:shd w:val="clear" w:color="000000" w:fill="FFFFFF"/>
            <w:vAlign w:val="center"/>
            <w:hideMark/>
          </w:tcPr>
          <w:p w14:paraId="212CF550"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Movements in the Value of Scheme Assets</w:t>
            </w:r>
          </w:p>
        </w:tc>
        <w:tc>
          <w:tcPr>
            <w:tcW w:w="591" w:type="pct"/>
            <w:tcBorders>
              <w:top w:val="nil"/>
              <w:left w:val="nil"/>
              <w:bottom w:val="nil"/>
              <w:right w:val="nil"/>
            </w:tcBorders>
            <w:shd w:val="clear" w:color="000000" w:fill="FFFFFF"/>
            <w:noWrap/>
            <w:vAlign w:val="center"/>
            <w:hideMark/>
          </w:tcPr>
          <w:p w14:paraId="54CBC4A5"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669" w:type="pct"/>
            <w:tcBorders>
              <w:top w:val="nil"/>
              <w:left w:val="nil"/>
              <w:bottom w:val="nil"/>
              <w:right w:val="nil"/>
            </w:tcBorders>
            <w:shd w:val="clear" w:color="000000" w:fill="FFFFFF"/>
            <w:vAlign w:val="center"/>
            <w:hideMark/>
          </w:tcPr>
          <w:p w14:paraId="2843CBD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668" w:type="pct"/>
            <w:tcBorders>
              <w:top w:val="nil"/>
              <w:left w:val="nil"/>
              <w:bottom w:val="nil"/>
              <w:right w:val="nil"/>
            </w:tcBorders>
            <w:shd w:val="clear" w:color="000000" w:fill="FFFFFF"/>
            <w:vAlign w:val="center"/>
            <w:hideMark/>
          </w:tcPr>
          <w:p w14:paraId="4BEF4E58"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r>
      <w:tr w:rsidR="00192B82" w:rsidRPr="00192B82" w14:paraId="12A7DA34" w14:textId="77777777" w:rsidTr="00764626">
        <w:trPr>
          <w:trHeight w:val="204"/>
        </w:trPr>
        <w:tc>
          <w:tcPr>
            <w:tcW w:w="591" w:type="pct"/>
            <w:tcBorders>
              <w:top w:val="nil"/>
              <w:left w:val="nil"/>
              <w:bottom w:val="nil"/>
              <w:right w:val="nil"/>
            </w:tcBorders>
            <w:shd w:val="clear" w:color="000000" w:fill="FFFFFF"/>
            <w:noWrap/>
            <w:vAlign w:val="bottom"/>
            <w:hideMark/>
          </w:tcPr>
          <w:p w14:paraId="4F854D75"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47F94EE8"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4254E61C"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bottom"/>
            <w:hideMark/>
          </w:tcPr>
          <w:p w14:paraId="4E0C931E"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nil"/>
              <w:right w:val="nil"/>
            </w:tcBorders>
            <w:shd w:val="clear" w:color="000000" w:fill="FFFFFF"/>
            <w:noWrap/>
            <w:vAlign w:val="bottom"/>
            <w:hideMark/>
          </w:tcPr>
          <w:p w14:paraId="5374C2A9"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415CA24A"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bottom"/>
            <w:hideMark/>
          </w:tcPr>
          <w:p w14:paraId="19CAC302"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32C4E40B" w14:textId="77777777" w:rsidTr="00764626">
        <w:trPr>
          <w:trHeight w:val="204"/>
        </w:trPr>
        <w:tc>
          <w:tcPr>
            <w:tcW w:w="591" w:type="pct"/>
            <w:tcBorders>
              <w:top w:val="nil"/>
              <w:left w:val="nil"/>
              <w:bottom w:val="single" w:sz="4" w:space="0" w:color="auto"/>
              <w:right w:val="nil"/>
            </w:tcBorders>
            <w:shd w:val="clear" w:color="000000" w:fill="FFFFFF"/>
            <w:noWrap/>
            <w:vAlign w:val="center"/>
            <w:hideMark/>
          </w:tcPr>
          <w:p w14:paraId="4C6AB26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344A745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275D97BA"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143" w:type="pct"/>
            <w:tcBorders>
              <w:top w:val="nil"/>
              <w:left w:val="nil"/>
              <w:bottom w:val="single" w:sz="4" w:space="0" w:color="auto"/>
              <w:right w:val="nil"/>
            </w:tcBorders>
            <w:shd w:val="clear" w:color="000000" w:fill="FFFFFF"/>
            <w:noWrap/>
            <w:vAlign w:val="center"/>
            <w:hideMark/>
          </w:tcPr>
          <w:p w14:paraId="4C9292E9"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single" w:sz="4" w:space="0" w:color="auto"/>
              <w:right w:val="nil"/>
            </w:tcBorders>
            <w:shd w:val="clear" w:color="000000" w:fill="FFFFFF"/>
            <w:noWrap/>
            <w:vAlign w:val="center"/>
            <w:hideMark/>
          </w:tcPr>
          <w:p w14:paraId="2E1AD468"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56535280"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8" w:type="pct"/>
            <w:tcBorders>
              <w:top w:val="nil"/>
              <w:left w:val="nil"/>
              <w:bottom w:val="single" w:sz="4" w:space="0" w:color="auto"/>
              <w:right w:val="nil"/>
            </w:tcBorders>
            <w:shd w:val="clear" w:color="000000" w:fill="FFFFFF"/>
            <w:noWrap/>
            <w:vAlign w:val="center"/>
            <w:hideMark/>
          </w:tcPr>
          <w:p w14:paraId="5590E598"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r>
      <w:tr w:rsidR="00192B82" w:rsidRPr="00192B82" w14:paraId="1C5DF757" w14:textId="77777777" w:rsidTr="00764626">
        <w:trPr>
          <w:trHeight w:val="408"/>
        </w:trPr>
        <w:tc>
          <w:tcPr>
            <w:tcW w:w="591" w:type="pct"/>
            <w:tcBorders>
              <w:top w:val="nil"/>
              <w:left w:val="nil"/>
              <w:bottom w:val="nil"/>
              <w:right w:val="nil"/>
            </w:tcBorders>
            <w:shd w:val="clear" w:color="000000" w:fill="FFFFFF"/>
            <w:noWrap/>
            <w:vAlign w:val="center"/>
            <w:hideMark/>
          </w:tcPr>
          <w:p w14:paraId="466D3C15"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304,175</w:t>
            </w:r>
          </w:p>
        </w:tc>
        <w:tc>
          <w:tcPr>
            <w:tcW w:w="669" w:type="pct"/>
            <w:tcBorders>
              <w:top w:val="nil"/>
              <w:left w:val="nil"/>
              <w:bottom w:val="nil"/>
              <w:right w:val="nil"/>
            </w:tcBorders>
            <w:shd w:val="clear" w:color="000000" w:fill="FFFFFF"/>
            <w:noWrap/>
            <w:vAlign w:val="center"/>
            <w:hideMark/>
          </w:tcPr>
          <w:p w14:paraId="67A6D369"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06093E90"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304,175</w:t>
            </w:r>
          </w:p>
        </w:tc>
        <w:tc>
          <w:tcPr>
            <w:tcW w:w="1143" w:type="pct"/>
            <w:tcBorders>
              <w:top w:val="nil"/>
              <w:left w:val="nil"/>
              <w:bottom w:val="nil"/>
              <w:right w:val="nil"/>
            </w:tcBorders>
            <w:shd w:val="clear" w:color="000000" w:fill="FFFFFF"/>
            <w:vAlign w:val="center"/>
            <w:hideMark/>
          </w:tcPr>
          <w:p w14:paraId="2BB1BE81"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Opening fair value of scheme assets</w:t>
            </w:r>
          </w:p>
        </w:tc>
        <w:tc>
          <w:tcPr>
            <w:tcW w:w="591" w:type="pct"/>
            <w:tcBorders>
              <w:top w:val="nil"/>
              <w:left w:val="nil"/>
              <w:bottom w:val="nil"/>
              <w:right w:val="nil"/>
            </w:tcBorders>
            <w:shd w:val="clear" w:color="000000" w:fill="FFFFFF"/>
            <w:noWrap/>
            <w:vAlign w:val="center"/>
            <w:hideMark/>
          </w:tcPr>
          <w:p w14:paraId="5CE62A70"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272,577</w:t>
            </w:r>
          </w:p>
        </w:tc>
        <w:tc>
          <w:tcPr>
            <w:tcW w:w="669" w:type="pct"/>
            <w:tcBorders>
              <w:top w:val="nil"/>
              <w:left w:val="nil"/>
              <w:bottom w:val="nil"/>
              <w:right w:val="nil"/>
            </w:tcBorders>
            <w:shd w:val="clear" w:color="000000" w:fill="FFFFFF"/>
            <w:noWrap/>
            <w:vAlign w:val="center"/>
            <w:hideMark/>
          </w:tcPr>
          <w:p w14:paraId="04F6E0C9"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0E1A272F"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272,577</w:t>
            </w:r>
          </w:p>
        </w:tc>
      </w:tr>
      <w:tr w:rsidR="00192B82" w:rsidRPr="00192B82" w14:paraId="49F3C8E6" w14:textId="77777777" w:rsidTr="00764626">
        <w:trPr>
          <w:trHeight w:val="204"/>
        </w:trPr>
        <w:tc>
          <w:tcPr>
            <w:tcW w:w="591" w:type="pct"/>
            <w:tcBorders>
              <w:top w:val="nil"/>
              <w:left w:val="nil"/>
              <w:right w:val="nil"/>
            </w:tcBorders>
            <w:shd w:val="clear" w:color="000000" w:fill="FFFFFF"/>
            <w:noWrap/>
            <w:vAlign w:val="center"/>
            <w:hideMark/>
          </w:tcPr>
          <w:p w14:paraId="5BE6801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right w:val="nil"/>
            </w:tcBorders>
            <w:shd w:val="clear" w:color="000000" w:fill="FFFFFF"/>
            <w:noWrap/>
            <w:vAlign w:val="center"/>
            <w:hideMark/>
          </w:tcPr>
          <w:p w14:paraId="34CD217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right w:val="nil"/>
            </w:tcBorders>
            <w:shd w:val="clear" w:color="000000" w:fill="FFFFFF"/>
            <w:noWrap/>
            <w:vAlign w:val="center"/>
            <w:hideMark/>
          </w:tcPr>
          <w:p w14:paraId="3C8998A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right w:val="nil"/>
            </w:tcBorders>
            <w:shd w:val="clear" w:color="000000" w:fill="FFFFFF"/>
            <w:noWrap/>
            <w:vAlign w:val="center"/>
            <w:hideMark/>
          </w:tcPr>
          <w:p w14:paraId="05B281B6"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right w:val="nil"/>
            </w:tcBorders>
            <w:shd w:val="clear" w:color="000000" w:fill="FFFFFF"/>
            <w:noWrap/>
            <w:vAlign w:val="center"/>
            <w:hideMark/>
          </w:tcPr>
          <w:p w14:paraId="2C26CF5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right w:val="nil"/>
            </w:tcBorders>
            <w:shd w:val="clear" w:color="000000" w:fill="FFFFFF"/>
            <w:noWrap/>
            <w:vAlign w:val="center"/>
            <w:hideMark/>
          </w:tcPr>
          <w:p w14:paraId="67EC836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right w:val="nil"/>
            </w:tcBorders>
            <w:shd w:val="clear" w:color="000000" w:fill="FFFFFF"/>
            <w:noWrap/>
            <w:vAlign w:val="center"/>
            <w:hideMark/>
          </w:tcPr>
          <w:p w14:paraId="777B22D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36673C78" w14:textId="77777777" w:rsidTr="00764626">
        <w:trPr>
          <w:trHeight w:val="288"/>
        </w:trPr>
        <w:tc>
          <w:tcPr>
            <w:tcW w:w="591" w:type="pct"/>
            <w:tcBorders>
              <w:top w:val="nil"/>
              <w:left w:val="nil"/>
              <w:bottom w:val="single" w:sz="4" w:space="0" w:color="000000"/>
              <w:right w:val="nil"/>
            </w:tcBorders>
            <w:shd w:val="clear" w:color="000000" w:fill="FFFFFF"/>
            <w:noWrap/>
            <w:vAlign w:val="center"/>
            <w:hideMark/>
          </w:tcPr>
          <w:p w14:paraId="286F0E1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(2,867)</w:t>
            </w:r>
          </w:p>
        </w:tc>
        <w:tc>
          <w:tcPr>
            <w:tcW w:w="669" w:type="pct"/>
            <w:tcBorders>
              <w:top w:val="nil"/>
              <w:left w:val="nil"/>
              <w:bottom w:val="single" w:sz="4" w:space="0" w:color="000000"/>
              <w:right w:val="nil"/>
            </w:tcBorders>
            <w:shd w:val="clear" w:color="000000" w:fill="FFFFFF"/>
            <w:noWrap/>
            <w:vAlign w:val="center"/>
            <w:hideMark/>
          </w:tcPr>
          <w:p w14:paraId="477BC5A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single" w:sz="4" w:space="0" w:color="000000"/>
              <w:right w:val="nil"/>
            </w:tcBorders>
            <w:shd w:val="clear" w:color="000000" w:fill="FFFFFF"/>
            <w:noWrap/>
            <w:vAlign w:val="center"/>
            <w:hideMark/>
          </w:tcPr>
          <w:p w14:paraId="725B17F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(2,867)</w:t>
            </w:r>
          </w:p>
        </w:tc>
        <w:tc>
          <w:tcPr>
            <w:tcW w:w="1143" w:type="pct"/>
            <w:tcBorders>
              <w:top w:val="nil"/>
              <w:left w:val="nil"/>
              <w:bottom w:val="single" w:sz="4" w:space="0" w:color="000000"/>
              <w:right w:val="nil"/>
            </w:tcBorders>
            <w:shd w:val="clear" w:color="000000" w:fill="FFFFFF"/>
            <w:noWrap/>
            <w:vAlign w:val="center"/>
            <w:hideMark/>
          </w:tcPr>
          <w:p w14:paraId="2BB47A8A"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Transfer to PCC</w:t>
            </w:r>
          </w:p>
        </w:tc>
        <w:tc>
          <w:tcPr>
            <w:tcW w:w="591" w:type="pct"/>
            <w:tcBorders>
              <w:top w:val="nil"/>
              <w:left w:val="nil"/>
              <w:bottom w:val="single" w:sz="4" w:space="0" w:color="000000"/>
              <w:right w:val="nil"/>
            </w:tcBorders>
            <w:shd w:val="clear" w:color="000000" w:fill="FFFFFF"/>
            <w:noWrap/>
            <w:vAlign w:val="center"/>
            <w:hideMark/>
          </w:tcPr>
          <w:p w14:paraId="45CDBEF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single" w:sz="4" w:space="0" w:color="000000"/>
              <w:right w:val="nil"/>
            </w:tcBorders>
            <w:shd w:val="clear" w:color="000000" w:fill="FFFFFF"/>
            <w:noWrap/>
            <w:vAlign w:val="center"/>
            <w:hideMark/>
          </w:tcPr>
          <w:p w14:paraId="012525B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8" w:type="pct"/>
            <w:tcBorders>
              <w:top w:val="nil"/>
              <w:left w:val="nil"/>
              <w:bottom w:val="single" w:sz="4" w:space="0" w:color="000000"/>
              <w:right w:val="nil"/>
            </w:tcBorders>
            <w:shd w:val="clear" w:color="000000" w:fill="FFFFFF"/>
            <w:noWrap/>
            <w:vAlign w:val="center"/>
            <w:hideMark/>
          </w:tcPr>
          <w:p w14:paraId="09239DB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r>
      <w:tr w:rsidR="00192B82" w:rsidRPr="00192B82" w14:paraId="7805BB1A" w14:textId="77777777" w:rsidTr="00764626">
        <w:trPr>
          <w:trHeight w:val="288"/>
        </w:trPr>
        <w:tc>
          <w:tcPr>
            <w:tcW w:w="591" w:type="pct"/>
            <w:tcBorders>
              <w:top w:val="single" w:sz="4" w:space="0" w:color="000000"/>
              <w:left w:val="nil"/>
              <w:bottom w:val="single" w:sz="4" w:space="0" w:color="auto"/>
              <w:right w:val="nil"/>
            </w:tcBorders>
            <w:shd w:val="clear" w:color="000000" w:fill="FFFFFF"/>
            <w:noWrap/>
            <w:vAlign w:val="center"/>
            <w:hideMark/>
          </w:tcPr>
          <w:p w14:paraId="57693099"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301,308</w:t>
            </w:r>
          </w:p>
        </w:tc>
        <w:tc>
          <w:tcPr>
            <w:tcW w:w="669" w:type="pct"/>
            <w:tcBorders>
              <w:top w:val="single" w:sz="4" w:space="0" w:color="000000"/>
              <w:left w:val="nil"/>
              <w:bottom w:val="single" w:sz="4" w:space="0" w:color="auto"/>
              <w:right w:val="nil"/>
            </w:tcBorders>
            <w:shd w:val="clear" w:color="000000" w:fill="FFFFFF"/>
            <w:noWrap/>
            <w:vAlign w:val="center"/>
            <w:hideMark/>
          </w:tcPr>
          <w:p w14:paraId="797A402F"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w:t>
            </w:r>
          </w:p>
        </w:tc>
        <w:tc>
          <w:tcPr>
            <w:tcW w:w="669" w:type="pct"/>
            <w:tcBorders>
              <w:top w:val="single" w:sz="4" w:space="0" w:color="000000"/>
              <w:left w:val="nil"/>
              <w:bottom w:val="single" w:sz="4" w:space="0" w:color="auto"/>
              <w:right w:val="nil"/>
            </w:tcBorders>
            <w:shd w:val="clear" w:color="000000" w:fill="FFFFFF"/>
            <w:noWrap/>
            <w:vAlign w:val="center"/>
            <w:hideMark/>
          </w:tcPr>
          <w:p w14:paraId="61FD4CC6"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301,308</w:t>
            </w:r>
          </w:p>
        </w:tc>
        <w:tc>
          <w:tcPr>
            <w:tcW w:w="1143" w:type="pct"/>
            <w:tcBorders>
              <w:top w:val="single" w:sz="4" w:space="0" w:color="000000"/>
              <w:left w:val="nil"/>
              <w:bottom w:val="single" w:sz="4" w:space="0" w:color="auto"/>
              <w:right w:val="nil"/>
            </w:tcBorders>
            <w:shd w:val="clear" w:color="000000" w:fill="FFFFFF"/>
            <w:vAlign w:val="center"/>
            <w:hideMark/>
          </w:tcPr>
          <w:p w14:paraId="4D7731F4"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Revised Opening Balance</w:t>
            </w:r>
          </w:p>
        </w:tc>
        <w:tc>
          <w:tcPr>
            <w:tcW w:w="591" w:type="pct"/>
            <w:tcBorders>
              <w:top w:val="single" w:sz="4" w:space="0" w:color="000000"/>
              <w:left w:val="nil"/>
              <w:bottom w:val="single" w:sz="4" w:space="0" w:color="auto"/>
              <w:right w:val="nil"/>
            </w:tcBorders>
            <w:shd w:val="clear" w:color="000000" w:fill="FFFFFF"/>
            <w:noWrap/>
            <w:vAlign w:val="center"/>
            <w:hideMark/>
          </w:tcPr>
          <w:p w14:paraId="70C4384D"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272,577</w:t>
            </w:r>
          </w:p>
        </w:tc>
        <w:tc>
          <w:tcPr>
            <w:tcW w:w="669" w:type="pct"/>
            <w:tcBorders>
              <w:top w:val="single" w:sz="4" w:space="0" w:color="000000"/>
              <w:left w:val="nil"/>
              <w:bottom w:val="single" w:sz="4" w:space="0" w:color="auto"/>
              <w:right w:val="nil"/>
            </w:tcBorders>
            <w:shd w:val="clear" w:color="000000" w:fill="FFFFFF"/>
            <w:noWrap/>
            <w:vAlign w:val="center"/>
            <w:hideMark/>
          </w:tcPr>
          <w:p w14:paraId="32B0D9EF"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w:t>
            </w:r>
          </w:p>
        </w:tc>
        <w:tc>
          <w:tcPr>
            <w:tcW w:w="668" w:type="pct"/>
            <w:tcBorders>
              <w:top w:val="single" w:sz="4" w:space="0" w:color="000000"/>
              <w:left w:val="nil"/>
              <w:bottom w:val="single" w:sz="4" w:space="0" w:color="auto"/>
              <w:right w:val="nil"/>
            </w:tcBorders>
            <w:shd w:val="clear" w:color="000000" w:fill="FFFFFF"/>
            <w:noWrap/>
            <w:vAlign w:val="center"/>
            <w:hideMark/>
          </w:tcPr>
          <w:p w14:paraId="45A57852"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272,577</w:t>
            </w:r>
          </w:p>
        </w:tc>
      </w:tr>
      <w:tr w:rsidR="00192B82" w:rsidRPr="00192B82" w14:paraId="57BAC2FC" w14:textId="77777777" w:rsidTr="00764626">
        <w:trPr>
          <w:trHeight w:val="288"/>
        </w:trPr>
        <w:tc>
          <w:tcPr>
            <w:tcW w:w="591" w:type="pct"/>
            <w:tcBorders>
              <w:top w:val="nil"/>
              <w:left w:val="nil"/>
              <w:bottom w:val="nil"/>
              <w:right w:val="nil"/>
            </w:tcBorders>
            <w:shd w:val="clear" w:color="000000" w:fill="FFFFFF"/>
            <w:noWrap/>
            <w:vAlign w:val="center"/>
            <w:hideMark/>
          </w:tcPr>
          <w:p w14:paraId="0EE7C21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7,312</w:t>
            </w:r>
          </w:p>
        </w:tc>
        <w:tc>
          <w:tcPr>
            <w:tcW w:w="669" w:type="pct"/>
            <w:tcBorders>
              <w:top w:val="nil"/>
              <w:left w:val="nil"/>
              <w:bottom w:val="nil"/>
              <w:right w:val="nil"/>
            </w:tcBorders>
            <w:shd w:val="clear" w:color="000000" w:fill="FFFFFF"/>
            <w:noWrap/>
            <w:vAlign w:val="center"/>
            <w:hideMark/>
          </w:tcPr>
          <w:p w14:paraId="6C0CD61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437F5C3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7,312</w:t>
            </w:r>
          </w:p>
        </w:tc>
        <w:tc>
          <w:tcPr>
            <w:tcW w:w="1143" w:type="pct"/>
            <w:tcBorders>
              <w:top w:val="nil"/>
              <w:left w:val="nil"/>
              <w:bottom w:val="nil"/>
              <w:right w:val="nil"/>
            </w:tcBorders>
            <w:shd w:val="clear" w:color="000000" w:fill="FFFFFF"/>
            <w:noWrap/>
            <w:vAlign w:val="center"/>
            <w:hideMark/>
          </w:tcPr>
          <w:p w14:paraId="0800CA9A"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Interest income</w:t>
            </w:r>
          </w:p>
        </w:tc>
        <w:tc>
          <w:tcPr>
            <w:tcW w:w="591" w:type="pct"/>
            <w:tcBorders>
              <w:top w:val="nil"/>
              <w:left w:val="nil"/>
              <w:bottom w:val="nil"/>
              <w:right w:val="nil"/>
            </w:tcBorders>
            <w:shd w:val="clear" w:color="000000" w:fill="FFFFFF"/>
            <w:noWrap/>
            <w:vAlign w:val="center"/>
            <w:hideMark/>
          </w:tcPr>
          <w:p w14:paraId="216920A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6,352</w:t>
            </w:r>
          </w:p>
        </w:tc>
        <w:tc>
          <w:tcPr>
            <w:tcW w:w="669" w:type="pct"/>
            <w:tcBorders>
              <w:top w:val="nil"/>
              <w:left w:val="nil"/>
              <w:bottom w:val="nil"/>
              <w:right w:val="nil"/>
            </w:tcBorders>
            <w:shd w:val="clear" w:color="000000" w:fill="FFFFFF"/>
            <w:noWrap/>
            <w:vAlign w:val="center"/>
            <w:hideMark/>
          </w:tcPr>
          <w:p w14:paraId="5916950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5260697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6,352</w:t>
            </w:r>
          </w:p>
        </w:tc>
      </w:tr>
      <w:tr w:rsidR="00192B82" w:rsidRPr="00192B82" w14:paraId="3CD2281B" w14:textId="77777777" w:rsidTr="00764626">
        <w:trPr>
          <w:trHeight w:val="288"/>
        </w:trPr>
        <w:tc>
          <w:tcPr>
            <w:tcW w:w="591" w:type="pct"/>
            <w:tcBorders>
              <w:top w:val="nil"/>
              <w:left w:val="nil"/>
              <w:bottom w:val="nil"/>
              <w:right w:val="nil"/>
            </w:tcBorders>
            <w:shd w:val="clear" w:color="000000" w:fill="FFFFFF"/>
            <w:noWrap/>
            <w:vAlign w:val="center"/>
            <w:hideMark/>
          </w:tcPr>
          <w:p w14:paraId="21AB9B3A"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9" w:type="pct"/>
            <w:tcBorders>
              <w:top w:val="nil"/>
              <w:left w:val="nil"/>
              <w:bottom w:val="nil"/>
              <w:right w:val="nil"/>
            </w:tcBorders>
            <w:shd w:val="clear" w:color="000000" w:fill="FFFFFF"/>
            <w:noWrap/>
            <w:vAlign w:val="center"/>
            <w:hideMark/>
          </w:tcPr>
          <w:p w14:paraId="4F6ED3FD"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9" w:type="pct"/>
            <w:tcBorders>
              <w:top w:val="nil"/>
              <w:left w:val="nil"/>
              <w:bottom w:val="nil"/>
              <w:right w:val="nil"/>
            </w:tcBorders>
            <w:shd w:val="clear" w:color="000000" w:fill="FFFFFF"/>
            <w:noWrap/>
            <w:vAlign w:val="center"/>
            <w:hideMark/>
          </w:tcPr>
          <w:p w14:paraId="69C77B88"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1734" w:type="pct"/>
            <w:gridSpan w:val="2"/>
            <w:tcBorders>
              <w:top w:val="nil"/>
              <w:left w:val="nil"/>
              <w:bottom w:val="nil"/>
              <w:right w:val="nil"/>
            </w:tcBorders>
            <w:shd w:val="clear" w:color="000000" w:fill="FFFFFF"/>
            <w:noWrap/>
            <w:vAlign w:val="center"/>
            <w:hideMark/>
          </w:tcPr>
          <w:p w14:paraId="24DAFC74" w14:textId="77777777" w:rsidR="00192B82" w:rsidRPr="00192B82" w:rsidRDefault="00192B82" w:rsidP="00192B82">
            <w:pPr>
              <w:ind w:firstLineChars="100" w:firstLine="220"/>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Re-measurement gain / (loss):</w:t>
            </w:r>
          </w:p>
        </w:tc>
        <w:tc>
          <w:tcPr>
            <w:tcW w:w="669" w:type="pct"/>
            <w:tcBorders>
              <w:top w:val="nil"/>
              <w:left w:val="nil"/>
              <w:bottom w:val="nil"/>
              <w:right w:val="nil"/>
            </w:tcBorders>
            <w:shd w:val="clear" w:color="000000" w:fill="FFFFFF"/>
            <w:noWrap/>
            <w:vAlign w:val="center"/>
            <w:hideMark/>
          </w:tcPr>
          <w:p w14:paraId="0013C523"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8" w:type="pct"/>
            <w:tcBorders>
              <w:top w:val="nil"/>
              <w:left w:val="nil"/>
              <w:bottom w:val="nil"/>
              <w:right w:val="nil"/>
            </w:tcBorders>
            <w:shd w:val="clear" w:color="000000" w:fill="FFFFFF"/>
            <w:noWrap/>
            <w:vAlign w:val="center"/>
            <w:hideMark/>
          </w:tcPr>
          <w:p w14:paraId="117E7EC6"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r>
      <w:tr w:rsidR="00192B82" w:rsidRPr="00192B82" w14:paraId="352006C1" w14:textId="77777777" w:rsidTr="00764626">
        <w:trPr>
          <w:trHeight w:val="816"/>
        </w:trPr>
        <w:tc>
          <w:tcPr>
            <w:tcW w:w="591" w:type="pct"/>
            <w:tcBorders>
              <w:top w:val="nil"/>
              <w:left w:val="nil"/>
              <w:bottom w:val="nil"/>
              <w:right w:val="nil"/>
            </w:tcBorders>
            <w:shd w:val="clear" w:color="000000" w:fill="FFFFFF"/>
            <w:noWrap/>
            <w:vAlign w:val="center"/>
            <w:hideMark/>
          </w:tcPr>
          <w:p w14:paraId="6559617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(41,563)</w:t>
            </w:r>
          </w:p>
        </w:tc>
        <w:tc>
          <w:tcPr>
            <w:tcW w:w="669" w:type="pct"/>
            <w:tcBorders>
              <w:top w:val="nil"/>
              <w:left w:val="nil"/>
              <w:bottom w:val="nil"/>
              <w:right w:val="nil"/>
            </w:tcBorders>
            <w:shd w:val="clear" w:color="000000" w:fill="FFFFFF"/>
            <w:noWrap/>
            <w:vAlign w:val="center"/>
            <w:hideMark/>
          </w:tcPr>
          <w:p w14:paraId="30FC780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6094A88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(41,563)</w:t>
            </w:r>
          </w:p>
        </w:tc>
        <w:tc>
          <w:tcPr>
            <w:tcW w:w="1143" w:type="pct"/>
            <w:tcBorders>
              <w:top w:val="nil"/>
              <w:left w:val="nil"/>
              <w:bottom w:val="nil"/>
              <w:right w:val="nil"/>
            </w:tcBorders>
            <w:shd w:val="clear" w:color="000000" w:fill="FFFFFF"/>
            <w:vAlign w:val="center"/>
            <w:hideMark/>
          </w:tcPr>
          <w:p w14:paraId="4212785F"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The return on plan assets, excluding the amount included in the net interest expense</w:t>
            </w:r>
          </w:p>
        </w:tc>
        <w:tc>
          <w:tcPr>
            <w:tcW w:w="591" w:type="pct"/>
            <w:tcBorders>
              <w:top w:val="nil"/>
              <w:left w:val="nil"/>
              <w:bottom w:val="nil"/>
              <w:right w:val="nil"/>
            </w:tcBorders>
            <w:shd w:val="clear" w:color="000000" w:fill="FFFFFF"/>
            <w:noWrap/>
            <w:vAlign w:val="center"/>
            <w:hideMark/>
          </w:tcPr>
          <w:p w14:paraId="59A09DD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72,255</w:t>
            </w:r>
          </w:p>
        </w:tc>
        <w:tc>
          <w:tcPr>
            <w:tcW w:w="669" w:type="pct"/>
            <w:tcBorders>
              <w:top w:val="nil"/>
              <w:left w:val="nil"/>
              <w:bottom w:val="nil"/>
              <w:right w:val="nil"/>
            </w:tcBorders>
            <w:shd w:val="clear" w:color="000000" w:fill="FFFFFF"/>
            <w:noWrap/>
            <w:vAlign w:val="center"/>
            <w:hideMark/>
          </w:tcPr>
          <w:p w14:paraId="01D520D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6858E39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72,255</w:t>
            </w:r>
          </w:p>
        </w:tc>
      </w:tr>
      <w:tr w:rsidR="00192B82" w:rsidRPr="00192B82" w14:paraId="7C884CE7" w14:textId="77777777" w:rsidTr="00764626">
        <w:trPr>
          <w:trHeight w:val="288"/>
        </w:trPr>
        <w:tc>
          <w:tcPr>
            <w:tcW w:w="591" w:type="pct"/>
            <w:tcBorders>
              <w:top w:val="nil"/>
              <w:left w:val="nil"/>
              <w:bottom w:val="nil"/>
              <w:right w:val="nil"/>
            </w:tcBorders>
            <w:shd w:val="clear" w:color="000000" w:fill="FFFFFF"/>
            <w:noWrap/>
            <w:vAlign w:val="center"/>
            <w:hideMark/>
          </w:tcPr>
          <w:p w14:paraId="740A0E1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9,724</w:t>
            </w:r>
          </w:p>
        </w:tc>
        <w:tc>
          <w:tcPr>
            <w:tcW w:w="669" w:type="pct"/>
            <w:tcBorders>
              <w:top w:val="nil"/>
              <w:left w:val="nil"/>
              <w:bottom w:val="nil"/>
              <w:right w:val="nil"/>
            </w:tcBorders>
            <w:shd w:val="clear" w:color="000000" w:fill="FFFFFF"/>
            <w:noWrap/>
            <w:vAlign w:val="center"/>
            <w:hideMark/>
          </w:tcPr>
          <w:p w14:paraId="40CC4B8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40,570</w:t>
            </w:r>
          </w:p>
        </w:tc>
        <w:tc>
          <w:tcPr>
            <w:tcW w:w="669" w:type="pct"/>
            <w:tcBorders>
              <w:top w:val="nil"/>
              <w:left w:val="nil"/>
              <w:bottom w:val="nil"/>
              <w:right w:val="nil"/>
            </w:tcBorders>
            <w:shd w:val="clear" w:color="000000" w:fill="FFFFFF"/>
            <w:noWrap/>
            <w:vAlign w:val="center"/>
            <w:hideMark/>
          </w:tcPr>
          <w:p w14:paraId="787A173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50,294</w:t>
            </w:r>
          </w:p>
        </w:tc>
        <w:tc>
          <w:tcPr>
            <w:tcW w:w="1143" w:type="pct"/>
            <w:tcBorders>
              <w:top w:val="nil"/>
              <w:left w:val="nil"/>
              <w:bottom w:val="nil"/>
              <w:right w:val="nil"/>
            </w:tcBorders>
            <w:shd w:val="clear" w:color="000000" w:fill="FFFFFF"/>
            <w:vAlign w:val="center"/>
            <w:hideMark/>
          </w:tcPr>
          <w:p w14:paraId="7ED87F86"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Contributions from employer</w:t>
            </w:r>
          </w:p>
        </w:tc>
        <w:tc>
          <w:tcPr>
            <w:tcW w:w="591" w:type="pct"/>
            <w:tcBorders>
              <w:top w:val="nil"/>
              <w:left w:val="nil"/>
              <w:bottom w:val="nil"/>
              <w:right w:val="nil"/>
            </w:tcBorders>
            <w:shd w:val="clear" w:color="000000" w:fill="FFFFFF"/>
            <w:noWrap/>
            <w:vAlign w:val="center"/>
            <w:hideMark/>
          </w:tcPr>
          <w:p w14:paraId="52A137E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10,908</w:t>
            </w:r>
          </w:p>
        </w:tc>
        <w:tc>
          <w:tcPr>
            <w:tcW w:w="669" w:type="pct"/>
            <w:tcBorders>
              <w:top w:val="nil"/>
              <w:left w:val="nil"/>
              <w:bottom w:val="nil"/>
              <w:right w:val="nil"/>
            </w:tcBorders>
            <w:shd w:val="clear" w:color="000000" w:fill="FFFFFF"/>
            <w:noWrap/>
            <w:vAlign w:val="center"/>
            <w:hideMark/>
          </w:tcPr>
          <w:p w14:paraId="0DE9AADA" w14:textId="403417D2" w:rsidR="00192B82" w:rsidRPr="00192B82" w:rsidRDefault="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w:t>
            </w:r>
            <w:r w:rsidR="001B5749">
              <w:rPr>
                <w:rFonts w:ascii="Verdana" w:eastAsia="Times New Roman" w:hAnsi="Verdana" w:cs="Calibri"/>
                <w:color w:val="000000"/>
                <w:sz w:val="16"/>
                <w:szCs w:val="16"/>
                <w:lang w:val="en-GB" w:eastAsia="en-GB"/>
              </w:rPr>
              <w:t>8</w:t>
            </w:r>
            <w:r w:rsidRPr="00192B82">
              <w:rPr>
                <w:rFonts w:ascii="Verdana" w:eastAsia="Times New Roman" w:hAnsi="Verdana" w:cs="Calibri"/>
                <w:color w:val="000000"/>
                <w:sz w:val="16"/>
                <w:szCs w:val="16"/>
                <w:lang w:val="en-GB" w:eastAsia="en-GB"/>
              </w:rPr>
              <w:t>,</w:t>
            </w:r>
            <w:r w:rsidR="001B5749">
              <w:rPr>
                <w:rFonts w:ascii="Verdana" w:eastAsia="Times New Roman" w:hAnsi="Verdana" w:cs="Calibri"/>
                <w:color w:val="000000"/>
                <w:sz w:val="16"/>
                <w:szCs w:val="16"/>
                <w:lang w:val="en-GB" w:eastAsia="en-GB"/>
              </w:rPr>
              <w:t>3</w:t>
            </w:r>
            <w:r w:rsidRPr="00192B82">
              <w:rPr>
                <w:rFonts w:ascii="Verdana" w:eastAsia="Times New Roman" w:hAnsi="Verdana" w:cs="Calibri"/>
                <w:color w:val="000000"/>
                <w:sz w:val="16"/>
                <w:szCs w:val="16"/>
                <w:lang w:val="en-GB" w:eastAsia="en-GB"/>
              </w:rPr>
              <w:t>60</w:t>
            </w:r>
          </w:p>
        </w:tc>
        <w:tc>
          <w:tcPr>
            <w:tcW w:w="668" w:type="pct"/>
            <w:tcBorders>
              <w:top w:val="nil"/>
              <w:left w:val="nil"/>
              <w:bottom w:val="nil"/>
              <w:right w:val="nil"/>
            </w:tcBorders>
            <w:shd w:val="clear" w:color="000000" w:fill="FFFFFF"/>
            <w:noWrap/>
            <w:vAlign w:val="center"/>
            <w:hideMark/>
          </w:tcPr>
          <w:p w14:paraId="584C2730" w14:textId="29829FCB" w:rsidR="00192B82" w:rsidRPr="00192B82" w:rsidRDefault="001B5749" w:rsidP="00192B82">
            <w:pPr>
              <w:ind w:firstLineChars="100" w:firstLine="160"/>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49,268</w:t>
            </w:r>
          </w:p>
        </w:tc>
      </w:tr>
      <w:tr w:rsidR="00192B82" w:rsidRPr="00192B82" w14:paraId="1D3D2F2E" w14:textId="77777777" w:rsidTr="00764626">
        <w:trPr>
          <w:trHeight w:val="408"/>
        </w:trPr>
        <w:tc>
          <w:tcPr>
            <w:tcW w:w="591" w:type="pct"/>
            <w:tcBorders>
              <w:top w:val="nil"/>
              <w:left w:val="nil"/>
              <w:bottom w:val="nil"/>
              <w:right w:val="nil"/>
            </w:tcBorders>
            <w:shd w:val="clear" w:color="000000" w:fill="FFFFFF"/>
            <w:noWrap/>
            <w:vAlign w:val="center"/>
            <w:hideMark/>
          </w:tcPr>
          <w:p w14:paraId="06E88D1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3,172</w:t>
            </w:r>
          </w:p>
        </w:tc>
        <w:tc>
          <w:tcPr>
            <w:tcW w:w="669" w:type="pct"/>
            <w:tcBorders>
              <w:top w:val="nil"/>
              <w:left w:val="nil"/>
              <w:bottom w:val="nil"/>
              <w:right w:val="nil"/>
            </w:tcBorders>
            <w:shd w:val="clear" w:color="000000" w:fill="FFFFFF"/>
            <w:noWrap/>
            <w:vAlign w:val="center"/>
            <w:hideMark/>
          </w:tcPr>
          <w:p w14:paraId="2279592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9,050</w:t>
            </w:r>
          </w:p>
        </w:tc>
        <w:tc>
          <w:tcPr>
            <w:tcW w:w="669" w:type="pct"/>
            <w:tcBorders>
              <w:top w:val="nil"/>
              <w:left w:val="nil"/>
              <w:bottom w:val="nil"/>
              <w:right w:val="nil"/>
            </w:tcBorders>
            <w:shd w:val="clear" w:color="000000" w:fill="FFFFFF"/>
            <w:noWrap/>
            <w:vAlign w:val="center"/>
            <w:hideMark/>
          </w:tcPr>
          <w:p w14:paraId="245D6CE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12,222</w:t>
            </w:r>
          </w:p>
        </w:tc>
        <w:tc>
          <w:tcPr>
            <w:tcW w:w="1143" w:type="pct"/>
            <w:tcBorders>
              <w:top w:val="nil"/>
              <w:left w:val="nil"/>
              <w:bottom w:val="nil"/>
              <w:right w:val="nil"/>
            </w:tcBorders>
            <w:shd w:val="clear" w:color="000000" w:fill="FFFFFF"/>
            <w:vAlign w:val="center"/>
            <w:hideMark/>
          </w:tcPr>
          <w:p w14:paraId="2F26D36C"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Contributions from employees into the scheme</w:t>
            </w:r>
          </w:p>
        </w:tc>
        <w:tc>
          <w:tcPr>
            <w:tcW w:w="591" w:type="pct"/>
            <w:tcBorders>
              <w:top w:val="nil"/>
              <w:left w:val="nil"/>
              <w:bottom w:val="nil"/>
              <w:right w:val="nil"/>
            </w:tcBorders>
            <w:shd w:val="clear" w:color="000000" w:fill="FFFFFF"/>
            <w:noWrap/>
            <w:vAlign w:val="center"/>
            <w:hideMark/>
          </w:tcPr>
          <w:p w14:paraId="7F89AE5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3,614</w:t>
            </w:r>
          </w:p>
        </w:tc>
        <w:tc>
          <w:tcPr>
            <w:tcW w:w="669" w:type="pct"/>
            <w:tcBorders>
              <w:top w:val="nil"/>
              <w:left w:val="nil"/>
              <w:bottom w:val="nil"/>
              <w:right w:val="nil"/>
            </w:tcBorders>
            <w:shd w:val="clear" w:color="000000" w:fill="FFFFFF"/>
            <w:noWrap/>
            <w:vAlign w:val="center"/>
            <w:hideMark/>
          </w:tcPr>
          <w:p w14:paraId="5FF27D8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9,760</w:t>
            </w:r>
          </w:p>
        </w:tc>
        <w:tc>
          <w:tcPr>
            <w:tcW w:w="668" w:type="pct"/>
            <w:tcBorders>
              <w:top w:val="nil"/>
              <w:left w:val="nil"/>
              <w:bottom w:val="nil"/>
              <w:right w:val="nil"/>
            </w:tcBorders>
            <w:shd w:val="clear" w:color="000000" w:fill="FFFFFF"/>
            <w:noWrap/>
            <w:vAlign w:val="center"/>
            <w:hideMark/>
          </w:tcPr>
          <w:p w14:paraId="74C74F6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13,374</w:t>
            </w:r>
          </w:p>
        </w:tc>
      </w:tr>
      <w:tr w:rsidR="00192B82" w:rsidRPr="00192B82" w14:paraId="5787BF50" w14:textId="77777777" w:rsidTr="00764626">
        <w:trPr>
          <w:trHeight w:val="288"/>
        </w:trPr>
        <w:tc>
          <w:tcPr>
            <w:tcW w:w="591" w:type="pct"/>
            <w:tcBorders>
              <w:top w:val="nil"/>
              <w:left w:val="nil"/>
              <w:bottom w:val="nil"/>
              <w:right w:val="nil"/>
            </w:tcBorders>
            <w:shd w:val="clear" w:color="000000" w:fill="FFFFFF"/>
            <w:noWrap/>
            <w:vAlign w:val="bottom"/>
            <w:hideMark/>
          </w:tcPr>
          <w:p w14:paraId="5090AB80"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59103E6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460</w:t>
            </w:r>
          </w:p>
        </w:tc>
        <w:tc>
          <w:tcPr>
            <w:tcW w:w="669" w:type="pct"/>
            <w:tcBorders>
              <w:top w:val="nil"/>
              <w:left w:val="nil"/>
              <w:bottom w:val="nil"/>
              <w:right w:val="nil"/>
            </w:tcBorders>
            <w:shd w:val="clear" w:color="000000" w:fill="FFFFFF"/>
            <w:noWrap/>
            <w:vAlign w:val="center"/>
            <w:hideMark/>
          </w:tcPr>
          <w:p w14:paraId="5F375E7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460</w:t>
            </w:r>
          </w:p>
        </w:tc>
        <w:tc>
          <w:tcPr>
            <w:tcW w:w="1143" w:type="pct"/>
            <w:tcBorders>
              <w:top w:val="nil"/>
              <w:left w:val="nil"/>
              <w:bottom w:val="nil"/>
              <w:right w:val="nil"/>
            </w:tcBorders>
            <w:shd w:val="clear" w:color="000000" w:fill="FFFFFF"/>
            <w:vAlign w:val="bottom"/>
            <w:hideMark/>
          </w:tcPr>
          <w:p w14:paraId="6A2F1181"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Transfers in</w:t>
            </w:r>
          </w:p>
        </w:tc>
        <w:tc>
          <w:tcPr>
            <w:tcW w:w="591" w:type="pct"/>
            <w:tcBorders>
              <w:top w:val="nil"/>
              <w:left w:val="nil"/>
              <w:bottom w:val="nil"/>
              <w:right w:val="nil"/>
            </w:tcBorders>
            <w:shd w:val="clear" w:color="000000" w:fill="FFFFFF"/>
            <w:noWrap/>
            <w:vAlign w:val="bottom"/>
            <w:hideMark/>
          </w:tcPr>
          <w:p w14:paraId="2ABF76C1"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0E3B8B61" w14:textId="1338F3AF" w:rsidR="00192B82" w:rsidRPr="00192B82" w:rsidRDefault="001B5749" w:rsidP="00192B82">
            <w:pPr>
              <w:ind w:firstLineChars="100" w:firstLine="160"/>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28</w:t>
            </w:r>
            <w:r w:rsidR="00192B82" w:rsidRPr="00192B82">
              <w:rPr>
                <w:rFonts w:ascii="Verdana" w:eastAsia="Times New Roman" w:hAnsi="Verdana" w:cs="Calibri"/>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1D5EC3BC" w14:textId="0AE93840" w:rsidR="00192B82" w:rsidRPr="00192B82" w:rsidRDefault="001B5749" w:rsidP="00192B82">
            <w:pPr>
              <w:ind w:firstLineChars="100" w:firstLine="160"/>
              <w:jc w:val="right"/>
              <w:rPr>
                <w:rFonts w:ascii="Verdana" w:eastAsia="Times New Roman" w:hAnsi="Verdana" w:cs="Calibri"/>
                <w:color w:val="000000"/>
                <w:sz w:val="16"/>
                <w:szCs w:val="16"/>
                <w:lang w:val="en-GB" w:eastAsia="en-GB"/>
              </w:rPr>
            </w:pPr>
            <w:r>
              <w:rPr>
                <w:rFonts w:ascii="Verdana" w:eastAsia="Times New Roman" w:hAnsi="Verdana" w:cs="Calibri"/>
                <w:color w:val="000000"/>
                <w:sz w:val="16"/>
                <w:szCs w:val="16"/>
                <w:lang w:val="en-GB" w:eastAsia="en-GB"/>
              </w:rPr>
              <w:t>280</w:t>
            </w:r>
          </w:p>
        </w:tc>
      </w:tr>
      <w:tr w:rsidR="00192B82" w:rsidRPr="00192B82" w14:paraId="4E2F9A68" w14:textId="77777777" w:rsidTr="00764626">
        <w:trPr>
          <w:trHeight w:val="204"/>
        </w:trPr>
        <w:tc>
          <w:tcPr>
            <w:tcW w:w="591" w:type="pct"/>
            <w:tcBorders>
              <w:top w:val="nil"/>
              <w:left w:val="nil"/>
              <w:bottom w:val="nil"/>
              <w:right w:val="nil"/>
            </w:tcBorders>
            <w:shd w:val="clear" w:color="000000" w:fill="FFFFFF"/>
            <w:noWrap/>
            <w:vAlign w:val="center"/>
            <w:hideMark/>
          </w:tcPr>
          <w:p w14:paraId="06B8592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(7,376)</w:t>
            </w:r>
          </w:p>
        </w:tc>
        <w:tc>
          <w:tcPr>
            <w:tcW w:w="669" w:type="pct"/>
            <w:tcBorders>
              <w:top w:val="nil"/>
              <w:left w:val="nil"/>
              <w:bottom w:val="nil"/>
              <w:right w:val="nil"/>
            </w:tcBorders>
            <w:shd w:val="clear" w:color="000000" w:fill="FFFFFF"/>
            <w:noWrap/>
            <w:vAlign w:val="center"/>
            <w:hideMark/>
          </w:tcPr>
          <w:p w14:paraId="693FF10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(50,080)</w:t>
            </w:r>
          </w:p>
        </w:tc>
        <w:tc>
          <w:tcPr>
            <w:tcW w:w="669" w:type="pct"/>
            <w:tcBorders>
              <w:top w:val="nil"/>
              <w:left w:val="nil"/>
              <w:bottom w:val="nil"/>
              <w:right w:val="nil"/>
            </w:tcBorders>
            <w:shd w:val="clear" w:color="000000" w:fill="FFFFFF"/>
            <w:noWrap/>
            <w:vAlign w:val="center"/>
            <w:hideMark/>
          </w:tcPr>
          <w:p w14:paraId="550E493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(57,456)</w:t>
            </w:r>
          </w:p>
        </w:tc>
        <w:tc>
          <w:tcPr>
            <w:tcW w:w="1143" w:type="pct"/>
            <w:tcBorders>
              <w:top w:val="nil"/>
              <w:left w:val="nil"/>
              <w:bottom w:val="nil"/>
              <w:right w:val="nil"/>
            </w:tcBorders>
            <w:shd w:val="clear" w:color="000000" w:fill="FFFFFF"/>
            <w:noWrap/>
            <w:vAlign w:val="center"/>
            <w:hideMark/>
          </w:tcPr>
          <w:p w14:paraId="201AF116"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Fair value of plan assets</w:t>
            </w:r>
          </w:p>
        </w:tc>
        <w:tc>
          <w:tcPr>
            <w:tcW w:w="591" w:type="pct"/>
            <w:tcBorders>
              <w:top w:val="nil"/>
              <w:left w:val="nil"/>
              <w:bottom w:val="nil"/>
              <w:right w:val="nil"/>
            </w:tcBorders>
            <w:shd w:val="clear" w:color="000000" w:fill="FFFFFF"/>
            <w:noWrap/>
            <w:vAlign w:val="center"/>
            <w:hideMark/>
          </w:tcPr>
          <w:p w14:paraId="449F9E6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(6,934)</w:t>
            </w:r>
          </w:p>
        </w:tc>
        <w:tc>
          <w:tcPr>
            <w:tcW w:w="669" w:type="pct"/>
            <w:tcBorders>
              <w:top w:val="nil"/>
              <w:left w:val="nil"/>
              <w:bottom w:val="nil"/>
              <w:right w:val="nil"/>
            </w:tcBorders>
            <w:shd w:val="clear" w:color="000000" w:fill="FFFFFF"/>
            <w:noWrap/>
            <w:vAlign w:val="center"/>
            <w:hideMark/>
          </w:tcPr>
          <w:p w14:paraId="3A8BAA5B" w14:textId="301FA12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w:t>
            </w:r>
            <w:r w:rsidR="001B5749">
              <w:rPr>
                <w:rFonts w:ascii="Verdana" w:eastAsia="Times New Roman" w:hAnsi="Verdana" w:cs="Calibri"/>
                <w:color w:val="000000"/>
                <w:sz w:val="16"/>
                <w:szCs w:val="16"/>
                <w:lang w:val="en-GB" w:eastAsia="en-GB"/>
              </w:rPr>
              <w:t>48,400</w:t>
            </w:r>
            <w:r w:rsidRPr="00192B82">
              <w:rPr>
                <w:rFonts w:ascii="Verdana" w:eastAsia="Times New Roman" w:hAnsi="Verdana" w:cs="Calibri"/>
                <w:color w:val="000000"/>
                <w:sz w:val="16"/>
                <w:szCs w:val="16"/>
                <w:lang w:val="en-GB" w:eastAsia="en-GB"/>
              </w:rPr>
              <w:t>)</w:t>
            </w:r>
          </w:p>
        </w:tc>
        <w:tc>
          <w:tcPr>
            <w:tcW w:w="668" w:type="pct"/>
            <w:tcBorders>
              <w:top w:val="nil"/>
              <w:left w:val="nil"/>
              <w:bottom w:val="nil"/>
              <w:right w:val="nil"/>
            </w:tcBorders>
            <w:shd w:val="clear" w:color="000000" w:fill="FFFFFF"/>
            <w:noWrap/>
            <w:vAlign w:val="center"/>
            <w:hideMark/>
          </w:tcPr>
          <w:p w14:paraId="1B134AF7" w14:textId="48762DF5"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w:t>
            </w:r>
            <w:r w:rsidR="001B5749">
              <w:rPr>
                <w:rFonts w:ascii="Verdana" w:eastAsia="Times New Roman" w:hAnsi="Verdana" w:cs="Calibri"/>
                <w:color w:val="000000"/>
                <w:sz w:val="16"/>
                <w:szCs w:val="16"/>
                <w:lang w:val="en-GB" w:eastAsia="en-GB"/>
              </w:rPr>
              <w:t>5,334</w:t>
            </w:r>
            <w:r w:rsidRPr="00192B82">
              <w:rPr>
                <w:rFonts w:ascii="Verdana" w:eastAsia="Times New Roman" w:hAnsi="Verdana" w:cs="Calibri"/>
                <w:color w:val="000000"/>
                <w:sz w:val="16"/>
                <w:szCs w:val="16"/>
                <w:lang w:val="en-GB" w:eastAsia="en-GB"/>
              </w:rPr>
              <w:t>)</w:t>
            </w:r>
          </w:p>
        </w:tc>
      </w:tr>
      <w:tr w:rsidR="00192B82" w:rsidRPr="00192B82" w14:paraId="777A3385" w14:textId="77777777" w:rsidTr="00764626">
        <w:trPr>
          <w:trHeight w:val="204"/>
        </w:trPr>
        <w:tc>
          <w:tcPr>
            <w:tcW w:w="591" w:type="pct"/>
            <w:tcBorders>
              <w:top w:val="nil"/>
              <w:left w:val="nil"/>
              <w:bottom w:val="nil"/>
              <w:right w:val="nil"/>
            </w:tcBorders>
            <w:shd w:val="clear" w:color="000000" w:fill="FFFFFF"/>
            <w:noWrap/>
            <w:vAlign w:val="center"/>
            <w:hideMark/>
          </w:tcPr>
          <w:p w14:paraId="134355D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194196B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0440A4E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3F022BDF"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5159E59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00C910E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3C99E88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55552648" w14:textId="77777777" w:rsidTr="00764626">
        <w:trPr>
          <w:trHeight w:val="60"/>
        </w:trPr>
        <w:tc>
          <w:tcPr>
            <w:tcW w:w="591" w:type="pct"/>
            <w:tcBorders>
              <w:top w:val="single" w:sz="4" w:space="0" w:color="auto"/>
              <w:left w:val="nil"/>
              <w:bottom w:val="single" w:sz="8" w:space="0" w:color="auto"/>
              <w:right w:val="nil"/>
            </w:tcBorders>
            <w:shd w:val="clear" w:color="000000" w:fill="FFFFFF"/>
            <w:noWrap/>
            <w:vAlign w:val="center"/>
            <w:hideMark/>
          </w:tcPr>
          <w:p w14:paraId="26176EA1"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272,577</w:t>
            </w:r>
          </w:p>
        </w:tc>
        <w:tc>
          <w:tcPr>
            <w:tcW w:w="669" w:type="pct"/>
            <w:tcBorders>
              <w:top w:val="single" w:sz="4" w:space="0" w:color="auto"/>
              <w:left w:val="nil"/>
              <w:bottom w:val="single" w:sz="8" w:space="0" w:color="auto"/>
              <w:right w:val="nil"/>
            </w:tcBorders>
            <w:shd w:val="clear" w:color="000000" w:fill="FFFFFF"/>
            <w:noWrap/>
            <w:vAlign w:val="center"/>
            <w:hideMark/>
          </w:tcPr>
          <w:p w14:paraId="6BFBCCF5"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w:t>
            </w:r>
          </w:p>
        </w:tc>
        <w:tc>
          <w:tcPr>
            <w:tcW w:w="669" w:type="pct"/>
            <w:tcBorders>
              <w:top w:val="single" w:sz="4" w:space="0" w:color="auto"/>
              <w:left w:val="nil"/>
              <w:bottom w:val="single" w:sz="8" w:space="0" w:color="auto"/>
              <w:right w:val="nil"/>
            </w:tcBorders>
            <w:shd w:val="clear" w:color="000000" w:fill="FFFFFF"/>
            <w:noWrap/>
            <w:vAlign w:val="center"/>
            <w:hideMark/>
          </w:tcPr>
          <w:p w14:paraId="35F2D53B"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272,577</w:t>
            </w:r>
          </w:p>
        </w:tc>
        <w:tc>
          <w:tcPr>
            <w:tcW w:w="1143" w:type="pct"/>
            <w:tcBorders>
              <w:top w:val="single" w:sz="4" w:space="0" w:color="auto"/>
              <w:left w:val="nil"/>
              <w:bottom w:val="single" w:sz="8" w:space="0" w:color="auto"/>
              <w:right w:val="nil"/>
            </w:tcBorders>
            <w:shd w:val="clear" w:color="000000" w:fill="FFFFFF"/>
            <w:vAlign w:val="center"/>
            <w:hideMark/>
          </w:tcPr>
          <w:p w14:paraId="3FEB0696"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Net (liability) / asset arising from the defined benefit obligation</w:t>
            </w:r>
          </w:p>
        </w:tc>
        <w:tc>
          <w:tcPr>
            <w:tcW w:w="591" w:type="pct"/>
            <w:tcBorders>
              <w:top w:val="single" w:sz="4" w:space="0" w:color="auto"/>
              <w:left w:val="nil"/>
              <w:bottom w:val="single" w:sz="8" w:space="0" w:color="auto"/>
              <w:right w:val="nil"/>
            </w:tcBorders>
            <w:shd w:val="clear" w:color="000000" w:fill="FFFFFF"/>
            <w:noWrap/>
            <w:vAlign w:val="center"/>
            <w:hideMark/>
          </w:tcPr>
          <w:p w14:paraId="36686D47"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358,772</w:t>
            </w:r>
          </w:p>
        </w:tc>
        <w:tc>
          <w:tcPr>
            <w:tcW w:w="669" w:type="pct"/>
            <w:tcBorders>
              <w:top w:val="single" w:sz="4" w:space="0" w:color="auto"/>
              <w:left w:val="nil"/>
              <w:bottom w:val="single" w:sz="8" w:space="0" w:color="auto"/>
              <w:right w:val="nil"/>
            </w:tcBorders>
            <w:shd w:val="clear" w:color="000000" w:fill="FFFFFF"/>
            <w:noWrap/>
            <w:vAlign w:val="center"/>
            <w:hideMark/>
          </w:tcPr>
          <w:p w14:paraId="5F350CE4"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w:t>
            </w:r>
          </w:p>
        </w:tc>
        <w:tc>
          <w:tcPr>
            <w:tcW w:w="668" w:type="pct"/>
            <w:tcBorders>
              <w:top w:val="single" w:sz="4" w:space="0" w:color="auto"/>
              <w:left w:val="nil"/>
              <w:bottom w:val="single" w:sz="8" w:space="0" w:color="auto"/>
              <w:right w:val="nil"/>
            </w:tcBorders>
            <w:shd w:val="clear" w:color="000000" w:fill="FFFFFF"/>
            <w:noWrap/>
            <w:vAlign w:val="center"/>
            <w:hideMark/>
          </w:tcPr>
          <w:p w14:paraId="113C6757"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358,772</w:t>
            </w:r>
          </w:p>
        </w:tc>
      </w:tr>
    </w:tbl>
    <w:p w14:paraId="595B0F51" w14:textId="77777777" w:rsidR="00764626" w:rsidRDefault="00764626">
      <w:r>
        <w:br w:type="page"/>
      </w:r>
    </w:p>
    <w:tbl>
      <w:tblPr>
        <w:tblW w:w="5000" w:type="pct"/>
        <w:tblLook w:val="04A0" w:firstRow="1" w:lastRow="0" w:firstColumn="1" w:lastColumn="0" w:noHBand="0" w:noVBand="1"/>
      </w:tblPr>
      <w:tblGrid>
        <w:gridCol w:w="1820"/>
        <w:gridCol w:w="2061"/>
        <w:gridCol w:w="2061"/>
        <w:gridCol w:w="3520"/>
        <w:gridCol w:w="1820"/>
        <w:gridCol w:w="2061"/>
        <w:gridCol w:w="2057"/>
      </w:tblGrid>
      <w:tr w:rsidR="00192B82" w:rsidRPr="00192B82" w14:paraId="008EFA45" w14:textId="77777777" w:rsidTr="00764626">
        <w:trPr>
          <w:trHeight w:val="288"/>
        </w:trPr>
        <w:tc>
          <w:tcPr>
            <w:tcW w:w="591" w:type="pct"/>
            <w:tcBorders>
              <w:top w:val="nil"/>
              <w:left w:val="nil"/>
              <w:bottom w:val="nil"/>
              <w:right w:val="nil"/>
            </w:tcBorders>
            <w:shd w:val="clear" w:color="000000" w:fill="FFFFFF"/>
            <w:noWrap/>
            <w:vAlign w:val="bottom"/>
            <w:hideMark/>
          </w:tcPr>
          <w:p w14:paraId="3EAA8268" w14:textId="6DFE8C58"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9" w:type="pct"/>
            <w:tcBorders>
              <w:top w:val="nil"/>
              <w:left w:val="nil"/>
              <w:bottom w:val="nil"/>
              <w:right w:val="nil"/>
            </w:tcBorders>
            <w:shd w:val="clear" w:color="000000" w:fill="FFFFFF"/>
            <w:noWrap/>
            <w:vAlign w:val="bottom"/>
            <w:hideMark/>
          </w:tcPr>
          <w:p w14:paraId="2E5998FD"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9" w:type="pct"/>
            <w:tcBorders>
              <w:top w:val="nil"/>
              <w:left w:val="nil"/>
              <w:bottom w:val="nil"/>
              <w:right w:val="nil"/>
            </w:tcBorders>
            <w:shd w:val="clear" w:color="000000" w:fill="FFFFFF"/>
            <w:noWrap/>
            <w:vAlign w:val="bottom"/>
            <w:hideMark/>
          </w:tcPr>
          <w:p w14:paraId="3E4EE725"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1143" w:type="pct"/>
            <w:tcBorders>
              <w:top w:val="nil"/>
              <w:left w:val="nil"/>
              <w:bottom w:val="nil"/>
              <w:right w:val="nil"/>
            </w:tcBorders>
            <w:shd w:val="clear" w:color="000000" w:fill="FFFFFF"/>
            <w:noWrap/>
            <w:vAlign w:val="bottom"/>
            <w:hideMark/>
          </w:tcPr>
          <w:p w14:paraId="740649FC"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591" w:type="pct"/>
            <w:tcBorders>
              <w:top w:val="nil"/>
              <w:left w:val="nil"/>
              <w:bottom w:val="nil"/>
              <w:right w:val="nil"/>
            </w:tcBorders>
            <w:shd w:val="clear" w:color="000000" w:fill="FFFFFF"/>
            <w:noWrap/>
            <w:vAlign w:val="bottom"/>
            <w:hideMark/>
          </w:tcPr>
          <w:p w14:paraId="305136B1"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9" w:type="pct"/>
            <w:tcBorders>
              <w:top w:val="nil"/>
              <w:left w:val="nil"/>
              <w:bottom w:val="nil"/>
              <w:right w:val="nil"/>
            </w:tcBorders>
            <w:shd w:val="clear" w:color="000000" w:fill="FFFFFF"/>
            <w:noWrap/>
            <w:vAlign w:val="bottom"/>
            <w:hideMark/>
          </w:tcPr>
          <w:p w14:paraId="36ABFEBD"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c>
          <w:tcPr>
            <w:tcW w:w="668" w:type="pct"/>
            <w:tcBorders>
              <w:top w:val="nil"/>
              <w:left w:val="nil"/>
              <w:bottom w:val="nil"/>
              <w:right w:val="nil"/>
            </w:tcBorders>
            <w:shd w:val="clear" w:color="000000" w:fill="FFFFFF"/>
            <w:noWrap/>
            <w:vAlign w:val="bottom"/>
            <w:hideMark/>
          </w:tcPr>
          <w:p w14:paraId="7F587BB6" w14:textId="77777777" w:rsidR="00192B82" w:rsidRPr="00192B82" w:rsidRDefault="00192B82" w:rsidP="00192B82">
            <w:pPr>
              <w:rPr>
                <w:rFonts w:ascii="Calibri" w:eastAsia="Times New Roman" w:hAnsi="Calibri" w:cs="Calibri"/>
                <w:color w:val="000000"/>
                <w:sz w:val="22"/>
                <w:szCs w:val="22"/>
                <w:lang w:val="en-GB" w:eastAsia="en-GB"/>
              </w:rPr>
            </w:pPr>
            <w:r w:rsidRPr="00192B82">
              <w:rPr>
                <w:rFonts w:ascii="Calibri" w:eastAsia="Times New Roman" w:hAnsi="Calibri" w:cs="Calibri"/>
                <w:color w:val="000000"/>
                <w:sz w:val="22"/>
                <w:szCs w:val="22"/>
                <w:lang w:val="en-GB" w:eastAsia="en-GB"/>
              </w:rPr>
              <w:t> </w:t>
            </w:r>
          </w:p>
        </w:tc>
      </w:tr>
      <w:tr w:rsidR="00192B82" w:rsidRPr="00192B82" w14:paraId="577BA762" w14:textId="77777777" w:rsidTr="00764626">
        <w:trPr>
          <w:trHeight w:val="408"/>
        </w:trPr>
        <w:tc>
          <w:tcPr>
            <w:tcW w:w="1929" w:type="pct"/>
            <w:gridSpan w:val="3"/>
            <w:tcBorders>
              <w:top w:val="nil"/>
              <w:left w:val="nil"/>
              <w:bottom w:val="nil"/>
              <w:right w:val="nil"/>
            </w:tcBorders>
            <w:shd w:val="clear" w:color="000000" w:fill="FFFFFF"/>
            <w:noWrap/>
            <w:vAlign w:val="center"/>
            <w:hideMark/>
          </w:tcPr>
          <w:p w14:paraId="0823D401"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1143" w:type="pct"/>
            <w:tcBorders>
              <w:top w:val="nil"/>
              <w:left w:val="nil"/>
              <w:bottom w:val="nil"/>
              <w:right w:val="nil"/>
            </w:tcBorders>
            <w:shd w:val="clear" w:color="000000" w:fill="FFFFFF"/>
            <w:vAlign w:val="center"/>
            <w:hideMark/>
          </w:tcPr>
          <w:p w14:paraId="6188E0E9"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Movements in the Value of Scheme Liabilities</w:t>
            </w:r>
          </w:p>
        </w:tc>
        <w:tc>
          <w:tcPr>
            <w:tcW w:w="1928" w:type="pct"/>
            <w:gridSpan w:val="3"/>
            <w:tcBorders>
              <w:top w:val="nil"/>
              <w:left w:val="nil"/>
              <w:bottom w:val="nil"/>
              <w:right w:val="nil"/>
            </w:tcBorders>
            <w:shd w:val="clear" w:color="000000" w:fill="FFFFFF"/>
            <w:noWrap/>
            <w:vAlign w:val="center"/>
            <w:hideMark/>
          </w:tcPr>
          <w:p w14:paraId="5B2938FA"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r>
      <w:tr w:rsidR="00192B82" w:rsidRPr="00192B82" w14:paraId="44B42C25" w14:textId="77777777" w:rsidTr="00764626">
        <w:trPr>
          <w:trHeight w:val="204"/>
        </w:trPr>
        <w:tc>
          <w:tcPr>
            <w:tcW w:w="591" w:type="pct"/>
            <w:tcBorders>
              <w:top w:val="nil"/>
              <w:left w:val="nil"/>
              <w:bottom w:val="nil"/>
              <w:right w:val="nil"/>
            </w:tcBorders>
            <w:shd w:val="clear" w:color="000000" w:fill="FFFFFF"/>
            <w:noWrap/>
            <w:vAlign w:val="center"/>
            <w:hideMark/>
          </w:tcPr>
          <w:p w14:paraId="3DD14F4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669" w:type="pct"/>
            <w:tcBorders>
              <w:top w:val="nil"/>
              <w:left w:val="nil"/>
              <w:bottom w:val="nil"/>
              <w:right w:val="nil"/>
            </w:tcBorders>
            <w:shd w:val="clear" w:color="000000" w:fill="FFFFFF"/>
            <w:vAlign w:val="center"/>
            <w:hideMark/>
          </w:tcPr>
          <w:p w14:paraId="21DAB66D"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669" w:type="pct"/>
            <w:tcBorders>
              <w:top w:val="nil"/>
              <w:left w:val="nil"/>
              <w:bottom w:val="nil"/>
              <w:right w:val="nil"/>
            </w:tcBorders>
            <w:shd w:val="clear" w:color="000000" w:fill="FFFFFF"/>
            <w:vAlign w:val="center"/>
            <w:hideMark/>
          </w:tcPr>
          <w:p w14:paraId="5E953B7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c>
          <w:tcPr>
            <w:tcW w:w="1143" w:type="pct"/>
            <w:tcBorders>
              <w:top w:val="nil"/>
              <w:left w:val="nil"/>
              <w:bottom w:val="nil"/>
              <w:right w:val="nil"/>
            </w:tcBorders>
            <w:shd w:val="clear" w:color="000000" w:fill="FFFFFF"/>
            <w:noWrap/>
            <w:vAlign w:val="center"/>
            <w:hideMark/>
          </w:tcPr>
          <w:p w14:paraId="1E16B266"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67C6C40D"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xml:space="preserve">CC LGPS </w:t>
            </w:r>
          </w:p>
        </w:tc>
        <w:tc>
          <w:tcPr>
            <w:tcW w:w="669" w:type="pct"/>
            <w:tcBorders>
              <w:top w:val="nil"/>
              <w:left w:val="nil"/>
              <w:bottom w:val="nil"/>
              <w:right w:val="nil"/>
            </w:tcBorders>
            <w:shd w:val="clear" w:color="000000" w:fill="FFFFFF"/>
            <w:vAlign w:val="center"/>
            <w:hideMark/>
          </w:tcPr>
          <w:p w14:paraId="4F5C0E20"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Police Officers</w:t>
            </w:r>
          </w:p>
        </w:tc>
        <w:tc>
          <w:tcPr>
            <w:tcW w:w="668" w:type="pct"/>
            <w:tcBorders>
              <w:top w:val="nil"/>
              <w:left w:val="nil"/>
              <w:bottom w:val="nil"/>
              <w:right w:val="nil"/>
            </w:tcBorders>
            <w:shd w:val="clear" w:color="000000" w:fill="FFFFFF"/>
            <w:vAlign w:val="center"/>
            <w:hideMark/>
          </w:tcPr>
          <w:p w14:paraId="1996AE9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Total</w:t>
            </w:r>
          </w:p>
        </w:tc>
      </w:tr>
      <w:tr w:rsidR="00192B82" w:rsidRPr="00192B82" w14:paraId="4156FB61" w14:textId="77777777" w:rsidTr="00764626">
        <w:trPr>
          <w:trHeight w:val="204"/>
        </w:trPr>
        <w:tc>
          <w:tcPr>
            <w:tcW w:w="591" w:type="pct"/>
            <w:tcBorders>
              <w:top w:val="nil"/>
              <w:left w:val="nil"/>
              <w:bottom w:val="nil"/>
              <w:right w:val="nil"/>
            </w:tcBorders>
            <w:shd w:val="clear" w:color="000000" w:fill="FFFFFF"/>
            <w:noWrap/>
            <w:vAlign w:val="bottom"/>
            <w:hideMark/>
          </w:tcPr>
          <w:p w14:paraId="4F0E731D"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7862FA0C"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081F8863"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bottom"/>
            <w:hideMark/>
          </w:tcPr>
          <w:p w14:paraId="3CBFF257" w14:textId="77777777" w:rsidR="00192B82" w:rsidRPr="00192B82" w:rsidRDefault="00192B82" w:rsidP="00192B82">
            <w:pP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nil"/>
              <w:right w:val="nil"/>
            </w:tcBorders>
            <w:shd w:val="clear" w:color="000000" w:fill="FFFFFF"/>
            <w:noWrap/>
            <w:vAlign w:val="bottom"/>
            <w:hideMark/>
          </w:tcPr>
          <w:p w14:paraId="2AC0CC2C"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bottom"/>
            <w:hideMark/>
          </w:tcPr>
          <w:p w14:paraId="41658249"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bottom"/>
            <w:hideMark/>
          </w:tcPr>
          <w:p w14:paraId="6E43FD3D" w14:textId="77777777" w:rsidR="00192B82" w:rsidRPr="00192B82" w:rsidRDefault="00192B82" w:rsidP="00192B82">
            <w:pPr>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555DE15B" w14:textId="77777777" w:rsidTr="00764626">
        <w:trPr>
          <w:trHeight w:val="204"/>
        </w:trPr>
        <w:tc>
          <w:tcPr>
            <w:tcW w:w="591" w:type="pct"/>
            <w:tcBorders>
              <w:top w:val="nil"/>
              <w:left w:val="nil"/>
              <w:bottom w:val="single" w:sz="4" w:space="0" w:color="auto"/>
              <w:right w:val="nil"/>
            </w:tcBorders>
            <w:shd w:val="clear" w:color="000000" w:fill="FFFFFF"/>
            <w:noWrap/>
            <w:vAlign w:val="center"/>
            <w:hideMark/>
          </w:tcPr>
          <w:p w14:paraId="40F69992"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4F6E4E01"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55B35FA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1143" w:type="pct"/>
            <w:tcBorders>
              <w:top w:val="nil"/>
              <w:left w:val="nil"/>
              <w:bottom w:val="single" w:sz="4" w:space="0" w:color="auto"/>
              <w:right w:val="nil"/>
            </w:tcBorders>
            <w:shd w:val="clear" w:color="000000" w:fill="FFFFFF"/>
            <w:noWrap/>
            <w:vAlign w:val="center"/>
            <w:hideMark/>
          </w:tcPr>
          <w:p w14:paraId="5D690A44"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 </w:t>
            </w:r>
          </w:p>
        </w:tc>
        <w:tc>
          <w:tcPr>
            <w:tcW w:w="591" w:type="pct"/>
            <w:tcBorders>
              <w:top w:val="nil"/>
              <w:left w:val="nil"/>
              <w:bottom w:val="single" w:sz="4" w:space="0" w:color="auto"/>
              <w:right w:val="nil"/>
            </w:tcBorders>
            <w:shd w:val="clear" w:color="000000" w:fill="FFFFFF"/>
            <w:noWrap/>
            <w:vAlign w:val="center"/>
            <w:hideMark/>
          </w:tcPr>
          <w:p w14:paraId="21BBBDED"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9" w:type="pct"/>
            <w:tcBorders>
              <w:top w:val="nil"/>
              <w:left w:val="nil"/>
              <w:bottom w:val="single" w:sz="4" w:space="0" w:color="auto"/>
              <w:right w:val="nil"/>
            </w:tcBorders>
            <w:shd w:val="clear" w:color="000000" w:fill="FFFFFF"/>
            <w:noWrap/>
            <w:vAlign w:val="center"/>
            <w:hideMark/>
          </w:tcPr>
          <w:p w14:paraId="3A72042A"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c>
          <w:tcPr>
            <w:tcW w:w="668" w:type="pct"/>
            <w:tcBorders>
              <w:top w:val="nil"/>
              <w:left w:val="nil"/>
              <w:bottom w:val="single" w:sz="4" w:space="0" w:color="auto"/>
              <w:right w:val="nil"/>
            </w:tcBorders>
            <w:shd w:val="clear" w:color="000000" w:fill="FFFFFF"/>
            <w:noWrap/>
            <w:vAlign w:val="center"/>
            <w:hideMark/>
          </w:tcPr>
          <w:p w14:paraId="43169BA5" w14:textId="77777777" w:rsidR="00192B82" w:rsidRPr="00192B82" w:rsidRDefault="00192B82" w:rsidP="00192B82">
            <w:pPr>
              <w:jc w:val="center"/>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£000</w:t>
            </w:r>
          </w:p>
        </w:tc>
      </w:tr>
      <w:tr w:rsidR="00192B82" w:rsidRPr="00192B82" w14:paraId="1612160D" w14:textId="77777777" w:rsidTr="00764626">
        <w:trPr>
          <w:trHeight w:val="408"/>
        </w:trPr>
        <w:tc>
          <w:tcPr>
            <w:tcW w:w="591" w:type="pct"/>
            <w:tcBorders>
              <w:top w:val="nil"/>
              <w:left w:val="nil"/>
              <w:bottom w:val="nil"/>
              <w:right w:val="nil"/>
            </w:tcBorders>
            <w:shd w:val="clear" w:color="000000" w:fill="FFFFFF"/>
            <w:noWrap/>
            <w:vAlign w:val="center"/>
            <w:hideMark/>
          </w:tcPr>
          <w:p w14:paraId="0D9B46CA"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(472,985)</w:t>
            </w:r>
          </w:p>
        </w:tc>
        <w:tc>
          <w:tcPr>
            <w:tcW w:w="669" w:type="pct"/>
            <w:tcBorders>
              <w:top w:val="nil"/>
              <w:left w:val="nil"/>
              <w:bottom w:val="nil"/>
              <w:right w:val="nil"/>
            </w:tcBorders>
            <w:shd w:val="clear" w:color="000000" w:fill="FFFFFF"/>
            <w:noWrap/>
            <w:vAlign w:val="center"/>
            <w:hideMark/>
          </w:tcPr>
          <w:p w14:paraId="18F767FC"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(1,988,120)</w:t>
            </w:r>
          </w:p>
        </w:tc>
        <w:tc>
          <w:tcPr>
            <w:tcW w:w="669" w:type="pct"/>
            <w:tcBorders>
              <w:top w:val="nil"/>
              <w:left w:val="nil"/>
              <w:bottom w:val="nil"/>
              <w:right w:val="nil"/>
            </w:tcBorders>
            <w:shd w:val="clear" w:color="000000" w:fill="FFFFFF"/>
            <w:noWrap/>
            <w:vAlign w:val="center"/>
            <w:hideMark/>
          </w:tcPr>
          <w:p w14:paraId="665CF5A7"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(2,461,105)</w:t>
            </w:r>
          </w:p>
        </w:tc>
        <w:tc>
          <w:tcPr>
            <w:tcW w:w="1143" w:type="pct"/>
            <w:tcBorders>
              <w:top w:val="nil"/>
              <w:left w:val="nil"/>
              <w:bottom w:val="nil"/>
              <w:right w:val="nil"/>
            </w:tcBorders>
            <w:shd w:val="clear" w:color="000000" w:fill="FFFFFF"/>
            <w:vAlign w:val="center"/>
            <w:hideMark/>
          </w:tcPr>
          <w:p w14:paraId="1748EFF9"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Opening balance at 1 April</w:t>
            </w:r>
          </w:p>
        </w:tc>
        <w:tc>
          <w:tcPr>
            <w:tcW w:w="591" w:type="pct"/>
            <w:tcBorders>
              <w:top w:val="nil"/>
              <w:left w:val="nil"/>
              <w:bottom w:val="nil"/>
              <w:right w:val="nil"/>
            </w:tcBorders>
            <w:shd w:val="clear" w:color="000000" w:fill="FFFFFF"/>
            <w:noWrap/>
            <w:vAlign w:val="center"/>
            <w:hideMark/>
          </w:tcPr>
          <w:p w14:paraId="642AD0F0"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(403,072)</w:t>
            </w:r>
          </w:p>
        </w:tc>
        <w:tc>
          <w:tcPr>
            <w:tcW w:w="669" w:type="pct"/>
            <w:tcBorders>
              <w:top w:val="nil"/>
              <w:left w:val="nil"/>
              <w:bottom w:val="nil"/>
              <w:right w:val="nil"/>
            </w:tcBorders>
            <w:shd w:val="clear" w:color="000000" w:fill="FFFFFF"/>
            <w:noWrap/>
            <w:vAlign w:val="center"/>
            <w:hideMark/>
          </w:tcPr>
          <w:p w14:paraId="599E6AD7"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(1,896,060)</w:t>
            </w:r>
          </w:p>
        </w:tc>
        <w:tc>
          <w:tcPr>
            <w:tcW w:w="668" w:type="pct"/>
            <w:tcBorders>
              <w:top w:val="nil"/>
              <w:left w:val="nil"/>
              <w:bottom w:val="nil"/>
              <w:right w:val="nil"/>
            </w:tcBorders>
            <w:shd w:val="clear" w:color="000000" w:fill="FFFFFF"/>
            <w:noWrap/>
            <w:vAlign w:val="center"/>
            <w:hideMark/>
          </w:tcPr>
          <w:p w14:paraId="2D75AA46"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(2,299,132)</w:t>
            </w:r>
          </w:p>
        </w:tc>
      </w:tr>
      <w:tr w:rsidR="00192B82" w:rsidRPr="00192B82" w14:paraId="21214797" w14:textId="77777777" w:rsidTr="00764626">
        <w:trPr>
          <w:trHeight w:val="204"/>
        </w:trPr>
        <w:tc>
          <w:tcPr>
            <w:tcW w:w="591" w:type="pct"/>
            <w:tcBorders>
              <w:top w:val="nil"/>
              <w:left w:val="nil"/>
              <w:bottom w:val="nil"/>
              <w:right w:val="nil"/>
            </w:tcBorders>
            <w:shd w:val="clear" w:color="000000" w:fill="FFFFFF"/>
            <w:noWrap/>
            <w:vAlign w:val="center"/>
            <w:hideMark/>
          </w:tcPr>
          <w:p w14:paraId="4EE4A34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34598BC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6A53293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1361862B"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1F64C8E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787C495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53167F5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37906200" w14:textId="77777777" w:rsidTr="00764626">
        <w:trPr>
          <w:trHeight w:val="70"/>
        </w:trPr>
        <w:tc>
          <w:tcPr>
            <w:tcW w:w="591" w:type="pct"/>
            <w:tcBorders>
              <w:top w:val="nil"/>
              <w:left w:val="nil"/>
              <w:bottom w:val="nil"/>
              <w:right w:val="nil"/>
            </w:tcBorders>
            <w:shd w:val="clear" w:color="000000" w:fill="FFFFFF"/>
            <w:noWrap/>
            <w:vAlign w:val="center"/>
            <w:hideMark/>
          </w:tcPr>
          <w:p w14:paraId="14C42AC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4,281</w:t>
            </w:r>
          </w:p>
        </w:tc>
        <w:tc>
          <w:tcPr>
            <w:tcW w:w="669" w:type="pct"/>
            <w:tcBorders>
              <w:top w:val="nil"/>
              <w:left w:val="nil"/>
              <w:bottom w:val="nil"/>
              <w:right w:val="nil"/>
            </w:tcBorders>
            <w:shd w:val="clear" w:color="000000" w:fill="FFFFFF"/>
            <w:noWrap/>
            <w:vAlign w:val="center"/>
            <w:hideMark/>
          </w:tcPr>
          <w:p w14:paraId="44AA9DC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607330E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4,281</w:t>
            </w:r>
          </w:p>
        </w:tc>
        <w:tc>
          <w:tcPr>
            <w:tcW w:w="1143" w:type="pct"/>
            <w:tcBorders>
              <w:top w:val="nil"/>
              <w:left w:val="nil"/>
              <w:bottom w:val="nil"/>
              <w:right w:val="nil"/>
            </w:tcBorders>
            <w:shd w:val="clear" w:color="000000" w:fill="FFFFFF"/>
            <w:noWrap/>
            <w:vAlign w:val="center"/>
            <w:hideMark/>
          </w:tcPr>
          <w:p w14:paraId="3E272F49"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Transfer to PCC</w:t>
            </w:r>
          </w:p>
        </w:tc>
        <w:tc>
          <w:tcPr>
            <w:tcW w:w="591" w:type="pct"/>
            <w:tcBorders>
              <w:top w:val="nil"/>
              <w:left w:val="nil"/>
              <w:bottom w:val="nil"/>
              <w:right w:val="nil"/>
            </w:tcBorders>
            <w:shd w:val="clear" w:color="000000" w:fill="FFFFFF"/>
            <w:noWrap/>
            <w:vAlign w:val="center"/>
            <w:hideMark/>
          </w:tcPr>
          <w:p w14:paraId="004DCD8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43D35F6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1EFEFF2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r>
      <w:tr w:rsidR="00192B82" w:rsidRPr="00192B82" w14:paraId="415978E3" w14:textId="77777777" w:rsidTr="00764626">
        <w:trPr>
          <w:trHeight w:val="70"/>
        </w:trPr>
        <w:tc>
          <w:tcPr>
            <w:tcW w:w="591" w:type="pct"/>
            <w:tcBorders>
              <w:top w:val="nil"/>
              <w:left w:val="nil"/>
              <w:bottom w:val="single" w:sz="4" w:space="0" w:color="auto"/>
              <w:right w:val="nil"/>
            </w:tcBorders>
            <w:shd w:val="clear" w:color="000000" w:fill="FFFFFF"/>
            <w:noWrap/>
            <w:vAlign w:val="center"/>
            <w:hideMark/>
          </w:tcPr>
          <w:p w14:paraId="390C6F1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single" w:sz="4" w:space="0" w:color="auto"/>
              <w:right w:val="nil"/>
            </w:tcBorders>
            <w:shd w:val="clear" w:color="000000" w:fill="FFFFFF"/>
            <w:noWrap/>
            <w:vAlign w:val="center"/>
            <w:hideMark/>
          </w:tcPr>
          <w:p w14:paraId="2D0FB8E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single" w:sz="4" w:space="0" w:color="auto"/>
              <w:right w:val="nil"/>
            </w:tcBorders>
            <w:shd w:val="clear" w:color="000000" w:fill="FFFFFF"/>
            <w:noWrap/>
            <w:vAlign w:val="center"/>
            <w:hideMark/>
          </w:tcPr>
          <w:p w14:paraId="4F362C9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single" w:sz="4" w:space="0" w:color="auto"/>
              <w:right w:val="nil"/>
            </w:tcBorders>
            <w:shd w:val="clear" w:color="000000" w:fill="FFFFFF"/>
            <w:noWrap/>
            <w:vAlign w:val="center"/>
            <w:hideMark/>
          </w:tcPr>
          <w:p w14:paraId="6C58BA06"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single" w:sz="4" w:space="0" w:color="auto"/>
              <w:right w:val="nil"/>
            </w:tcBorders>
            <w:shd w:val="clear" w:color="000000" w:fill="FFFFFF"/>
            <w:noWrap/>
            <w:vAlign w:val="center"/>
            <w:hideMark/>
          </w:tcPr>
          <w:p w14:paraId="22E561F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single" w:sz="4" w:space="0" w:color="auto"/>
              <w:right w:val="nil"/>
            </w:tcBorders>
            <w:shd w:val="clear" w:color="000000" w:fill="FFFFFF"/>
            <w:noWrap/>
            <w:vAlign w:val="center"/>
            <w:hideMark/>
          </w:tcPr>
          <w:p w14:paraId="54EC9FF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single" w:sz="4" w:space="0" w:color="auto"/>
              <w:right w:val="nil"/>
            </w:tcBorders>
            <w:shd w:val="clear" w:color="000000" w:fill="FFFFFF"/>
            <w:noWrap/>
            <w:vAlign w:val="center"/>
            <w:hideMark/>
          </w:tcPr>
          <w:p w14:paraId="14C0BE8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0469A5A8" w14:textId="77777777" w:rsidTr="00764626">
        <w:trPr>
          <w:trHeight w:val="288"/>
        </w:trPr>
        <w:tc>
          <w:tcPr>
            <w:tcW w:w="591" w:type="pct"/>
            <w:tcBorders>
              <w:top w:val="nil"/>
              <w:left w:val="nil"/>
              <w:bottom w:val="single" w:sz="4" w:space="0" w:color="auto"/>
              <w:right w:val="nil"/>
            </w:tcBorders>
            <w:shd w:val="clear" w:color="000000" w:fill="FFFFFF"/>
            <w:noWrap/>
            <w:vAlign w:val="center"/>
            <w:hideMark/>
          </w:tcPr>
          <w:p w14:paraId="207F7961"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(468,704)</w:t>
            </w:r>
          </w:p>
        </w:tc>
        <w:tc>
          <w:tcPr>
            <w:tcW w:w="669" w:type="pct"/>
            <w:tcBorders>
              <w:top w:val="nil"/>
              <w:left w:val="nil"/>
              <w:bottom w:val="single" w:sz="4" w:space="0" w:color="auto"/>
              <w:right w:val="nil"/>
            </w:tcBorders>
            <w:shd w:val="clear" w:color="000000" w:fill="FFFFFF"/>
            <w:noWrap/>
            <w:vAlign w:val="center"/>
            <w:hideMark/>
          </w:tcPr>
          <w:p w14:paraId="55603AB4"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(1,988,120)</w:t>
            </w:r>
          </w:p>
        </w:tc>
        <w:tc>
          <w:tcPr>
            <w:tcW w:w="669" w:type="pct"/>
            <w:tcBorders>
              <w:top w:val="nil"/>
              <w:left w:val="nil"/>
              <w:bottom w:val="single" w:sz="4" w:space="0" w:color="auto"/>
              <w:right w:val="nil"/>
            </w:tcBorders>
            <w:shd w:val="clear" w:color="000000" w:fill="FFFFFF"/>
            <w:noWrap/>
            <w:vAlign w:val="center"/>
            <w:hideMark/>
          </w:tcPr>
          <w:p w14:paraId="67B8FBA2"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(2,456,824)</w:t>
            </w:r>
          </w:p>
        </w:tc>
        <w:tc>
          <w:tcPr>
            <w:tcW w:w="1143" w:type="pct"/>
            <w:tcBorders>
              <w:top w:val="nil"/>
              <w:left w:val="nil"/>
              <w:bottom w:val="single" w:sz="4" w:space="0" w:color="auto"/>
              <w:right w:val="nil"/>
            </w:tcBorders>
            <w:shd w:val="clear" w:color="000000" w:fill="FFFFFF"/>
            <w:vAlign w:val="center"/>
            <w:hideMark/>
          </w:tcPr>
          <w:p w14:paraId="3E9A5370"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Revised Opening Balance</w:t>
            </w:r>
          </w:p>
        </w:tc>
        <w:tc>
          <w:tcPr>
            <w:tcW w:w="591" w:type="pct"/>
            <w:tcBorders>
              <w:top w:val="nil"/>
              <w:left w:val="nil"/>
              <w:bottom w:val="single" w:sz="4" w:space="0" w:color="auto"/>
              <w:right w:val="nil"/>
            </w:tcBorders>
            <w:shd w:val="clear" w:color="000000" w:fill="FFFFFF"/>
            <w:noWrap/>
            <w:vAlign w:val="center"/>
            <w:hideMark/>
          </w:tcPr>
          <w:p w14:paraId="417FC482"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(403,072)</w:t>
            </w:r>
          </w:p>
        </w:tc>
        <w:tc>
          <w:tcPr>
            <w:tcW w:w="669" w:type="pct"/>
            <w:tcBorders>
              <w:top w:val="nil"/>
              <w:left w:val="nil"/>
              <w:bottom w:val="single" w:sz="4" w:space="0" w:color="auto"/>
              <w:right w:val="nil"/>
            </w:tcBorders>
            <w:shd w:val="clear" w:color="000000" w:fill="FFFFFF"/>
            <w:noWrap/>
            <w:vAlign w:val="center"/>
            <w:hideMark/>
          </w:tcPr>
          <w:p w14:paraId="5DA27A61"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(1,896,060)</w:t>
            </w:r>
          </w:p>
        </w:tc>
        <w:tc>
          <w:tcPr>
            <w:tcW w:w="668" w:type="pct"/>
            <w:tcBorders>
              <w:top w:val="nil"/>
              <w:left w:val="nil"/>
              <w:bottom w:val="single" w:sz="4" w:space="0" w:color="auto"/>
              <w:right w:val="nil"/>
            </w:tcBorders>
            <w:shd w:val="clear" w:color="000000" w:fill="FFFFFF"/>
            <w:noWrap/>
            <w:vAlign w:val="center"/>
            <w:hideMark/>
          </w:tcPr>
          <w:p w14:paraId="3D3DBC32"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(2,299,132)</w:t>
            </w:r>
          </w:p>
        </w:tc>
      </w:tr>
      <w:tr w:rsidR="00192B82" w:rsidRPr="00192B82" w14:paraId="157CD0D0" w14:textId="77777777" w:rsidTr="00764626">
        <w:trPr>
          <w:trHeight w:val="288"/>
        </w:trPr>
        <w:tc>
          <w:tcPr>
            <w:tcW w:w="591" w:type="pct"/>
            <w:tcBorders>
              <w:top w:val="nil"/>
              <w:left w:val="nil"/>
              <w:bottom w:val="nil"/>
              <w:right w:val="nil"/>
            </w:tcBorders>
            <w:shd w:val="clear" w:color="000000" w:fill="FFFFFF"/>
            <w:noWrap/>
            <w:vAlign w:val="center"/>
            <w:hideMark/>
          </w:tcPr>
          <w:p w14:paraId="6404C93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(20,410)</w:t>
            </w:r>
          </w:p>
        </w:tc>
        <w:tc>
          <w:tcPr>
            <w:tcW w:w="669" w:type="pct"/>
            <w:tcBorders>
              <w:top w:val="nil"/>
              <w:left w:val="nil"/>
              <w:bottom w:val="nil"/>
              <w:right w:val="nil"/>
            </w:tcBorders>
            <w:shd w:val="clear" w:color="000000" w:fill="FFFFFF"/>
            <w:noWrap/>
            <w:vAlign w:val="center"/>
            <w:hideMark/>
          </w:tcPr>
          <w:p w14:paraId="26A7284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(54,660)</w:t>
            </w:r>
          </w:p>
        </w:tc>
        <w:tc>
          <w:tcPr>
            <w:tcW w:w="669" w:type="pct"/>
            <w:tcBorders>
              <w:top w:val="nil"/>
              <w:left w:val="nil"/>
              <w:bottom w:val="nil"/>
              <w:right w:val="nil"/>
            </w:tcBorders>
            <w:shd w:val="clear" w:color="000000" w:fill="FFFFFF"/>
            <w:noWrap/>
            <w:vAlign w:val="center"/>
            <w:hideMark/>
          </w:tcPr>
          <w:p w14:paraId="75C01C1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(75,070)</w:t>
            </w:r>
          </w:p>
        </w:tc>
        <w:tc>
          <w:tcPr>
            <w:tcW w:w="1143" w:type="pct"/>
            <w:tcBorders>
              <w:top w:val="nil"/>
              <w:left w:val="nil"/>
              <w:bottom w:val="nil"/>
              <w:right w:val="nil"/>
            </w:tcBorders>
            <w:shd w:val="clear" w:color="000000" w:fill="FFFFFF"/>
            <w:noWrap/>
            <w:vAlign w:val="center"/>
            <w:hideMark/>
          </w:tcPr>
          <w:p w14:paraId="66021CA1"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Current service cost</w:t>
            </w:r>
          </w:p>
        </w:tc>
        <w:tc>
          <w:tcPr>
            <w:tcW w:w="591" w:type="pct"/>
            <w:tcBorders>
              <w:top w:val="nil"/>
              <w:left w:val="nil"/>
              <w:bottom w:val="nil"/>
              <w:right w:val="nil"/>
            </w:tcBorders>
            <w:shd w:val="clear" w:color="000000" w:fill="FFFFFF"/>
            <w:noWrap/>
            <w:vAlign w:val="center"/>
            <w:hideMark/>
          </w:tcPr>
          <w:p w14:paraId="7A1145F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(17,786)</w:t>
            </w:r>
          </w:p>
        </w:tc>
        <w:tc>
          <w:tcPr>
            <w:tcW w:w="669" w:type="pct"/>
            <w:tcBorders>
              <w:top w:val="nil"/>
              <w:left w:val="nil"/>
              <w:bottom w:val="nil"/>
              <w:right w:val="nil"/>
            </w:tcBorders>
            <w:shd w:val="clear" w:color="000000" w:fill="FFFFFF"/>
            <w:noWrap/>
            <w:vAlign w:val="center"/>
            <w:hideMark/>
          </w:tcPr>
          <w:p w14:paraId="03B53F9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(53,250)</w:t>
            </w:r>
          </w:p>
        </w:tc>
        <w:tc>
          <w:tcPr>
            <w:tcW w:w="668" w:type="pct"/>
            <w:tcBorders>
              <w:top w:val="nil"/>
              <w:left w:val="nil"/>
              <w:bottom w:val="nil"/>
              <w:right w:val="nil"/>
            </w:tcBorders>
            <w:shd w:val="clear" w:color="000000" w:fill="FFFFFF"/>
            <w:noWrap/>
            <w:vAlign w:val="center"/>
            <w:hideMark/>
          </w:tcPr>
          <w:p w14:paraId="5B5636A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(71,036)</w:t>
            </w:r>
          </w:p>
        </w:tc>
      </w:tr>
      <w:tr w:rsidR="00192B82" w:rsidRPr="00192B82" w14:paraId="0E805DAE" w14:textId="77777777" w:rsidTr="00764626">
        <w:trPr>
          <w:trHeight w:val="204"/>
        </w:trPr>
        <w:tc>
          <w:tcPr>
            <w:tcW w:w="591" w:type="pct"/>
            <w:tcBorders>
              <w:top w:val="nil"/>
              <w:left w:val="nil"/>
              <w:bottom w:val="nil"/>
              <w:right w:val="nil"/>
            </w:tcBorders>
            <w:shd w:val="clear" w:color="000000" w:fill="FFFFFF"/>
            <w:noWrap/>
            <w:vAlign w:val="center"/>
            <w:hideMark/>
          </w:tcPr>
          <w:p w14:paraId="70636AF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310C6B4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447CC7A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02034BDA"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53818DE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2C2EFC5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21928EE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5AE2F3D3" w14:textId="77777777" w:rsidTr="00764626">
        <w:trPr>
          <w:trHeight w:val="288"/>
        </w:trPr>
        <w:tc>
          <w:tcPr>
            <w:tcW w:w="591" w:type="pct"/>
            <w:tcBorders>
              <w:top w:val="nil"/>
              <w:left w:val="nil"/>
              <w:bottom w:val="nil"/>
              <w:right w:val="nil"/>
            </w:tcBorders>
            <w:shd w:val="clear" w:color="000000" w:fill="FFFFFF"/>
            <w:noWrap/>
            <w:vAlign w:val="center"/>
            <w:hideMark/>
          </w:tcPr>
          <w:p w14:paraId="6D968D1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(11,466)</w:t>
            </w:r>
          </w:p>
        </w:tc>
        <w:tc>
          <w:tcPr>
            <w:tcW w:w="669" w:type="pct"/>
            <w:tcBorders>
              <w:top w:val="nil"/>
              <w:left w:val="nil"/>
              <w:bottom w:val="nil"/>
              <w:right w:val="nil"/>
            </w:tcBorders>
            <w:shd w:val="clear" w:color="000000" w:fill="FFFFFF"/>
            <w:noWrap/>
            <w:vAlign w:val="center"/>
            <w:hideMark/>
          </w:tcPr>
          <w:p w14:paraId="43AE892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(48,960)</w:t>
            </w:r>
          </w:p>
        </w:tc>
        <w:tc>
          <w:tcPr>
            <w:tcW w:w="669" w:type="pct"/>
            <w:tcBorders>
              <w:top w:val="nil"/>
              <w:left w:val="nil"/>
              <w:bottom w:val="nil"/>
              <w:right w:val="nil"/>
            </w:tcBorders>
            <w:shd w:val="clear" w:color="000000" w:fill="FFFFFF"/>
            <w:noWrap/>
            <w:vAlign w:val="center"/>
            <w:hideMark/>
          </w:tcPr>
          <w:p w14:paraId="19CFD3F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(60,426)</w:t>
            </w:r>
          </w:p>
        </w:tc>
        <w:tc>
          <w:tcPr>
            <w:tcW w:w="1143" w:type="pct"/>
            <w:tcBorders>
              <w:top w:val="nil"/>
              <w:left w:val="nil"/>
              <w:bottom w:val="nil"/>
              <w:right w:val="nil"/>
            </w:tcBorders>
            <w:shd w:val="clear" w:color="000000" w:fill="FFFFFF"/>
            <w:vAlign w:val="center"/>
            <w:hideMark/>
          </w:tcPr>
          <w:p w14:paraId="550372CF"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Interest cost</w:t>
            </w:r>
          </w:p>
        </w:tc>
        <w:tc>
          <w:tcPr>
            <w:tcW w:w="591" w:type="pct"/>
            <w:tcBorders>
              <w:top w:val="nil"/>
              <w:left w:val="nil"/>
              <w:bottom w:val="nil"/>
              <w:right w:val="nil"/>
            </w:tcBorders>
            <w:shd w:val="clear" w:color="000000" w:fill="FFFFFF"/>
            <w:noWrap/>
            <w:vAlign w:val="center"/>
            <w:hideMark/>
          </w:tcPr>
          <w:p w14:paraId="0058655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(9,429)</w:t>
            </w:r>
          </w:p>
        </w:tc>
        <w:tc>
          <w:tcPr>
            <w:tcW w:w="669" w:type="pct"/>
            <w:tcBorders>
              <w:top w:val="nil"/>
              <w:left w:val="nil"/>
              <w:bottom w:val="nil"/>
              <w:right w:val="nil"/>
            </w:tcBorders>
            <w:shd w:val="clear" w:color="000000" w:fill="FFFFFF"/>
            <w:noWrap/>
            <w:vAlign w:val="center"/>
            <w:hideMark/>
          </w:tcPr>
          <w:p w14:paraId="5A35656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(42,820)</w:t>
            </w:r>
          </w:p>
        </w:tc>
        <w:tc>
          <w:tcPr>
            <w:tcW w:w="668" w:type="pct"/>
            <w:tcBorders>
              <w:top w:val="nil"/>
              <w:left w:val="nil"/>
              <w:bottom w:val="nil"/>
              <w:right w:val="nil"/>
            </w:tcBorders>
            <w:shd w:val="clear" w:color="000000" w:fill="FFFFFF"/>
            <w:noWrap/>
            <w:vAlign w:val="center"/>
            <w:hideMark/>
          </w:tcPr>
          <w:p w14:paraId="4D80A26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(52,249)</w:t>
            </w:r>
          </w:p>
        </w:tc>
      </w:tr>
      <w:tr w:rsidR="00192B82" w:rsidRPr="00192B82" w14:paraId="3EE16AE8" w14:textId="77777777" w:rsidTr="00764626">
        <w:trPr>
          <w:trHeight w:val="204"/>
        </w:trPr>
        <w:tc>
          <w:tcPr>
            <w:tcW w:w="591" w:type="pct"/>
            <w:tcBorders>
              <w:top w:val="nil"/>
              <w:left w:val="nil"/>
              <w:bottom w:val="nil"/>
              <w:right w:val="nil"/>
            </w:tcBorders>
            <w:shd w:val="clear" w:color="000000" w:fill="FFFFFF"/>
            <w:noWrap/>
            <w:vAlign w:val="center"/>
            <w:hideMark/>
          </w:tcPr>
          <w:p w14:paraId="4FB0DE8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4F5520E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0FDC2B8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0C7F1D03"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0388A15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2BA1F7E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7FB0DB7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256B3D65" w14:textId="77777777" w:rsidTr="00764626">
        <w:trPr>
          <w:trHeight w:val="408"/>
        </w:trPr>
        <w:tc>
          <w:tcPr>
            <w:tcW w:w="591" w:type="pct"/>
            <w:tcBorders>
              <w:top w:val="nil"/>
              <w:left w:val="nil"/>
              <w:bottom w:val="nil"/>
              <w:right w:val="nil"/>
            </w:tcBorders>
            <w:shd w:val="clear" w:color="000000" w:fill="FFFFFF"/>
            <w:noWrap/>
            <w:vAlign w:val="center"/>
            <w:hideMark/>
          </w:tcPr>
          <w:p w14:paraId="68CF231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(3,172)</w:t>
            </w:r>
          </w:p>
        </w:tc>
        <w:tc>
          <w:tcPr>
            <w:tcW w:w="669" w:type="pct"/>
            <w:tcBorders>
              <w:top w:val="nil"/>
              <w:left w:val="nil"/>
              <w:bottom w:val="nil"/>
              <w:right w:val="nil"/>
            </w:tcBorders>
            <w:shd w:val="clear" w:color="000000" w:fill="FFFFFF"/>
            <w:noWrap/>
            <w:vAlign w:val="center"/>
            <w:hideMark/>
          </w:tcPr>
          <w:p w14:paraId="6D8311C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(9,050)</w:t>
            </w:r>
          </w:p>
        </w:tc>
        <w:tc>
          <w:tcPr>
            <w:tcW w:w="669" w:type="pct"/>
            <w:tcBorders>
              <w:top w:val="nil"/>
              <w:left w:val="nil"/>
              <w:bottom w:val="nil"/>
              <w:right w:val="nil"/>
            </w:tcBorders>
            <w:shd w:val="clear" w:color="000000" w:fill="FFFFFF"/>
            <w:noWrap/>
            <w:vAlign w:val="center"/>
            <w:hideMark/>
          </w:tcPr>
          <w:p w14:paraId="584D33D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(12,222)</w:t>
            </w:r>
          </w:p>
        </w:tc>
        <w:tc>
          <w:tcPr>
            <w:tcW w:w="1143" w:type="pct"/>
            <w:tcBorders>
              <w:top w:val="nil"/>
              <w:left w:val="nil"/>
              <w:bottom w:val="nil"/>
              <w:right w:val="nil"/>
            </w:tcBorders>
            <w:shd w:val="clear" w:color="000000" w:fill="FFFFFF"/>
            <w:vAlign w:val="center"/>
            <w:hideMark/>
          </w:tcPr>
          <w:p w14:paraId="24CA9C65"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Contributions from scheme participants</w:t>
            </w:r>
          </w:p>
        </w:tc>
        <w:tc>
          <w:tcPr>
            <w:tcW w:w="591" w:type="pct"/>
            <w:tcBorders>
              <w:top w:val="nil"/>
              <w:left w:val="nil"/>
              <w:bottom w:val="nil"/>
              <w:right w:val="nil"/>
            </w:tcBorders>
            <w:shd w:val="clear" w:color="000000" w:fill="FFFFFF"/>
            <w:noWrap/>
            <w:vAlign w:val="center"/>
            <w:hideMark/>
          </w:tcPr>
          <w:p w14:paraId="0BDE87A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(3,614)</w:t>
            </w:r>
          </w:p>
        </w:tc>
        <w:tc>
          <w:tcPr>
            <w:tcW w:w="669" w:type="pct"/>
            <w:tcBorders>
              <w:top w:val="nil"/>
              <w:left w:val="nil"/>
              <w:bottom w:val="nil"/>
              <w:right w:val="nil"/>
            </w:tcBorders>
            <w:shd w:val="clear" w:color="000000" w:fill="FFFFFF"/>
            <w:noWrap/>
            <w:vAlign w:val="center"/>
            <w:hideMark/>
          </w:tcPr>
          <w:p w14:paraId="730653D9"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(9,760)</w:t>
            </w:r>
          </w:p>
        </w:tc>
        <w:tc>
          <w:tcPr>
            <w:tcW w:w="668" w:type="pct"/>
            <w:tcBorders>
              <w:top w:val="nil"/>
              <w:left w:val="nil"/>
              <w:bottom w:val="nil"/>
              <w:right w:val="nil"/>
            </w:tcBorders>
            <w:shd w:val="clear" w:color="000000" w:fill="FFFFFF"/>
            <w:noWrap/>
            <w:vAlign w:val="center"/>
            <w:hideMark/>
          </w:tcPr>
          <w:p w14:paraId="54CBB1A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(13,374)</w:t>
            </w:r>
          </w:p>
        </w:tc>
      </w:tr>
      <w:tr w:rsidR="00192B82" w:rsidRPr="00192B82" w14:paraId="21F86053" w14:textId="77777777" w:rsidTr="00764626">
        <w:trPr>
          <w:trHeight w:val="204"/>
        </w:trPr>
        <w:tc>
          <w:tcPr>
            <w:tcW w:w="591" w:type="pct"/>
            <w:tcBorders>
              <w:top w:val="nil"/>
              <w:left w:val="nil"/>
              <w:bottom w:val="nil"/>
              <w:right w:val="nil"/>
            </w:tcBorders>
            <w:shd w:val="clear" w:color="000000" w:fill="FFFFFF"/>
            <w:noWrap/>
            <w:vAlign w:val="center"/>
            <w:hideMark/>
          </w:tcPr>
          <w:p w14:paraId="1E1F0A7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27E1F2C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222B1A2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6A961E0E"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1C0BF68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11FD3AB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3AC13AC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5C9F1B14" w14:textId="77777777" w:rsidTr="00764626">
        <w:trPr>
          <w:trHeight w:val="408"/>
        </w:trPr>
        <w:tc>
          <w:tcPr>
            <w:tcW w:w="591" w:type="pct"/>
            <w:tcBorders>
              <w:top w:val="nil"/>
              <w:left w:val="nil"/>
              <w:bottom w:val="nil"/>
              <w:right w:val="nil"/>
            </w:tcBorders>
            <w:shd w:val="clear" w:color="000000" w:fill="FFFFFF"/>
            <w:noWrap/>
            <w:vAlign w:val="center"/>
            <w:hideMark/>
          </w:tcPr>
          <w:p w14:paraId="509411F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5B81107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0161446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vAlign w:val="center"/>
            <w:hideMark/>
          </w:tcPr>
          <w:p w14:paraId="0B89EC7A" w14:textId="03AC92EF"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Re</w:t>
            </w:r>
            <w:r w:rsidR="00F02451">
              <w:rPr>
                <w:rFonts w:ascii="Verdana" w:eastAsia="Times New Roman" w:hAnsi="Verdana" w:cs="Calibri"/>
                <w:color w:val="000000"/>
                <w:sz w:val="16"/>
                <w:szCs w:val="16"/>
                <w:lang w:val="en-GB" w:eastAsia="en-GB"/>
              </w:rPr>
              <w:t>-</w:t>
            </w:r>
            <w:r w:rsidRPr="00192B82">
              <w:rPr>
                <w:rFonts w:ascii="Verdana" w:eastAsia="Times New Roman" w:hAnsi="Verdana" w:cs="Calibri"/>
                <w:color w:val="000000"/>
                <w:sz w:val="16"/>
                <w:szCs w:val="16"/>
                <w:lang w:val="en-GB" w:eastAsia="en-GB"/>
              </w:rPr>
              <w:t>measurement gains and losses:</w:t>
            </w:r>
          </w:p>
        </w:tc>
        <w:tc>
          <w:tcPr>
            <w:tcW w:w="591" w:type="pct"/>
            <w:tcBorders>
              <w:top w:val="nil"/>
              <w:left w:val="nil"/>
              <w:bottom w:val="nil"/>
              <w:right w:val="nil"/>
            </w:tcBorders>
            <w:shd w:val="clear" w:color="000000" w:fill="FFFFFF"/>
            <w:noWrap/>
            <w:vAlign w:val="center"/>
            <w:hideMark/>
          </w:tcPr>
          <w:p w14:paraId="4541BB9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05C783B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5213CCA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2E557FB3" w14:textId="77777777" w:rsidTr="00764626">
        <w:trPr>
          <w:trHeight w:val="408"/>
        </w:trPr>
        <w:tc>
          <w:tcPr>
            <w:tcW w:w="591" w:type="pct"/>
            <w:tcBorders>
              <w:top w:val="nil"/>
              <w:left w:val="nil"/>
              <w:bottom w:val="nil"/>
              <w:right w:val="nil"/>
            </w:tcBorders>
            <w:shd w:val="clear" w:color="000000" w:fill="FFFFFF"/>
            <w:noWrap/>
            <w:vAlign w:val="center"/>
            <w:hideMark/>
          </w:tcPr>
          <w:p w14:paraId="5EDEA42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26,633</w:t>
            </w:r>
          </w:p>
        </w:tc>
        <w:tc>
          <w:tcPr>
            <w:tcW w:w="669" w:type="pct"/>
            <w:tcBorders>
              <w:top w:val="nil"/>
              <w:left w:val="nil"/>
              <w:bottom w:val="nil"/>
              <w:right w:val="nil"/>
            </w:tcBorders>
            <w:shd w:val="clear" w:color="000000" w:fill="FFFFFF"/>
            <w:noWrap/>
            <w:vAlign w:val="center"/>
            <w:hideMark/>
          </w:tcPr>
          <w:p w14:paraId="1E4B8C5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33,160</w:t>
            </w:r>
          </w:p>
        </w:tc>
        <w:tc>
          <w:tcPr>
            <w:tcW w:w="669" w:type="pct"/>
            <w:tcBorders>
              <w:top w:val="nil"/>
              <w:left w:val="nil"/>
              <w:bottom w:val="nil"/>
              <w:right w:val="nil"/>
            </w:tcBorders>
            <w:shd w:val="clear" w:color="000000" w:fill="FFFFFF"/>
            <w:noWrap/>
            <w:vAlign w:val="center"/>
            <w:hideMark/>
          </w:tcPr>
          <w:p w14:paraId="53538CD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59,793</w:t>
            </w:r>
          </w:p>
        </w:tc>
        <w:tc>
          <w:tcPr>
            <w:tcW w:w="1143" w:type="pct"/>
            <w:tcBorders>
              <w:top w:val="nil"/>
              <w:left w:val="nil"/>
              <w:bottom w:val="nil"/>
              <w:right w:val="nil"/>
            </w:tcBorders>
            <w:shd w:val="clear" w:color="000000" w:fill="FFFFFF"/>
            <w:vAlign w:val="center"/>
            <w:hideMark/>
          </w:tcPr>
          <w:p w14:paraId="47500161"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Actuarial gains / (losses) experience:</w:t>
            </w:r>
          </w:p>
        </w:tc>
        <w:tc>
          <w:tcPr>
            <w:tcW w:w="591" w:type="pct"/>
            <w:tcBorders>
              <w:top w:val="nil"/>
              <w:left w:val="nil"/>
              <w:bottom w:val="nil"/>
              <w:right w:val="nil"/>
            </w:tcBorders>
            <w:shd w:val="clear" w:color="000000" w:fill="FFFFFF"/>
            <w:noWrap/>
            <w:vAlign w:val="center"/>
            <w:hideMark/>
          </w:tcPr>
          <w:p w14:paraId="6351D32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4,322</w:t>
            </w:r>
          </w:p>
        </w:tc>
        <w:tc>
          <w:tcPr>
            <w:tcW w:w="669" w:type="pct"/>
            <w:tcBorders>
              <w:top w:val="nil"/>
              <w:left w:val="nil"/>
              <w:bottom w:val="nil"/>
              <w:right w:val="nil"/>
            </w:tcBorders>
            <w:shd w:val="clear" w:color="000000" w:fill="FFFFFF"/>
            <w:noWrap/>
            <w:vAlign w:val="center"/>
            <w:hideMark/>
          </w:tcPr>
          <w:p w14:paraId="551F8FF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219,050</w:t>
            </w:r>
          </w:p>
        </w:tc>
        <w:tc>
          <w:tcPr>
            <w:tcW w:w="668" w:type="pct"/>
            <w:tcBorders>
              <w:top w:val="nil"/>
              <w:left w:val="nil"/>
              <w:bottom w:val="nil"/>
              <w:right w:val="nil"/>
            </w:tcBorders>
            <w:shd w:val="clear" w:color="000000" w:fill="FFFFFF"/>
            <w:noWrap/>
            <w:vAlign w:val="center"/>
            <w:hideMark/>
          </w:tcPr>
          <w:p w14:paraId="36E29AB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223,372</w:t>
            </w:r>
          </w:p>
        </w:tc>
      </w:tr>
      <w:tr w:rsidR="00192B82" w:rsidRPr="00192B82" w14:paraId="56279225" w14:textId="77777777" w:rsidTr="00764626">
        <w:trPr>
          <w:trHeight w:val="204"/>
        </w:trPr>
        <w:tc>
          <w:tcPr>
            <w:tcW w:w="591" w:type="pct"/>
            <w:tcBorders>
              <w:top w:val="nil"/>
              <w:left w:val="nil"/>
              <w:bottom w:val="nil"/>
              <w:right w:val="nil"/>
            </w:tcBorders>
            <w:shd w:val="clear" w:color="000000" w:fill="FFFFFF"/>
            <w:noWrap/>
            <w:vAlign w:val="center"/>
            <w:hideMark/>
          </w:tcPr>
          <w:p w14:paraId="2110B21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188E1CA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1EEE719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3C885A70"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5602577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32E1ABA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1683B79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06FD76E4" w14:textId="77777777" w:rsidTr="00764626">
        <w:trPr>
          <w:trHeight w:val="612"/>
        </w:trPr>
        <w:tc>
          <w:tcPr>
            <w:tcW w:w="591" w:type="pct"/>
            <w:tcBorders>
              <w:top w:val="nil"/>
              <w:left w:val="nil"/>
              <w:bottom w:val="nil"/>
              <w:right w:val="nil"/>
            </w:tcBorders>
            <w:shd w:val="clear" w:color="000000" w:fill="FFFFFF"/>
            <w:noWrap/>
            <w:vAlign w:val="center"/>
            <w:hideMark/>
          </w:tcPr>
          <w:p w14:paraId="471E714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54,522</w:t>
            </w:r>
          </w:p>
        </w:tc>
        <w:tc>
          <w:tcPr>
            <w:tcW w:w="669" w:type="pct"/>
            <w:tcBorders>
              <w:top w:val="nil"/>
              <w:left w:val="nil"/>
              <w:bottom w:val="nil"/>
              <w:right w:val="nil"/>
            </w:tcBorders>
            <w:shd w:val="clear" w:color="000000" w:fill="FFFFFF"/>
            <w:noWrap/>
            <w:vAlign w:val="center"/>
            <w:hideMark/>
          </w:tcPr>
          <w:p w14:paraId="75ED8B5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61,100</w:t>
            </w:r>
          </w:p>
        </w:tc>
        <w:tc>
          <w:tcPr>
            <w:tcW w:w="669" w:type="pct"/>
            <w:tcBorders>
              <w:top w:val="nil"/>
              <w:left w:val="nil"/>
              <w:bottom w:val="nil"/>
              <w:right w:val="nil"/>
            </w:tcBorders>
            <w:shd w:val="clear" w:color="000000" w:fill="FFFFFF"/>
            <w:noWrap/>
            <w:vAlign w:val="center"/>
            <w:hideMark/>
          </w:tcPr>
          <w:p w14:paraId="35073F7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115,622</w:t>
            </w:r>
          </w:p>
        </w:tc>
        <w:tc>
          <w:tcPr>
            <w:tcW w:w="1143" w:type="pct"/>
            <w:tcBorders>
              <w:top w:val="nil"/>
              <w:left w:val="nil"/>
              <w:bottom w:val="nil"/>
              <w:right w:val="nil"/>
            </w:tcBorders>
            <w:shd w:val="clear" w:color="000000" w:fill="FFFFFF"/>
            <w:vAlign w:val="center"/>
            <w:hideMark/>
          </w:tcPr>
          <w:p w14:paraId="721A1D7A" w14:textId="3EB1D6B3" w:rsidR="00192B82" w:rsidRPr="00192B82" w:rsidRDefault="00192B82" w:rsidP="00764626">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Actuarial gains / (losses) from changes in demographic assump</w:t>
            </w:r>
            <w:r w:rsidR="00764626">
              <w:rPr>
                <w:rFonts w:ascii="Verdana" w:eastAsia="Times New Roman" w:hAnsi="Verdana" w:cs="Calibri"/>
                <w:color w:val="000000"/>
                <w:sz w:val="16"/>
                <w:szCs w:val="16"/>
                <w:lang w:val="en-GB" w:eastAsia="en-GB"/>
              </w:rPr>
              <w:t>t</w:t>
            </w:r>
            <w:r w:rsidRPr="00192B82">
              <w:rPr>
                <w:rFonts w:ascii="Verdana" w:eastAsia="Times New Roman" w:hAnsi="Verdana" w:cs="Calibri"/>
                <w:color w:val="000000"/>
                <w:sz w:val="16"/>
                <w:szCs w:val="16"/>
                <w:lang w:val="en-GB" w:eastAsia="en-GB"/>
              </w:rPr>
              <w:t>ions</w:t>
            </w:r>
          </w:p>
        </w:tc>
        <w:tc>
          <w:tcPr>
            <w:tcW w:w="591" w:type="pct"/>
            <w:tcBorders>
              <w:top w:val="nil"/>
              <w:left w:val="nil"/>
              <w:bottom w:val="nil"/>
              <w:right w:val="nil"/>
            </w:tcBorders>
            <w:shd w:val="clear" w:color="000000" w:fill="FFFFFF"/>
            <w:noWrap/>
            <w:vAlign w:val="center"/>
            <w:hideMark/>
          </w:tcPr>
          <w:p w14:paraId="6EE9D77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(7,087)</w:t>
            </w:r>
          </w:p>
        </w:tc>
        <w:tc>
          <w:tcPr>
            <w:tcW w:w="669" w:type="pct"/>
            <w:tcBorders>
              <w:top w:val="nil"/>
              <w:left w:val="nil"/>
              <w:bottom w:val="nil"/>
              <w:right w:val="nil"/>
            </w:tcBorders>
            <w:shd w:val="clear" w:color="000000" w:fill="FFFFFF"/>
            <w:noWrap/>
            <w:vAlign w:val="center"/>
            <w:hideMark/>
          </w:tcPr>
          <w:p w14:paraId="1BFAE94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03D46A4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(7,087)</w:t>
            </w:r>
          </w:p>
        </w:tc>
      </w:tr>
      <w:tr w:rsidR="00192B82" w:rsidRPr="00192B82" w14:paraId="72890444" w14:textId="77777777" w:rsidTr="00764626">
        <w:trPr>
          <w:trHeight w:val="204"/>
        </w:trPr>
        <w:tc>
          <w:tcPr>
            <w:tcW w:w="591" w:type="pct"/>
            <w:tcBorders>
              <w:top w:val="nil"/>
              <w:left w:val="nil"/>
              <w:bottom w:val="nil"/>
              <w:right w:val="nil"/>
            </w:tcBorders>
            <w:shd w:val="clear" w:color="000000" w:fill="FFFFFF"/>
            <w:noWrap/>
            <w:vAlign w:val="center"/>
            <w:hideMark/>
          </w:tcPr>
          <w:p w14:paraId="44C6C78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18E1FA9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305807B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3C2CD78A"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1F559DB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3290C52F"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76E9630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48C658DE" w14:textId="77777777" w:rsidTr="00764626">
        <w:trPr>
          <w:trHeight w:val="612"/>
        </w:trPr>
        <w:tc>
          <w:tcPr>
            <w:tcW w:w="591" w:type="pct"/>
            <w:tcBorders>
              <w:top w:val="nil"/>
              <w:left w:val="nil"/>
              <w:bottom w:val="nil"/>
              <w:right w:val="nil"/>
            </w:tcBorders>
            <w:shd w:val="clear" w:color="000000" w:fill="FFFFFF"/>
            <w:noWrap/>
            <w:vAlign w:val="center"/>
            <w:hideMark/>
          </w:tcPr>
          <w:p w14:paraId="0D75A74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11,095</w:t>
            </w:r>
          </w:p>
        </w:tc>
        <w:tc>
          <w:tcPr>
            <w:tcW w:w="669" w:type="pct"/>
            <w:tcBorders>
              <w:top w:val="nil"/>
              <w:left w:val="nil"/>
              <w:bottom w:val="nil"/>
              <w:right w:val="nil"/>
            </w:tcBorders>
            <w:shd w:val="clear" w:color="000000" w:fill="FFFFFF"/>
            <w:noWrap/>
            <w:vAlign w:val="center"/>
            <w:hideMark/>
          </w:tcPr>
          <w:p w14:paraId="75A025E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46,900</w:t>
            </w:r>
          </w:p>
        </w:tc>
        <w:tc>
          <w:tcPr>
            <w:tcW w:w="669" w:type="pct"/>
            <w:tcBorders>
              <w:top w:val="nil"/>
              <w:left w:val="nil"/>
              <w:bottom w:val="nil"/>
              <w:right w:val="nil"/>
            </w:tcBorders>
            <w:shd w:val="clear" w:color="000000" w:fill="FFFFFF"/>
            <w:noWrap/>
            <w:vAlign w:val="center"/>
            <w:hideMark/>
          </w:tcPr>
          <w:p w14:paraId="1BDA6B6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57,995</w:t>
            </w:r>
          </w:p>
        </w:tc>
        <w:tc>
          <w:tcPr>
            <w:tcW w:w="1143" w:type="pct"/>
            <w:tcBorders>
              <w:top w:val="nil"/>
              <w:left w:val="nil"/>
              <w:bottom w:val="nil"/>
              <w:right w:val="nil"/>
            </w:tcBorders>
            <w:shd w:val="clear" w:color="000000" w:fill="FFFFFF"/>
            <w:vAlign w:val="center"/>
            <w:hideMark/>
          </w:tcPr>
          <w:p w14:paraId="255724AA" w14:textId="0ABE9853" w:rsidR="00192B82" w:rsidRPr="00192B82" w:rsidRDefault="00192B82" w:rsidP="00764626">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Actuarial gains / (losses) from changes in financial assump</w:t>
            </w:r>
            <w:r w:rsidR="00764626">
              <w:rPr>
                <w:rFonts w:ascii="Verdana" w:eastAsia="Times New Roman" w:hAnsi="Verdana" w:cs="Calibri"/>
                <w:color w:val="000000"/>
                <w:sz w:val="16"/>
                <w:szCs w:val="16"/>
                <w:lang w:val="en-GB" w:eastAsia="en-GB"/>
              </w:rPr>
              <w:t>t</w:t>
            </w:r>
            <w:r w:rsidRPr="00192B82">
              <w:rPr>
                <w:rFonts w:ascii="Verdana" w:eastAsia="Times New Roman" w:hAnsi="Verdana" w:cs="Calibri"/>
                <w:color w:val="000000"/>
                <w:sz w:val="16"/>
                <w:szCs w:val="16"/>
                <w:lang w:val="en-GB" w:eastAsia="en-GB"/>
              </w:rPr>
              <w:t>ions</w:t>
            </w:r>
          </w:p>
        </w:tc>
        <w:tc>
          <w:tcPr>
            <w:tcW w:w="591" w:type="pct"/>
            <w:tcBorders>
              <w:top w:val="nil"/>
              <w:left w:val="nil"/>
              <w:bottom w:val="nil"/>
              <w:right w:val="nil"/>
            </w:tcBorders>
            <w:shd w:val="clear" w:color="000000" w:fill="FFFFFF"/>
            <w:noWrap/>
            <w:vAlign w:val="center"/>
            <w:hideMark/>
          </w:tcPr>
          <w:p w14:paraId="1B2643DC"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(146,210)</w:t>
            </w:r>
          </w:p>
        </w:tc>
        <w:tc>
          <w:tcPr>
            <w:tcW w:w="669" w:type="pct"/>
            <w:tcBorders>
              <w:top w:val="nil"/>
              <w:left w:val="nil"/>
              <w:bottom w:val="nil"/>
              <w:right w:val="nil"/>
            </w:tcBorders>
            <w:shd w:val="clear" w:color="000000" w:fill="FFFFFF"/>
            <w:noWrap/>
            <w:vAlign w:val="center"/>
            <w:hideMark/>
          </w:tcPr>
          <w:p w14:paraId="260607F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(222,190)</w:t>
            </w:r>
          </w:p>
        </w:tc>
        <w:tc>
          <w:tcPr>
            <w:tcW w:w="668" w:type="pct"/>
            <w:tcBorders>
              <w:top w:val="nil"/>
              <w:left w:val="nil"/>
              <w:bottom w:val="nil"/>
              <w:right w:val="nil"/>
            </w:tcBorders>
            <w:shd w:val="clear" w:color="000000" w:fill="FFFFFF"/>
            <w:noWrap/>
            <w:vAlign w:val="center"/>
            <w:hideMark/>
          </w:tcPr>
          <w:p w14:paraId="506B8B2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(368,400)</w:t>
            </w:r>
          </w:p>
        </w:tc>
      </w:tr>
      <w:tr w:rsidR="00192B82" w:rsidRPr="00192B82" w14:paraId="1D34D5C7" w14:textId="77777777" w:rsidTr="00764626">
        <w:trPr>
          <w:trHeight w:val="204"/>
        </w:trPr>
        <w:tc>
          <w:tcPr>
            <w:tcW w:w="591" w:type="pct"/>
            <w:tcBorders>
              <w:top w:val="nil"/>
              <w:left w:val="nil"/>
              <w:bottom w:val="nil"/>
              <w:right w:val="nil"/>
            </w:tcBorders>
            <w:shd w:val="clear" w:color="000000" w:fill="FFFFFF"/>
            <w:noWrap/>
            <w:vAlign w:val="center"/>
            <w:hideMark/>
          </w:tcPr>
          <w:p w14:paraId="7C4C269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10718F4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6F926C9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5F5C8F81"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7CFA3FF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277513D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5186032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68D633C5" w14:textId="77777777" w:rsidTr="00764626">
        <w:trPr>
          <w:trHeight w:val="204"/>
        </w:trPr>
        <w:tc>
          <w:tcPr>
            <w:tcW w:w="591" w:type="pct"/>
            <w:tcBorders>
              <w:top w:val="nil"/>
              <w:left w:val="nil"/>
              <w:bottom w:val="nil"/>
              <w:right w:val="nil"/>
            </w:tcBorders>
            <w:shd w:val="clear" w:color="000000" w:fill="FFFFFF"/>
            <w:noWrap/>
            <w:vAlign w:val="center"/>
            <w:hideMark/>
          </w:tcPr>
          <w:p w14:paraId="0EF9F38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1,054</w:t>
            </w:r>
          </w:p>
        </w:tc>
        <w:tc>
          <w:tcPr>
            <w:tcW w:w="669" w:type="pct"/>
            <w:tcBorders>
              <w:top w:val="nil"/>
              <w:left w:val="nil"/>
              <w:bottom w:val="nil"/>
              <w:right w:val="nil"/>
            </w:tcBorders>
            <w:shd w:val="clear" w:color="000000" w:fill="FFFFFF"/>
            <w:noWrap/>
            <w:vAlign w:val="center"/>
            <w:hideMark/>
          </w:tcPr>
          <w:p w14:paraId="25FF8F4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13,950</w:t>
            </w:r>
          </w:p>
        </w:tc>
        <w:tc>
          <w:tcPr>
            <w:tcW w:w="669" w:type="pct"/>
            <w:tcBorders>
              <w:top w:val="nil"/>
              <w:left w:val="nil"/>
              <w:bottom w:val="nil"/>
              <w:right w:val="nil"/>
            </w:tcBorders>
            <w:shd w:val="clear" w:color="000000" w:fill="FFFFFF"/>
            <w:noWrap/>
            <w:vAlign w:val="center"/>
            <w:hideMark/>
          </w:tcPr>
          <w:p w14:paraId="58277FF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15,004</w:t>
            </w:r>
          </w:p>
        </w:tc>
        <w:tc>
          <w:tcPr>
            <w:tcW w:w="1143" w:type="pct"/>
            <w:tcBorders>
              <w:top w:val="nil"/>
              <w:left w:val="nil"/>
              <w:bottom w:val="nil"/>
              <w:right w:val="nil"/>
            </w:tcBorders>
            <w:shd w:val="clear" w:color="000000" w:fill="FFFFFF"/>
            <w:noWrap/>
            <w:vAlign w:val="center"/>
            <w:hideMark/>
          </w:tcPr>
          <w:p w14:paraId="7E64E7EA"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Past service cost</w:t>
            </w:r>
          </w:p>
        </w:tc>
        <w:tc>
          <w:tcPr>
            <w:tcW w:w="591" w:type="pct"/>
            <w:tcBorders>
              <w:top w:val="nil"/>
              <w:left w:val="nil"/>
              <w:bottom w:val="nil"/>
              <w:right w:val="nil"/>
            </w:tcBorders>
            <w:shd w:val="clear" w:color="000000" w:fill="FFFFFF"/>
            <w:noWrap/>
            <w:vAlign w:val="center"/>
            <w:hideMark/>
          </w:tcPr>
          <w:p w14:paraId="0021FD4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32FDB38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8" w:type="pct"/>
            <w:tcBorders>
              <w:top w:val="nil"/>
              <w:left w:val="nil"/>
              <w:bottom w:val="nil"/>
              <w:right w:val="nil"/>
            </w:tcBorders>
            <w:shd w:val="clear" w:color="000000" w:fill="FFFFFF"/>
            <w:noWrap/>
            <w:vAlign w:val="center"/>
            <w:hideMark/>
          </w:tcPr>
          <w:p w14:paraId="49DE1B9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r>
      <w:tr w:rsidR="00192B82" w:rsidRPr="00192B82" w14:paraId="1548D0B2" w14:textId="77777777" w:rsidTr="00764626">
        <w:trPr>
          <w:trHeight w:val="204"/>
        </w:trPr>
        <w:tc>
          <w:tcPr>
            <w:tcW w:w="591" w:type="pct"/>
            <w:tcBorders>
              <w:top w:val="nil"/>
              <w:left w:val="nil"/>
              <w:bottom w:val="nil"/>
              <w:right w:val="nil"/>
            </w:tcBorders>
            <w:shd w:val="clear" w:color="000000" w:fill="FFFFFF"/>
            <w:noWrap/>
            <w:vAlign w:val="center"/>
            <w:hideMark/>
          </w:tcPr>
          <w:p w14:paraId="7C8CEF52"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45C60610"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58E3759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292323A2"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441AC86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52870D5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22183227"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2D061D95" w14:textId="77777777" w:rsidTr="00764626">
        <w:trPr>
          <w:trHeight w:val="204"/>
        </w:trPr>
        <w:tc>
          <w:tcPr>
            <w:tcW w:w="591" w:type="pct"/>
            <w:tcBorders>
              <w:top w:val="nil"/>
              <w:left w:val="nil"/>
              <w:bottom w:val="nil"/>
              <w:right w:val="nil"/>
            </w:tcBorders>
            <w:shd w:val="clear" w:color="000000" w:fill="FFFFFF"/>
            <w:noWrap/>
            <w:vAlign w:val="center"/>
            <w:hideMark/>
          </w:tcPr>
          <w:p w14:paraId="257AFDEE"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7A6C4EF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(460)</w:t>
            </w:r>
          </w:p>
        </w:tc>
        <w:tc>
          <w:tcPr>
            <w:tcW w:w="669" w:type="pct"/>
            <w:tcBorders>
              <w:top w:val="nil"/>
              <w:left w:val="nil"/>
              <w:bottom w:val="nil"/>
              <w:right w:val="nil"/>
            </w:tcBorders>
            <w:shd w:val="clear" w:color="000000" w:fill="FFFFFF"/>
            <w:noWrap/>
            <w:vAlign w:val="center"/>
            <w:hideMark/>
          </w:tcPr>
          <w:p w14:paraId="281DC90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(460)</w:t>
            </w:r>
          </w:p>
        </w:tc>
        <w:tc>
          <w:tcPr>
            <w:tcW w:w="1143" w:type="pct"/>
            <w:tcBorders>
              <w:top w:val="nil"/>
              <w:left w:val="nil"/>
              <w:bottom w:val="nil"/>
              <w:right w:val="nil"/>
            </w:tcBorders>
            <w:shd w:val="clear" w:color="000000" w:fill="FFFFFF"/>
            <w:noWrap/>
            <w:vAlign w:val="center"/>
            <w:hideMark/>
          </w:tcPr>
          <w:p w14:paraId="19B5B1B1"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Transfers in</w:t>
            </w:r>
          </w:p>
        </w:tc>
        <w:tc>
          <w:tcPr>
            <w:tcW w:w="591" w:type="pct"/>
            <w:tcBorders>
              <w:top w:val="nil"/>
              <w:left w:val="nil"/>
              <w:bottom w:val="nil"/>
              <w:right w:val="nil"/>
            </w:tcBorders>
            <w:shd w:val="clear" w:color="000000" w:fill="FFFFFF"/>
            <w:noWrap/>
            <w:vAlign w:val="center"/>
            <w:hideMark/>
          </w:tcPr>
          <w:p w14:paraId="6A6E83DA"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0</w:t>
            </w:r>
          </w:p>
        </w:tc>
        <w:tc>
          <w:tcPr>
            <w:tcW w:w="669" w:type="pct"/>
            <w:tcBorders>
              <w:top w:val="nil"/>
              <w:left w:val="nil"/>
              <w:bottom w:val="nil"/>
              <w:right w:val="nil"/>
            </w:tcBorders>
            <w:shd w:val="clear" w:color="000000" w:fill="FFFFFF"/>
            <w:noWrap/>
            <w:vAlign w:val="center"/>
            <w:hideMark/>
          </w:tcPr>
          <w:p w14:paraId="2CC5370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(280)</w:t>
            </w:r>
          </w:p>
        </w:tc>
        <w:tc>
          <w:tcPr>
            <w:tcW w:w="668" w:type="pct"/>
            <w:tcBorders>
              <w:top w:val="nil"/>
              <w:left w:val="nil"/>
              <w:bottom w:val="nil"/>
              <w:right w:val="nil"/>
            </w:tcBorders>
            <w:shd w:val="clear" w:color="000000" w:fill="FFFFFF"/>
            <w:noWrap/>
            <w:vAlign w:val="center"/>
            <w:hideMark/>
          </w:tcPr>
          <w:p w14:paraId="24DC286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(280)</w:t>
            </w:r>
          </w:p>
        </w:tc>
      </w:tr>
      <w:tr w:rsidR="00192B82" w:rsidRPr="00192B82" w14:paraId="07A57FE4" w14:textId="77777777" w:rsidTr="00764626">
        <w:trPr>
          <w:trHeight w:val="204"/>
        </w:trPr>
        <w:tc>
          <w:tcPr>
            <w:tcW w:w="591" w:type="pct"/>
            <w:tcBorders>
              <w:top w:val="nil"/>
              <w:left w:val="nil"/>
              <w:bottom w:val="nil"/>
              <w:right w:val="nil"/>
            </w:tcBorders>
            <w:shd w:val="clear" w:color="000000" w:fill="FFFFFF"/>
            <w:noWrap/>
            <w:vAlign w:val="center"/>
            <w:hideMark/>
          </w:tcPr>
          <w:p w14:paraId="5EA998C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2B56ADE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37599BA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03B54CBC"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5D4D6D7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7E6D254D"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3C3CE83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079DABE0" w14:textId="77777777" w:rsidTr="00764626">
        <w:trPr>
          <w:trHeight w:val="204"/>
        </w:trPr>
        <w:tc>
          <w:tcPr>
            <w:tcW w:w="591" w:type="pct"/>
            <w:tcBorders>
              <w:top w:val="nil"/>
              <w:left w:val="nil"/>
              <w:bottom w:val="nil"/>
              <w:right w:val="nil"/>
            </w:tcBorders>
            <w:shd w:val="clear" w:color="000000" w:fill="FFFFFF"/>
            <w:noWrap/>
            <w:vAlign w:val="center"/>
            <w:hideMark/>
          </w:tcPr>
          <w:p w14:paraId="7328159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7,376</w:t>
            </w:r>
          </w:p>
        </w:tc>
        <w:tc>
          <w:tcPr>
            <w:tcW w:w="669" w:type="pct"/>
            <w:tcBorders>
              <w:top w:val="nil"/>
              <w:left w:val="nil"/>
              <w:bottom w:val="nil"/>
              <w:right w:val="nil"/>
            </w:tcBorders>
            <w:shd w:val="clear" w:color="000000" w:fill="FFFFFF"/>
            <w:noWrap/>
            <w:vAlign w:val="center"/>
            <w:hideMark/>
          </w:tcPr>
          <w:p w14:paraId="63D1DBF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50,080</w:t>
            </w:r>
          </w:p>
        </w:tc>
        <w:tc>
          <w:tcPr>
            <w:tcW w:w="669" w:type="pct"/>
            <w:tcBorders>
              <w:top w:val="nil"/>
              <w:left w:val="nil"/>
              <w:bottom w:val="nil"/>
              <w:right w:val="nil"/>
            </w:tcBorders>
            <w:shd w:val="clear" w:color="000000" w:fill="FFFFFF"/>
            <w:noWrap/>
            <w:vAlign w:val="center"/>
            <w:hideMark/>
          </w:tcPr>
          <w:p w14:paraId="04F0419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57,456</w:t>
            </w:r>
          </w:p>
        </w:tc>
        <w:tc>
          <w:tcPr>
            <w:tcW w:w="1143" w:type="pct"/>
            <w:tcBorders>
              <w:top w:val="nil"/>
              <w:left w:val="nil"/>
              <w:bottom w:val="nil"/>
              <w:right w:val="nil"/>
            </w:tcBorders>
            <w:shd w:val="clear" w:color="000000" w:fill="FFFFFF"/>
            <w:noWrap/>
            <w:vAlign w:val="center"/>
            <w:hideMark/>
          </w:tcPr>
          <w:p w14:paraId="100FF8F2"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Benefits / transfers paid</w:t>
            </w:r>
          </w:p>
        </w:tc>
        <w:tc>
          <w:tcPr>
            <w:tcW w:w="591" w:type="pct"/>
            <w:tcBorders>
              <w:top w:val="nil"/>
              <w:left w:val="nil"/>
              <w:bottom w:val="nil"/>
              <w:right w:val="nil"/>
            </w:tcBorders>
            <w:shd w:val="clear" w:color="000000" w:fill="FFFFFF"/>
            <w:noWrap/>
            <w:vAlign w:val="center"/>
            <w:hideMark/>
          </w:tcPr>
          <w:p w14:paraId="4FCE2844"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6,968</w:t>
            </w:r>
          </w:p>
        </w:tc>
        <w:tc>
          <w:tcPr>
            <w:tcW w:w="669" w:type="pct"/>
            <w:tcBorders>
              <w:top w:val="nil"/>
              <w:left w:val="nil"/>
              <w:bottom w:val="nil"/>
              <w:right w:val="nil"/>
            </w:tcBorders>
            <w:shd w:val="clear" w:color="000000" w:fill="FFFFFF"/>
            <w:noWrap/>
            <w:vAlign w:val="center"/>
            <w:hideMark/>
          </w:tcPr>
          <w:p w14:paraId="32EB9611"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48,400</w:t>
            </w:r>
          </w:p>
        </w:tc>
        <w:tc>
          <w:tcPr>
            <w:tcW w:w="668" w:type="pct"/>
            <w:tcBorders>
              <w:top w:val="nil"/>
              <w:left w:val="nil"/>
              <w:bottom w:val="nil"/>
              <w:right w:val="nil"/>
            </w:tcBorders>
            <w:shd w:val="clear" w:color="000000" w:fill="FFFFFF"/>
            <w:noWrap/>
            <w:vAlign w:val="center"/>
            <w:hideMark/>
          </w:tcPr>
          <w:p w14:paraId="12E8CA1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55,368</w:t>
            </w:r>
          </w:p>
        </w:tc>
      </w:tr>
      <w:tr w:rsidR="00192B82" w:rsidRPr="00192B82" w14:paraId="6D51AE36" w14:textId="77777777" w:rsidTr="00764626">
        <w:trPr>
          <w:trHeight w:val="204"/>
        </w:trPr>
        <w:tc>
          <w:tcPr>
            <w:tcW w:w="591" w:type="pct"/>
            <w:tcBorders>
              <w:top w:val="nil"/>
              <w:left w:val="nil"/>
              <w:bottom w:val="nil"/>
              <w:right w:val="nil"/>
            </w:tcBorders>
            <w:shd w:val="clear" w:color="000000" w:fill="FFFFFF"/>
            <w:noWrap/>
            <w:vAlign w:val="center"/>
            <w:hideMark/>
          </w:tcPr>
          <w:p w14:paraId="46D769D8"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5104698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3150FC4B"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1143" w:type="pct"/>
            <w:tcBorders>
              <w:top w:val="nil"/>
              <w:left w:val="nil"/>
              <w:bottom w:val="nil"/>
              <w:right w:val="nil"/>
            </w:tcBorders>
            <w:shd w:val="clear" w:color="000000" w:fill="FFFFFF"/>
            <w:noWrap/>
            <w:vAlign w:val="center"/>
            <w:hideMark/>
          </w:tcPr>
          <w:p w14:paraId="0AEB8F15" w14:textId="77777777" w:rsidR="00192B82" w:rsidRPr="00192B82" w:rsidRDefault="00192B82" w:rsidP="00192B82">
            <w:pPr>
              <w:ind w:firstLineChars="100" w:firstLine="160"/>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591" w:type="pct"/>
            <w:tcBorders>
              <w:top w:val="nil"/>
              <w:left w:val="nil"/>
              <w:bottom w:val="nil"/>
              <w:right w:val="nil"/>
            </w:tcBorders>
            <w:shd w:val="clear" w:color="000000" w:fill="FFFFFF"/>
            <w:noWrap/>
            <w:vAlign w:val="center"/>
            <w:hideMark/>
          </w:tcPr>
          <w:p w14:paraId="09DCD733"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9" w:type="pct"/>
            <w:tcBorders>
              <w:top w:val="nil"/>
              <w:left w:val="nil"/>
              <w:bottom w:val="nil"/>
              <w:right w:val="nil"/>
            </w:tcBorders>
            <w:shd w:val="clear" w:color="000000" w:fill="FFFFFF"/>
            <w:noWrap/>
            <w:vAlign w:val="center"/>
            <w:hideMark/>
          </w:tcPr>
          <w:p w14:paraId="78386656"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c>
          <w:tcPr>
            <w:tcW w:w="668" w:type="pct"/>
            <w:tcBorders>
              <w:top w:val="nil"/>
              <w:left w:val="nil"/>
              <w:bottom w:val="nil"/>
              <w:right w:val="nil"/>
            </w:tcBorders>
            <w:shd w:val="clear" w:color="000000" w:fill="FFFFFF"/>
            <w:noWrap/>
            <w:vAlign w:val="center"/>
            <w:hideMark/>
          </w:tcPr>
          <w:p w14:paraId="26BAF4E5" w14:textId="77777777" w:rsidR="00192B82" w:rsidRPr="00192B82" w:rsidRDefault="00192B82" w:rsidP="00192B82">
            <w:pPr>
              <w:ind w:firstLineChars="100" w:firstLine="160"/>
              <w:jc w:val="right"/>
              <w:rPr>
                <w:rFonts w:ascii="Verdana" w:eastAsia="Times New Roman" w:hAnsi="Verdana" w:cs="Calibri"/>
                <w:color w:val="000000"/>
                <w:sz w:val="16"/>
                <w:szCs w:val="16"/>
                <w:lang w:val="en-GB" w:eastAsia="en-GB"/>
              </w:rPr>
            </w:pPr>
            <w:r w:rsidRPr="00192B82">
              <w:rPr>
                <w:rFonts w:ascii="Verdana" w:eastAsia="Times New Roman" w:hAnsi="Verdana" w:cs="Calibri"/>
                <w:color w:val="000000"/>
                <w:sz w:val="16"/>
                <w:szCs w:val="16"/>
                <w:lang w:val="en-GB" w:eastAsia="en-GB"/>
              </w:rPr>
              <w:t> </w:t>
            </w:r>
          </w:p>
        </w:tc>
      </w:tr>
      <w:tr w:rsidR="00192B82" w:rsidRPr="00192B82" w14:paraId="4069CFEA" w14:textId="77777777" w:rsidTr="00764626">
        <w:trPr>
          <w:trHeight w:val="624"/>
        </w:trPr>
        <w:tc>
          <w:tcPr>
            <w:tcW w:w="591" w:type="pct"/>
            <w:tcBorders>
              <w:top w:val="single" w:sz="4" w:space="0" w:color="auto"/>
              <w:left w:val="nil"/>
              <w:bottom w:val="single" w:sz="8" w:space="0" w:color="auto"/>
              <w:right w:val="nil"/>
            </w:tcBorders>
            <w:shd w:val="clear" w:color="000000" w:fill="FFFFFF"/>
            <w:noWrap/>
            <w:vAlign w:val="center"/>
            <w:hideMark/>
          </w:tcPr>
          <w:p w14:paraId="71953038"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(403,072)</w:t>
            </w:r>
          </w:p>
        </w:tc>
        <w:tc>
          <w:tcPr>
            <w:tcW w:w="669" w:type="pct"/>
            <w:tcBorders>
              <w:top w:val="single" w:sz="4" w:space="0" w:color="auto"/>
              <w:left w:val="nil"/>
              <w:bottom w:val="single" w:sz="8" w:space="0" w:color="auto"/>
              <w:right w:val="nil"/>
            </w:tcBorders>
            <w:shd w:val="clear" w:color="000000" w:fill="FFFFFF"/>
            <w:noWrap/>
            <w:vAlign w:val="center"/>
            <w:hideMark/>
          </w:tcPr>
          <w:p w14:paraId="0367D60C"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(1,896,060)</w:t>
            </w:r>
          </w:p>
        </w:tc>
        <w:tc>
          <w:tcPr>
            <w:tcW w:w="669" w:type="pct"/>
            <w:tcBorders>
              <w:top w:val="single" w:sz="4" w:space="0" w:color="auto"/>
              <w:left w:val="nil"/>
              <w:bottom w:val="single" w:sz="8" w:space="0" w:color="auto"/>
              <w:right w:val="nil"/>
            </w:tcBorders>
            <w:shd w:val="clear" w:color="000000" w:fill="FFFFFF"/>
            <w:noWrap/>
            <w:vAlign w:val="center"/>
            <w:hideMark/>
          </w:tcPr>
          <w:p w14:paraId="418B4E05"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(2,299,132)</w:t>
            </w:r>
          </w:p>
        </w:tc>
        <w:tc>
          <w:tcPr>
            <w:tcW w:w="1143" w:type="pct"/>
            <w:tcBorders>
              <w:top w:val="single" w:sz="4" w:space="0" w:color="auto"/>
              <w:left w:val="nil"/>
              <w:bottom w:val="single" w:sz="8" w:space="0" w:color="auto"/>
              <w:right w:val="nil"/>
            </w:tcBorders>
            <w:shd w:val="clear" w:color="000000" w:fill="FFFFFF"/>
            <w:vAlign w:val="center"/>
            <w:hideMark/>
          </w:tcPr>
          <w:p w14:paraId="183CF07B" w14:textId="77777777" w:rsidR="00192B82" w:rsidRPr="00192B82" w:rsidRDefault="00192B82" w:rsidP="00192B82">
            <w:pPr>
              <w:ind w:firstLineChars="100" w:firstLine="161"/>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Net (liability) / asset arising from the defined benefit obligation</w:t>
            </w:r>
          </w:p>
        </w:tc>
        <w:tc>
          <w:tcPr>
            <w:tcW w:w="591" w:type="pct"/>
            <w:tcBorders>
              <w:top w:val="single" w:sz="4" w:space="0" w:color="auto"/>
              <w:left w:val="nil"/>
              <w:bottom w:val="single" w:sz="8" w:space="0" w:color="auto"/>
              <w:right w:val="nil"/>
            </w:tcBorders>
            <w:shd w:val="clear" w:color="000000" w:fill="FFFFFF"/>
            <w:noWrap/>
            <w:vAlign w:val="center"/>
            <w:hideMark/>
          </w:tcPr>
          <w:p w14:paraId="74E27047"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(575,908)</w:t>
            </w:r>
          </w:p>
        </w:tc>
        <w:tc>
          <w:tcPr>
            <w:tcW w:w="669" w:type="pct"/>
            <w:tcBorders>
              <w:top w:val="single" w:sz="4" w:space="0" w:color="auto"/>
              <w:left w:val="nil"/>
              <w:bottom w:val="single" w:sz="8" w:space="0" w:color="auto"/>
              <w:right w:val="nil"/>
            </w:tcBorders>
            <w:shd w:val="clear" w:color="000000" w:fill="FFFFFF"/>
            <w:noWrap/>
            <w:vAlign w:val="center"/>
            <w:hideMark/>
          </w:tcPr>
          <w:p w14:paraId="2DFA4C94"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(1,956,910)</w:t>
            </w:r>
          </w:p>
        </w:tc>
        <w:tc>
          <w:tcPr>
            <w:tcW w:w="668" w:type="pct"/>
            <w:tcBorders>
              <w:top w:val="single" w:sz="4" w:space="0" w:color="auto"/>
              <w:left w:val="nil"/>
              <w:bottom w:val="single" w:sz="8" w:space="0" w:color="auto"/>
              <w:right w:val="nil"/>
            </w:tcBorders>
            <w:shd w:val="clear" w:color="000000" w:fill="FFFFFF"/>
            <w:noWrap/>
            <w:vAlign w:val="center"/>
            <w:hideMark/>
          </w:tcPr>
          <w:p w14:paraId="76589C1C" w14:textId="77777777" w:rsidR="00192B82" w:rsidRPr="00192B82" w:rsidRDefault="00192B82" w:rsidP="00192B82">
            <w:pPr>
              <w:ind w:firstLineChars="100" w:firstLine="161"/>
              <w:jc w:val="right"/>
              <w:rPr>
                <w:rFonts w:ascii="Verdana" w:eastAsia="Times New Roman" w:hAnsi="Verdana" w:cs="Calibri"/>
                <w:b/>
                <w:bCs/>
                <w:color w:val="000000"/>
                <w:sz w:val="16"/>
                <w:szCs w:val="16"/>
                <w:lang w:val="en-GB" w:eastAsia="en-GB"/>
              </w:rPr>
            </w:pPr>
            <w:r w:rsidRPr="00192B82">
              <w:rPr>
                <w:rFonts w:ascii="Verdana" w:eastAsia="Times New Roman" w:hAnsi="Verdana" w:cs="Calibri"/>
                <w:b/>
                <w:bCs/>
                <w:color w:val="000000"/>
                <w:sz w:val="16"/>
                <w:szCs w:val="16"/>
                <w:lang w:val="en-GB" w:eastAsia="en-GB"/>
              </w:rPr>
              <w:t>(2,532,818)</w:t>
            </w:r>
          </w:p>
        </w:tc>
      </w:tr>
    </w:tbl>
    <w:p w14:paraId="365A13A8" w14:textId="77777777" w:rsidR="00C06223" w:rsidRDefault="00C06223">
      <w:pPr>
        <w:pStyle w:val="Normal0"/>
        <w:spacing w:after="160" w:line="259" w:lineRule="auto"/>
        <w:rPr>
          <w:rFonts w:ascii="Verdana" w:hAnsi="Verdana"/>
          <w:sz w:val="22"/>
          <w:szCs w:val="22"/>
          <w:highlight w:val="yellow"/>
          <w:lang w:val="en-GB"/>
        </w:rPr>
      </w:pPr>
    </w:p>
    <w:p w14:paraId="384DE575" w14:textId="77777777" w:rsidR="00F2064C" w:rsidRDefault="00F2064C">
      <w:pPr>
        <w:rPr>
          <w:rFonts w:ascii="Verdana" w:hAnsi="Verdana"/>
          <w:b/>
          <w:sz w:val="16"/>
          <w:szCs w:val="16"/>
          <w:highlight w:val="yellow"/>
          <w:lang w:val="en-GB"/>
        </w:rPr>
      </w:pPr>
    </w:p>
    <w:p w14:paraId="08935809" w14:textId="7005D9E3" w:rsidR="000672D5" w:rsidRPr="00764626" w:rsidRDefault="00CA25CE" w:rsidP="001A1AFD">
      <w:pPr>
        <w:rPr>
          <w:rFonts w:ascii="Verdana" w:hAnsi="Verdana"/>
          <w:b/>
          <w:sz w:val="16"/>
          <w:szCs w:val="16"/>
          <w:lang w:val="en-GB"/>
        </w:rPr>
      </w:pPr>
      <w:r w:rsidRPr="00764626">
        <w:rPr>
          <w:rFonts w:ascii="Verdana" w:hAnsi="Verdana"/>
          <w:b/>
          <w:sz w:val="16"/>
          <w:szCs w:val="16"/>
          <w:lang w:val="en-GB"/>
        </w:rPr>
        <w:br w:type="page"/>
      </w:r>
      <w:r w:rsidR="000672D5" w:rsidRPr="00764626">
        <w:rPr>
          <w:rFonts w:ascii="Verdana" w:hAnsi="Verdana"/>
          <w:b/>
          <w:sz w:val="16"/>
          <w:szCs w:val="16"/>
          <w:lang w:val="en-GB"/>
        </w:rPr>
        <w:t>LGPS – Pension Scheme – Assets comprised of:</w:t>
      </w:r>
    </w:p>
    <w:p w14:paraId="570EF4A4" w14:textId="79EB5391" w:rsidR="00764626" w:rsidRPr="00764626" w:rsidRDefault="000672D5">
      <w:pPr>
        <w:pStyle w:val="T1TableStyle"/>
        <w:rPr>
          <w:rFonts w:ascii="Verdana" w:hAnsi="Verdana"/>
          <w:b/>
          <w:sz w:val="16"/>
          <w:szCs w:val="16"/>
          <w:lang w:val="en-GB"/>
        </w:rPr>
      </w:pPr>
      <w:r w:rsidRPr="00764626">
        <w:rPr>
          <w:rFonts w:ascii="Verdana" w:hAnsi="Verdana"/>
          <w:b/>
          <w:sz w:val="16"/>
          <w:szCs w:val="16"/>
          <w:lang w:val="en-GB"/>
        </w:rPr>
        <w:t>Fair value of scheme assets</w:t>
      </w:r>
    </w:p>
    <w:tbl>
      <w:tblPr>
        <w:tblW w:w="7760" w:type="dxa"/>
        <w:jc w:val="center"/>
        <w:tblLook w:val="04A0" w:firstRow="1" w:lastRow="0" w:firstColumn="1" w:lastColumn="0" w:noHBand="0" w:noVBand="1"/>
      </w:tblPr>
      <w:tblGrid>
        <w:gridCol w:w="1480"/>
        <w:gridCol w:w="4720"/>
        <w:gridCol w:w="1560"/>
      </w:tblGrid>
      <w:tr w:rsidR="00764626" w:rsidRPr="00FE0665" w14:paraId="48C62805"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304400F4" w14:textId="77777777" w:rsidR="00764626" w:rsidRPr="00764626" w:rsidRDefault="00764626" w:rsidP="007C4BA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2019/20</w:t>
            </w:r>
          </w:p>
        </w:tc>
        <w:tc>
          <w:tcPr>
            <w:tcW w:w="4720" w:type="dxa"/>
            <w:tcBorders>
              <w:top w:val="nil"/>
              <w:left w:val="nil"/>
              <w:bottom w:val="nil"/>
              <w:right w:val="nil"/>
            </w:tcBorders>
            <w:shd w:val="clear" w:color="000000" w:fill="FFFFFF"/>
            <w:noWrap/>
            <w:vAlign w:val="center"/>
            <w:hideMark/>
          </w:tcPr>
          <w:p w14:paraId="3BE57066"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 </w:t>
            </w:r>
          </w:p>
        </w:tc>
        <w:tc>
          <w:tcPr>
            <w:tcW w:w="1560" w:type="dxa"/>
            <w:tcBorders>
              <w:top w:val="nil"/>
              <w:left w:val="nil"/>
              <w:right w:val="nil"/>
            </w:tcBorders>
            <w:shd w:val="clear" w:color="000000" w:fill="FFFFFF"/>
            <w:noWrap/>
            <w:vAlign w:val="center"/>
            <w:hideMark/>
          </w:tcPr>
          <w:p w14:paraId="1D11A3D0" w14:textId="77777777" w:rsidR="00764626" w:rsidRPr="00764626" w:rsidRDefault="00764626" w:rsidP="007C4BA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2020/21</w:t>
            </w:r>
          </w:p>
        </w:tc>
      </w:tr>
      <w:tr w:rsidR="00764626" w:rsidRPr="00FE0665" w14:paraId="0D7825FA" w14:textId="77777777" w:rsidTr="00764626">
        <w:trPr>
          <w:trHeight w:val="74"/>
          <w:jc w:val="center"/>
        </w:trPr>
        <w:tc>
          <w:tcPr>
            <w:tcW w:w="1480" w:type="dxa"/>
            <w:tcBorders>
              <w:top w:val="nil"/>
              <w:left w:val="nil"/>
              <w:bottom w:val="nil"/>
              <w:right w:val="nil"/>
            </w:tcBorders>
            <w:shd w:val="clear" w:color="000000" w:fill="FFFFFF"/>
            <w:noWrap/>
            <w:vAlign w:val="center"/>
            <w:hideMark/>
          </w:tcPr>
          <w:p w14:paraId="542EC319"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£000</w:t>
            </w:r>
          </w:p>
        </w:tc>
        <w:tc>
          <w:tcPr>
            <w:tcW w:w="4720" w:type="dxa"/>
            <w:tcBorders>
              <w:top w:val="nil"/>
              <w:left w:val="nil"/>
              <w:bottom w:val="nil"/>
              <w:right w:val="nil"/>
            </w:tcBorders>
            <w:shd w:val="clear" w:color="000000" w:fill="FFFFFF"/>
            <w:noWrap/>
            <w:vAlign w:val="center"/>
            <w:hideMark/>
          </w:tcPr>
          <w:p w14:paraId="20FF79D0"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4D6742BD"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£000</w:t>
            </w:r>
          </w:p>
        </w:tc>
      </w:tr>
      <w:tr w:rsidR="00764626" w:rsidRPr="00FE0665" w14:paraId="3EC589AA" w14:textId="77777777" w:rsidTr="00764626">
        <w:trPr>
          <w:trHeight w:val="60"/>
          <w:jc w:val="center"/>
        </w:trPr>
        <w:tc>
          <w:tcPr>
            <w:tcW w:w="1480" w:type="dxa"/>
            <w:tcBorders>
              <w:top w:val="single" w:sz="4" w:space="0" w:color="auto"/>
              <w:left w:val="nil"/>
              <w:bottom w:val="nil"/>
              <w:right w:val="nil"/>
            </w:tcBorders>
            <w:shd w:val="clear" w:color="000000" w:fill="FFFFFF"/>
            <w:noWrap/>
            <w:vAlign w:val="center"/>
            <w:hideMark/>
          </w:tcPr>
          <w:p w14:paraId="532A6223"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720" w:type="dxa"/>
            <w:tcBorders>
              <w:top w:val="single" w:sz="4" w:space="0" w:color="auto"/>
              <w:left w:val="nil"/>
              <w:bottom w:val="nil"/>
              <w:right w:val="nil"/>
            </w:tcBorders>
            <w:shd w:val="clear" w:color="000000" w:fill="FFFFFF"/>
            <w:noWrap/>
            <w:vAlign w:val="center"/>
            <w:hideMark/>
          </w:tcPr>
          <w:p w14:paraId="1C03CAAF"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EQUITY SECURITIES</w:t>
            </w:r>
          </w:p>
        </w:tc>
        <w:tc>
          <w:tcPr>
            <w:tcW w:w="1560" w:type="dxa"/>
            <w:tcBorders>
              <w:top w:val="single" w:sz="4" w:space="0" w:color="auto"/>
              <w:left w:val="nil"/>
              <w:bottom w:val="nil"/>
              <w:right w:val="nil"/>
            </w:tcBorders>
            <w:shd w:val="clear" w:color="000000" w:fill="FFFFFF"/>
            <w:noWrap/>
            <w:vAlign w:val="center"/>
            <w:hideMark/>
          </w:tcPr>
          <w:p w14:paraId="4211C529"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FE0665" w14:paraId="4B486EFC"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7F0CB256"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7,778</w:t>
            </w:r>
          </w:p>
        </w:tc>
        <w:tc>
          <w:tcPr>
            <w:tcW w:w="4720" w:type="dxa"/>
            <w:tcBorders>
              <w:top w:val="nil"/>
              <w:left w:val="nil"/>
              <w:bottom w:val="nil"/>
              <w:right w:val="nil"/>
            </w:tcBorders>
            <w:shd w:val="clear" w:color="000000" w:fill="FFFFFF"/>
            <w:noWrap/>
            <w:vAlign w:val="center"/>
            <w:hideMark/>
          </w:tcPr>
          <w:p w14:paraId="252289DA"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Consumer</w:t>
            </w:r>
          </w:p>
        </w:tc>
        <w:tc>
          <w:tcPr>
            <w:tcW w:w="1560" w:type="dxa"/>
            <w:tcBorders>
              <w:top w:val="nil"/>
              <w:left w:val="nil"/>
              <w:bottom w:val="nil"/>
              <w:right w:val="nil"/>
            </w:tcBorders>
            <w:shd w:val="clear" w:color="000000" w:fill="FFFFFF"/>
            <w:noWrap/>
            <w:vAlign w:val="center"/>
            <w:hideMark/>
          </w:tcPr>
          <w:p w14:paraId="153FCA81"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7,771</w:t>
            </w:r>
          </w:p>
        </w:tc>
      </w:tr>
      <w:tr w:rsidR="00764626" w:rsidRPr="00FE0665" w14:paraId="3E85A452"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2728EB68"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5,806</w:t>
            </w:r>
          </w:p>
        </w:tc>
        <w:tc>
          <w:tcPr>
            <w:tcW w:w="4720" w:type="dxa"/>
            <w:tcBorders>
              <w:top w:val="nil"/>
              <w:left w:val="nil"/>
              <w:bottom w:val="nil"/>
              <w:right w:val="nil"/>
            </w:tcBorders>
            <w:shd w:val="clear" w:color="000000" w:fill="FFFFFF"/>
            <w:noWrap/>
            <w:vAlign w:val="center"/>
            <w:hideMark/>
          </w:tcPr>
          <w:p w14:paraId="67DBB3DE"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Manufacturing</w:t>
            </w:r>
          </w:p>
        </w:tc>
        <w:tc>
          <w:tcPr>
            <w:tcW w:w="1560" w:type="dxa"/>
            <w:tcBorders>
              <w:top w:val="nil"/>
              <w:left w:val="nil"/>
              <w:bottom w:val="nil"/>
              <w:right w:val="nil"/>
            </w:tcBorders>
            <w:shd w:val="clear" w:color="000000" w:fill="FFFFFF"/>
            <w:noWrap/>
            <w:vAlign w:val="center"/>
            <w:hideMark/>
          </w:tcPr>
          <w:p w14:paraId="24647FC0"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3,914</w:t>
            </w:r>
          </w:p>
        </w:tc>
      </w:tr>
      <w:tr w:rsidR="00764626" w:rsidRPr="00FE0665" w14:paraId="24B17A98"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480DB49B"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2,110</w:t>
            </w:r>
          </w:p>
        </w:tc>
        <w:tc>
          <w:tcPr>
            <w:tcW w:w="4720" w:type="dxa"/>
            <w:tcBorders>
              <w:top w:val="nil"/>
              <w:left w:val="nil"/>
              <w:bottom w:val="nil"/>
              <w:right w:val="nil"/>
            </w:tcBorders>
            <w:shd w:val="clear" w:color="000000" w:fill="FFFFFF"/>
            <w:noWrap/>
            <w:vAlign w:val="center"/>
            <w:hideMark/>
          </w:tcPr>
          <w:p w14:paraId="50D66EA2"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Energy and Utilities</w:t>
            </w:r>
          </w:p>
        </w:tc>
        <w:tc>
          <w:tcPr>
            <w:tcW w:w="1560" w:type="dxa"/>
            <w:tcBorders>
              <w:top w:val="nil"/>
              <w:left w:val="nil"/>
              <w:bottom w:val="nil"/>
              <w:right w:val="nil"/>
            </w:tcBorders>
            <w:shd w:val="clear" w:color="000000" w:fill="FFFFFF"/>
            <w:noWrap/>
            <w:vAlign w:val="center"/>
            <w:hideMark/>
          </w:tcPr>
          <w:p w14:paraId="52586898"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756</w:t>
            </w:r>
          </w:p>
        </w:tc>
      </w:tr>
      <w:tr w:rsidR="00764626" w:rsidRPr="00FE0665" w14:paraId="7047FEB9"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193DE712"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4,590</w:t>
            </w:r>
          </w:p>
        </w:tc>
        <w:tc>
          <w:tcPr>
            <w:tcW w:w="4720" w:type="dxa"/>
            <w:tcBorders>
              <w:top w:val="nil"/>
              <w:left w:val="nil"/>
              <w:bottom w:val="nil"/>
              <w:right w:val="nil"/>
            </w:tcBorders>
            <w:shd w:val="clear" w:color="000000" w:fill="FFFFFF"/>
            <w:noWrap/>
            <w:vAlign w:val="center"/>
            <w:hideMark/>
          </w:tcPr>
          <w:p w14:paraId="76D65056"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Financial Institutions</w:t>
            </w:r>
          </w:p>
        </w:tc>
        <w:tc>
          <w:tcPr>
            <w:tcW w:w="1560" w:type="dxa"/>
            <w:tcBorders>
              <w:top w:val="nil"/>
              <w:left w:val="nil"/>
              <w:bottom w:val="nil"/>
              <w:right w:val="nil"/>
            </w:tcBorders>
            <w:shd w:val="clear" w:color="000000" w:fill="FFFFFF"/>
            <w:noWrap/>
            <w:vAlign w:val="center"/>
            <w:hideMark/>
          </w:tcPr>
          <w:p w14:paraId="036C6414"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4,675</w:t>
            </w:r>
          </w:p>
        </w:tc>
      </w:tr>
      <w:tr w:rsidR="00764626" w:rsidRPr="00FE0665" w14:paraId="260097A5"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51AFDBD4"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4,694</w:t>
            </w:r>
          </w:p>
        </w:tc>
        <w:tc>
          <w:tcPr>
            <w:tcW w:w="4720" w:type="dxa"/>
            <w:tcBorders>
              <w:top w:val="nil"/>
              <w:left w:val="nil"/>
              <w:bottom w:val="nil"/>
              <w:right w:val="nil"/>
            </w:tcBorders>
            <w:shd w:val="clear" w:color="000000" w:fill="FFFFFF"/>
            <w:noWrap/>
            <w:vAlign w:val="center"/>
            <w:hideMark/>
          </w:tcPr>
          <w:p w14:paraId="6291277C"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Health and Care</w:t>
            </w:r>
          </w:p>
        </w:tc>
        <w:tc>
          <w:tcPr>
            <w:tcW w:w="1560" w:type="dxa"/>
            <w:tcBorders>
              <w:top w:val="nil"/>
              <w:left w:val="nil"/>
              <w:bottom w:val="nil"/>
              <w:right w:val="nil"/>
            </w:tcBorders>
            <w:shd w:val="clear" w:color="000000" w:fill="FFFFFF"/>
            <w:noWrap/>
            <w:vAlign w:val="center"/>
            <w:hideMark/>
          </w:tcPr>
          <w:p w14:paraId="48B0141E"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3,288</w:t>
            </w:r>
          </w:p>
        </w:tc>
      </w:tr>
      <w:tr w:rsidR="00764626" w:rsidRPr="00FE0665" w14:paraId="2B7C964B"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775605B3"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8,897</w:t>
            </w:r>
          </w:p>
        </w:tc>
        <w:tc>
          <w:tcPr>
            <w:tcW w:w="4720" w:type="dxa"/>
            <w:tcBorders>
              <w:top w:val="nil"/>
              <w:left w:val="nil"/>
              <w:bottom w:val="nil"/>
              <w:right w:val="nil"/>
            </w:tcBorders>
            <w:shd w:val="clear" w:color="000000" w:fill="FFFFFF"/>
            <w:noWrap/>
            <w:vAlign w:val="center"/>
            <w:hideMark/>
          </w:tcPr>
          <w:p w14:paraId="3A25A594"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Information Technology</w:t>
            </w:r>
          </w:p>
        </w:tc>
        <w:tc>
          <w:tcPr>
            <w:tcW w:w="1560" w:type="dxa"/>
            <w:tcBorders>
              <w:top w:val="nil"/>
              <w:left w:val="nil"/>
              <w:bottom w:val="nil"/>
              <w:right w:val="nil"/>
            </w:tcBorders>
            <w:shd w:val="clear" w:color="000000" w:fill="FFFFFF"/>
            <w:noWrap/>
            <w:vAlign w:val="center"/>
            <w:hideMark/>
          </w:tcPr>
          <w:p w14:paraId="379D601A"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10,860</w:t>
            </w:r>
          </w:p>
        </w:tc>
      </w:tr>
      <w:tr w:rsidR="00764626" w:rsidRPr="00FE0665" w14:paraId="679CD3D6"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0FBBDF50"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155</w:t>
            </w:r>
          </w:p>
        </w:tc>
        <w:tc>
          <w:tcPr>
            <w:tcW w:w="4720" w:type="dxa"/>
            <w:tcBorders>
              <w:top w:val="nil"/>
              <w:left w:val="nil"/>
              <w:bottom w:val="nil"/>
              <w:right w:val="nil"/>
            </w:tcBorders>
            <w:shd w:val="clear" w:color="000000" w:fill="FFFFFF"/>
            <w:noWrap/>
            <w:vAlign w:val="center"/>
            <w:hideMark/>
          </w:tcPr>
          <w:p w14:paraId="3572C7B2"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Other</w:t>
            </w:r>
          </w:p>
        </w:tc>
        <w:tc>
          <w:tcPr>
            <w:tcW w:w="1560" w:type="dxa"/>
            <w:tcBorders>
              <w:top w:val="nil"/>
              <w:left w:val="nil"/>
              <w:bottom w:val="nil"/>
              <w:right w:val="nil"/>
            </w:tcBorders>
            <w:shd w:val="clear" w:color="000000" w:fill="FFFFFF"/>
            <w:noWrap/>
            <w:vAlign w:val="center"/>
            <w:hideMark/>
          </w:tcPr>
          <w:p w14:paraId="0163AAD1"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0</w:t>
            </w:r>
          </w:p>
        </w:tc>
      </w:tr>
      <w:tr w:rsidR="00764626" w:rsidRPr="00FE0665" w14:paraId="1E3E8267" w14:textId="77777777" w:rsidTr="00764626">
        <w:trPr>
          <w:trHeight w:val="30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39A5DD0F"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34,030</w:t>
            </w:r>
          </w:p>
        </w:tc>
        <w:tc>
          <w:tcPr>
            <w:tcW w:w="4720" w:type="dxa"/>
            <w:tcBorders>
              <w:top w:val="single" w:sz="4" w:space="0" w:color="auto"/>
              <w:left w:val="nil"/>
              <w:bottom w:val="single" w:sz="8" w:space="0" w:color="auto"/>
              <w:right w:val="nil"/>
            </w:tcBorders>
            <w:shd w:val="clear" w:color="000000" w:fill="FFFFFF"/>
            <w:noWrap/>
            <w:vAlign w:val="center"/>
            <w:hideMark/>
          </w:tcPr>
          <w:p w14:paraId="2B1E667C"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Subtotal  EQUITY SECURITIES</w:t>
            </w:r>
          </w:p>
        </w:tc>
        <w:tc>
          <w:tcPr>
            <w:tcW w:w="1560" w:type="dxa"/>
            <w:tcBorders>
              <w:top w:val="single" w:sz="4" w:space="0" w:color="auto"/>
              <w:left w:val="nil"/>
              <w:bottom w:val="single" w:sz="8" w:space="0" w:color="auto"/>
              <w:right w:val="nil"/>
            </w:tcBorders>
            <w:shd w:val="clear" w:color="000000" w:fill="FFFFFF"/>
            <w:noWrap/>
            <w:vAlign w:val="center"/>
            <w:hideMark/>
          </w:tcPr>
          <w:p w14:paraId="05DD84DB"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31,264</w:t>
            </w:r>
          </w:p>
        </w:tc>
      </w:tr>
      <w:tr w:rsidR="00764626" w:rsidRPr="00FE0665" w14:paraId="38915188"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0755EE47"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2E30E72C"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DEBT SECURITIES</w:t>
            </w:r>
          </w:p>
        </w:tc>
        <w:tc>
          <w:tcPr>
            <w:tcW w:w="1560" w:type="dxa"/>
            <w:tcBorders>
              <w:top w:val="nil"/>
              <w:left w:val="nil"/>
              <w:bottom w:val="nil"/>
              <w:right w:val="nil"/>
            </w:tcBorders>
            <w:shd w:val="clear" w:color="000000" w:fill="FFFFFF"/>
            <w:noWrap/>
            <w:vAlign w:val="center"/>
            <w:hideMark/>
          </w:tcPr>
          <w:p w14:paraId="0912FD6F"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FE0665" w14:paraId="63CD6C61"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07F29D80"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15,412</w:t>
            </w:r>
          </w:p>
        </w:tc>
        <w:tc>
          <w:tcPr>
            <w:tcW w:w="4720" w:type="dxa"/>
            <w:tcBorders>
              <w:top w:val="nil"/>
              <w:left w:val="nil"/>
              <w:bottom w:val="nil"/>
              <w:right w:val="nil"/>
            </w:tcBorders>
            <w:shd w:val="clear" w:color="000000" w:fill="FFFFFF"/>
            <w:noWrap/>
            <w:vAlign w:val="center"/>
            <w:hideMark/>
          </w:tcPr>
          <w:p w14:paraId="0190F04D"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UK Government</w:t>
            </w:r>
          </w:p>
        </w:tc>
        <w:tc>
          <w:tcPr>
            <w:tcW w:w="1560" w:type="dxa"/>
            <w:tcBorders>
              <w:top w:val="nil"/>
              <w:left w:val="nil"/>
              <w:bottom w:val="nil"/>
              <w:right w:val="nil"/>
            </w:tcBorders>
            <w:shd w:val="clear" w:color="000000" w:fill="FFFFFF"/>
            <w:noWrap/>
            <w:vAlign w:val="center"/>
            <w:hideMark/>
          </w:tcPr>
          <w:p w14:paraId="5624FB66"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16,628</w:t>
            </w:r>
          </w:p>
        </w:tc>
      </w:tr>
      <w:tr w:rsidR="00764626" w:rsidRPr="00FE0665" w14:paraId="5EC06F88" w14:textId="77777777" w:rsidTr="00764626">
        <w:trPr>
          <w:trHeight w:val="30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209792F6"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15,412</w:t>
            </w:r>
          </w:p>
        </w:tc>
        <w:tc>
          <w:tcPr>
            <w:tcW w:w="4720" w:type="dxa"/>
            <w:tcBorders>
              <w:top w:val="single" w:sz="4" w:space="0" w:color="auto"/>
              <w:left w:val="nil"/>
              <w:bottom w:val="single" w:sz="8" w:space="0" w:color="auto"/>
              <w:right w:val="nil"/>
            </w:tcBorders>
            <w:shd w:val="clear" w:color="000000" w:fill="FFFFFF"/>
            <w:noWrap/>
            <w:vAlign w:val="center"/>
            <w:hideMark/>
          </w:tcPr>
          <w:p w14:paraId="71EDB1B1"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Subtotal  DEBT SECURITIES</w:t>
            </w:r>
          </w:p>
        </w:tc>
        <w:tc>
          <w:tcPr>
            <w:tcW w:w="1560" w:type="dxa"/>
            <w:tcBorders>
              <w:top w:val="single" w:sz="4" w:space="0" w:color="auto"/>
              <w:left w:val="nil"/>
              <w:bottom w:val="single" w:sz="8" w:space="0" w:color="auto"/>
              <w:right w:val="nil"/>
            </w:tcBorders>
            <w:shd w:val="clear" w:color="000000" w:fill="FFFFFF"/>
            <w:noWrap/>
            <w:vAlign w:val="center"/>
            <w:hideMark/>
          </w:tcPr>
          <w:p w14:paraId="55C0C132"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16,628</w:t>
            </w:r>
          </w:p>
        </w:tc>
      </w:tr>
      <w:tr w:rsidR="00764626" w:rsidRPr="00FE0665" w14:paraId="45DCC61A"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2FFCF5A4"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3F49D194"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PRIVATE EQUITY</w:t>
            </w:r>
          </w:p>
        </w:tc>
        <w:tc>
          <w:tcPr>
            <w:tcW w:w="1560" w:type="dxa"/>
            <w:tcBorders>
              <w:top w:val="nil"/>
              <w:left w:val="nil"/>
              <w:bottom w:val="nil"/>
              <w:right w:val="nil"/>
            </w:tcBorders>
            <w:shd w:val="clear" w:color="000000" w:fill="FFFFFF"/>
            <w:noWrap/>
            <w:vAlign w:val="center"/>
            <w:hideMark/>
          </w:tcPr>
          <w:p w14:paraId="48497A11"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FE0665" w14:paraId="01355DAE"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7EADBF75"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21,807</w:t>
            </w:r>
          </w:p>
        </w:tc>
        <w:tc>
          <w:tcPr>
            <w:tcW w:w="4720" w:type="dxa"/>
            <w:tcBorders>
              <w:top w:val="nil"/>
              <w:left w:val="nil"/>
              <w:bottom w:val="nil"/>
              <w:right w:val="nil"/>
            </w:tcBorders>
            <w:shd w:val="clear" w:color="000000" w:fill="FFFFFF"/>
            <w:noWrap/>
            <w:vAlign w:val="center"/>
            <w:hideMark/>
          </w:tcPr>
          <w:p w14:paraId="6A96D9CC"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All</w:t>
            </w:r>
          </w:p>
        </w:tc>
        <w:tc>
          <w:tcPr>
            <w:tcW w:w="1560" w:type="dxa"/>
            <w:tcBorders>
              <w:top w:val="nil"/>
              <w:left w:val="nil"/>
              <w:bottom w:val="nil"/>
              <w:right w:val="nil"/>
            </w:tcBorders>
            <w:shd w:val="clear" w:color="000000" w:fill="FFFFFF"/>
            <w:noWrap/>
            <w:vAlign w:val="center"/>
            <w:hideMark/>
          </w:tcPr>
          <w:p w14:paraId="63A6631E"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24,611</w:t>
            </w:r>
          </w:p>
        </w:tc>
      </w:tr>
      <w:tr w:rsidR="00764626" w:rsidRPr="00FE0665" w14:paraId="7E93D7B1" w14:textId="77777777" w:rsidTr="00764626">
        <w:trPr>
          <w:trHeight w:val="30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72BAA0EE"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21,807</w:t>
            </w:r>
          </w:p>
        </w:tc>
        <w:tc>
          <w:tcPr>
            <w:tcW w:w="4720" w:type="dxa"/>
            <w:tcBorders>
              <w:top w:val="single" w:sz="4" w:space="0" w:color="auto"/>
              <w:left w:val="nil"/>
              <w:bottom w:val="single" w:sz="8" w:space="0" w:color="auto"/>
              <w:right w:val="nil"/>
            </w:tcBorders>
            <w:shd w:val="clear" w:color="000000" w:fill="FFFFFF"/>
            <w:noWrap/>
            <w:vAlign w:val="center"/>
            <w:hideMark/>
          </w:tcPr>
          <w:p w14:paraId="7CBCC39E"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 xml:space="preserve">Subtotal  PRIVATE EQUITY </w:t>
            </w:r>
          </w:p>
        </w:tc>
        <w:tc>
          <w:tcPr>
            <w:tcW w:w="1560" w:type="dxa"/>
            <w:tcBorders>
              <w:top w:val="single" w:sz="4" w:space="0" w:color="auto"/>
              <w:left w:val="nil"/>
              <w:bottom w:val="single" w:sz="8" w:space="0" w:color="auto"/>
              <w:right w:val="nil"/>
            </w:tcBorders>
            <w:shd w:val="clear" w:color="000000" w:fill="FFFFFF"/>
            <w:noWrap/>
            <w:vAlign w:val="center"/>
            <w:hideMark/>
          </w:tcPr>
          <w:p w14:paraId="30AD2C93"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24,611</w:t>
            </w:r>
          </w:p>
        </w:tc>
      </w:tr>
      <w:tr w:rsidR="00764626" w:rsidRPr="00FE0665" w14:paraId="37CF792F"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492B6CA5"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21519F03"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REAL ESTATE</w:t>
            </w:r>
          </w:p>
        </w:tc>
        <w:tc>
          <w:tcPr>
            <w:tcW w:w="1560" w:type="dxa"/>
            <w:tcBorders>
              <w:top w:val="nil"/>
              <w:left w:val="nil"/>
              <w:bottom w:val="nil"/>
              <w:right w:val="nil"/>
            </w:tcBorders>
            <w:shd w:val="clear" w:color="000000" w:fill="FFFFFF"/>
            <w:noWrap/>
            <w:vAlign w:val="center"/>
            <w:hideMark/>
          </w:tcPr>
          <w:p w14:paraId="713C77DE"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FE0665" w14:paraId="21CF5C9A"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2854D083"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13,643</w:t>
            </w:r>
          </w:p>
        </w:tc>
        <w:tc>
          <w:tcPr>
            <w:tcW w:w="4720" w:type="dxa"/>
            <w:tcBorders>
              <w:top w:val="nil"/>
              <w:left w:val="nil"/>
              <w:bottom w:val="nil"/>
              <w:right w:val="nil"/>
            </w:tcBorders>
            <w:shd w:val="clear" w:color="000000" w:fill="FFFFFF"/>
            <w:noWrap/>
            <w:vAlign w:val="center"/>
            <w:hideMark/>
          </w:tcPr>
          <w:p w14:paraId="58CFFC98"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UK Property</w:t>
            </w:r>
          </w:p>
        </w:tc>
        <w:tc>
          <w:tcPr>
            <w:tcW w:w="1560" w:type="dxa"/>
            <w:tcBorders>
              <w:top w:val="nil"/>
              <w:left w:val="nil"/>
              <w:bottom w:val="nil"/>
              <w:right w:val="nil"/>
            </w:tcBorders>
            <w:shd w:val="clear" w:color="000000" w:fill="FFFFFF"/>
            <w:noWrap/>
            <w:vAlign w:val="center"/>
            <w:hideMark/>
          </w:tcPr>
          <w:p w14:paraId="0C39D5E5"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13,007</w:t>
            </w:r>
          </w:p>
        </w:tc>
      </w:tr>
      <w:tr w:rsidR="00764626" w:rsidRPr="00FE0665" w14:paraId="64B71341"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1207925E"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5,989</w:t>
            </w:r>
          </w:p>
        </w:tc>
        <w:tc>
          <w:tcPr>
            <w:tcW w:w="4720" w:type="dxa"/>
            <w:tcBorders>
              <w:top w:val="nil"/>
              <w:left w:val="nil"/>
              <w:bottom w:val="nil"/>
              <w:right w:val="nil"/>
            </w:tcBorders>
            <w:shd w:val="clear" w:color="000000" w:fill="FFFFFF"/>
            <w:noWrap/>
            <w:vAlign w:val="center"/>
            <w:hideMark/>
          </w:tcPr>
          <w:p w14:paraId="4786E768"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Overseas Property</w:t>
            </w:r>
          </w:p>
        </w:tc>
        <w:tc>
          <w:tcPr>
            <w:tcW w:w="1560" w:type="dxa"/>
            <w:tcBorders>
              <w:top w:val="nil"/>
              <w:left w:val="nil"/>
              <w:bottom w:val="nil"/>
              <w:right w:val="nil"/>
            </w:tcBorders>
            <w:shd w:val="clear" w:color="000000" w:fill="FFFFFF"/>
            <w:noWrap/>
            <w:vAlign w:val="center"/>
            <w:hideMark/>
          </w:tcPr>
          <w:p w14:paraId="45EB08A2"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6,337</w:t>
            </w:r>
          </w:p>
        </w:tc>
      </w:tr>
      <w:tr w:rsidR="00764626" w:rsidRPr="00FE0665" w14:paraId="13258750" w14:textId="77777777" w:rsidTr="00764626">
        <w:trPr>
          <w:trHeight w:val="30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38CC5F6E"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19,632</w:t>
            </w:r>
          </w:p>
        </w:tc>
        <w:tc>
          <w:tcPr>
            <w:tcW w:w="4720" w:type="dxa"/>
            <w:tcBorders>
              <w:top w:val="single" w:sz="4" w:space="0" w:color="auto"/>
              <w:left w:val="nil"/>
              <w:bottom w:val="single" w:sz="8" w:space="0" w:color="auto"/>
              <w:right w:val="nil"/>
            </w:tcBorders>
            <w:shd w:val="clear" w:color="000000" w:fill="FFFFFF"/>
            <w:noWrap/>
            <w:vAlign w:val="center"/>
            <w:hideMark/>
          </w:tcPr>
          <w:p w14:paraId="1375DBA6"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Subtotal REAL ESTATE</w:t>
            </w:r>
          </w:p>
        </w:tc>
        <w:tc>
          <w:tcPr>
            <w:tcW w:w="1560" w:type="dxa"/>
            <w:tcBorders>
              <w:top w:val="single" w:sz="4" w:space="0" w:color="auto"/>
              <w:left w:val="nil"/>
              <w:bottom w:val="single" w:sz="8" w:space="0" w:color="auto"/>
              <w:right w:val="nil"/>
            </w:tcBorders>
            <w:shd w:val="clear" w:color="000000" w:fill="FFFFFF"/>
            <w:noWrap/>
            <w:vAlign w:val="center"/>
            <w:hideMark/>
          </w:tcPr>
          <w:p w14:paraId="3ED1D6AD"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19,344</w:t>
            </w:r>
          </w:p>
        </w:tc>
      </w:tr>
      <w:tr w:rsidR="00764626" w:rsidRPr="00FE0665" w14:paraId="4B1B0427"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1430253D"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3055E44D"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INVESTMENT FUNDS &amp; UNIT TRUSTS</w:t>
            </w:r>
          </w:p>
        </w:tc>
        <w:tc>
          <w:tcPr>
            <w:tcW w:w="1560" w:type="dxa"/>
            <w:tcBorders>
              <w:top w:val="nil"/>
              <w:left w:val="nil"/>
              <w:bottom w:val="nil"/>
              <w:right w:val="nil"/>
            </w:tcBorders>
            <w:shd w:val="clear" w:color="000000" w:fill="FFFFFF"/>
            <w:noWrap/>
            <w:vAlign w:val="center"/>
            <w:hideMark/>
          </w:tcPr>
          <w:p w14:paraId="099242D8"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FE0665" w14:paraId="0777C2D2"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1CD59341"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143,428</w:t>
            </w:r>
          </w:p>
        </w:tc>
        <w:tc>
          <w:tcPr>
            <w:tcW w:w="4720" w:type="dxa"/>
            <w:tcBorders>
              <w:top w:val="nil"/>
              <w:left w:val="nil"/>
              <w:bottom w:val="nil"/>
              <w:right w:val="nil"/>
            </w:tcBorders>
            <w:shd w:val="clear" w:color="000000" w:fill="FFFFFF"/>
            <w:noWrap/>
            <w:vAlign w:val="center"/>
            <w:hideMark/>
          </w:tcPr>
          <w:p w14:paraId="487EF23D"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Equities</w:t>
            </w:r>
          </w:p>
        </w:tc>
        <w:tc>
          <w:tcPr>
            <w:tcW w:w="1560" w:type="dxa"/>
            <w:tcBorders>
              <w:top w:val="nil"/>
              <w:left w:val="nil"/>
              <w:bottom w:val="nil"/>
              <w:right w:val="nil"/>
            </w:tcBorders>
            <w:shd w:val="clear" w:color="000000" w:fill="FFFFFF"/>
            <w:noWrap/>
            <w:vAlign w:val="center"/>
            <w:hideMark/>
          </w:tcPr>
          <w:p w14:paraId="691C8DC6"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212,417</w:t>
            </w:r>
          </w:p>
        </w:tc>
      </w:tr>
      <w:tr w:rsidR="00764626" w:rsidRPr="00FE0665" w14:paraId="403E41D3"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0B861CA6"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31,726</w:t>
            </w:r>
          </w:p>
        </w:tc>
        <w:tc>
          <w:tcPr>
            <w:tcW w:w="4720" w:type="dxa"/>
            <w:tcBorders>
              <w:top w:val="nil"/>
              <w:left w:val="nil"/>
              <w:bottom w:val="nil"/>
              <w:right w:val="nil"/>
            </w:tcBorders>
            <w:shd w:val="clear" w:color="000000" w:fill="FFFFFF"/>
            <w:noWrap/>
            <w:vAlign w:val="center"/>
            <w:hideMark/>
          </w:tcPr>
          <w:p w14:paraId="3305C866"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Bonds</w:t>
            </w:r>
          </w:p>
        </w:tc>
        <w:tc>
          <w:tcPr>
            <w:tcW w:w="1560" w:type="dxa"/>
            <w:tcBorders>
              <w:top w:val="nil"/>
              <w:left w:val="nil"/>
              <w:bottom w:val="nil"/>
              <w:right w:val="nil"/>
            </w:tcBorders>
            <w:shd w:val="clear" w:color="000000" w:fill="FFFFFF"/>
            <w:noWrap/>
            <w:vAlign w:val="center"/>
            <w:hideMark/>
          </w:tcPr>
          <w:p w14:paraId="2BC85A55"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45,247</w:t>
            </w:r>
          </w:p>
        </w:tc>
      </w:tr>
      <w:tr w:rsidR="00764626" w:rsidRPr="00FE0665" w14:paraId="39209428" w14:textId="77777777" w:rsidTr="00764626">
        <w:trPr>
          <w:trHeight w:val="30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7A656F66"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175,154</w:t>
            </w:r>
          </w:p>
        </w:tc>
        <w:tc>
          <w:tcPr>
            <w:tcW w:w="4720" w:type="dxa"/>
            <w:tcBorders>
              <w:top w:val="single" w:sz="4" w:space="0" w:color="auto"/>
              <w:left w:val="nil"/>
              <w:bottom w:val="single" w:sz="8" w:space="0" w:color="auto"/>
              <w:right w:val="nil"/>
            </w:tcBorders>
            <w:shd w:val="clear" w:color="000000" w:fill="FFFFFF"/>
            <w:noWrap/>
            <w:vAlign w:val="center"/>
            <w:hideMark/>
          </w:tcPr>
          <w:p w14:paraId="206F948B"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Subtotal INVESTMENT FUNDS &amp; UNIT TRUSTS</w:t>
            </w:r>
          </w:p>
        </w:tc>
        <w:tc>
          <w:tcPr>
            <w:tcW w:w="1560" w:type="dxa"/>
            <w:tcBorders>
              <w:top w:val="single" w:sz="4" w:space="0" w:color="auto"/>
              <w:left w:val="nil"/>
              <w:bottom w:val="single" w:sz="8" w:space="0" w:color="auto"/>
              <w:right w:val="nil"/>
            </w:tcBorders>
            <w:shd w:val="clear" w:color="000000" w:fill="FFFFFF"/>
            <w:noWrap/>
            <w:vAlign w:val="center"/>
            <w:hideMark/>
          </w:tcPr>
          <w:p w14:paraId="34BC5BF5"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257,664</w:t>
            </w:r>
          </w:p>
        </w:tc>
      </w:tr>
      <w:tr w:rsidR="00764626" w:rsidRPr="00FE0665" w14:paraId="6C750C3E"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0DB3FE87"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4D383B30"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DERIVATIVES</w:t>
            </w:r>
          </w:p>
        </w:tc>
        <w:tc>
          <w:tcPr>
            <w:tcW w:w="1560" w:type="dxa"/>
            <w:tcBorders>
              <w:top w:val="nil"/>
              <w:left w:val="nil"/>
              <w:bottom w:val="nil"/>
              <w:right w:val="nil"/>
            </w:tcBorders>
            <w:shd w:val="clear" w:color="000000" w:fill="FFFFFF"/>
            <w:noWrap/>
            <w:vAlign w:val="center"/>
            <w:hideMark/>
          </w:tcPr>
          <w:p w14:paraId="1471CA92"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FE0665" w14:paraId="684191C0"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45A2BEFE"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(2,740)</w:t>
            </w:r>
          </w:p>
        </w:tc>
        <w:tc>
          <w:tcPr>
            <w:tcW w:w="4720" w:type="dxa"/>
            <w:tcBorders>
              <w:top w:val="nil"/>
              <w:left w:val="nil"/>
              <w:bottom w:val="nil"/>
              <w:right w:val="nil"/>
            </w:tcBorders>
            <w:shd w:val="clear" w:color="000000" w:fill="FFFFFF"/>
            <w:noWrap/>
            <w:vAlign w:val="center"/>
            <w:hideMark/>
          </w:tcPr>
          <w:p w14:paraId="0F85F523"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Foreign Exchange</w:t>
            </w:r>
          </w:p>
        </w:tc>
        <w:tc>
          <w:tcPr>
            <w:tcW w:w="1560" w:type="dxa"/>
            <w:tcBorders>
              <w:top w:val="nil"/>
              <w:left w:val="nil"/>
              <w:bottom w:val="nil"/>
              <w:right w:val="nil"/>
            </w:tcBorders>
            <w:shd w:val="clear" w:color="000000" w:fill="FFFFFF"/>
            <w:noWrap/>
            <w:vAlign w:val="center"/>
            <w:hideMark/>
          </w:tcPr>
          <w:p w14:paraId="7B543351"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1,095</w:t>
            </w:r>
          </w:p>
        </w:tc>
      </w:tr>
      <w:tr w:rsidR="00764626" w:rsidRPr="00FE0665" w14:paraId="5001A899" w14:textId="77777777" w:rsidTr="00764626">
        <w:trPr>
          <w:trHeight w:val="30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1C2CEE75"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(2,740)</w:t>
            </w:r>
          </w:p>
        </w:tc>
        <w:tc>
          <w:tcPr>
            <w:tcW w:w="4720" w:type="dxa"/>
            <w:tcBorders>
              <w:top w:val="single" w:sz="4" w:space="0" w:color="auto"/>
              <w:left w:val="nil"/>
              <w:bottom w:val="single" w:sz="8" w:space="0" w:color="auto"/>
              <w:right w:val="nil"/>
            </w:tcBorders>
            <w:shd w:val="clear" w:color="000000" w:fill="FFFFFF"/>
            <w:noWrap/>
            <w:vAlign w:val="center"/>
            <w:hideMark/>
          </w:tcPr>
          <w:p w14:paraId="02C4BF52"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Subtotal  DERIVATIVES</w:t>
            </w:r>
          </w:p>
        </w:tc>
        <w:tc>
          <w:tcPr>
            <w:tcW w:w="1560" w:type="dxa"/>
            <w:tcBorders>
              <w:top w:val="single" w:sz="4" w:space="0" w:color="auto"/>
              <w:left w:val="nil"/>
              <w:bottom w:val="single" w:sz="8" w:space="0" w:color="auto"/>
              <w:right w:val="nil"/>
            </w:tcBorders>
            <w:shd w:val="clear" w:color="000000" w:fill="FFFFFF"/>
            <w:noWrap/>
            <w:vAlign w:val="center"/>
            <w:hideMark/>
          </w:tcPr>
          <w:p w14:paraId="17E53A7E"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1,095</w:t>
            </w:r>
          </w:p>
        </w:tc>
      </w:tr>
      <w:tr w:rsidR="00764626" w:rsidRPr="00FE0665" w14:paraId="5F95E046"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294E9028"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45FD2380"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CASH and CASH EQUIVALENTS</w:t>
            </w:r>
          </w:p>
        </w:tc>
        <w:tc>
          <w:tcPr>
            <w:tcW w:w="1560" w:type="dxa"/>
            <w:tcBorders>
              <w:top w:val="nil"/>
              <w:left w:val="nil"/>
              <w:bottom w:val="nil"/>
              <w:right w:val="nil"/>
            </w:tcBorders>
            <w:shd w:val="clear" w:color="000000" w:fill="FFFFFF"/>
            <w:noWrap/>
            <w:vAlign w:val="center"/>
            <w:hideMark/>
          </w:tcPr>
          <w:p w14:paraId="2A677F92"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FE0665" w14:paraId="3A398829" w14:textId="77777777" w:rsidTr="00764626">
        <w:trPr>
          <w:trHeight w:val="300"/>
          <w:jc w:val="center"/>
        </w:trPr>
        <w:tc>
          <w:tcPr>
            <w:tcW w:w="1480" w:type="dxa"/>
            <w:tcBorders>
              <w:top w:val="nil"/>
              <w:left w:val="nil"/>
              <w:bottom w:val="nil"/>
              <w:right w:val="nil"/>
            </w:tcBorders>
            <w:shd w:val="clear" w:color="000000" w:fill="FFFFFF"/>
            <w:noWrap/>
            <w:vAlign w:val="center"/>
            <w:hideMark/>
          </w:tcPr>
          <w:p w14:paraId="3FFB1C09"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9,282</w:t>
            </w:r>
          </w:p>
        </w:tc>
        <w:tc>
          <w:tcPr>
            <w:tcW w:w="4720" w:type="dxa"/>
            <w:tcBorders>
              <w:top w:val="nil"/>
              <w:left w:val="nil"/>
              <w:bottom w:val="nil"/>
              <w:right w:val="nil"/>
            </w:tcBorders>
            <w:shd w:val="clear" w:color="000000" w:fill="FFFFFF"/>
            <w:noWrap/>
            <w:vAlign w:val="center"/>
            <w:hideMark/>
          </w:tcPr>
          <w:p w14:paraId="1F6F5F7C" w14:textId="77777777" w:rsidR="00764626" w:rsidRPr="00764626" w:rsidRDefault="00764626" w:rsidP="007C4BA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All</w:t>
            </w:r>
          </w:p>
        </w:tc>
        <w:tc>
          <w:tcPr>
            <w:tcW w:w="1560" w:type="dxa"/>
            <w:tcBorders>
              <w:top w:val="nil"/>
              <w:left w:val="nil"/>
              <w:bottom w:val="nil"/>
              <w:right w:val="nil"/>
            </w:tcBorders>
            <w:shd w:val="clear" w:color="000000" w:fill="FFFFFF"/>
            <w:noWrap/>
            <w:vAlign w:val="center"/>
            <w:hideMark/>
          </w:tcPr>
          <w:p w14:paraId="66C1F74F" w14:textId="77777777" w:rsidR="00764626" w:rsidRPr="00764626" w:rsidRDefault="00764626" w:rsidP="007C4BA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8,166</w:t>
            </w:r>
          </w:p>
        </w:tc>
      </w:tr>
      <w:tr w:rsidR="00764626" w:rsidRPr="00FE0665" w14:paraId="5F043781" w14:textId="77777777" w:rsidTr="00764626">
        <w:trPr>
          <w:trHeight w:val="30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6C56E075"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9,282</w:t>
            </w:r>
          </w:p>
        </w:tc>
        <w:tc>
          <w:tcPr>
            <w:tcW w:w="4720" w:type="dxa"/>
            <w:tcBorders>
              <w:top w:val="single" w:sz="4" w:space="0" w:color="auto"/>
              <w:left w:val="nil"/>
              <w:bottom w:val="single" w:sz="8" w:space="0" w:color="auto"/>
              <w:right w:val="nil"/>
            </w:tcBorders>
            <w:shd w:val="clear" w:color="000000" w:fill="FFFFFF"/>
            <w:noWrap/>
            <w:vAlign w:val="center"/>
            <w:hideMark/>
          </w:tcPr>
          <w:p w14:paraId="5BEDD2C0"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 xml:space="preserve">Subtotal  PRIVATE EQUITY </w:t>
            </w:r>
          </w:p>
        </w:tc>
        <w:tc>
          <w:tcPr>
            <w:tcW w:w="1560" w:type="dxa"/>
            <w:tcBorders>
              <w:top w:val="single" w:sz="4" w:space="0" w:color="auto"/>
              <w:left w:val="nil"/>
              <w:bottom w:val="single" w:sz="8" w:space="0" w:color="auto"/>
              <w:right w:val="nil"/>
            </w:tcBorders>
            <w:shd w:val="clear" w:color="000000" w:fill="FFFFFF"/>
            <w:noWrap/>
            <w:vAlign w:val="center"/>
            <w:hideMark/>
          </w:tcPr>
          <w:p w14:paraId="19E771C4"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8,166</w:t>
            </w:r>
          </w:p>
        </w:tc>
      </w:tr>
      <w:tr w:rsidR="00764626" w:rsidRPr="00FE0665" w14:paraId="2AB10523" w14:textId="77777777" w:rsidTr="00764626">
        <w:trPr>
          <w:trHeight w:val="50"/>
          <w:jc w:val="center"/>
        </w:trPr>
        <w:tc>
          <w:tcPr>
            <w:tcW w:w="1480" w:type="dxa"/>
            <w:tcBorders>
              <w:top w:val="nil"/>
              <w:left w:val="nil"/>
              <w:bottom w:val="nil"/>
              <w:right w:val="nil"/>
            </w:tcBorders>
            <w:shd w:val="clear" w:color="000000" w:fill="FFFFFF"/>
            <w:noWrap/>
            <w:vAlign w:val="center"/>
            <w:hideMark/>
          </w:tcPr>
          <w:p w14:paraId="7FBE6BB8" w14:textId="77777777" w:rsidR="00764626" w:rsidRPr="00764626" w:rsidRDefault="00764626" w:rsidP="007C4BA6">
            <w:pPr>
              <w:rPr>
                <w:rFonts w:ascii="Verdana" w:eastAsia="Times New Roman" w:hAnsi="Verdana" w:cs="Times New Roman"/>
                <w:color w:val="000000"/>
                <w:sz w:val="4"/>
                <w:szCs w:val="4"/>
                <w:lang w:val="en-GB" w:eastAsia="en-GB"/>
              </w:rPr>
            </w:pPr>
            <w:r w:rsidRPr="00764626">
              <w:rPr>
                <w:rFonts w:ascii="Verdana" w:eastAsia="Times New Roman" w:hAnsi="Verdana" w:cs="Times New Roman"/>
                <w:color w:val="000000"/>
                <w:sz w:val="4"/>
                <w:szCs w:val="4"/>
                <w:lang w:val="en-GB" w:eastAsia="en-GB"/>
              </w:rPr>
              <w:t> </w:t>
            </w:r>
          </w:p>
        </w:tc>
        <w:tc>
          <w:tcPr>
            <w:tcW w:w="4720" w:type="dxa"/>
            <w:tcBorders>
              <w:top w:val="nil"/>
              <w:left w:val="nil"/>
              <w:bottom w:val="nil"/>
              <w:right w:val="nil"/>
            </w:tcBorders>
            <w:shd w:val="clear" w:color="000000" w:fill="FFFFFF"/>
            <w:noWrap/>
            <w:vAlign w:val="center"/>
            <w:hideMark/>
          </w:tcPr>
          <w:p w14:paraId="47376A7A" w14:textId="77777777" w:rsidR="00764626" w:rsidRPr="00764626" w:rsidRDefault="00764626" w:rsidP="007C4BA6">
            <w:pPr>
              <w:rPr>
                <w:rFonts w:ascii="Verdana" w:eastAsia="Times New Roman" w:hAnsi="Verdana" w:cs="Times New Roman"/>
                <w:color w:val="000000"/>
                <w:sz w:val="4"/>
                <w:szCs w:val="4"/>
                <w:lang w:val="en-GB" w:eastAsia="en-GB"/>
              </w:rPr>
            </w:pPr>
          </w:p>
        </w:tc>
        <w:tc>
          <w:tcPr>
            <w:tcW w:w="1560" w:type="dxa"/>
            <w:tcBorders>
              <w:top w:val="nil"/>
              <w:left w:val="nil"/>
              <w:bottom w:val="nil"/>
              <w:right w:val="nil"/>
            </w:tcBorders>
            <w:shd w:val="clear" w:color="000000" w:fill="FFFFFF"/>
            <w:noWrap/>
            <w:vAlign w:val="center"/>
            <w:hideMark/>
          </w:tcPr>
          <w:p w14:paraId="00C1ED16" w14:textId="77777777" w:rsidR="00764626" w:rsidRPr="00764626" w:rsidRDefault="00764626" w:rsidP="007C4BA6">
            <w:pPr>
              <w:rPr>
                <w:rFonts w:ascii="Verdana" w:eastAsia="Times New Roman" w:hAnsi="Verdana" w:cs="Times New Roman"/>
                <w:color w:val="000000"/>
                <w:sz w:val="4"/>
                <w:szCs w:val="4"/>
                <w:lang w:val="en-GB" w:eastAsia="en-GB"/>
              </w:rPr>
            </w:pPr>
            <w:r w:rsidRPr="00764626">
              <w:rPr>
                <w:rFonts w:ascii="Verdana" w:eastAsia="Times New Roman" w:hAnsi="Verdana" w:cs="Times New Roman"/>
                <w:color w:val="000000"/>
                <w:sz w:val="4"/>
                <w:szCs w:val="4"/>
                <w:lang w:val="en-GB" w:eastAsia="en-GB"/>
              </w:rPr>
              <w:t> </w:t>
            </w:r>
          </w:p>
        </w:tc>
      </w:tr>
      <w:tr w:rsidR="00764626" w:rsidRPr="00FE0665" w14:paraId="41859AD2" w14:textId="77777777" w:rsidTr="00764626">
        <w:trPr>
          <w:trHeight w:val="60"/>
          <w:jc w:val="center"/>
        </w:trPr>
        <w:tc>
          <w:tcPr>
            <w:tcW w:w="1480" w:type="dxa"/>
            <w:tcBorders>
              <w:top w:val="single" w:sz="4" w:space="0" w:color="auto"/>
              <w:left w:val="nil"/>
              <w:bottom w:val="single" w:sz="8" w:space="0" w:color="auto"/>
              <w:right w:val="nil"/>
            </w:tcBorders>
            <w:shd w:val="clear" w:color="000000" w:fill="FFFFFF"/>
            <w:noWrap/>
            <w:vAlign w:val="center"/>
            <w:hideMark/>
          </w:tcPr>
          <w:p w14:paraId="1082AECE"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272,577</w:t>
            </w:r>
          </w:p>
        </w:tc>
        <w:tc>
          <w:tcPr>
            <w:tcW w:w="4720" w:type="dxa"/>
            <w:tcBorders>
              <w:top w:val="single" w:sz="4" w:space="0" w:color="auto"/>
              <w:left w:val="nil"/>
              <w:bottom w:val="single" w:sz="8" w:space="0" w:color="auto"/>
              <w:right w:val="nil"/>
            </w:tcBorders>
            <w:shd w:val="clear" w:color="000000" w:fill="FFFFFF"/>
            <w:noWrap/>
            <w:vAlign w:val="center"/>
            <w:hideMark/>
          </w:tcPr>
          <w:p w14:paraId="0078DDD2" w14:textId="77777777" w:rsidR="00764626" w:rsidRPr="00764626" w:rsidRDefault="00764626" w:rsidP="007C4BA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Total Assets</w:t>
            </w:r>
          </w:p>
        </w:tc>
        <w:tc>
          <w:tcPr>
            <w:tcW w:w="1560" w:type="dxa"/>
            <w:tcBorders>
              <w:top w:val="single" w:sz="4" w:space="0" w:color="auto"/>
              <w:left w:val="nil"/>
              <w:bottom w:val="single" w:sz="8" w:space="0" w:color="auto"/>
              <w:right w:val="nil"/>
            </w:tcBorders>
            <w:shd w:val="clear" w:color="000000" w:fill="FFFFFF"/>
            <w:noWrap/>
            <w:vAlign w:val="center"/>
            <w:hideMark/>
          </w:tcPr>
          <w:p w14:paraId="052D9A50" w14:textId="77777777" w:rsidR="00764626" w:rsidRPr="00764626" w:rsidRDefault="00764626" w:rsidP="007C4BA6">
            <w:pPr>
              <w:jc w:val="right"/>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358,772</w:t>
            </w:r>
          </w:p>
        </w:tc>
      </w:tr>
    </w:tbl>
    <w:p w14:paraId="73CC1563" w14:textId="77777777" w:rsidR="00764626" w:rsidRDefault="00764626">
      <w:pPr>
        <w:pStyle w:val="T1TableStyle"/>
        <w:rPr>
          <w:rFonts w:ascii="Verdana" w:hAnsi="Verdana"/>
          <w:b/>
          <w:sz w:val="16"/>
          <w:szCs w:val="16"/>
          <w:highlight w:val="yellow"/>
          <w:lang w:val="en-GB"/>
        </w:rPr>
      </w:pPr>
    </w:p>
    <w:tbl>
      <w:tblPr>
        <w:tblW w:w="7760" w:type="dxa"/>
        <w:jc w:val="center"/>
        <w:tblLook w:val="04A0" w:firstRow="1" w:lastRow="0" w:firstColumn="1" w:lastColumn="0" w:noHBand="0" w:noVBand="1"/>
      </w:tblPr>
      <w:tblGrid>
        <w:gridCol w:w="1309"/>
        <w:gridCol w:w="4891"/>
        <w:gridCol w:w="1560"/>
      </w:tblGrid>
      <w:tr w:rsidR="00764626" w:rsidRPr="00764626" w14:paraId="15ACE92D" w14:textId="77777777" w:rsidTr="007C4BA6">
        <w:trPr>
          <w:trHeight w:val="300"/>
          <w:jc w:val="center"/>
        </w:trPr>
        <w:tc>
          <w:tcPr>
            <w:tcW w:w="6200" w:type="dxa"/>
            <w:gridSpan w:val="2"/>
            <w:tcBorders>
              <w:top w:val="nil"/>
              <w:left w:val="nil"/>
              <w:bottom w:val="nil"/>
              <w:right w:val="nil"/>
            </w:tcBorders>
            <w:shd w:val="clear" w:color="000000" w:fill="FFFFFF"/>
            <w:noWrap/>
            <w:vAlign w:val="center"/>
            <w:hideMark/>
          </w:tcPr>
          <w:p w14:paraId="6674CFE4" w14:textId="77777777" w:rsidR="00764626" w:rsidRPr="00764626" w:rsidRDefault="00764626" w:rsidP="0076462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The significant assumptions used by the actuary have been:</w:t>
            </w:r>
          </w:p>
        </w:tc>
        <w:tc>
          <w:tcPr>
            <w:tcW w:w="1560" w:type="dxa"/>
            <w:tcBorders>
              <w:top w:val="nil"/>
              <w:left w:val="nil"/>
              <w:bottom w:val="nil"/>
              <w:right w:val="nil"/>
            </w:tcBorders>
            <w:shd w:val="clear" w:color="000000" w:fill="FFFFFF"/>
            <w:noWrap/>
            <w:vAlign w:val="center"/>
            <w:hideMark/>
          </w:tcPr>
          <w:p w14:paraId="2A5839C4" w14:textId="77777777" w:rsidR="00764626" w:rsidRPr="00764626" w:rsidRDefault="00764626" w:rsidP="0076462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 </w:t>
            </w:r>
          </w:p>
        </w:tc>
      </w:tr>
      <w:tr w:rsidR="00764626" w:rsidRPr="00764626" w14:paraId="065263B3" w14:textId="77777777" w:rsidTr="007C4BA6">
        <w:trPr>
          <w:trHeight w:val="74"/>
          <w:jc w:val="center"/>
        </w:trPr>
        <w:tc>
          <w:tcPr>
            <w:tcW w:w="1309" w:type="dxa"/>
            <w:tcBorders>
              <w:top w:val="nil"/>
              <w:left w:val="nil"/>
              <w:bottom w:val="nil"/>
              <w:right w:val="nil"/>
            </w:tcBorders>
            <w:shd w:val="clear" w:color="000000" w:fill="FFFFFF"/>
            <w:noWrap/>
            <w:vAlign w:val="center"/>
            <w:hideMark/>
          </w:tcPr>
          <w:p w14:paraId="257A1613"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4891" w:type="dxa"/>
            <w:tcBorders>
              <w:top w:val="nil"/>
              <w:left w:val="nil"/>
              <w:bottom w:val="nil"/>
              <w:right w:val="nil"/>
            </w:tcBorders>
            <w:shd w:val="clear" w:color="000000" w:fill="FFFFFF"/>
            <w:noWrap/>
            <w:vAlign w:val="center"/>
            <w:hideMark/>
          </w:tcPr>
          <w:p w14:paraId="57ADAF9E"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3D371CA3"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764626" w14:paraId="5FE2688F" w14:textId="77777777" w:rsidTr="007C4BA6">
        <w:trPr>
          <w:trHeight w:val="74"/>
          <w:jc w:val="center"/>
        </w:trPr>
        <w:tc>
          <w:tcPr>
            <w:tcW w:w="1309" w:type="dxa"/>
            <w:tcBorders>
              <w:top w:val="nil"/>
              <w:left w:val="nil"/>
              <w:bottom w:val="single" w:sz="4" w:space="0" w:color="auto"/>
              <w:right w:val="nil"/>
            </w:tcBorders>
            <w:shd w:val="clear" w:color="000000" w:fill="FFFFFF"/>
            <w:noWrap/>
            <w:vAlign w:val="center"/>
            <w:hideMark/>
          </w:tcPr>
          <w:p w14:paraId="21C76C46" w14:textId="77777777" w:rsidR="00764626" w:rsidRPr="00764626" w:rsidRDefault="00764626" w:rsidP="0076462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2019/20</w:t>
            </w:r>
          </w:p>
        </w:tc>
        <w:tc>
          <w:tcPr>
            <w:tcW w:w="4891" w:type="dxa"/>
            <w:tcBorders>
              <w:top w:val="nil"/>
              <w:left w:val="nil"/>
              <w:bottom w:val="single" w:sz="4" w:space="0" w:color="auto"/>
              <w:right w:val="nil"/>
            </w:tcBorders>
            <w:shd w:val="clear" w:color="000000" w:fill="FFFFFF"/>
            <w:noWrap/>
            <w:vAlign w:val="center"/>
            <w:hideMark/>
          </w:tcPr>
          <w:p w14:paraId="7A916D47" w14:textId="77777777" w:rsidR="00764626" w:rsidRPr="00764626" w:rsidRDefault="00764626" w:rsidP="0076462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LGPS</w:t>
            </w:r>
          </w:p>
        </w:tc>
        <w:tc>
          <w:tcPr>
            <w:tcW w:w="1560" w:type="dxa"/>
            <w:tcBorders>
              <w:top w:val="nil"/>
              <w:left w:val="nil"/>
              <w:bottom w:val="single" w:sz="4" w:space="0" w:color="auto"/>
              <w:right w:val="nil"/>
            </w:tcBorders>
            <w:shd w:val="clear" w:color="000000" w:fill="FFFFFF"/>
            <w:noWrap/>
            <w:vAlign w:val="center"/>
            <w:hideMark/>
          </w:tcPr>
          <w:p w14:paraId="381A314F" w14:textId="77777777" w:rsidR="00764626" w:rsidRPr="00764626" w:rsidRDefault="00764626" w:rsidP="0076462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2020/21</w:t>
            </w:r>
          </w:p>
        </w:tc>
      </w:tr>
      <w:tr w:rsidR="00764626" w:rsidRPr="00764626" w14:paraId="2F13C30B"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0BD20D05"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144A2ED8"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EQUITY SECURITIES</w:t>
            </w:r>
          </w:p>
        </w:tc>
        <w:tc>
          <w:tcPr>
            <w:tcW w:w="1560" w:type="dxa"/>
            <w:tcBorders>
              <w:top w:val="nil"/>
              <w:left w:val="nil"/>
              <w:bottom w:val="nil"/>
              <w:right w:val="nil"/>
            </w:tcBorders>
            <w:shd w:val="clear" w:color="000000" w:fill="FFFFFF"/>
            <w:noWrap/>
            <w:vAlign w:val="center"/>
            <w:hideMark/>
          </w:tcPr>
          <w:p w14:paraId="7CF3C684"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w:t>
            </w:r>
          </w:p>
        </w:tc>
      </w:tr>
      <w:tr w:rsidR="00764626" w:rsidRPr="00764626" w14:paraId="0E132107"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242E5809"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20F41F59"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DEBT SECURITIES</w:t>
            </w:r>
          </w:p>
        </w:tc>
        <w:tc>
          <w:tcPr>
            <w:tcW w:w="1560" w:type="dxa"/>
            <w:tcBorders>
              <w:top w:val="nil"/>
              <w:left w:val="nil"/>
              <w:bottom w:val="nil"/>
              <w:right w:val="nil"/>
            </w:tcBorders>
            <w:shd w:val="clear" w:color="000000" w:fill="FFFFFF"/>
            <w:noWrap/>
            <w:vAlign w:val="center"/>
            <w:hideMark/>
          </w:tcPr>
          <w:p w14:paraId="50635726"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w:t>
            </w:r>
          </w:p>
        </w:tc>
      </w:tr>
      <w:tr w:rsidR="00764626" w:rsidRPr="00764626" w14:paraId="008425BC"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0EE6C351"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45DFAFA0"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PRIVATE EQUITY</w:t>
            </w:r>
          </w:p>
        </w:tc>
        <w:tc>
          <w:tcPr>
            <w:tcW w:w="1560" w:type="dxa"/>
            <w:tcBorders>
              <w:top w:val="nil"/>
              <w:left w:val="nil"/>
              <w:bottom w:val="nil"/>
              <w:right w:val="nil"/>
            </w:tcBorders>
            <w:shd w:val="clear" w:color="000000" w:fill="FFFFFF"/>
            <w:noWrap/>
            <w:vAlign w:val="center"/>
            <w:hideMark/>
          </w:tcPr>
          <w:p w14:paraId="3161659E"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w:t>
            </w:r>
          </w:p>
        </w:tc>
      </w:tr>
      <w:tr w:rsidR="00764626" w:rsidRPr="00764626" w14:paraId="398EC392"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68A84DC6"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1BBC92C7"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REAL ESTATE</w:t>
            </w:r>
          </w:p>
        </w:tc>
        <w:tc>
          <w:tcPr>
            <w:tcW w:w="1560" w:type="dxa"/>
            <w:tcBorders>
              <w:top w:val="nil"/>
              <w:left w:val="nil"/>
              <w:bottom w:val="nil"/>
              <w:right w:val="nil"/>
            </w:tcBorders>
            <w:shd w:val="clear" w:color="000000" w:fill="FFFFFF"/>
            <w:noWrap/>
            <w:vAlign w:val="center"/>
            <w:hideMark/>
          </w:tcPr>
          <w:p w14:paraId="2C57A62C"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w:t>
            </w:r>
          </w:p>
        </w:tc>
      </w:tr>
      <w:tr w:rsidR="00764626" w:rsidRPr="00764626" w14:paraId="0456DF6A"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34F18CDC"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31B59F13"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INVESTMENT FUNDS &amp; UNIT TRUSTS</w:t>
            </w:r>
          </w:p>
        </w:tc>
        <w:tc>
          <w:tcPr>
            <w:tcW w:w="1560" w:type="dxa"/>
            <w:tcBorders>
              <w:top w:val="nil"/>
              <w:left w:val="nil"/>
              <w:bottom w:val="nil"/>
              <w:right w:val="nil"/>
            </w:tcBorders>
            <w:shd w:val="clear" w:color="000000" w:fill="FFFFFF"/>
            <w:noWrap/>
            <w:vAlign w:val="center"/>
            <w:hideMark/>
          </w:tcPr>
          <w:p w14:paraId="1FA47CDD"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w:t>
            </w:r>
          </w:p>
        </w:tc>
      </w:tr>
      <w:tr w:rsidR="00764626" w:rsidRPr="00764626" w14:paraId="122B5205"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13C590AB"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1D4BBB94"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DERIVATIVES</w:t>
            </w:r>
          </w:p>
        </w:tc>
        <w:tc>
          <w:tcPr>
            <w:tcW w:w="1560" w:type="dxa"/>
            <w:tcBorders>
              <w:top w:val="nil"/>
              <w:left w:val="nil"/>
              <w:bottom w:val="nil"/>
              <w:right w:val="nil"/>
            </w:tcBorders>
            <w:shd w:val="clear" w:color="000000" w:fill="FFFFFF"/>
            <w:noWrap/>
            <w:vAlign w:val="center"/>
            <w:hideMark/>
          </w:tcPr>
          <w:p w14:paraId="7D67CCDE"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11%</w:t>
            </w:r>
          </w:p>
        </w:tc>
      </w:tr>
      <w:tr w:rsidR="00764626" w:rsidRPr="00764626" w14:paraId="621FD7C0"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4059CEB8"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22.1</w:t>
            </w:r>
          </w:p>
        </w:tc>
        <w:tc>
          <w:tcPr>
            <w:tcW w:w="4891" w:type="dxa"/>
            <w:tcBorders>
              <w:top w:val="nil"/>
              <w:left w:val="nil"/>
              <w:bottom w:val="nil"/>
              <w:right w:val="nil"/>
            </w:tcBorders>
            <w:shd w:val="clear" w:color="000000" w:fill="FFFFFF"/>
            <w:noWrap/>
            <w:vAlign w:val="center"/>
            <w:hideMark/>
          </w:tcPr>
          <w:p w14:paraId="505C4D52"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Men</w:t>
            </w:r>
          </w:p>
        </w:tc>
        <w:tc>
          <w:tcPr>
            <w:tcW w:w="1560" w:type="dxa"/>
            <w:tcBorders>
              <w:top w:val="nil"/>
              <w:left w:val="nil"/>
              <w:bottom w:val="nil"/>
              <w:right w:val="nil"/>
            </w:tcBorders>
            <w:shd w:val="clear" w:color="000000" w:fill="FFFFFF"/>
            <w:noWrap/>
            <w:vAlign w:val="center"/>
            <w:hideMark/>
          </w:tcPr>
          <w:p w14:paraId="000F32E3"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22.1</w:t>
            </w:r>
          </w:p>
        </w:tc>
      </w:tr>
      <w:tr w:rsidR="00764626" w:rsidRPr="00764626" w14:paraId="3F83793D"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7AA4BDCF"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24.3</w:t>
            </w:r>
          </w:p>
        </w:tc>
        <w:tc>
          <w:tcPr>
            <w:tcW w:w="4891" w:type="dxa"/>
            <w:tcBorders>
              <w:top w:val="nil"/>
              <w:left w:val="nil"/>
              <w:bottom w:val="nil"/>
              <w:right w:val="nil"/>
            </w:tcBorders>
            <w:shd w:val="clear" w:color="000000" w:fill="FFFFFF"/>
            <w:noWrap/>
            <w:vAlign w:val="center"/>
            <w:hideMark/>
          </w:tcPr>
          <w:p w14:paraId="1D12AC9B"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Women</w:t>
            </w:r>
          </w:p>
        </w:tc>
        <w:tc>
          <w:tcPr>
            <w:tcW w:w="1560" w:type="dxa"/>
            <w:tcBorders>
              <w:top w:val="nil"/>
              <w:left w:val="nil"/>
              <w:bottom w:val="nil"/>
              <w:right w:val="nil"/>
            </w:tcBorders>
            <w:shd w:val="clear" w:color="000000" w:fill="FFFFFF"/>
            <w:noWrap/>
            <w:vAlign w:val="center"/>
            <w:hideMark/>
          </w:tcPr>
          <w:p w14:paraId="70747A44"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24.3</w:t>
            </w:r>
          </w:p>
        </w:tc>
      </w:tr>
      <w:tr w:rsidR="00764626" w:rsidRPr="00764626" w14:paraId="46CC3DA0"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31AB5D77"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22.9</w:t>
            </w:r>
          </w:p>
        </w:tc>
        <w:tc>
          <w:tcPr>
            <w:tcW w:w="4891" w:type="dxa"/>
            <w:tcBorders>
              <w:top w:val="nil"/>
              <w:left w:val="nil"/>
              <w:bottom w:val="nil"/>
              <w:right w:val="nil"/>
            </w:tcBorders>
            <w:shd w:val="clear" w:color="000000" w:fill="FFFFFF"/>
            <w:noWrap/>
            <w:vAlign w:val="center"/>
            <w:hideMark/>
          </w:tcPr>
          <w:p w14:paraId="162D6CAF"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Men</w:t>
            </w:r>
          </w:p>
        </w:tc>
        <w:tc>
          <w:tcPr>
            <w:tcW w:w="1560" w:type="dxa"/>
            <w:tcBorders>
              <w:top w:val="nil"/>
              <w:left w:val="nil"/>
              <w:bottom w:val="nil"/>
              <w:right w:val="nil"/>
            </w:tcBorders>
            <w:shd w:val="clear" w:color="000000" w:fill="FFFFFF"/>
            <w:noWrap/>
            <w:vAlign w:val="center"/>
            <w:hideMark/>
          </w:tcPr>
          <w:p w14:paraId="67AF2FDE"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22.9</w:t>
            </w:r>
          </w:p>
        </w:tc>
      </w:tr>
      <w:tr w:rsidR="00764626" w:rsidRPr="00764626" w14:paraId="6CDA4A86"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24650522"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25.7</w:t>
            </w:r>
          </w:p>
        </w:tc>
        <w:tc>
          <w:tcPr>
            <w:tcW w:w="4891" w:type="dxa"/>
            <w:tcBorders>
              <w:top w:val="nil"/>
              <w:left w:val="nil"/>
              <w:bottom w:val="nil"/>
              <w:right w:val="nil"/>
            </w:tcBorders>
            <w:shd w:val="clear" w:color="000000" w:fill="FFFFFF"/>
            <w:noWrap/>
            <w:vAlign w:val="center"/>
            <w:hideMark/>
          </w:tcPr>
          <w:p w14:paraId="5282B34E"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Women</w:t>
            </w:r>
          </w:p>
        </w:tc>
        <w:tc>
          <w:tcPr>
            <w:tcW w:w="1560" w:type="dxa"/>
            <w:tcBorders>
              <w:top w:val="nil"/>
              <w:left w:val="nil"/>
              <w:bottom w:val="nil"/>
              <w:right w:val="nil"/>
            </w:tcBorders>
            <w:shd w:val="clear" w:color="000000" w:fill="FFFFFF"/>
            <w:noWrap/>
            <w:vAlign w:val="center"/>
            <w:hideMark/>
          </w:tcPr>
          <w:p w14:paraId="7B259BE3"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25.7</w:t>
            </w:r>
          </w:p>
        </w:tc>
      </w:tr>
      <w:tr w:rsidR="00764626" w:rsidRPr="00764626" w14:paraId="6BD0687D"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4B58434D"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2.0%</w:t>
            </w:r>
          </w:p>
        </w:tc>
        <w:tc>
          <w:tcPr>
            <w:tcW w:w="4891" w:type="dxa"/>
            <w:tcBorders>
              <w:top w:val="nil"/>
              <w:left w:val="nil"/>
              <w:bottom w:val="nil"/>
              <w:right w:val="nil"/>
            </w:tcBorders>
            <w:shd w:val="clear" w:color="000000" w:fill="FFFFFF"/>
            <w:noWrap/>
            <w:vAlign w:val="center"/>
            <w:hideMark/>
          </w:tcPr>
          <w:p w14:paraId="141AAB88"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of inflation</w:t>
            </w:r>
          </w:p>
        </w:tc>
        <w:tc>
          <w:tcPr>
            <w:tcW w:w="1560" w:type="dxa"/>
            <w:tcBorders>
              <w:top w:val="nil"/>
              <w:left w:val="nil"/>
              <w:bottom w:val="nil"/>
              <w:right w:val="nil"/>
            </w:tcBorders>
            <w:shd w:val="clear" w:color="000000" w:fill="FFFFFF"/>
            <w:noWrap/>
            <w:vAlign w:val="center"/>
            <w:hideMark/>
          </w:tcPr>
          <w:p w14:paraId="5E33299E"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2.0%</w:t>
            </w:r>
          </w:p>
        </w:tc>
      </w:tr>
      <w:tr w:rsidR="00764626" w:rsidRPr="00764626" w14:paraId="13BF270D"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3545784D"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2.7%</w:t>
            </w:r>
          </w:p>
        </w:tc>
        <w:tc>
          <w:tcPr>
            <w:tcW w:w="4891" w:type="dxa"/>
            <w:tcBorders>
              <w:top w:val="nil"/>
              <w:left w:val="nil"/>
              <w:bottom w:val="nil"/>
              <w:right w:val="nil"/>
            </w:tcBorders>
            <w:shd w:val="clear" w:color="000000" w:fill="FFFFFF"/>
            <w:noWrap/>
            <w:vAlign w:val="center"/>
            <w:hideMark/>
          </w:tcPr>
          <w:p w14:paraId="4524E33C"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of increase in salaries</w:t>
            </w:r>
          </w:p>
        </w:tc>
        <w:tc>
          <w:tcPr>
            <w:tcW w:w="1560" w:type="dxa"/>
            <w:tcBorders>
              <w:top w:val="nil"/>
              <w:left w:val="nil"/>
              <w:bottom w:val="nil"/>
              <w:right w:val="nil"/>
            </w:tcBorders>
            <w:shd w:val="clear" w:color="000000" w:fill="FFFFFF"/>
            <w:noWrap/>
            <w:vAlign w:val="center"/>
            <w:hideMark/>
          </w:tcPr>
          <w:p w14:paraId="332E56A8"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3.7%</w:t>
            </w:r>
          </w:p>
        </w:tc>
      </w:tr>
      <w:tr w:rsidR="00764626" w:rsidRPr="00764626" w14:paraId="59826CE5"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2749E428"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1.8%</w:t>
            </w:r>
          </w:p>
        </w:tc>
        <w:tc>
          <w:tcPr>
            <w:tcW w:w="4891" w:type="dxa"/>
            <w:tcBorders>
              <w:top w:val="nil"/>
              <w:left w:val="nil"/>
              <w:bottom w:val="nil"/>
              <w:right w:val="nil"/>
            </w:tcBorders>
            <w:shd w:val="clear" w:color="000000" w:fill="FFFFFF"/>
            <w:noWrap/>
            <w:vAlign w:val="center"/>
            <w:hideMark/>
          </w:tcPr>
          <w:p w14:paraId="58C2A27B"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of increase in pensions</w:t>
            </w:r>
          </w:p>
        </w:tc>
        <w:tc>
          <w:tcPr>
            <w:tcW w:w="1560" w:type="dxa"/>
            <w:tcBorders>
              <w:top w:val="nil"/>
              <w:left w:val="nil"/>
              <w:bottom w:val="nil"/>
              <w:right w:val="nil"/>
            </w:tcBorders>
            <w:shd w:val="clear" w:color="000000" w:fill="FFFFFF"/>
            <w:noWrap/>
            <w:vAlign w:val="center"/>
            <w:hideMark/>
          </w:tcPr>
          <w:p w14:paraId="3DE01B41"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2.8%</w:t>
            </w:r>
          </w:p>
        </w:tc>
      </w:tr>
      <w:tr w:rsidR="00764626" w:rsidRPr="00764626" w14:paraId="4D8DD901" w14:textId="77777777" w:rsidTr="007C4BA6">
        <w:trPr>
          <w:trHeight w:val="300"/>
          <w:jc w:val="center"/>
        </w:trPr>
        <w:tc>
          <w:tcPr>
            <w:tcW w:w="1309" w:type="dxa"/>
            <w:tcBorders>
              <w:top w:val="nil"/>
              <w:left w:val="nil"/>
              <w:bottom w:val="nil"/>
              <w:right w:val="nil"/>
            </w:tcBorders>
            <w:shd w:val="clear" w:color="000000" w:fill="FFFFFF"/>
            <w:noWrap/>
            <w:vAlign w:val="center"/>
            <w:hideMark/>
          </w:tcPr>
          <w:p w14:paraId="7B9876B0"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2.3%</w:t>
            </w:r>
          </w:p>
        </w:tc>
        <w:tc>
          <w:tcPr>
            <w:tcW w:w="4891" w:type="dxa"/>
            <w:tcBorders>
              <w:top w:val="nil"/>
              <w:left w:val="nil"/>
              <w:bottom w:val="nil"/>
              <w:right w:val="nil"/>
            </w:tcBorders>
            <w:shd w:val="clear" w:color="000000" w:fill="FFFFFF"/>
            <w:noWrap/>
            <w:vAlign w:val="center"/>
            <w:hideMark/>
          </w:tcPr>
          <w:p w14:paraId="230E348D"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for discounting scheme liabilities</w:t>
            </w:r>
          </w:p>
        </w:tc>
        <w:tc>
          <w:tcPr>
            <w:tcW w:w="1560" w:type="dxa"/>
            <w:tcBorders>
              <w:top w:val="nil"/>
              <w:left w:val="nil"/>
              <w:bottom w:val="nil"/>
              <w:right w:val="nil"/>
            </w:tcBorders>
            <w:shd w:val="clear" w:color="000000" w:fill="FFFFFF"/>
            <w:noWrap/>
            <w:vAlign w:val="center"/>
            <w:hideMark/>
          </w:tcPr>
          <w:p w14:paraId="7302CD60"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2.1%</w:t>
            </w:r>
          </w:p>
        </w:tc>
      </w:tr>
    </w:tbl>
    <w:p w14:paraId="07E782F1" w14:textId="77777777" w:rsidR="00764626" w:rsidRDefault="00764626">
      <w:pPr>
        <w:pStyle w:val="T1TableStyle"/>
        <w:rPr>
          <w:rFonts w:ascii="Verdana" w:hAnsi="Verdana"/>
          <w:b/>
          <w:sz w:val="16"/>
          <w:szCs w:val="16"/>
          <w:highlight w:val="yellow"/>
          <w:lang w:val="en-GB"/>
        </w:rPr>
      </w:pPr>
    </w:p>
    <w:p w14:paraId="57971956" w14:textId="77777777" w:rsidR="00764626" w:rsidRDefault="00764626">
      <w:pPr>
        <w:pStyle w:val="T1TableStyle"/>
        <w:rPr>
          <w:rFonts w:ascii="Verdana" w:hAnsi="Verdana"/>
          <w:b/>
          <w:sz w:val="16"/>
          <w:szCs w:val="16"/>
          <w:highlight w:val="yellow"/>
          <w:lang w:val="en-GB"/>
        </w:rPr>
      </w:pPr>
    </w:p>
    <w:tbl>
      <w:tblPr>
        <w:tblW w:w="9360" w:type="dxa"/>
        <w:jc w:val="center"/>
        <w:tblLook w:val="04A0" w:firstRow="1" w:lastRow="0" w:firstColumn="1" w:lastColumn="0" w:noHBand="0" w:noVBand="1"/>
      </w:tblPr>
      <w:tblGrid>
        <w:gridCol w:w="4201"/>
        <w:gridCol w:w="3875"/>
        <w:gridCol w:w="1284"/>
      </w:tblGrid>
      <w:tr w:rsidR="00764626" w:rsidRPr="00764626" w14:paraId="17EFF2B3" w14:textId="77777777" w:rsidTr="007C4BA6">
        <w:trPr>
          <w:trHeight w:val="300"/>
          <w:jc w:val="center"/>
        </w:trPr>
        <w:tc>
          <w:tcPr>
            <w:tcW w:w="4201" w:type="dxa"/>
            <w:tcBorders>
              <w:top w:val="nil"/>
              <w:left w:val="nil"/>
              <w:bottom w:val="single" w:sz="4" w:space="0" w:color="auto"/>
              <w:right w:val="nil"/>
            </w:tcBorders>
            <w:shd w:val="clear" w:color="000000" w:fill="FFFFFF"/>
            <w:noWrap/>
            <w:vAlign w:val="center"/>
            <w:hideMark/>
          </w:tcPr>
          <w:p w14:paraId="28F3C4B8" w14:textId="77777777" w:rsidR="00764626" w:rsidRPr="00764626" w:rsidRDefault="00764626" w:rsidP="0076462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2019/20</w:t>
            </w:r>
          </w:p>
        </w:tc>
        <w:tc>
          <w:tcPr>
            <w:tcW w:w="3875" w:type="dxa"/>
            <w:tcBorders>
              <w:top w:val="nil"/>
              <w:left w:val="nil"/>
              <w:bottom w:val="single" w:sz="4" w:space="0" w:color="auto"/>
              <w:right w:val="nil"/>
            </w:tcBorders>
            <w:shd w:val="clear" w:color="000000" w:fill="FFFFFF"/>
            <w:noWrap/>
            <w:vAlign w:val="center"/>
            <w:hideMark/>
          </w:tcPr>
          <w:p w14:paraId="2ACE7ED1" w14:textId="77777777" w:rsidR="00764626" w:rsidRPr="00764626" w:rsidRDefault="00764626" w:rsidP="0076462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Police Officers</w:t>
            </w:r>
          </w:p>
        </w:tc>
        <w:tc>
          <w:tcPr>
            <w:tcW w:w="1284" w:type="dxa"/>
            <w:tcBorders>
              <w:top w:val="nil"/>
              <w:left w:val="nil"/>
              <w:bottom w:val="single" w:sz="4" w:space="0" w:color="auto"/>
              <w:right w:val="nil"/>
            </w:tcBorders>
            <w:shd w:val="clear" w:color="000000" w:fill="FFFFFF"/>
            <w:noWrap/>
            <w:vAlign w:val="center"/>
            <w:hideMark/>
          </w:tcPr>
          <w:p w14:paraId="4EE3E5B3" w14:textId="77777777" w:rsidR="00764626" w:rsidRPr="00764626" w:rsidRDefault="00764626" w:rsidP="00764626">
            <w:pPr>
              <w:jc w:val="cente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2020/21</w:t>
            </w:r>
          </w:p>
        </w:tc>
      </w:tr>
      <w:tr w:rsidR="00764626" w:rsidRPr="00764626" w14:paraId="0E0B1962" w14:textId="77777777" w:rsidTr="007C4BA6">
        <w:trPr>
          <w:trHeight w:val="300"/>
          <w:jc w:val="center"/>
        </w:trPr>
        <w:tc>
          <w:tcPr>
            <w:tcW w:w="8076" w:type="dxa"/>
            <w:gridSpan w:val="2"/>
            <w:tcBorders>
              <w:top w:val="nil"/>
              <w:left w:val="nil"/>
              <w:bottom w:val="nil"/>
              <w:right w:val="nil"/>
            </w:tcBorders>
            <w:shd w:val="clear" w:color="000000" w:fill="FFFFFF"/>
            <w:noWrap/>
            <w:vAlign w:val="center"/>
            <w:hideMark/>
          </w:tcPr>
          <w:p w14:paraId="6B3E7B5E" w14:textId="77777777" w:rsidR="00764626" w:rsidRPr="00764626" w:rsidRDefault="00764626" w:rsidP="0076462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Mortality assumptions</w:t>
            </w:r>
          </w:p>
        </w:tc>
        <w:tc>
          <w:tcPr>
            <w:tcW w:w="1284" w:type="dxa"/>
            <w:tcBorders>
              <w:top w:val="nil"/>
              <w:left w:val="nil"/>
              <w:bottom w:val="nil"/>
              <w:right w:val="nil"/>
            </w:tcBorders>
            <w:shd w:val="clear" w:color="000000" w:fill="FFFFFF"/>
            <w:noWrap/>
            <w:vAlign w:val="center"/>
            <w:hideMark/>
          </w:tcPr>
          <w:p w14:paraId="570FA3C8"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764626" w14:paraId="5CBB829B" w14:textId="77777777" w:rsidTr="007C4BA6">
        <w:trPr>
          <w:trHeight w:val="300"/>
          <w:jc w:val="center"/>
        </w:trPr>
        <w:tc>
          <w:tcPr>
            <w:tcW w:w="4201" w:type="dxa"/>
            <w:tcBorders>
              <w:top w:val="nil"/>
              <w:left w:val="nil"/>
              <w:bottom w:val="nil"/>
              <w:right w:val="nil"/>
            </w:tcBorders>
            <w:shd w:val="clear" w:color="auto" w:fill="auto"/>
            <w:noWrap/>
            <w:vAlign w:val="center"/>
            <w:hideMark/>
          </w:tcPr>
          <w:p w14:paraId="5AD98364"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xml:space="preserve">Longevity at retirement for 65 year old current pensioners </w:t>
            </w:r>
          </w:p>
        </w:tc>
        <w:tc>
          <w:tcPr>
            <w:tcW w:w="3875" w:type="dxa"/>
            <w:tcBorders>
              <w:top w:val="nil"/>
              <w:left w:val="nil"/>
              <w:bottom w:val="nil"/>
              <w:right w:val="nil"/>
            </w:tcBorders>
            <w:shd w:val="clear" w:color="000000" w:fill="FFFFFF"/>
            <w:noWrap/>
            <w:vAlign w:val="center"/>
            <w:hideMark/>
          </w:tcPr>
          <w:p w14:paraId="65927568"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1284" w:type="dxa"/>
            <w:tcBorders>
              <w:top w:val="nil"/>
              <w:left w:val="nil"/>
              <w:bottom w:val="nil"/>
              <w:right w:val="nil"/>
            </w:tcBorders>
            <w:shd w:val="clear" w:color="000000" w:fill="FFFFFF"/>
            <w:noWrap/>
            <w:vAlign w:val="center"/>
            <w:hideMark/>
          </w:tcPr>
          <w:p w14:paraId="3EAF0E11"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764626" w14:paraId="6E14326F"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208E6BBF"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21.9</w:t>
            </w:r>
          </w:p>
        </w:tc>
        <w:tc>
          <w:tcPr>
            <w:tcW w:w="3875" w:type="dxa"/>
            <w:tcBorders>
              <w:top w:val="nil"/>
              <w:left w:val="nil"/>
              <w:bottom w:val="nil"/>
              <w:right w:val="nil"/>
            </w:tcBorders>
            <w:shd w:val="clear" w:color="000000" w:fill="FFFFFF"/>
            <w:noWrap/>
            <w:vAlign w:val="center"/>
            <w:hideMark/>
          </w:tcPr>
          <w:p w14:paraId="12C84665"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Men</w:t>
            </w:r>
          </w:p>
        </w:tc>
        <w:tc>
          <w:tcPr>
            <w:tcW w:w="1284" w:type="dxa"/>
            <w:tcBorders>
              <w:top w:val="nil"/>
              <w:left w:val="nil"/>
              <w:bottom w:val="nil"/>
              <w:right w:val="nil"/>
            </w:tcBorders>
            <w:shd w:val="clear" w:color="000000" w:fill="FFFFFF"/>
            <w:noWrap/>
            <w:vAlign w:val="center"/>
            <w:hideMark/>
          </w:tcPr>
          <w:p w14:paraId="28415986"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22.3</w:t>
            </w:r>
          </w:p>
        </w:tc>
      </w:tr>
      <w:tr w:rsidR="00764626" w:rsidRPr="00764626" w14:paraId="4676F514"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17DFB47A"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23.6</w:t>
            </w:r>
          </w:p>
        </w:tc>
        <w:tc>
          <w:tcPr>
            <w:tcW w:w="3875" w:type="dxa"/>
            <w:tcBorders>
              <w:top w:val="nil"/>
              <w:left w:val="nil"/>
              <w:bottom w:val="nil"/>
              <w:right w:val="nil"/>
            </w:tcBorders>
            <w:shd w:val="clear" w:color="000000" w:fill="FFFFFF"/>
            <w:noWrap/>
            <w:vAlign w:val="center"/>
            <w:hideMark/>
          </w:tcPr>
          <w:p w14:paraId="7C1B7260"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Women</w:t>
            </w:r>
          </w:p>
        </w:tc>
        <w:tc>
          <w:tcPr>
            <w:tcW w:w="1284" w:type="dxa"/>
            <w:tcBorders>
              <w:top w:val="nil"/>
              <w:left w:val="nil"/>
              <w:bottom w:val="nil"/>
              <w:right w:val="nil"/>
            </w:tcBorders>
            <w:shd w:val="clear" w:color="000000" w:fill="FFFFFF"/>
            <w:noWrap/>
            <w:vAlign w:val="center"/>
            <w:hideMark/>
          </w:tcPr>
          <w:p w14:paraId="43FFC6B5"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24.7</w:t>
            </w:r>
          </w:p>
        </w:tc>
      </w:tr>
      <w:tr w:rsidR="00764626" w:rsidRPr="00764626" w14:paraId="26ACF836" w14:textId="77777777" w:rsidTr="007C4BA6">
        <w:trPr>
          <w:trHeight w:val="300"/>
          <w:jc w:val="center"/>
        </w:trPr>
        <w:tc>
          <w:tcPr>
            <w:tcW w:w="4201" w:type="dxa"/>
            <w:tcBorders>
              <w:top w:val="nil"/>
              <w:left w:val="nil"/>
              <w:bottom w:val="nil"/>
              <w:right w:val="nil"/>
            </w:tcBorders>
            <w:shd w:val="clear" w:color="auto" w:fill="auto"/>
            <w:noWrap/>
            <w:vAlign w:val="center"/>
            <w:hideMark/>
          </w:tcPr>
          <w:p w14:paraId="5CA4EC9C"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Longevity at retirement for 45 year old future pensioners at 65</w:t>
            </w:r>
          </w:p>
        </w:tc>
        <w:tc>
          <w:tcPr>
            <w:tcW w:w="3875" w:type="dxa"/>
            <w:tcBorders>
              <w:top w:val="nil"/>
              <w:left w:val="nil"/>
              <w:bottom w:val="nil"/>
              <w:right w:val="nil"/>
            </w:tcBorders>
            <w:shd w:val="clear" w:color="000000" w:fill="FFFFFF"/>
            <w:noWrap/>
            <w:vAlign w:val="center"/>
            <w:hideMark/>
          </w:tcPr>
          <w:p w14:paraId="3E160F8A"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c>
          <w:tcPr>
            <w:tcW w:w="1284" w:type="dxa"/>
            <w:tcBorders>
              <w:top w:val="nil"/>
              <w:left w:val="nil"/>
              <w:bottom w:val="nil"/>
              <w:right w:val="nil"/>
            </w:tcBorders>
            <w:shd w:val="clear" w:color="000000" w:fill="FFFFFF"/>
            <w:noWrap/>
            <w:vAlign w:val="center"/>
            <w:hideMark/>
          </w:tcPr>
          <w:p w14:paraId="6F5EE610"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764626" w14:paraId="22B08ED5"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54BB07F5"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23.6</w:t>
            </w:r>
          </w:p>
        </w:tc>
        <w:tc>
          <w:tcPr>
            <w:tcW w:w="3875" w:type="dxa"/>
            <w:tcBorders>
              <w:top w:val="nil"/>
              <w:left w:val="nil"/>
              <w:bottom w:val="nil"/>
              <w:right w:val="nil"/>
            </w:tcBorders>
            <w:shd w:val="clear" w:color="000000" w:fill="FFFFFF"/>
            <w:noWrap/>
            <w:vAlign w:val="center"/>
            <w:hideMark/>
          </w:tcPr>
          <w:p w14:paraId="262D21C4"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Men</w:t>
            </w:r>
          </w:p>
        </w:tc>
        <w:tc>
          <w:tcPr>
            <w:tcW w:w="1284" w:type="dxa"/>
            <w:tcBorders>
              <w:top w:val="nil"/>
              <w:left w:val="nil"/>
              <w:bottom w:val="nil"/>
              <w:right w:val="nil"/>
            </w:tcBorders>
            <w:shd w:val="clear" w:color="000000" w:fill="FFFFFF"/>
            <w:noWrap/>
            <w:vAlign w:val="center"/>
            <w:hideMark/>
          </w:tcPr>
          <w:p w14:paraId="2C7514ED"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23.4</w:t>
            </w:r>
          </w:p>
        </w:tc>
      </w:tr>
      <w:tr w:rsidR="00764626" w:rsidRPr="00764626" w14:paraId="1F798C8B"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6A6446D6"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25.2</w:t>
            </w:r>
          </w:p>
        </w:tc>
        <w:tc>
          <w:tcPr>
            <w:tcW w:w="3875" w:type="dxa"/>
            <w:tcBorders>
              <w:top w:val="nil"/>
              <w:left w:val="nil"/>
              <w:bottom w:val="nil"/>
              <w:right w:val="nil"/>
            </w:tcBorders>
            <w:shd w:val="clear" w:color="000000" w:fill="FFFFFF"/>
            <w:noWrap/>
            <w:vAlign w:val="center"/>
            <w:hideMark/>
          </w:tcPr>
          <w:p w14:paraId="23FE6832"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Women</w:t>
            </w:r>
          </w:p>
        </w:tc>
        <w:tc>
          <w:tcPr>
            <w:tcW w:w="1284" w:type="dxa"/>
            <w:tcBorders>
              <w:top w:val="nil"/>
              <w:left w:val="nil"/>
              <w:bottom w:val="nil"/>
              <w:right w:val="nil"/>
            </w:tcBorders>
            <w:shd w:val="clear" w:color="000000" w:fill="FFFFFF"/>
            <w:noWrap/>
            <w:vAlign w:val="center"/>
            <w:hideMark/>
          </w:tcPr>
          <w:p w14:paraId="71F00194"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26.4</w:t>
            </w:r>
          </w:p>
        </w:tc>
      </w:tr>
      <w:tr w:rsidR="00764626" w:rsidRPr="00764626" w14:paraId="57C946B3" w14:textId="77777777" w:rsidTr="007C4BA6">
        <w:trPr>
          <w:trHeight w:val="300"/>
          <w:jc w:val="center"/>
        </w:trPr>
        <w:tc>
          <w:tcPr>
            <w:tcW w:w="8076" w:type="dxa"/>
            <w:gridSpan w:val="2"/>
            <w:tcBorders>
              <w:top w:val="nil"/>
              <w:left w:val="nil"/>
              <w:bottom w:val="nil"/>
              <w:right w:val="nil"/>
            </w:tcBorders>
            <w:shd w:val="clear" w:color="000000" w:fill="FFFFFF"/>
            <w:noWrap/>
            <w:vAlign w:val="center"/>
            <w:hideMark/>
          </w:tcPr>
          <w:p w14:paraId="15117B0D" w14:textId="77777777" w:rsidR="00764626" w:rsidRPr="00764626" w:rsidRDefault="00764626" w:rsidP="00764626">
            <w:pPr>
              <w:rPr>
                <w:rFonts w:ascii="Verdana" w:eastAsia="Times New Roman" w:hAnsi="Verdana" w:cs="Times New Roman"/>
                <w:b/>
                <w:bCs/>
                <w:color w:val="000000"/>
                <w:sz w:val="16"/>
                <w:szCs w:val="16"/>
                <w:lang w:val="en-GB" w:eastAsia="en-GB"/>
              </w:rPr>
            </w:pPr>
            <w:r w:rsidRPr="00764626">
              <w:rPr>
                <w:rFonts w:ascii="Verdana" w:eastAsia="Times New Roman" w:hAnsi="Verdana" w:cs="Times New Roman"/>
                <w:b/>
                <w:bCs/>
                <w:color w:val="000000"/>
                <w:sz w:val="16"/>
                <w:szCs w:val="16"/>
                <w:lang w:val="en-GB" w:eastAsia="en-GB"/>
              </w:rPr>
              <w:t>Other assumptions</w:t>
            </w:r>
          </w:p>
        </w:tc>
        <w:tc>
          <w:tcPr>
            <w:tcW w:w="1284" w:type="dxa"/>
            <w:tcBorders>
              <w:top w:val="nil"/>
              <w:left w:val="nil"/>
              <w:bottom w:val="nil"/>
              <w:right w:val="nil"/>
            </w:tcBorders>
            <w:shd w:val="clear" w:color="000000" w:fill="FFFFFF"/>
            <w:noWrap/>
            <w:vAlign w:val="center"/>
            <w:hideMark/>
          </w:tcPr>
          <w:p w14:paraId="5AAA714C"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 </w:t>
            </w:r>
          </w:p>
        </w:tc>
      </w:tr>
      <w:tr w:rsidR="00764626" w:rsidRPr="00764626" w14:paraId="4D144B22"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5FAA35EA"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2.0%</w:t>
            </w:r>
          </w:p>
        </w:tc>
        <w:tc>
          <w:tcPr>
            <w:tcW w:w="3875" w:type="dxa"/>
            <w:tcBorders>
              <w:top w:val="nil"/>
              <w:left w:val="nil"/>
              <w:bottom w:val="nil"/>
              <w:right w:val="nil"/>
            </w:tcBorders>
            <w:shd w:val="clear" w:color="000000" w:fill="FFFFFF"/>
            <w:noWrap/>
            <w:vAlign w:val="center"/>
            <w:hideMark/>
          </w:tcPr>
          <w:p w14:paraId="1FE339A3"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of inflation</w:t>
            </w:r>
          </w:p>
        </w:tc>
        <w:tc>
          <w:tcPr>
            <w:tcW w:w="1284" w:type="dxa"/>
            <w:tcBorders>
              <w:top w:val="nil"/>
              <w:left w:val="nil"/>
              <w:bottom w:val="nil"/>
              <w:right w:val="nil"/>
            </w:tcBorders>
            <w:shd w:val="clear" w:color="000000" w:fill="FFFFFF"/>
            <w:noWrap/>
            <w:vAlign w:val="center"/>
            <w:hideMark/>
          </w:tcPr>
          <w:p w14:paraId="6B26DDB5"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2.0%</w:t>
            </w:r>
          </w:p>
        </w:tc>
      </w:tr>
      <w:tr w:rsidR="00764626" w:rsidRPr="00764626" w14:paraId="0A960D10"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1E93443A"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4.0%</w:t>
            </w:r>
          </w:p>
        </w:tc>
        <w:tc>
          <w:tcPr>
            <w:tcW w:w="3875" w:type="dxa"/>
            <w:tcBorders>
              <w:top w:val="nil"/>
              <w:left w:val="nil"/>
              <w:bottom w:val="nil"/>
              <w:right w:val="nil"/>
            </w:tcBorders>
            <w:shd w:val="clear" w:color="000000" w:fill="FFFFFF"/>
            <w:noWrap/>
            <w:vAlign w:val="center"/>
            <w:hideMark/>
          </w:tcPr>
          <w:p w14:paraId="12AD15A0"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of increase in salaries</w:t>
            </w:r>
          </w:p>
        </w:tc>
        <w:tc>
          <w:tcPr>
            <w:tcW w:w="1284" w:type="dxa"/>
            <w:tcBorders>
              <w:top w:val="nil"/>
              <w:left w:val="nil"/>
              <w:bottom w:val="nil"/>
              <w:right w:val="nil"/>
            </w:tcBorders>
            <w:shd w:val="clear" w:color="000000" w:fill="FFFFFF"/>
            <w:noWrap/>
            <w:vAlign w:val="center"/>
            <w:hideMark/>
          </w:tcPr>
          <w:p w14:paraId="15236994"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3.7%</w:t>
            </w:r>
          </w:p>
        </w:tc>
      </w:tr>
      <w:tr w:rsidR="00764626" w:rsidRPr="00764626" w14:paraId="333EE7F8"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397FDE6D"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2.0%</w:t>
            </w:r>
          </w:p>
        </w:tc>
        <w:tc>
          <w:tcPr>
            <w:tcW w:w="3875" w:type="dxa"/>
            <w:tcBorders>
              <w:top w:val="nil"/>
              <w:left w:val="nil"/>
              <w:bottom w:val="nil"/>
              <w:right w:val="nil"/>
            </w:tcBorders>
            <w:shd w:val="clear" w:color="000000" w:fill="FFFFFF"/>
            <w:noWrap/>
            <w:vAlign w:val="center"/>
            <w:hideMark/>
          </w:tcPr>
          <w:p w14:paraId="7984DD9A"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of increase in pensions</w:t>
            </w:r>
          </w:p>
        </w:tc>
        <w:tc>
          <w:tcPr>
            <w:tcW w:w="1284" w:type="dxa"/>
            <w:tcBorders>
              <w:top w:val="nil"/>
              <w:left w:val="nil"/>
              <w:bottom w:val="nil"/>
              <w:right w:val="nil"/>
            </w:tcBorders>
            <w:shd w:val="clear" w:color="000000" w:fill="FFFFFF"/>
            <w:noWrap/>
            <w:vAlign w:val="center"/>
            <w:hideMark/>
          </w:tcPr>
          <w:p w14:paraId="79364D42"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2.8%</w:t>
            </w:r>
          </w:p>
        </w:tc>
      </w:tr>
      <w:tr w:rsidR="00764626" w:rsidRPr="00764626" w14:paraId="0C29D8AB" w14:textId="77777777" w:rsidTr="007C4BA6">
        <w:trPr>
          <w:trHeight w:val="300"/>
          <w:jc w:val="center"/>
        </w:trPr>
        <w:tc>
          <w:tcPr>
            <w:tcW w:w="4201" w:type="dxa"/>
            <w:tcBorders>
              <w:top w:val="nil"/>
              <w:left w:val="nil"/>
              <w:bottom w:val="nil"/>
              <w:right w:val="nil"/>
            </w:tcBorders>
            <w:shd w:val="clear" w:color="000000" w:fill="FFFFFF"/>
            <w:noWrap/>
            <w:vAlign w:val="center"/>
            <w:hideMark/>
          </w:tcPr>
          <w:p w14:paraId="0F55ECD7"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2.3%</w:t>
            </w:r>
          </w:p>
        </w:tc>
        <w:tc>
          <w:tcPr>
            <w:tcW w:w="3875" w:type="dxa"/>
            <w:tcBorders>
              <w:top w:val="nil"/>
              <w:left w:val="nil"/>
              <w:bottom w:val="nil"/>
              <w:right w:val="nil"/>
            </w:tcBorders>
            <w:shd w:val="clear" w:color="000000" w:fill="FFFFFF"/>
            <w:noWrap/>
            <w:vAlign w:val="center"/>
            <w:hideMark/>
          </w:tcPr>
          <w:p w14:paraId="6E6B9C1D" w14:textId="77777777" w:rsidR="00764626" w:rsidRPr="00764626" w:rsidRDefault="00764626" w:rsidP="00764626">
            <w:pPr>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Rate for discounting scheme liabilities</w:t>
            </w:r>
          </w:p>
        </w:tc>
        <w:tc>
          <w:tcPr>
            <w:tcW w:w="1284" w:type="dxa"/>
            <w:tcBorders>
              <w:top w:val="nil"/>
              <w:left w:val="nil"/>
              <w:bottom w:val="nil"/>
              <w:right w:val="nil"/>
            </w:tcBorders>
            <w:shd w:val="clear" w:color="000000" w:fill="FFFFFF"/>
            <w:noWrap/>
            <w:vAlign w:val="center"/>
            <w:hideMark/>
          </w:tcPr>
          <w:p w14:paraId="31510497" w14:textId="77777777" w:rsidR="00764626" w:rsidRPr="00764626" w:rsidRDefault="00764626" w:rsidP="00764626">
            <w:pPr>
              <w:jc w:val="right"/>
              <w:rPr>
                <w:rFonts w:ascii="Verdana" w:eastAsia="Times New Roman" w:hAnsi="Verdana" w:cs="Times New Roman"/>
                <w:color w:val="000000"/>
                <w:sz w:val="16"/>
                <w:szCs w:val="16"/>
                <w:lang w:val="en-GB" w:eastAsia="en-GB"/>
              </w:rPr>
            </w:pPr>
            <w:r w:rsidRPr="00764626">
              <w:rPr>
                <w:rFonts w:ascii="Verdana" w:eastAsia="Times New Roman" w:hAnsi="Verdana" w:cs="Times New Roman"/>
                <w:color w:val="000000"/>
                <w:sz w:val="16"/>
                <w:szCs w:val="16"/>
                <w:lang w:val="en-GB" w:eastAsia="en-GB"/>
              </w:rPr>
              <w:t>2.1%</w:t>
            </w:r>
          </w:p>
        </w:tc>
      </w:tr>
    </w:tbl>
    <w:p w14:paraId="7D66745E" w14:textId="77777777" w:rsidR="00764626" w:rsidRDefault="00764626">
      <w:pPr>
        <w:pStyle w:val="T1TableStyle"/>
        <w:rPr>
          <w:rFonts w:ascii="Verdana" w:hAnsi="Verdana"/>
          <w:b/>
          <w:sz w:val="16"/>
          <w:szCs w:val="16"/>
          <w:highlight w:val="yellow"/>
          <w:lang w:val="en-GB"/>
        </w:rPr>
      </w:pPr>
    </w:p>
    <w:p w14:paraId="5E8B3D32" w14:textId="77777777" w:rsidR="00764626" w:rsidRDefault="00764626">
      <w:pPr>
        <w:pStyle w:val="T1TableStyle"/>
        <w:rPr>
          <w:rFonts w:ascii="Verdana" w:hAnsi="Verdana"/>
          <w:b/>
          <w:sz w:val="16"/>
          <w:szCs w:val="16"/>
          <w:highlight w:val="yellow"/>
          <w:lang w:val="en-GB"/>
        </w:rPr>
      </w:pPr>
    </w:p>
    <w:p w14:paraId="1EB79B88" w14:textId="77777777" w:rsidR="00764626" w:rsidRDefault="00764626">
      <w:pPr>
        <w:pStyle w:val="T1TableStyle"/>
        <w:rPr>
          <w:rFonts w:ascii="Verdana" w:hAnsi="Verdana"/>
          <w:b/>
          <w:sz w:val="16"/>
          <w:szCs w:val="16"/>
          <w:highlight w:val="yellow"/>
          <w:lang w:val="en-GB"/>
        </w:rPr>
      </w:pPr>
    </w:p>
    <w:p w14:paraId="775D60B0" w14:textId="77777777" w:rsidR="00764626" w:rsidRDefault="00764626">
      <w:pPr>
        <w:pStyle w:val="T1TableStyle"/>
        <w:rPr>
          <w:rFonts w:ascii="Verdana" w:hAnsi="Verdana"/>
          <w:b/>
          <w:sz w:val="16"/>
          <w:szCs w:val="16"/>
          <w:highlight w:val="yellow"/>
          <w:lang w:val="en-GB"/>
        </w:rPr>
      </w:pPr>
    </w:p>
    <w:p w14:paraId="5453252A" w14:textId="77777777" w:rsidR="00764626" w:rsidRDefault="00764626">
      <w:pPr>
        <w:pStyle w:val="T1TableStyle"/>
        <w:rPr>
          <w:rFonts w:ascii="Verdana" w:hAnsi="Verdana"/>
          <w:b/>
          <w:sz w:val="16"/>
          <w:szCs w:val="16"/>
          <w:highlight w:val="yellow"/>
          <w:lang w:val="en-GB"/>
        </w:rPr>
      </w:pPr>
    </w:p>
    <w:p w14:paraId="14C5A563" w14:textId="77777777" w:rsidR="00764626" w:rsidRPr="00DC1077" w:rsidRDefault="00764626">
      <w:pPr>
        <w:pStyle w:val="T1TableStyle"/>
        <w:rPr>
          <w:rFonts w:ascii="Verdana" w:hAnsi="Verdana"/>
          <w:b/>
          <w:sz w:val="16"/>
          <w:szCs w:val="16"/>
          <w:highlight w:val="yellow"/>
          <w:lang w:val="en-GB"/>
        </w:rPr>
      </w:pPr>
    </w:p>
    <w:p w14:paraId="2F639431" w14:textId="77777777" w:rsidR="000672D5" w:rsidRDefault="000672D5">
      <w:pPr>
        <w:pStyle w:val="T1TableStyle"/>
        <w:rPr>
          <w:rFonts w:ascii="Verdana" w:hAnsi="Verdana"/>
          <w:highlight w:val="yellow"/>
          <w:lang w:val="en-GB"/>
        </w:rPr>
      </w:pPr>
    </w:p>
    <w:p w14:paraId="38CF8EF1" w14:textId="77777777" w:rsidR="00CD5AAA" w:rsidRDefault="00CD5AAA">
      <w:pPr>
        <w:pStyle w:val="T1TableStyle"/>
        <w:rPr>
          <w:rFonts w:ascii="Verdana" w:hAnsi="Verdana"/>
          <w:highlight w:val="yellow"/>
          <w:lang w:val="en-GB"/>
        </w:rPr>
      </w:pPr>
    </w:p>
    <w:tbl>
      <w:tblPr>
        <w:tblW w:w="10351" w:type="dxa"/>
        <w:jc w:val="center"/>
        <w:tblLook w:val="04A0" w:firstRow="1" w:lastRow="0" w:firstColumn="1" w:lastColumn="0" w:noHBand="0" w:noVBand="1"/>
      </w:tblPr>
      <w:tblGrid>
        <w:gridCol w:w="1303"/>
        <w:gridCol w:w="1561"/>
        <w:gridCol w:w="4256"/>
        <w:gridCol w:w="1615"/>
        <w:gridCol w:w="1616"/>
      </w:tblGrid>
      <w:tr w:rsidR="00CD5AAA" w:rsidRPr="00CD5AAA" w14:paraId="77EAA18C" w14:textId="77777777" w:rsidTr="007C4BA6">
        <w:trPr>
          <w:trHeight w:val="234"/>
          <w:jc w:val="center"/>
        </w:trPr>
        <w:tc>
          <w:tcPr>
            <w:tcW w:w="10351" w:type="dxa"/>
            <w:gridSpan w:val="5"/>
            <w:tcBorders>
              <w:top w:val="nil"/>
              <w:left w:val="nil"/>
              <w:bottom w:val="nil"/>
              <w:right w:val="nil"/>
            </w:tcBorders>
            <w:shd w:val="clear" w:color="000000" w:fill="FFFFFF"/>
            <w:noWrap/>
            <w:vAlign w:val="center"/>
            <w:hideMark/>
          </w:tcPr>
          <w:p w14:paraId="65E72FEF" w14:textId="77777777" w:rsidR="00CD5AAA" w:rsidRPr="00CD5AAA" w:rsidRDefault="00CD5AAA" w:rsidP="007C4BA6">
            <w:pP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Impact of assumptions on the LGPS obligation:</w:t>
            </w:r>
          </w:p>
          <w:p w14:paraId="7126C89A" w14:textId="77777777" w:rsidR="00CD5AAA" w:rsidRPr="00CD5AAA" w:rsidRDefault="00CD5AAA" w:rsidP="007C4BA6">
            <w:pPr>
              <w:rPr>
                <w:rFonts w:ascii="Verdana" w:eastAsia="Times New Roman" w:hAnsi="Verdana" w:cs="Times New Roman"/>
                <w:b/>
                <w:bCs/>
                <w:color w:val="000000"/>
                <w:sz w:val="16"/>
                <w:szCs w:val="16"/>
                <w:lang w:val="en-GB" w:eastAsia="en-GB"/>
              </w:rPr>
            </w:pPr>
          </w:p>
        </w:tc>
      </w:tr>
      <w:tr w:rsidR="00CD5AAA" w:rsidRPr="00CD5AAA" w14:paraId="6CC96296" w14:textId="77777777" w:rsidTr="007C4BA6">
        <w:trPr>
          <w:trHeight w:val="234"/>
          <w:jc w:val="center"/>
        </w:trPr>
        <w:tc>
          <w:tcPr>
            <w:tcW w:w="1303" w:type="dxa"/>
            <w:tcBorders>
              <w:top w:val="nil"/>
              <w:left w:val="nil"/>
              <w:bottom w:val="nil"/>
              <w:right w:val="nil"/>
            </w:tcBorders>
            <w:shd w:val="clear" w:color="000000" w:fill="FFFFFF"/>
            <w:noWrap/>
            <w:vAlign w:val="center"/>
            <w:hideMark/>
          </w:tcPr>
          <w:p w14:paraId="7F445D62"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2019/20</w:t>
            </w:r>
          </w:p>
        </w:tc>
        <w:tc>
          <w:tcPr>
            <w:tcW w:w="1561" w:type="dxa"/>
            <w:tcBorders>
              <w:top w:val="nil"/>
              <w:left w:val="nil"/>
              <w:bottom w:val="nil"/>
              <w:right w:val="nil"/>
            </w:tcBorders>
            <w:shd w:val="clear" w:color="000000" w:fill="FFFFFF"/>
            <w:noWrap/>
            <w:vAlign w:val="center"/>
            <w:hideMark/>
          </w:tcPr>
          <w:p w14:paraId="7CBF7D99"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2019/20</w:t>
            </w:r>
          </w:p>
        </w:tc>
        <w:tc>
          <w:tcPr>
            <w:tcW w:w="4256" w:type="dxa"/>
            <w:tcBorders>
              <w:top w:val="nil"/>
              <w:left w:val="nil"/>
              <w:bottom w:val="nil"/>
              <w:right w:val="nil"/>
            </w:tcBorders>
            <w:shd w:val="clear" w:color="000000" w:fill="FFFFFF"/>
            <w:noWrap/>
            <w:vAlign w:val="center"/>
            <w:hideMark/>
          </w:tcPr>
          <w:p w14:paraId="5942404E"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 </w:t>
            </w:r>
          </w:p>
        </w:tc>
        <w:tc>
          <w:tcPr>
            <w:tcW w:w="1615" w:type="dxa"/>
            <w:tcBorders>
              <w:top w:val="nil"/>
              <w:left w:val="nil"/>
              <w:bottom w:val="nil"/>
              <w:right w:val="nil"/>
            </w:tcBorders>
            <w:shd w:val="clear" w:color="000000" w:fill="FFFFFF"/>
            <w:noWrap/>
            <w:vAlign w:val="center"/>
            <w:hideMark/>
          </w:tcPr>
          <w:p w14:paraId="5DA9D590"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2020/21</w:t>
            </w:r>
          </w:p>
        </w:tc>
        <w:tc>
          <w:tcPr>
            <w:tcW w:w="1615" w:type="dxa"/>
            <w:tcBorders>
              <w:top w:val="nil"/>
              <w:left w:val="nil"/>
              <w:bottom w:val="nil"/>
              <w:right w:val="nil"/>
            </w:tcBorders>
            <w:shd w:val="clear" w:color="000000" w:fill="FFFFFF"/>
            <w:noWrap/>
            <w:vAlign w:val="center"/>
            <w:hideMark/>
          </w:tcPr>
          <w:p w14:paraId="5772DE5C"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2020/21</w:t>
            </w:r>
          </w:p>
        </w:tc>
      </w:tr>
      <w:tr w:rsidR="00CD5AAA" w:rsidRPr="00CD5AAA" w14:paraId="28C327C7" w14:textId="77777777" w:rsidTr="007C4BA6">
        <w:trPr>
          <w:trHeight w:val="328"/>
          <w:jc w:val="center"/>
        </w:trPr>
        <w:tc>
          <w:tcPr>
            <w:tcW w:w="1303" w:type="dxa"/>
            <w:tcBorders>
              <w:top w:val="nil"/>
              <w:left w:val="nil"/>
              <w:bottom w:val="nil"/>
              <w:right w:val="nil"/>
            </w:tcBorders>
            <w:shd w:val="clear" w:color="000000" w:fill="FFFFFF"/>
            <w:vAlign w:val="center"/>
            <w:hideMark/>
          </w:tcPr>
          <w:p w14:paraId="04D7F54E"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Increase by 0.5%</w:t>
            </w:r>
          </w:p>
        </w:tc>
        <w:tc>
          <w:tcPr>
            <w:tcW w:w="1561" w:type="dxa"/>
            <w:tcBorders>
              <w:top w:val="nil"/>
              <w:left w:val="nil"/>
              <w:bottom w:val="nil"/>
              <w:right w:val="nil"/>
            </w:tcBorders>
            <w:shd w:val="clear" w:color="000000" w:fill="FFFFFF"/>
            <w:vAlign w:val="center"/>
            <w:hideMark/>
          </w:tcPr>
          <w:p w14:paraId="6BEA5885"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xml:space="preserve">Increase </w:t>
            </w:r>
            <w:r w:rsidRPr="00CD5AAA">
              <w:rPr>
                <w:rFonts w:ascii="Verdana" w:eastAsia="Times New Roman" w:hAnsi="Verdana" w:cs="Times New Roman"/>
                <w:b/>
                <w:bCs/>
                <w:color w:val="000000"/>
                <w:sz w:val="16"/>
                <w:szCs w:val="16"/>
                <w:lang w:val="en-GB" w:eastAsia="en-GB"/>
              </w:rPr>
              <w:br/>
              <w:t>by 0.5%</w:t>
            </w:r>
          </w:p>
        </w:tc>
        <w:tc>
          <w:tcPr>
            <w:tcW w:w="4256" w:type="dxa"/>
            <w:tcBorders>
              <w:top w:val="nil"/>
              <w:left w:val="nil"/>
              <w:bottom w:val="nil"/>
              <w:right w:val="nil"/>
            </w:tcBorders>
            <w:shd w:val="clear" w:color="000000" w:fill="FFFFFF"/>
            <w:noWrap/>
            <w:vAlign w:val="center"/>
            <w:hideMark/>
          </w:tcPr>
          <w:p w14:paraId="1852E672"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LGPS</w:t>
            </w:r>
          </w:p>
        </w:tc>
        <w:tc>
          <w:tcPr>
            <w:tcW w:w="1615" w:type="dxa"/>
            <w:tcBorders>
              <w:top w:val="nil"/>
              <w:left w:val="nil"/>
              <w:bottom w:val="nil"/>
              <w:right w:val="nil"/>
            </w:tcBorders>
            <w:shd w:val="clear" w:color="000000" w:fill="FFFFFF"/>
            <w:vAlign w:val="center"/>
            <w:hideMark/>
          </w:tcPr>
          <w:p w14:paraId="3F5F6E45"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xml:space="preserve">Increase </w:t>
            </w:r>
            <w:r w:rsidRPr="00CD5AAA">
              <w:rPr>
                <w:rFonts w:ascii="Verdana" w:eastAsia="Times New Roman" w:hAnsi="Verdana" w:cs="Times New Roman"/>
                <w:b/>
                <w:bCs/>
                <w:color w:val="000000"/>
                <w:sz w:val="16"/>
                <w:szCs w:val="16"/>
                <w:lang w:val="en-GB" w:eastAsia="en-GB"/>
              </w:rPr>
              <w:br/>
              <w:t>by 0.5%</w:t>
            </w:r>
          </w:p>
        </w:tc>
        <w:tc>
          <w:tcPr>
            <w:tcW w:w="1615" w:type="dxa"/>
            <w:tcBorders>
              <w:top w:val="nil"/>
              <w:left w:val="nil"/>
              <w:bottom w:val="nil"/>
              <w:right w:val="nil"/>
            </w:tcBorders>
            <w:shd w:val="clear" w:color="000000" w:fill="FFFFFF"/>
            <w:vAlign w:val="center"/>
            <w:hideMark/>
          </w:tcPr>
          <w:p w14:paraId="4B161226" w14:textId="77777777" w:rsidR="00CD5AAA" w:rsidRPr="00CD5AAA" w:rsidRDefault="00CD5AAA" w:rsidP="007C4BA6">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xml:space="preserve">Increase </w:t>
            </w:r>
            <w:r w:rsidRPr="00CD5AAA">
              <w:rPr>
                <w:rFonts w:ascii="Verdana" w:eastAsia="Times New Roman" w:hAnsi="Verdana" w:cs="Times New Roman"/>
                <w:b/>
                <w:bCs/>
                <w:color w:val="000000"/>
                <w:sz w:val="16"/>
                <w:szCs w:val="16"/>
                <w:lang w:val="en-GB" w:eastAsia="en-GB"/>
              </w:rPr>
              <w:br/>
              <w:t>by 0.5%</w:t>
            </w:r>
          </w:p>
        </w:tc>
      </w:tr>
      <w:tr w:rsidR="00CD5AAA" w:rsidRPr="00CD5AAA" w14:paraId="1959AE85" w14:textId="77777777" w:rsidTr="007C4BA6">
        <w:trPr>
          <w:trHeight w:val="480"/>
          <w:jc w:val="center"/>
        </w:trPr>
        <w:tc>
          <w:tcPr>
            <w:tcW w:w="1303" w:type="dxa"/>
            <w:tcBorders>
              <w:top w:val="nil"/>
              <w:left w:val="nil"/>
              <w:bottom w:val="single" w:sz="4" w:space="0" w:color="auto"/>
              <w:right w:val="nil"/>
            </w:tcBorders>
            <w:shd w:val="clear" w:color="000000" w:fill="FFFFFF"/>
            <w:vAlign w:val="center"/>
            <w:hideMark/>
          </w:tcPr>
          <w:p w14:paraId="61D9CD51" w14:textId="77777777" w:rsidR="00CD5AAA" w:rsidRPr="00CD5AAA" w:rsidRDefault="00CD5AAA" w:rsidP="007C4BA6">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PCC</w:t>
            </w:r>
            <w:r w:rsidRPr="00CD5AAA">
              <w:rPr>
                <w:rFonts w:ascii="Verdana" w:eastAsia="Times New Roman" w:hAnsi="Verdana" w:cs="Times New Roman"/>
                <w:b/>
                <w:bCs/>
                <w:color w:val="000000"/>
                <w:sz w:val="16"/>
                <w:szCs w:val="16"/>
                <w:lang w:val="en-GB" w:eastAsia="en-GB"/>
              </w:rPr>
              <w:br/>
              <w:t>£000</w:t>
            </w:r>
          </w:p>
        </w:tc>
        <w:tc>
          <w:tcPr>
            <w:tcW w:w="1561" w:type="dxa"/>
            <w:tcBorders>
              <w:top w:val="nil"/>
              <w:left w:val="nil"/>
              <w:bottom w:val="single" w:sz="4" w:space="0" w:color="auto"/>
              <w:right w:val="nil"/>
            </w:tcBorders>
            <w:shd w:val="clear" w:color="000000" w:fill="FFFFFF"/>
            <w:vAlign w:val="center"/>
            <w:hideMark/>
          </w:tcPr>
          <w:p w14:paraId="7BA675F6" w14:textId="77777777" w:rsidR="00CD5AAA" w:rsidRPr="00CD5AAA" w:rsidRDefault="00CD5AAA" w:rsidP="007C4BA6">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CC</w:t>
            </w:r>
            <w:r w:rsidRPr="00CD5AAA">
              <w:rPr>
                <w:rFonts w:ascii="Verdana" w:eastAsia="Times New Roman" w:hAnsi="Verdana" w:cs="Times New Roman"/>
                <w:b/>
                <w:bCs/>
                <w:color w:val="000000"/>
                <w:sz w:val="16"/>
                <w:szCs w:val="16"/>
                <w:lang w:val="en-GB" w:eastAsia="en-GB"/>
              </w:rPr>
              <w:br/>
              <w:t>£000</w:t>
            </w:r>
          </w:p>
        </w:tc>
        <w:tc>
          <w:tcPr>
            <w:tcW w:w="4256" w:type="dxa"/>
            <w:tcBorders>
              <w:top w:val="nil"/>
              <w:left w:val="nil"/>
              <w:bottom w:val="single" w:sz="4" w:space="0" w:color="auto"/>
              <w:right w:val="nil"/>
            </w:tcBorders>
            <w:shd w:val="clear" w:color="000000" w:fill="FFFFFF"/>
            <w:noWrap/>
            <w:vAlign w:val="center"/>
            <w:hideMark/>
          </w:tcPr>
          <w:p w14:paraId="3C0860E5" w14:textId="77777777" w:rsidR="00CD5AAA" w:rsidRPr="00CD5AAA" w:rsidRDefault="00CD5AAA" w:rsidP="007C4BA6">
            <w:pP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w:t>
            </w:r>
          </w:p>
        </w:tc>
        <w:tc>
          <w:tcPr>
            <w:tcW w:w="1615" w:type="dxa"/>
            <w:tcBorders>
              <w:top w:val="nil"/>
              <w:left w:val="nil"/>
              <w:bottom w:val="single" w:sz="4" w:space="0" w:color="auto"/>
              <w:right w:val="nil"/>
            </w:tcBorders>
            <w:shd w:val="clear" w:color="000000" w:fill="FFFFFF"/>
            <w:vAlign w:val="center"/>
            <w:hideMark/>
          </w:tcPr>
          <w:p w14:paraId="2879F4DA" w14:textId="77777777" w:rsidR="00CD5AAA" w:rsidRPr="00CD5AAA" w:rsidRDefault="00CD5AAA" w:rsidP="007C4BA6">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PCC</w:t>
            </w:r>
            <w:r w:rsidRPr="00CD5AAA">
              <w:rPr>
                <w:rFonts w:ascii="Verdana" w:eastAsia="Times New Roman" w:hAnsi="Verdana" w:cs="Times New Roman"/>
                <w:b/>
                <w:bCs/>
                <w:color w:val="000000"/>
                <w:sz w:val="16"/>
                <w:szCs w:val="16"/>
                <w:lang w:val="en-GB" w:eastAsia="en-GB"/>
              </w:rPr>
              <w:br/>
              <w:t>£000</w:t>
            </w:r>
          </w:p>
        </w:tc>
        <w:tc>
          <w:tcPr>
            <w:tcW w:w="1615" w:type="dxa"/>
            <w:tcBorders>
              <w:top w:val="nil"/>
              <w:left w:val="nil"/>
              <w:bottom w:val="single" w:sz="4" w:space="0" w:color="auto"/>
              <w:right w:val="nil"/>
            </w:tcBorders>
            <w:shd w:val="clear" w:color="000000" w:fill="FFFFFF"/>
            <w:vAlign w:val="center"/>
            <w:hideMark/>
          </w:tcPr>
          <w:p w14:paraId="69B329DB" w14:textId="77777777" w:rsidR="00CD5AAA" w:rsidRPr="00CD5AAA" w:rsidRDefault="00CD5AAA" w:rsidP="007C4BA6">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CC</w:t>
            </w:r>
            <w:r w:rsidRPr="00CD5AAA">
              <w:rPr>
                <w:rFonts w:ascii="Verdana" w:eastAsia="Times New Roman" w:hAnsi="Verdana" w:cs="Times New Roman"/>
                <w:b/>
                <w:bCs/>
                <w:color w:val="000000"/>
                <w:sz w:val="16"/>
                <w:szCs w:val="16"/>
                <w:lang w:val="en-GB" w:eastAsia="en-GB"/>
              </w:rPr>
              <w:br/>
              <w:t>£000</w:t>
            </w:r>
          </w:p>
        </w:tc>
      </w:tr>
      <w:tr w:rsidR="00CD5AAA" w:rsidRPr="00CD5AAA" w14:paraId="7E78C04B" w14:textId="77777777" w:rsidTr="007C4BA6">
        <w:trPr>
          <w:trHeight w:val="70"/>
          <w:jc w:val="center"/>
        </w:trPr>
        <w:tc>
          <w:tcPr>
            <w:tcW w:w="1303" w:type="dxa"/>
            <w:tcBorders>
              <w:top w:val="nil"/>
              <w:left w:val="nil"/>
              <w:bottom w:val="nil"/>
              <w:right w:val="nil"/>
            </w:tcBorders>
            <w:shd w:val="clear" w:color="000000" w:fill="FFFFFF"/>
            <w:noWrap/>
            <w:vAlign w:val="center"/>
            <w:hideMark/>
          </w:tcPr>
          <w:p w14:paraId="2088F6BD"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 </w:t>
            </w:r>
          </w:p>
        </w:tc>
        <w:tc>
          <w:tcPr>
            <w:tcW w:w="1561" w:type="dxa"/>
            <w:tcBorders>
              <w:top w:val="nil"/>
              <w:left w:val="nil"/>
              <w:bottom w:val="nil"/>
              <w:right w:val="nil"/>
            </w:tcBorders>
            <w:shd w:val="clear" w:color="000000" w:fill="FFFFFF"/>
            <w:noWrap/>
            <w:vAlign w:val="center"/>
            <w:hideMark/>
          </w:tcPr>
          <w:p w14:paraId="416E8302"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 </w:t>
            </w:r>
          </w:p>
        </w:tc>
        <w:tc>
          <w:tcPr>
            <w:tcW w:w="4256" w:type="dxa"/>
            <w:tcBorders>
              <w:top w:val="nil"/>
              <w:left w:val="nil"/>
              <w:bottom w:val="nil"/>
              <w:right w:val="nil"/>
            </w:tcBorders>
            <w:shd w:val="clear" w:color="000000" w:fill="FFFFFF"/>
            <w:noWrap/>
            <w:vAlign w:val="center"/>
            <w:hideMark/>
          </w:tcPr>
          <w:p w14:paraId="47A4AF1B"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 </w:t>
            </w:r>
          </w:p>
        </w:tc>
        <w:tc>
          <w:tcPr>
            <w:tcW w:w="1615" w:type="dxa"/>
            <w:tcBorders>
              <w:top w:val="nil"/>
              <w:left w:val="nil"/>
              <w:bottom w:val="nil"/>
              <w:right w:val="nil"/>
            </w:tcBorders>
            <w:shd w:val="clear" w:color="000000" w:fill="FFFFFF"/>
            <w:noWrap/>
            <w:vAlign w:val="center"/>
            <w:hideMark/>
          </w:tcPr>
          <w:p w14:paraId="13DE6E4F"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 </w:t>
            </w:r>
          </w:p>
        </w:tc>
        <w:tc>
          <w:tcPr>
            <w:tcW w:w="1615" w:type="dxa"/>
            <w:tcBorders>
              <w:top w:val="nil"/>
              <w:left w:val="nil"/>
              <w:bottom w:val="nil"/>
              <w:right w:val="nil"/>
            </w:tcBorders>
            <w:shd w:val="clear" w:color="000000" w:fill="FFFFFF"/>
            <w:noWrap/>
            <w:vAlign w:val="center"/>
            <w:hideMark/>
          </w:tcPr>
          <w:p w14:paraId="573A9BD3"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 </w:t>
            </w:r>
          </w:p>
        </w:tc>
      </w:tr>
      <w:tr w:rsidR="00CD5AAA" w:rsidRPr="00CD5AAA" w14:paraId="1CF0D3AA" w14:textId="77777777" w:rsidTr="007C4BA6">
        <w:trPr>
          <w:trHeight w:val="234"/>
          <w:jc w:val="center"/>
        </w:trPr>
        <w:tc>
          <w:tcPr>
            <w:tcW w:w="1303" w:type="dxa"/>
            <w:tcBorders>
              <w:top w:val="nil"/>
              <w:left w:val="nil"/>
              <w:bottom w:val="nil"/>
              <w:right w:val="nil"/>
            </w:tcBorders>
            <w:shd w:val="clear" w:color="auto" w:fill="auto"/>
            <w:noWrap/>
            <w:vAlign w:val="center"/>
            <w:hideMark/>
          </w:tcPr>
          <w:p w14:paraId="79760ADB"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106</w:t>
            </w:r>
          </w:p>
        </w:tc>
        <w:tc>
          <w:tcPr>
            <w:tcW w:w="1561" w:type="dxa"/>
            <w:tcBorders>
              <w:top w:val="nil"/>
              <w:left w:val="nil"/>
              <w:bottom w:val="nil"/>
              <w:right w:val="nil"/>
            </w:tcBorders>
            <w:shd w:val="clear" w:color="auto" w:fill="auto"/>
            <w:noWrap/>
            <w:vAlign w:val="center"/>
            <w:hideMark/>
          </w:tcPr>
          <w:p w14:paraId="408B7F73"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4,976</w:t>
            </w:r>
          </w:p>
        </w:tc>
        <w:tc>
          <w:tcPr>
            <w:tcW w:w="4256" w:type="dxa"/>
            <w:tcBorders>
              <w:top w:val="nil"/>
              <w:left w:val="nil"/>
              <w:bottom w:val="nil"/>
              <w:right w:val="nil"/>
            </w:tcBorders>
            <w:shd w:val="clear" w:color="000000" w:fill="FFFFFF"/>
            <w:noWrap/>
            <w:vAlign w:val="center"/>
            <w:hideMark/>
          </w:tcPr>
          <w:p w14:paraId="42A53D69"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Rate of increase in salaries</w:t>
            </w:r>
          </w:p>
        </w:tc>
        <w:tc>
          <w:tcPr>
            <w:tcW w:w="1615" w:type="dxa"/>
            <w:tcBorders>
              <w:top w:val="nil"/>
              <w:left w:val="nil"/>
              <w:bottom w:val="nil"/>
              <w:right w:val="nil"/>
            </w:tcBorders>
            <w:shd w:val="clear" w:color="auto" w:fill="auto"/>
            <w:noWrap/>
            <w:vAlign w:val="center"/>
            <w:hideMark/>
          </w:tcPr>
          <w:p w14:paraId="5831CECB"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143</w:t>
            </w:r>
          </w:p>
        </w:tc>
        <w:tc>
          <w:tcPr>
            <w:tcW w:w="1615" w:type="dxa"/>
            <w:tcBorders>
              <w:top w:val="nil"/>
              <w:left w:val="nil"/>
              <w:bottom w:val="nil"/>
              <w:right w:val="nil"/>
            </w:tcBorders>
            <w:shd w:val="clear" w:color="auto" w:fill="auto"/>
            <w:noWrap/>
            <w:vAlign w:val="center"/>
            <w:hideMark/>
          </w:tcPr>
          <w:p w14:paraId="09D71FEF"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6,759</w:t>
            </w:r>
          </w:p>
        </w:tc>
      </w:tr>
      <w:tr w:rsidR="00CD5AAA" w:rsidRPr="00CD5AAA" w14:paraId="5CA5FF41" w14:textId="77777777" w:rsidTr="007C4BA6">
        <w:trPr>
          <w:trHeight w:val="234"/>
          <w:jc w:val="center"/>
        </w:trPr>
        <w:tc>
          <w:tcPr>
            <w:tcW w:w="1303" w:type="dxa"/>
            <w:tcBorders>
              <w:top w:val="nil"/>
              <w:left w:val="nil"/>
              <w:bottom w:val="nil"/>
              <w:right w:val="nil"/>
            </w:tcBorders>
            <w:shd w:val="clear" w:color="auto" w:fill="auto"/>
            <w:noWrap/>
            <w:vAlign w:val="center"/>
            <w:hideMark/>
          </w:tcPr>
          <w:p w14:paraId="5DF4F14E"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424</w:t>
            </w:r>
          </w:p>
        </w:tc>
        <w:tc>
          <w:tcPr>
            <w:tcW w:w="1561" w:type="dxa"/>
            <w:tcBorders>
              <w:top w:val="nil"/>
              <w:left w:val="nil"/>
              <w:bottom w:val="nil"/>
              <w:right w:val="nil"/>
            </w:tcBorders>
            <w:shd w:val="clear" w:color="auto" w:fill="auto"/>
            <w:noWrap/>
            <w:vAlign w:val="center"/>
            <w:hideMark/>
          </w:tcPr>
          <w:p w14:paraId="18DA214B"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44,545</w:t>
            </w:r>
          </w:p>
        </w:tc>
        <w:tc>
          <w:tcPr>
            <w:tcW w:w="4256" w:type="dxa"/>
            <w:tcBorders>
              <w:top w:val="nil"/>
              <w:left w:val="nil"/>
              <w:bottom w:val="nil"/>
              <w:right w:val="nil"/>
            </w:tcBorders>
            <w:shd w:val="clear" w:color="000000" w:fill="FFFFFF"/>
            <w:noWrap/>
            <w:vAlign w:val="center"/>
            <w:hideMark/>
          </w:tcPr>
          <w:p w14:paraId="033BF991"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Rate of increase in pensions</w:t>
            </w:r>
          </w:p>
        </w:tc>
        <w:tc>
          <w:tcPr>
            <w:tcW w:w="1615" w:type="dxa"/>
            <w:tcBorders>
              <w:top w:val="nil"/>
              <w:left w:val="nil"/>
              <w:bottom w:val="nil"/>
              <w:right w:val="nil"/>
            </w:tcBorders>
            <w:shd w:val="clear" w:color="auto" w:fill="auto"/>
            <w:noWrap/>
            <w:vAlign w:val="center"/>
            <w:hideMark/>
          </w:tcPr>
          <w:p w14:paraId="2EE1CF72"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633</w:t>
            </w:r>
          </w:p>
        </w:tc>
        <w:tc>
          <w:tcPr>
            <w:tcW w:w="1615" w:type="dxa"/>
            <w:tcBorders>
              <w:top w:val="nil"/>
              <w:left w:val="nil"/>
              <w:bottom w:val="nil"/>
              <w:right w:val="nil"/>
            </w:tcBorders>
            <w:shd w:val="clear" w:color="auto" w:fill="auto"/>
            <w:noWrap/>
            <w:vAlign w:val="center"/>
            <w:hideMark/>
          </w:tcPr>
          <w:p w14:paraId="27E022DB"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65,948</w:t>
            </w:r>
          </w:p>
        </w:tc>
      </w:tr>
      <w:tr w:rsidR="00CD5AAA" w:rsidRPr="00CD5AAA" w14:paraId="45C4E28A" w14:textId="77777777" w:rsidTr="007C4BA6">
        <w:trPr>
          <w:trHeight w:val="234"/>
          <w:jc w:val="center"/>
        </w:trPr>
        <w:tc>
          <w:tcPr>
            <w:tcW w:w="1303" w:type="dxa"/>
            <w:tcBorders>
              <w:top w:val="nil"/>
              <w:left w:val="nil"/>
              <w:bottom w:val="nil"/>
              <w:right w:val="nil"/>
            </w:tcBorders>
            <w:shd w:val="clear" w:color="auto" w:fill="auto"/>
            <w:noWrap/>
            <w:vAlign w:val="center"/>
            <w:hideMark/>
          </w:tcPr>
          <w:p w14:paraId="673E3654"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(538)</w:t>
            </w:r>
          </w:p>
        </w:tc>
        <w:tc>
          <w:tcPr>
            <w:tcW w:w="1561" w:type="dxa"/>
            <w:tcBorders>
              <w:top w:val="nil"/>
              <w:left w:val="nil"/>
              <w:bottom w:val="nil"/>
              <w:right w:val="nil"/>
            </w:tcBorders>
            <w:shd w:val="clear" w:color="auto" w:fill="auto"/>
            <w:noWrap/>
            <w:vAlign w:val="center"/>
            <w:hideMark/>
          </w:tcPr>
          <w:p w14:paraId="58B72CED"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(49,907)</w:t>
            </w:r>
          </w:p>
        </w:tc>
        <w:tc>
          <w:tcPr>
            <w:tcW w:w="4256" w:type="dxa"/>
            <w:tcBorders>
              <w:top w:val="nil"/>
              <w:left w:val="nil"/>
              <w:bottom w:val="nil"/>
              <w:right w:val="nil"/>
            </w:tcBorders>
            <w:shd w:val="clear" w:color="000000" w:fill="FFFFFF"/>
            <w:noWrap/>
            <w:vAlign w:val="center"/>
            <w:hideMark/>
          </w:tcPr>
          <w:p w14:paraId="064355F8" w14:textId="77777777" w:rsidR="00CD5AAA" w:rsidRPr="00CD5AAA" w:rsidRDefault="00CD5AAA" w:rsidP="007C4BA6">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Rate for discounting scheme liabilities</w:t>
            </w:r>
          </w:p>
        </w:tc>
        <w:tc>
          <w:tcPr>
            <w:tcW w:w="1615" w:type="dxa"/>
            <w:tcBorders>
              <w:top w:val="nil"/>
              <w:left w:val="nil"/>
              <w:bottom w:val="nil"/>
              <w:right w:val="nil"/>
            </w:tcBorders>
            <w:shd w:val="clear" w:color="auto" w:fill="auto"/>
            <w:noWrap/>
            <w:vAlign w:val="center"/>
            <w:hideMark/>
          </w:tcPr>
          <w:p w14:paraId="6045C4B6"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(797)</w:t>
            </w:r>
          </w:p>
        </w:tc>
        <w:tc>
          <w:tcPr>
            <w:tcW w:w="1615" w:type="dxa"/>
            <w:tcBorders>
              <w:top w:val="nil"/>
              <w:left w:val="nil"/>
              <w:bottom w:val="nil"/>
              <w:right w:val="nil"/>
            </w:tcBorders>
            <w:shd w:val="clear" w:color="auto" w:fill="auto"/>
            <w:noWrap/>
            <w:vAlign w:val="center"/>
            <w:hideMark/>
          </w:tcPr>
          <w:p w14:paraId="6F986E1B" w14:textId="77777777" w:rsidR="00CD5AAA" w:rsidRPr="00CD5AAA" w:rsidRDefault="00CD5AAA" w:rsidP="007C4BA6">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(74,176)</w:t>
            </w:r>
          </w:p>
        </w:tc>
      </w:tr>
    </w:tbl>
    <w:p w14:paraId="0DAB7A70" w14:textId="77777777" w:rsidR="00CD5AAA" w:rsidRDefault="00CD5AAA">
      <w:pPr>
        <w:pStyle w:val="T1TableStyle"/>
        <w:rPr>
          <w:rFonts w:ascii="Verdana" w:hAnsi="Verdana"/>
          <w:highlight w:val="yellow"/>
          <w:lang w:val="en-GB"/>
        </w:rPr>
      </w:pPr>
    </w:p>
    <w:p w14:paraId="0684C7B9" w14:textId="77777777" w:rsidR="00CD5AAA" w:rsidRDefault="00CD5AAA">
      <w:pPr>
        <w:pStyle w:val="T1TableStyle"/>
        <w:rPr>
          <w:rFonts w:ascii="Verdana" w:hAnsi="Verdana"/>
          <w:highlight w:val="yellow"/>
          <w:lang w:val="en-GB"/>
        </w:rPr>
      </w:pPr>
    </w:p>
    <w:tbl>
      <w:tblPr>
        <w:tblW w:w="10420" w:type="dxa"/>
        <w:jc w:val="center"/>
        <w:tblLook w:val="04A0" w:firstRow="1" w:lastRow="0" w:firstColumn="1" w:lastColumn="0" w:noHBand="0" w:noVBand="1"/>
      </w:tblPr>
      <w:tblGrid>
        <w:gridCol w:w="2140"/>
        <w:gridCol w:w="5717"/>
        <w:gridCol w:w="2247"/>
        <w:gridCol w:w="316"/>
      </w:tblGrid>
      <w:tr w:rsidR="00CD5AAA" w:rsidRPr="00CD5AAA" w14:paraId="283A252F" w14:textId="77777777" w:rsidTr="007C4BA6">
        <w:trPr>
          <w:trHeight w:val="300"/>
          <w:jc w:val="center"/>
        </w:trPr>
        <w:tc>
          <w:tcPr>
            <w:tcW w:w="10420" w:type="dxa"/>
            <w:gridSpan w:val="4"/>
            <w:tcBorders>
              <w:top w:val="nil"/>
              <w:left w:val="nil"/>
              <w:bottom w:val="nil"/>
              <w:right w:val="nil"/>
            </w:tcBorders>
            <w:shd w:val="clear" w:color="000000" w:fill="FFFFFF"/>
            <w:noWrap/>
            <w:vAlign w:val="center"/>
            <w:hideMark/>
          </w:tcPr>
          <w:p w14:paraId="007F21A3" w14:textId="77777777" w:rsidR="00CD5AAA" w:rsidRPr="00CD5AAA" w:rsidRDefault="00CD5AAA" w:rsidP="00CD5AAA">
            <w:pP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Impact of assumptions on the police pension fund obligation:</w:t>
            </w:r>
          </w:p>
        </w:tc>
      </w:tr>
      <w:tr w:rsidR="00CD5AAA" w:rsidRPr="00CD5AAA" w14:paraId="3666D242" w14:textId="77777777" w:rsidTr="007C4BA6">
        <w:trPr>
          <w:gridAfter w:val="1"/>
          <w:wAfter w:w="316" w:type="dxa"/>
          <w:trHeight w:val="300"/>
          <w:jc w:val="center"/>
        </w:trPr>
        <w:tc>
          <w:tcPr>
            <w:tcW w:w="2140" w:type="dxa"/>
            <w:tcBorders>
              <w:top w:val="nil"/>
              <w:left w:val="nil"/>
              <w:bottom w:val="nil"/>
              <w:right w:val="nil"/>
            </w:tcBorders>
            <w:shd w:val="clear" w:color="000000" w:fill="FFFFFF"/>
            <w:noWrap/>
            <w:vAlign w:val="center"/>
            <w:hideMark/>
          </w:tcPr>
          <w:p w14:paraId="59B1540A"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2019/20</w:t>
            </w:r>
          </w:p>
        </w:tc>
        <w:tc>
          <w:tcPr>
            <w:tcW w:w="5717" w:type="dxa"/>
            <w:tcBorders>
              <w:top w:val="nil"/>
              <w:left w:val="nil"/>
              <w:bottom w:val="nil"/>
              <w:right w:val="nil"/>
            </w:tcBorders>
            <w:shd w:val="clear" w:color="000000" w:fill="FFFFFF"/>
            <w:noWrap/>
            <w:vAlign w:val="center"/>
            <w:hideMark/>
          </w:tcPr>
          <w:p w14:paraId="02F1F26B" w14:textId="77777777" w:rsidR="00CD5AAA" w:rsidRPr="00CD5AAA" w:rsidRDefault="00CD5AAA" w:rsidP="00CD5AAA">
            <w:pP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w:t>
            </w:r>
          </w:p>
        </w:tc>
        <w:tc>
          <w:tcPr>
            <w:tcW w:w="2247" w:type="dxa"/>
            <w:tcBorders>
              <w:top w:val="nil"/>
              <w:left w:val="nil"/>
              <w:bottom w:val="nil"/>
              <w:right w:val="nil"/>
            </w:tcBorders>
            <w:shd w:val="clear" w:color="000000" w:fill="FFFFFF"/>
            <w:noWrap/>
            <w:vAlign w:val="center"/>
            <w:hideMark/>
          </w:tcPr>
          <w:p w14:paraId="16EDA886"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2020/21</w:t>
            </w:r>
          </w:p>
        </w:tc>
      </w:tr>
      <w:tr w:rsidR="00CD5AAA" w:rsidRPr="00CD5AAA" w14:paraId="6F2013EF" w14:textId="77777777" w:rsidTr="007C4BA6">
        <w:trPr>
          <w:gridAfter w:val="1"/>
          <w:wAfter w:w="316" w:type="dxa"/>
          <w:trHeight w:val="420"/>
          <w:jc w:val="center"/>
        </w:trPr>
        <w:tc>
          <w:tcPr>
            <w:tcW w:w="2140" w:type="dxa"/>
            <w:tcBorders>
              <w:top w:val="nil"/>
              <w:left w:val="nil"/>
              <w:bottom w:val="nil"/>
              <w:right w:val="nil"/>
            </w:tcBorders>
            <w:shd w:val="clear" w:color="auto" w:fill="auto"/>
            <w:vAlign w:val="center"/>
            <w:hideMark/>
          </w:tcPr>
          <w:p w14:paraId="219CF396"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xml:space="preserve">Increase </w:t>
            </w:r>
            <w:r w:rsidRPr="00CD5AAA">
              <w:rPr>
                <w:rFonts w:ascii="Verdana" w:eastAsia="Times New Roman" w:hAnsi="Verdana" w:cs="Times New Roman"/>
                <w:b/>
                <w:bCs/>
                <w:color w:val="000000"/>
                <w:sz w:val="16"/>
                <w:szCs w:val="16"/>
                <w:lang w:val="en-GB" w:eastAsia="en-GB"/>
              </w:rPr>
              <w:br/>
              <w:t>by 0.5%</w:t>
            </w:r>
          </w:p>
        </w:tc>
        <w:tc>
          <w:tcPr>
            <w:tcW w:w="5717" w:type="dxa"/>
            <w:tcBorders>
              <w:top w:val="nil"/>
              <w:left w:val="nil"/>
              <w:bottom w:val="nil"/>
              <w:right w:val="nil"/>
            </w:tcBorders>
            <w:shd w:val="clear" w:color="auto" w:fill="auto"/>
            <w:noWrap/>
            <w:vAlign w:val="center"/>
            <w:hideMark/>
          </w:tcPr>
          <w:p w14:paraId="1D399185"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Police Officers</w:t>
            </w:r>
          </w:p>
        </w:tc>
        <w:tc>
          <w:tcPr>
            <w:tcW w:w="2247" w:type="dxa"/>
            <w:tcBorders>
              <w:top w:val="nil"/>
              <w:left w:val="nil"/>
              <w:bottom w:val="nil"/>
              <w:right w:val="nil"/>
            </w:tcBorders>
            <w:shd w:val="clear" w:color="auto" w:fill="auto"/>
            <w:vAlign w:val="center"/>
            <w:hideMark/>
          </w:tcPr>
          <w:p w14:paraId="44904E7E"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Decrease</w:t>
            </w:r>
            <w:r w:rsidRPr="00CD5AAA">
              <w:rPr>
                <w:rFonts w:ascii="Verdana" w:eastAsia="Times New Roman" w:hAnsi="Verdana" w:cs="Times New Roman"/>
                <w:b/>
                <w:bCs/>
                <w:color w:val="000000"/>
                <w:sz w:val="16"/>
                <w:szCs w:val="16"/>
                <w:lang w:val="en-GB" w:eastAsia="en-GB"/>
              </w:rPr>
              <w:br/>
              <w:t xml:space="preserve"> by 0.5%</w:t>
            </w:r>
          </w:p>
        </w:tc>
      </w:tr>
      <w:tr w:rsidR="00CD5AAA" w:rsidRPr="00CD5AAA" w14:paraId="36795934" w14:textId="77777777" w:rsidTr="007C4BA6">
        <w:trPr>
          <w:gridAfter w:val="1"/>
          <w:wAfter w:w="316" w:type="dxa"/>
          <w:trHeight w:val="210"/>
          <w:jc w:val="center"/>
        </w:trPr>
        <w:tc>
          <w:tcPr>
            <w:tcW w:w="2140" w:type="dxa"/>
            <w:tcBorders>
              <w:top w:val="nil"/>
              <w:left w:val="nil"/>
              <w:bottom w:val="single" w:sz="4" w:space="0" w:color="auto"/>
              <w:right w:val="nil"/>
            </w:tcBorders>
            <w:shd w:val="clear" w:color="auto" w:fill="auto"/>
            <w:noWrap/>
            <w:vAlign w:val="center"/>
            <w:hideMark/>
          </w:tcPr>
          <w:p w14:paraId="3CA9A1B3" w14:textId="77777777" w:rsidR="00CD5AAA" w:rsidRPr="00CD5AAA" w:rsidRDefault="00CD5AAA" w:rsidP="00CD5AAA">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£000</w:t>
            </w:r>
          </w:p>
        </w:tc>
        <w:tc>
          <w:tcPr>
            <w:tcW w:w="5717" w:type="dxa"/>
            <w:tcBorders>
              <w:top w:val="nil"/>
              <w:left w:val="nil"/>
              <w:bottom w:val="single" w:sz="4" w:space="0" w:color="auto"/>
              <w:right w:val="nil"/>
            </w:tcBorders>
            <w:shd w:val="clear" w:color="auto" w:fill="auto"/>
            <w:noWrap/>
            <w:vAlign w:val="center"/>
            <w:hideMark/>
          </w:tcPr>
          <w:p w14:paraId="52AD1CD4" w14:textId="77777777" w:rsidR="00CD5AAA" w:rsidRPr="00CD5AAA" w:rsidRDefault="00CD5AAA" w:rsidP="00CD5AAA">
            <w:pP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Assumption</w:t>
            </w:r>
          </w:p>
        </w:tc>
        <w:tc>
          <w:tcPr>
            <w:tcW w:w="2247" w:type="dxa"/>
            <w:tcBorders>
              <w:top w:val="nil"/>
              <w:left w:val="nil"/>
              <w:bottom w:val="single" w:sz="4" w:space="0" w:color="auto"/>
              <w:right w:val="nil"/>
            </w:tcBorders>
            <w:shd w:val="clear" w:color="auto" w:fill="auto"/>
            <w:noWrap/>
            <w:vAlign w:val="center"/>
            <w:hideMark/>
          </w:tcPr>
          <w:p w14:paraId="5637D1D2" w14:textId="77777777" w:rsidR="00CD5AAA" w:rsidRPr="00CD5AAA" w:rsidRDefault="00CD5AAA" w:rsidP="00CD5AAA">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£000</w:t>
            </w:r>
          </w:p>
        </w:tc>
      </w:tr>
      <w:tr w:rsidR="00CD5AAA" w:rsidRPr="00CD5AAA" w14:paraId="70FBE40C" w14:textId="77777777" w:rsidTr="007C4BA6">
        <w:trPr>
          <w:gridAfter w:val="1"/>
          <w:wAfter w:w="316" w:type="dxa"/>
          <w:trHeight w:val="210"/>
          <w:jc w:val="center"/>
        </w:trPr>
        <w:tc>
          <w:tcPr>
            <w:tcW w:w="2140" w:type="dxa"/>
            <w:tcBorders>
              <w:top w:val="nil"/>
              <w:left w:val="nil"/>
              <w:bottom w:val="nil"/>
              <w:right w:val="nil"/>
            </w:tcBorders>
            <w:shd w:val="clear" w:color="auto" w:fill="auto"/>
            <w:noWrap/>
            <w:vAlign w:val="center"/>
            <w:hideMark/>
          </w:tcPr>
          <w:p w14:paraId="685FF9A7" w14:textId="3659ADD8" w:rsidR="00CD5AAA" w:rsidRPr="00CD5AAA" w:rsidRDefault="00CD5AAA" w:rsidP="00CD5AAA">
            <w:pPr>
              <w:jc w:val="right"/>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27</w:t>
            </w:r>
            <w:r w:rsidRPr="00CD5AAA">
              <w:rPr>
                <w:rFonts w:ascii="Verdana" w:eastAsia="Times New Roman" w:hAnsi="Verdana"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44F96CBC" w14:textId="77777777" w:rsidR="00CD5AAA" w:rsidRPr="00CD5AAA" w:rsidRDefault="00CD5AAA" w:rsidP="00CD5AAA">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Rate of increase in salaries</w:t>
            </w:r>
          </w:p>
        </w:tc>
        <w:tc>
          <w:tcPr>
            <w:tcW w:w="2247" w:type="dxa"/>
            <w:tcBorders>
              <w:top w:val="nil"/>
              <w:left w:val="nil"/>
              <w:bottom w:val="nil"/>
              <w:right w:val="nil"/>
            </w:tcBorders>
            <w:shd w:val="clear" w:color="auto" w:fill="auto"/>
            <w:noWrap/>
            <w:vAlign w:val="center"/>
            <w:hideMark/>
          </w:tcPr>
          <w:p w14:paraId="2FCD45CF" w14:textId="77777777" w:rsidR="00CD5AAA" w:rsidRPr="00CD5AAA" w:rsidRDefault="00CD5AAA" w:rsidP="00CD5AAA">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28,000</w:t>
            </w:r>
          </w:p>
        </w:tc>
      </w:tr>
      <w:tr w:rsidR="00CD5AAA" w:rsidRPr="00CD5AAA" w14:paraId="69DD859A" w14:textId="77777777" w:rsidTr="007C4BA6">
        <w:trPr>
          <w:gridAfter w:val="1"/>
          <w:wAfter w:w="316" w:type="dxa"/>
          <w:trHeight w:val="300"/>
          <w:jc w:val="center"/>
        </w:trPr>
        <w:tc>
          <w:tcPr>
            <w:tcW w:w="2140" w:type="dxa"/>
            <w:tcBorders>
              <w:top w:val="nil"/>
              <w:left w:val="nil"/>
              <w:bottom w:val="nil"/>
              <w:right w:val="nil"/>
            </w:tcBorders>
            <w:shd w:val="clear" w:color="auto" w:fill="auto"/>
            <w:noWrap/>
            <w:vAlign w:val="center"/>
            <w:hideMark/>
          </w:tcPr>
          <w:p w14:paraId="0A689600" w14:textId="21F29829" w:rsidR="00CD5AAA" w:rsidRPr="00CD5AAA" w:rsidRDefault="00CD5AAA" w:rsidP="00CD5AAA">
            <w:pPr>
              <w:jc w:val="right"/>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157</w:t>
            </w:r>
            <w:r w:rsidRPr="00CD5AAA">
              <w:rPr>
                <w:rFonts w:ascii="Verdana" w:eastAsia="Times New Roman" w:hAnsi="Verdana"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694F385E" w14:textId="77777777" w:rsidR="00CD5AAA" w:rsidRPr="00CD5AAA" w:rsidRDefault="00CD5AAA" w:rsidP="00CD5AAA">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Rate of increase in pensions</w:t>
            </w:r>
          </w:p>
        </w:tc>
        <w:tc>
          <w:tcPr>
            <w:tcW w:w="2247" w:type="dxa"/>
            <w:tcBorders>
              <w:top w:val="nil"/>
              <w:left w:val="nil"/>
              <w:bottom w:val="nil"/>
              <w:right w:val="nil"/>
            </w:tcBorders>
            <w:shd w:val="clear" w:color="auto" w:fill="auto"/>
            <w:noWrap/>
            <w:vAlign w:val="center"/>
            <w:hideMark/>
          </w:tcPr>
          <w:p w14:paraId="1F325B19" w14:textId="77777777" w:rsidR="00CD5AAA" w:rsidRPr="00CD5AAA" w:rsidRDefault="00CD5AAA" w:rsidP="00CD5AAA">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189,000</w:t>
            </w:r>
          </w:p>
        </w:tc>
      </w:tr>
      <w:tr w:rsidR="00CD5AAA" w:rsidRPr="00CD5AAA" w14:paraId="749BEB3D" w14:textId="77777777" w:rsidTr="007C4BA6">
        <w:trPr>
          <w:gridAfter w:val="1"/>
          <w:wAfter w:w="316" w:type="dxa"/>
          <w:trHeight w:val="300"/>
          <w:jc w:val="center"/>
        </w:trPr>
        <w:tc>
          <w:tcPr>
            <w:tcW w:w="2140" w:type="dxa"/>
            <w:tcBorders>
              <w:top w:val="nil"/>
              <w:left w:val="nil"/>
              <w:bottom w:val="nil"/>
              <w:right w:val="nil"/>
            </w:tcBorders>
            <w:shd w:val="clear" w:color="auto" w:fill="auto"/>
            <w:noWrap/>
            <w:vAlign w:val="center"/>
            <w:hideMark/>
          </w:tcPr>
          <w:p w14:paraId="725B55A2" w14:textId="09259142" w:rsidR="00CD5AAA" w:rsidRPr="00CD5AAA" w:rsidRDefault="00CD5AAA" w:rsidP="00CD5AAA">
            <w:pPr>
              <w:jc w:val="right"/>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(197</w:t>
            </w:r>
            <w:r w:rsidRPr="00CD5AAA">
              <w:rPr>
                <w:rFonts w:ascii="Verdana" w:eastAsia="Times New Roman" w:hAnsi="Verdana"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34F12F3F" w14:textId="77777777" w:rsidR="00CD5AAA" w:rsidRPr="00CD5AAA" w:rsidRDefault="00CD5AAA" w:rsidP="00CD5AAA">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Rate for discounting scheme liabilities</w:t>
            </w:r>
          </w:p>
        </w:tc>
        <w:tc>
          <w:tcPr>
            <w:tcW w:w="2247" w:type="dxa"/>
            <w:tcBorders>
              <w:top w:val="nil"/>
              <w:left w:val="nil"/>
              <w:bottom w:val="nil"/>
              <w:right w:val="nil"/>
            </w:tcBorders>
            <w:shd w:val="clear" w:color="auto" w:fill="auto"/>
            <w:noWrap/>
            <w:vAlign w:val="center"/>
            <w:hideMark/>
          </w:tcPr>
          <w:p w14:paraId="23AE666B" w14:textId="77777777" w:rsidR="00CD5AAA" w:rsidRPr="00CD5AAA" w:rsidRDefault="00CD5AAA" w:rsidP="00CD5AAA">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(202,000)</w:t>
            </w:r>
          </w:p>
        </w:tc>
      </w:tr>
      <w:tr w:rsidR="00CD5AAA" w:rsidRPr="00CD5AAA" w14:paraId="1DA60D3D" w14:textId="77777777" w:rsidTr="007C4BA6">
        <w:trPr>
          <w:gridAfter w:val="1"/>
          <w:wAfter w:w="316" w:type="dxa"/>
          <w:trHeight w:val="120"/>
          <w:jc w:val="center"/>
        </w:trPr>
        <w:tc>
          <w:tcPr>
            <w:tcW w:w="2140" w:type="dxa"/>
            <w:tcBorders>
              <w:top w:val="nil"/>
              <w:left w:val="nil"/>
              <w:bottom w:val="nil"/>
              <w:right w:val="nil"/>
            </w:tcBorders>
            <w:shd w:val="clear" w:color="auto" w:fill="auto"/>
            <w:noWrap/>
            <w:vAlign w:val="center"/>
            <w:hideMark/>
          </w:tcPr>
          <w:p w14:paraId="1C9C713B" w14:textId="77777777" w:rsidR="00CD5AAA" w:rsidRPr="00CD5AAA" w:rsidRDefault="00CD5AAA" w:rsidP="00CD5AAA">
            <w:pPr>
              <w:rPr>
                <w:rFonts w:ascii="Times New Roman" w:eastAsia="Times New Roman" w:hAnsi="Times New Roman" w:cs="Times New Roman"/>
                <w:sz w:val="20"/>
                <w:szCs w:val="20"/>
                <w:lang w:val="en-GB" w:eastAsia="en-GB"/>
              </w:rPr>
            </w:pPr>
          </w:p>
        </w:tc>
        <w:tc>
          <w:tcPr>
            <w:tcW w:w="5717" w:type="dxa"/>
            <w:tcBorders>
              <w:top w:val="nil"/>
              <w:left w:val="nil"/>
              <w:bottom w:val="nil"/>
              <w:right w:val="nil"/>
            </w:tcBorders>
            <w:shd w:val="clear" w:color="auto" w:fill="auto"/>
            <w:noWrap/>
            <w:vAlign w:val="center"/>
            <w:hideMark/>
          </w:tcPr>
          <w:p w14:paraId="38B0B7D4" w14:textId="77777777" w:rsidR="00CD5AAA" w:rsidRPr="00CD5AAA" w:rsidRDefault="00CD5AAA" w:rsidP="00CD5AAA">
            <w:pPr>
              <w:jc w:val="right"/>
              <w:rPr>
                <w:rFonts w:ascii="Times New Roman" w:eastAsia="Times New Roman" w:hAnsi="Times New Roman" w:cs="Times New Roman"/>
                <w:sz w:val="20"/>
                <w:szCs w:val="20"/>
                <w:lang w:val="en-GB" w:eastAsia="en-GB"/>
              </w:rPr>
            </w:pPr>
          </w:p>
        </w:tc>
        <w:tc>
          <w:tcPr>
            <w:tcW w:w="2247" w:type="dxa"/>
            <w:tcBorders>
              <w:top w:val="nil"/>
              <w:left w:val="nil"/>
              <w:bottom w:val="nil"/>
              <w:right w:val="nil"/>
            </w:tcBorders>
            <w:shd w:val="clear" w:color="auto" w:fill="auto"/>
            <w:noWrap/>
            <w:vAlign w:val="center"/>
            <w:hideMark/>
          </w:tcPr>
          <w:p w14:paraId="6E892039" w14:textId="77777777" w:rsidR="00CD5AAA" w:rsidRPr="00CD5AAA" w:rsidRDefault="00CD5AAA" w:rsidP="00CD5AAA">
            <w:pPr>
              <w:rPr>
                <w:rFonts w:ascii="Times New Roman" w:eastAsia="Times New Roman" w:hAnsi="Times New Roman" w:cs="Times New Roman"/>
                <w:sz w:val="20"/>
                <w:szCs w:val="20"/>
                <w:lang w:val="en-GB" w:eastAsia="en-GB"/>
              </w:rPr>
            </w:pPr>
          </w:p>
        </w:tc>
      </w:tr>
      <w:tr w:rsidR="00CD5AAA" w:rsidRPr="00CD5AAA" w14:paraId="1C604001" w14:textId="77777777" w:rsidTr="007C4BA6">
        <w:trPr>
          <w:gridAfter w:val="1"/>
          <w:wAfter w:w="316" w:type="dxa"/>
          <w:trHeight w:val="420"/>
          <w:jc w:val="center"/>
        </w:trPr>
        <w:tc>
          <w:tcPr>
            <w:tcW w:w="2140" w:type="dxa"/>
            <w:tcBorders>
              <w:top w:val="nil"/>
              <w:left w:val="nil"/>
              <w:bottom w:val="nil"/>
              <w:right w:val="nil"/>
            </w:tcBorders>
            <w:shd w:val="clear" w:color="auto" w:fill="auto"/>
            <w:vAlign w:val="center"/>
            <w:hideMark/>
          </w:tcPr>
          <w:p w14:paraId="0656B19C"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xml:space="preserve">Increase </w:t>
            </w:r>
            <w:r w:rsidRPr="00CD5AAA">
              <w:rPr>
                <w:rFonts w:ascii="Verdana" w:eastAsia="Times New Roman" w:hAnsi="Verdana" w:cs="Times New Roman"/>
                <w:b/>
                <w:bCs/>
                <w:color w:val="000000"/>
                <w:sz w:val="16"/>
                <w:szCs w:val="16"/>
                <w:lang w:val="en-GB" w:eastAsia="en-GB"/>
              </w:rPr>
              <w:br/>
              <w:t>by 1 year</w:t>
            </w:r>
          </w:p>
        </w:tc>
        <w:tc>
          <w:tcPr>
            <w:tcW w:w="5717" w:type="dxa"/>
            <w:tcBorders>
              <w:top w:val="nil"/>
              <w:left w:val="nil"/>
              <w:bottom w:val="nil"/>
              <w:right w:val="nil"/>
            </w:tcBorders>
            <w:shd w:val="clear" w:color="auto" w:fill="auto"/>
            <w:noWrap/>
            <w:vAlign w:val="center"/>
            <w:hideMark/>
          </w:tcPr>
          <w:p w14:paraId="46E855FC"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Police Officers</w:t>
            </w:r>
          </w:p>
        </w:tc>
        <w:tc>
          <w:tcPr>
            <w:tcW w:w="2247" w:type="dxa"/>
            <w:tcBorders>
              <w:top w:val="nil"/>
              <w:left w:val="nil"/>
              <w:bottom w:val="nil"/>
              <w:right w:val="nil"/>
            </w:tcBorders>
            <w:shd w:val="clear" w:color="auto" w:fill="auto"/>
            <w:vAlign w:val="center"/>
            <w:hideMark/>
          </w:tcPr>
          <w:p w14:paraId="5A3773BF" w14:textId="77777777" w:rsidR="00CD5AAA" w:rsidRPr="00CD5AAA" w:rsidRDefault="00CD5AAA" w:rsidP="00CD5AAA">
            <w:pPr>
              <w:jc w:val="cente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 xml:space="preserve">Decrease </w:t>
            </w:r>
            <w:r w:rsidRPr="00CD5AAA">
              <w:rPr>
                <w:rFonts w:ascii="Verdana" w:eastAsia="Times New Roman" w:hAnsi="Verdana" w:cs="Times New Roman"/>
                <w:b/>
                <w:bCs/>
                <w:color w:val="000000"/>
                <w:sz w:val="16"/>
                <w:szCs w:val="16"/>
                <w:lang w:val="en-GB" w:eastAsia="en-GB"/>
              </w:rPr>
              <w:br/>
              <w:t>by 1 year</w:t>
            </w:r>
          </w:p>
        </w:tc>
      </w:tr>
      <w:tr w:rsidR="00CD5AAA" w:rsidRPr="00CD5AAA" w14:paraId="051D8E05" w14:textId="77777777" w:rsidTr="007C4BA6">
        <w:trPr>
          <w:gridAfter w:val="1"/>
          <w:wAfter w:w="316" w:type="dxa"/>
          <w:trHeight w:val="300"/>
          <w:jc w:val="center"/>
        </w:trPr>
        <w:tc>
          <w:tcPr>
            <w:tcW w:w="2140" w:type="dxa"/>
            <w:tcBorders>
              <w:top w:val="nil"/>
              <w:left w:val="nil"/>
              <w:bottom w:val="single" w:sz="4" w:space="0" w:color="auto"/>
              <w:right w:val="nil"/>
            </w:tcBorders>
            <w:shd w:val="clear" w:color="auto" w:fill="auto"/>
            <w:noWrap/>
            <w:vAlign w:val="center"/>
            <w:hideMark/>
          </w:tcPr>
          <w:p w14:paraId="33842322" w14:textId="77777777" w:rsidR="00CD5AAA" w:rsidRPr="00CD5AAA" w:rsidRDefault="00CD5AAA" w:rsidP="00CD5AAA">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£000</w:t>
            </w:r>
          </w:p>
        </w:tc>
        <w:tc>
          <w:tcPr>
            <w:tcW w:w="5717" w:type="dxa"/>
            <w:tcBorders>
              <w:top w:val="nil"/>
              <w:left w:val="nil"/>
              <w:bottom w:val="single" w:sz="4" w:space="0" w:color="auto"/>
              <w:right w:val="nil"/>
            </w:tcBorders>
            <w:shd w:val="clear" w:color="auto" w:fill="auto"/>
            <w:noWrap/>
            <w:vAlign w:val="center"/>
            <w:hideMark/>
          </w:tcPr>
          <w:p w14:paraId="6F448EBD" w14:textId="77777777" w:rsidR="00CD5AAA" w:rsidRPr="00CD5AAA" w:rsidRDefault="00CD5AAA" w:rsidP="00CD5AAA">
            <w:pPr>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Assumption</w:t>
            </w:r>
          </w:p>
        </w:tc>
        <w:tc>
          <w:tcPr>
            <w:tcW w:w="2247" w:type="dxa"/>
            <w:tcBorders>
              <w:top w:val="nil"/>
              <w:left w:val="nil"/>
              <w:bottom w:val="single" w:sz="4" w:space="0" w:color="auto"/>
              <w:right w:val="nil"/>
            </w:tcBorders>
            <w:shd w:val="clear" w:color="auto" w:fill="auto"/>
            <w:noWrap/>
            <w:vAlign w:val="center"/>
            <w:hideMark/>
          </w:tcPr>
          <w:p w14:paraId="3424DC20" w14:textId="77777777" w:rsidR="00CD5AAA" w:rsidRPr="00CD5AAA" w:rsidRDefault="00CD5AAA" w:rsidP="00CD5AAA">
            <w:pPr>
              <w:jc w:val="right"/>
              <w:rPr>
                <w:rFonts w:ascii="Verdana" w:eastAsia="Times New Roman" w:hAnsi="Verdana" w:cs="Times New Roman"/>
                <w:b/>
                <w:bCs/>
                <w:color w:val="000000"/>
                <w:sz w:val="16"/>
                <w:szCs w:val="16"/>
                <w:lang w:val="en-GB" w:eastAsia="en-GB"/>
              </w:rPr>
            </w:pPr>
            <w:r w:rsidRPr="00CD5AAA">
              <w:rPr>
                <w:rFonts w:ascii="Verdana" w:eastAsia="Times New Roman" w:hAnsi="Verdana" w:cs="Times New Roman"/>
                <w:b/>
                <w:bCs/>
                <w:color w:val="000000"/>
                <w:sz w:val="16"/>
                <w:szCs w:val="16"/>
                <w:lang w:val="en-GB" w:eastAsia="en-GB"/>
              </w:rPr>
              <w:t>£000</w:t>
            </w:r>
          </w:p>
        </w:tc>
      </w:tr>
      <w:tr w:rsidR="00CD5AAA" w:rsidRPr="00CD5AAA" w14:paraId="14783EE1" w14:textId="77777777" w:rsidTr="007C4BA6">
        <w:trPr>
          <w:gridAfter w:val="1"/>
          <w:wAfter w:w="316" w:type="dxa"/>
          <w:trHeight w:val="210"/>
          <w:jc w:val="center"/>
        </w:trPr>
        <w:tc>
          <w:tcPr>
            <w:tcW w:w="2140" w:type="dxa"/>
            <w:tcBorders>
              <w:top w:val="nil"/>
              <w:left w:val="nil"/>
              <w:bottom w:val="nil"/>
              <w:right w:val="nil"/>
            </w:tcBorders>
            <w:shd w:val="clear" w:color="auto" w:fill="auto"/>
            <w:noWrap/>
            <w:vAlign w:val="center"/>
            <w:hideMark/>
          </w:tcPr>
          <w:p w14:paraId="59DE19DA" w14:textId="66FDFFAA" w:rsidR="00CD5AAA" w:rsidRPr="00CD5AAA" w:rsidRDefault="00CD5AAA" w:rsidP="00CD5AAA">
            <w:pPr>
              <w:jc w:val="right"/>
              <w:rPr>
                <w:rFonts w:ascii="Verdana" w:eastAsia="Times New Roman" w:hAnsi="Verdana" w:cs="Times New Roman"/>
                <w:color w:val="000000"/>
                <w:sz w:val="16"/>
                <w:szCs w:val="16"/>
                <w:lang w:val="en-GB" w:eastAsia="en-GB"/>
              </w:rPr>
            </w:pPr>
            <w:r>
              <w:rPr>
                <w:rFonts w:ascii="Verdana" w:eastAsia="Times New Roman" w:hAnsi="Verdana" w:cs="Times New Roman"/>
                <w:color w:val="000000"/>
                <w:sz w:val="16"/>
                <w:szCs w:val="16"/>
                <w:lang w:val="en-GB" w:eastAsia="en-GB"/>
              </w:rPr>
              <w:t>54</w:t>
            </w:r>
            <w:r w:rsidRPr="00CD5AAA">
              <w:rPr>
                <w:rFonts w:ascii="Verdana" w:eastAsia="Times New Roman" w:hAnsi="Verdana"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38929756" w14:textId="77777777" w:rsidR="00CD5AAA" w:rsidRPr="00CD5AAA" w:rsidRDefault="00CD5AAA" w:rsidP="00CD5AAA">
            <w:pPr>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Longevity</w:t>
            </w:r>
          </w:p>
        </w:tc>
        <w:tc>
          <w:tcPr>
            <w:tcW w:w="2247" w:type="dxa"/>
            <w:tcBorders>
              <w:top w:val="nil"/>
              <w:left w:val="nil"/>
              <w:bottom w:val="nil"/>
              <w:right w:val="nil"/>
            </w:tcBorders>
            <w:shd w:val="clear" w:color="auto" w:fill="auto"/>
            <w:noWrap/>
            <w:vAlign w:val="center"/>
            <w:hideMark/>
          </w:tcPr>
          <w:p w14:paraId="6AC4A198" w14:textId="77777777" w:rsidR="00CD5AAA" w:rsidRPr="00CD5AAA" w:rsidRDefault="00CD5AAA" w:rsidP="00CD5AAA">
            <w:pPr>
              <w:jc w:val="right"/>
              <w:rPr>
                <w:rFonts w:ascii="Verdana" w:eastAsia="Times New Roman" w:hAnsi="Verdana" w:cs="Times New Roman"/>
                <w:color w:val="000000"/>
                <w:sz w:val="16"/>
                <w:szCs w:val="16"/>
                <w:lang w:val="en-GB" w:eastAsia="en-GB"/>
              </w:rPr>
            </w:pPr>
            <w:r w:rsidRPr="00CD5AAA">
              <w:rPr>
                <w:rFonts w:ascii="Verdana" w:eastAsia="Times New Roman" w:hAnsi="Verdana" w:cs="Times New Roman"/>
                <w:color w:val="000000"/>
                <w:sz w:val="16"/>
                <w:szCs w:val="16"/>
                <w:lang w:val="en-GB" w:eastAsia="en-GB"/>
              </w:rPr>
              <w:t>68,000</w:t>
            </w:r>
          </w:p>
        </w:tc>
      </w:tr>
    </w:tbl>
    <w:p w14:paraId="00D120FD" w14:textId="77777777" w:rsidR="00CD5AAA" w:rsidRDefault="00CD5AAA">
      <w:pPr>
        <w:pStyle w:val="T1TableStyle"/>
        <w:rPr>
          <w:rFonts w:ascii="Verdana" w:hAnsi="Verdana"/>
          <w:highlight w:val="yellow"/>
          <w:lang w:val="en-GB"/>
        </w:rPr>
      </w:pPr>
    </w:p>
    <w:p w14:paraId="71EB2B40" w14:textId="77777777" w:rsidR="00CD5AAA" w:rsidRPr="00CD5AAA" w:rsidRDefault="00CD5AAA">
      <w:pPr>
        <w:pStyle w:val="T1TableStyle"/>
        <w:rPr>
          <w:rFonts w:ascii="Verdana" w:hAnsi="Verdana"/>
          <w:lang w:val="en-GB"/>
        </w:rPr>
      </w:pPr>
    </w:p>
    <w:p w14:paraId="091AD012" w14:textId="0B0025C6" w:rsidR="00CA25CE" w:rsidRPr="00CD5AAA" w:rsidRDefault="00CA25CE">
      <w:pPr>
        <w:rPr>
          <w:rFonts w:ascii="Verdana" w:eastAsia="Times New Roman" w:hAnsi="Verdana"/>
          <w:b/>
          <w:sz w:val="16"/>
          <w:szCs w:val="16"/>
          <w:lang w:val="en-GB"/>
        </w:rPr>
      </w:pPr>
    </w:p>
    <w:p w14:paraId="33230124" w14:textId="77777777" w:rsidR="00F227D9" w:rsidRPr="00CD5AAA" w:rsidRDefault="00F227D9" w:rsidP="007C11F3">
      <w:pPr>
        <w:pStyle w:val="Normal0"/>
        <w:spacing w:after="160" w:line="259" w:lineRule="auto"/>
        <w:jc w:val="both"/>
        <w:rPr>
          <w:rFonts w:ascii="Verdana" w:hAnsi="Verdana"/>
          <w:sz w:val="22"/>
          <w:szCs w:val="22"/>
          <w:lang w:val="en-GB"/>
        </w:rPr>
      </w:pPr>
      <w:r w:rsidRPr="00CD5AAA">
        <w:rPr>
          <w:rFonts w:ascii="Verdana" w:eastAsia="Calibri" w:hAnsi="Verdana" w:cs="Arial"/>
          <w:sz w:val="22"/>
          <w:szCs w:val="22"/>
          <w:lang w:val="en-GB"/>
        </w:rPr>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long-term real rates of return experienced in the respective markets.</w:t>
      </w:r>
    </w:p>
    <w:p w14:paraId="60EF9732" w14:textId="77777777" w:rsidR="00F227D9" w:rsidRPr="00CD5AAA" w:rsidRDefault="00F227D9" w:rsidP="007C11F3">
      <w:pPr>
        <w:pStyle w:val="Normal0"/>
        <w:spacing w:after="160" w:line="259" w:lineRule="auto"/>
        <w:jc w:val="both"/>
        <w:rPr>
          <w:rFonts w:ascii="Verdana" w:hAnsi="Verdana"/>
          <w:sz w:val="22"/>
          <w:szCs w:val="22"/>
          <w:lang w:val="en-GB"/>
        </w:rPr>
      </w:pPr>
      <w:r w:rsidRPr="00CD5AAA">
        <w:rPr>
          <w:rFonts w:ascii="Verdana" w:eastAsia="Calibri" w:hAnsi="Verdana" w:cs="Arial"/>
          <w:sz w:val="22"/>
          <w:szCs w:val="22"/>
          <w:lang w:val="en-GB"/>
        </w:rPr>
        <w:t>The cost of retirement benefits are recognised in the reported cost of services when they are earned by employees, rather than when the benefits are eventually paid as pensions. However, the charge required against council tax is based on the cash payable in the year, so the real cost of post-employment/retirement benefits is reversed out of the General Fund via the Movement in Reserves Statement.</w:t>
      </w:r>
    </w:p>
    <w:p w14:paraId="62884E93" w14:textId="09C7D706" w:rsidR="00F227D9" w:rsidRPr="00CD5AAA" w:rsidRDefault="00F227D9" w:rsidP="007C11F3">
      <w:pPr>
        <w:pStyle w:val="Normal0"/>
        <w:spacing w:after="160" w:line="259" w:lineRule="auto"/>
        <w:jc w:val="both"/>
        <w:rPr>
          <w:rFonts w:ascii="Verdana" w:hAnsi="Verdana"/>
          <w:sz w:val="22"/>
          <w:szCs w:val="22"/>
          <w:lang w:val="en-GB"/>
        </w:rPr>
      </w:pPr>
      <w:r w:rsidRPr="00CD5AAA">
        <w:rPr>
          <w:rFonts w:ascii="Verdana" w:eastAsia="Calibri" w:hAnsi="Verdana" w:cs="Arial"/>
          <w:sz w:val="22"/>
          <w:szCs w:val="22"/>
          <w:lang w:val="en-GB"/>
        </w:rPr>
        <w:t xml:space="preserve">The liabilities show the underlying commitments that the </w:t>
      </w:r>
      <w:r w:rsidR="001022EE" w:rsidRPr="00CD5AAA">
        <w:rPr>
          <w:rFonts w:ascii="Verdana" w:eastAsia="Calibri" w:hAnsi="Verdana" w:cs="Arial"/>
          <w:sz w:val="22"/>
          <w:szCs w:val="22"/>
          <w:lang w:val="en-GB"/>
        </w:rPr>
        <w:t xml:space="preserve">Chief Constable </w:t>
      </w:r>
      <w:r w:rsidRPr="00CD5AAA">
        <w:rPr>
          <w:rFonts w:ascii="Verdana" w:eastAsia="Calibri" w:hAnsi="Verdana" w:cs="Arial"/>
          <w:sz w:val="22"/>
          <w:szCs w:val="22"/>
          <w:lang w:val="en-GB"/>
        </w:rPr>
        <w:t>has in the long run to pay retirement benefits.  The total liability of £2</w:t>
      </w:r>
      <w:r w:rsidR="00CD5AAA" w:rsidRPr="00CD5AAA">
        <w:rPr>
          <w:rFonts w:ascii="Verdana" w:eastAsia="Calibri" w:hAnsi="Verdana" w:cs="Arial"/>
          <w:sz w:val="22"/>
          <w:szCs w:val="22"/>
          <w:lang w:val="en-GB"/>
        </w:rPr>
        <w:t>.174</w:t>
      </w:r>
      <w:r w:rsidRPr="00CD5AAA">
        <w:rPr>
          <w:rFonts w:ascii="Verdana" w:eastAsia="Calibri" w:hAnsi="Verdana" w:cs="Arial"/>
          <w:sz w:val="22"/>
          <w:szCs w:val="22"/>
          <w:lang w:val="en-GB"/>
        </w:rPr>
        <w:t xml:space="preserve">m has a substantial impact on the net worth of the </w:t>
      </w:r>
      <w:r w:rsidR="001022EE" w:rsidRPr="00CD5AAA">
        <w:rPr>
          <w:rFonts w:ascii="Verdana" w:eastAsia="Calibri" w:hAnsi="Verdana" w:cs="Arial"/>
          <w:sz w:val="22"/>
          <w:szCs w:val="22"/>
          <w:lang w:val="en-GB"/>
        </w:rPr>
        <w:t xml:space="preserve">Chief Constable </w:t>
      </w:r>
      <w:r w:rsidRPr="00CD5AAA">
        <w:rPr>
          <w:rFonts w:ascii="Verdana" w:eastAsia="Calibri" w:hAnsi="Verdana" w:cs="Arial"/>
          <w:sz w:val="22"/>
          <w:szCs w:val="22"/>
          <w:lang w:val="en-GB"/>
        </w:rPr>
        <w:t>as recorded in the Balance Sheet, resulting in a negative overall balance of £</w:t>
      </w:r>
      <w:r w:rsidR="001022EE" w:rsidRPr="00CD5AAA">
        <w:rPr>
          <w:rFonts w:ascii="Verdana" w:eastAsia="Calibri" w:hAnsi="Verdana" w:cs="Arial"/>
          <w:sz w:val="22"/>
          <w:szCs w:val="22"/>
          <w:lang w:val="en-GB"/>
        </w:rPr>
        <w:t>2</w:t>
      </w:r>
      <w:r w:rsidR="00CD5AAA" w:rsidRPr="00CD5AAA">
        <w:rPr>
          <w:rFonts w:ascii="Verdana" w:eastAsia="Calibri" w:hAnsi="Verdana" w:cs="Arial"/>
          <w:sz w:val="22"/>
          <w:szCs w:val="22"/>
          <w:lang w:val="en-GB"/>
        </w:rPr>
        <w:t>.176</w:t>
      </w:r>
      <w:r w:rsidRPr="00CD5AAA">
        <w:rPr>
          <w:rFonts w:ascii="Verdana" w:eastAsia="Calibri" w:hAnsi="Verdana" w:cs="Arial"/>
          <w:sz w:val="22"/>
          <w:szCs w:val="22"/>
          <w:lang w:val="en-GB"/>
        </w:rPr>
        <w:t>m. However statutory arrangements for funding the deficit mean that the financial position of the Group remains healthy.</w:t>
      </w:r>
    </w:p>
    <w:p w14:paraId="223B4F72" w14:textId="77777777" w:rsidR="00F227D9" w:rsidRPr="00CD5AAA" w:rsidRDefault="00F227D9" w:rsidP="007C11F3">
      <w:pPr>
        <w:pStyle w:val="Normal0"/>
        <w:spacing w:after="160" w:line="259" w:lineRule="auto"/>
        <w:jc w:val="both"/>
        <w:rPr>
          <w:rFonts w:ascii="Verdana" w:hAnsi="Verdana"/>
          <w:sz w:val="22"/>
          <w:szCs w:val="22"/>
          <w:lang w:val="en-GB"/>
        </w:rPr>
      </w:pPr>
      <w:r w:rsidRPr="00CD5AAA">
        <w:rPr>
          <w:rFonts w:ascii="Verdana" w:eastAsia="Calibri" w:hAnsi="Verdana" w:cs="Arial"/>
          <w:sz w:val="22"/>
          <w:szCs w:val="22"/>
          <w:lang w:val="en-GB"/>
        </w:rPr>
        <w:t>The deficit on the Local Government Pension Scheme will be made good by increased contributions over the remaining working life of employees, as assessed by the Scheme actuary.</w:t>
      </w:r>
    </w:p>
    <w:p w14:paraId="58638D6C" w14:textId="77777777" w:rsidR="00F227D9" w:rsidRPr="00CD5AAA" w:rsidRDefault="00F227D9" w:rsidP="007C11F3">
      <w:pPr>
        <w:pStyle w:val="Normal0"/>
        <w:spacing w:after="160" w:line="259" w:lineRule="auto"/>
        <w:jc w:val="both"/>
        <w:rPr>
          <w:rFonts w:ascii="Verdana" w:eastAsia="Calibri" w:hAnsi="Verdana" w:cs="Arial"/>
          <w:sz w:val="22"/>
          <w:szCs w:val="22"/>
          <w:lang w:val="en-GB"/>
        </w:rPr>
      </w:pPr>
      <w:r w:rsidRPr="00CD5AAA">
        <w:rPr>
          <w:rFonts w:ascii="Verdana" w:eastAsia="Calibri" w:hAnsi="Verdana" w:cs="Arial"/>
          <w:sz w:val="22"/>
          <w:szCs w:val="22"/>
          <w:lang w:val="en-GB"/>
        </w:rPr>
        <w:t>Finance is only required to be raised to cover police pensions when the pensions are actually paid and is restricted to the level of employers’ contribution payable by the Chief Constable and funded by the PCC.</w:t>
      </w:r>
    </w:p>
    <w:p w14:paraId="5290AEA9" w14:textId="77777777" w:rsidR="00CD5AAA" w:rsidRDefault="00CD5AAA" w:rsidP="000F4F3E">
      <w:pPr>
        <w:pStyle w:val="Heading1"/>
        <w:spacing w:after="240"/>
        <w:rPr>
          <w:lang w:val="pt-BR"/>
        </w:rPr>
      </w:pPr>
    </w:p>
    <w:p w14:paraId="3FBA65C9" w14:textId="77777777" w:rsidR="000F4F3E" w:rsidRPr="000F4F3E" w:rsidRDefault="000F4F3E" w:rsidP="000F4F3E">
      <w:pPr>
        <w:pStyle w:val="Heading1"/>
        <w:spacing w:after="240"/>
        <w:rPr>
          <w:lang w:val="pt-BR"/>
        </w:rPr>
      </w:pPr>
      <w:bookmarkStart w:id="26" w:name="_Toc77095577"/>
      <w:r w:rsidRPr="000F4F3E">
        <w:rPr>
          <w:lang w:val="pt-BR"/>
        </w:rPr>
        <w:t>Note 18 - Contingent Liabilities</w:t>
      </w:r>
      <w:bookmarkEnd w:id="26"/>
      <w:r w:rsidRPr="000F4F3E">
        <w:rPr>
          <w:lang w:val="pt-BR"/>
        </w:rPr>
        <w:t xml:space="preserve"> </w:t>
      </w:r>
    </w:p>
    <w:p w14:paraId="6CDF939A" w14:textId="77777777" w:rsidR="00F227D9" w:rsidRPr="000F4F3E" w:rsidRDefault="00F227D9">
      <w:pPr>
        <w:pStyle w:val="Normal0"/>
        <w:spacing w:after="160"/>
        <w:rPr>
          <w:rFonts w:ascii="Verdana" w:eastAsia="Verdana" w:hAnsi="Verdana" w:cs="Verdana"/>
          <w:sz w:val="22"/>
          <w:szCs w:val="22"/>
          <w:lang w:val="en-GB"/>
        </w:rPr>
      </w:pPr>
      <w:r w:rsidRPr="000F4F3E">
        <w:rPr>
          <w:rFonts w:ascii="Verdana" w:eastAsia="Verdana" w:hAnsi="Verdana" w:cs="Verdana"/>
          <w:sz w:val="22"/>
          <w:szCs w:val="22"/>
          <w:lang w:val="en-GB"/>
        </w:rPr>
        <w:t>At 31 March 20</w:t>
      </w:r>
      <w:r w:rsidR="004D44FF" w:rsidRPr="000F4F3E">
        <w:rPr>
          <w:rFonts w:ascii="Verdana" w:eastAsia="Verdana" w:hAnsi="Verdana" w:cs="Verdana"/>
          <w:sz w:val="22"/>
          <w:szCs w:val="22"/>
          <w:lang w:val="en-GB"/>
        </w:rPr>
        <w:t>2</w:t>
      </w:r>
      <w:r w:rsidR="000F4F3E" w:rsidRPr="000F4F3E">
        <w:rPr>
          <w:rFonts w:ascii="Verdana" w:eastAsia="Verdana" w:hAnsi="Verdana" w:cs="Verdana"/>
          <w:sz w:val="22"/>
          <w:szCs w:val="22"/>
          <w:lang w:val="en-GB"/>
        </w:rPr>
        <w:t>1</w:t>
      </w:r>
      <w:r w:rsidRPr="000F4F3E">
        <w:rPr>
          <w:rFonts w:ascii="Verdana" w:eastAsia="Verdana" w:hAnsi="Verdana" w:cs="Verdana"/>
          <w:sz w:val="22"/>
          <w:szCs w:val="22"/>
          <w:lang w:val="en-GB"/>
        </w:rPr>
        <w:t>, the Chief Constable of Surrey had the following contingent liability issues:</w:t>
      </w:r>
    </w:p>
    <w:p w14:paraId="582E7501" w14:textId="77777777" w:rsidR="00F227D9" w:rsidRPr="000F4F3E" w:rsidRDefault="00F227D9">
      <w:pPr>
        <w:pStyle w:val="Normal0"/>
        <w:spacing w:after="160"/>
        <w:rPr>
          <w:rFonts w:ascii="Verdana" w:eastAsia="Verdana" w:hAnsi="Verdana" w:cs="Verdana"/>
          <w:sz w:val="22"/>
          <w:szCs w:val="22"/>
          <w:lang w:val="en-GB"/>
        </w:rPr>
      </w:pPr>
      <w:r w:rsidRPr="000F4F3E">
        <w:rPr>
          <w:rFonts w:ascii="Verdana" w:eastAsia="Verdana" w:hAnsi="Verdana" w:cs="Verdana"/>
          <w:sz w:val="22"/>
          <w:szCs w:val="22"/>
          <w:lang w:val="en-GB"/>
        </w:rPr>
        <w:t>•</w:t>
      </w:r>
      <w:r w:rsidRPr="000F4F3E">
        <w:rPr>
          <w:rFonts w:ascii="Verdana" w:eastAsia="Verdana" w:hAnsi="Verdana" w:cs="Verdana"/>
          <w:sz w:val="22"/>
          <w:szCs w:val="22"/>
          <w:lang w:val="en-GB"/>
        </w:rPr>
        <w:tab/>
      </w:r>
      <w:r w:rsidRPr="000F4F3E">
        <w:rPr>
          <w:rFonts w:ascii="Verdana" w:eastAsia="Verdana" w:hAnsi="Verdana" w:cs="Verdana"/>
          <w:b/>
          <w:sz w:val="22"/>
          <w:szCs w:val="22"/>
          <w:lang w:val="en-GB"/>
        </w:rPr>
        <w:t>Police Regulations On-call Payments</w:t>
      </w:r>
    </w:p>
    <w:p w14:paraId="094B7D29" w14:textId="77777777" w:rsidR="00F227D9" w:rsidRPr="000F4F3E" w:rsidRDefault="00F227D9" w:rsidP="007C11F3">
      <w:pPr>
        <w:pStyle w:val="Normal0"/>
        <w:spacing w:after="160"/>
        <w:jc w:val="both"/>
        <w:rPr>
          <w:rFonts w:ascii="Verdana" w:eastAsia="Verdana" w:hAnsi="Verdana" w:cs="Verdana"/>
          <w:sz w:val="22"/>
          <w:szCs w:val="22"/>
          <w:lang w:val="en-GB"/>
        </w:rPr>
      </w:pPr>
      <w:r w:rsidRPr="000F4F3E">
        <w:rPr>
          <w:rFonts w:ascii="Verdana" w:eastAsia="Verdana" w:hAnsi="Verdana" w:cs="Verdana"/>
          <w:sz w:val="22"/>
          <w:szCs w:val="22"/>
          <w:lang w:val="en-GB"/>
        </w:rPr>
        <w:t>The Chief Constable for Surrey Police, along with other Chief Constables has a contingent liability following successful claims in the court case Allard v Devon and Cornwall Police for unpaid overtime following recalls to duty.</w:t>
      </w:r>
    </w:p>
    <w:p w14:paraId="300D408C" w14:textId="77777777" w:rsidR="00F227D9" w:rsidRPr="000F4F3E" w:rsidRDefault="00F227D9" w:rsidP="007C11F3">
      <w:pPr>
        <w:pStyle w:val="Normal0"/>
        <w:spacing w:after="160"/>
        <w:jc w:val="both"/>
        <w:rPr>
          <w:rFonts w:ascii="Verdana" w:eastAsia="Verdana" w:hAnsi="Verdana" w:cs="Verdana"/>
          <w:sz w:val="22"/>
          <w:szCs w:val="22"/>
          <w:lang w:val="en-GB"/>
        </w:rPr>
      </w:pPr>
      <w:r w:rsidRPr="000F4F3E">
        <w:rPr>
          <w:rFonts w:ascii="Verdana" w:eastAsia="Verdana" w:hAnsi="Verdana" w:cs="Verdana"/>
          <w:sz w:val="22"/>
          <w:szCs w:val="22"/>
          <w:lang w:val="en-GB"/>
        </w:rPr>
        <w:t>This case arises from under-cover officers in Devon and Cornwall Police claiming under Police Regulations that they were entitled to on-call payments arising from having to take telephone calls throughout the course of their duties and outside of their normal working hours. This case was upheld against Devon and Cornwall at the High Court and the judge has selected a number of test cases to consider all of the issues arising in these claims against forces across the country.</w:t>
      </w:r>
    </w:p>
    <w:p w14:paraId="07720C9C" w14:textId="77777777" w:rsidR="00F227D9" w:rsidRPr="000F4F3E" w:rsidRDefault="00F227D9" w:rsidP="007C11F3">
      <w:pPr>
        <w:pStyle w:val="Normal0"/>
        <w:spacing w:after="160"/>
        <w:jc w:val="both"/>
        <w:rPr>
          <w:rFonts w:ascii="Verdana" w:eastAsia="Verdana" w:hAnsi="Verdana" w:cs="Verdana"/>
          <w:sz w:val="22"/>
          <w:szCs w:val="22"/>
          <w:lang w:val="en-GB"/>
        </w:rPr>
      </w:pPr>
      <w:r w:rsidRPr="000F4F3E">
        <w:rPr>
          <w:rFonts w:ascii="Verdana" w:eastAsia="Verdana" w:hAnsi="Verdana" w:cs="Verdana"/>
          <w:sz w:val="22"/>
          <w:szCs w:val="22"/>
          <w:lang w:val="en-GB"/>
        </w:rPr>
        <w:t>Whilst the outcome of the legal case is not in doubt, the timings and amount of any payments due to the claimants are yet to be ascertained. Work remains ongoing by all forces to identify all claims and the quantum of each payment that is due. For these reasons no provision has been made in the 20</w:t>
      </w:r>
      <w:r w:rsidR="000F4F3E" w:rsidRPr="000F4F3E">
        <w:rPr>
          <w:rFonts w:ascii="Verdana" w:eastAsia="Verdana" w:hAnsi="Verdana" w:cs="Verdana"/>
          <w:sz w:val="22"/>
          <w:szCs w:val="22"/>
          <w:lang w:val="en-GB"/>
        </w:rPr>
        <w:t>20</w:t>
      </w:r>
      <w:r w:rsidRPr="000F4F3E">
        <w:rPr>
          <w:rFonts w:ascii="Verdana" w:eastAsia="Verdana" w:hAnsi="Verdana" w:cs="Verdana"/>
          <w:sz w:val="22"/>
          <w:szCs w:val="22"/>
          <w:lang w:val="en-GB"/>
        </w:rPr>
        <w:t>/</w:t>
      </w:r>
      <w:r w:rsidR="004D44FF" w:rsidRPr="000F4F3E">
        <w:rPr>
          <w:rFonts w:ascii="Verdana" w:eastAsia="Verdana" w:hAnsi="Verdana" w:cs="Verdana"/>
          <w:sz w:val="22"/>
          <w:szCs w:val="22"/>
          <w:lang w:val="en-GB"/>
        </w:rPr>
        <w:t>2</w:t>
      </w:r>
      <w:r w:rsidR="000F4F3E" w:rsidRPr="000F4F3E">
        <w:rPr>
          <w:rFonts w:ascii="Verdana" w:eastAsia="Verdana" w:hAnsi="Verdana" w:cs="Verdana"/>
          <w:sz w:val="22"/>
          <w:szCs w:val="22"/>
          <w:lang w:val="en-GB"/>
        </w:rPr>
        <w:t>1</w:t>
      </w:r>
      <w:r w:rsidRPr="000F4F3E">
        <w:rPr>
          <w:rFonts w:ascii="Verdana" w:eastAsia="Verdana" w:hAnsi="Verdana" w:cs="Verdana"/>
          <w:sz w:val="22"/>
          <w:szCs w:val="22"/>
          <w:lang w:val="en-GB"/>
        </w:rPr>
        <w:t xml:space="preserve"> Statement of Accounts. </w:t>
      </w:r>
    </w:p>
    <w:p w14:paraId="3D5A76AB" w14:textId="77777777" w:rsidR="00F227D9" w:rsidRPr="000F4F3E" w:rsidRDefault="00F227D9">
      <w:pPr>
        <w:pStyle w:val="Normal0"/>
        <w:spacing w:after="160"/>
        <w:rPr>
          <w:rFonts w:ascii="Verdana" w:eastAsia="Verdana" w:hAnsi="Verdana" w:cs="Verdana"/>
          <w:sz w:val="22"/>
          <w:szCs w:val="22"/>
          <w:lang w:val="en-GB"/>
        </w:rPr>
      </w:pPr>
      <w:r w:rsidRPr="000F4F3E">
        <w:rPr>
          <w:rFonts w:ascii="Verdana" w:eastAsia="Verdana" w:hAnsi="Verdana" w:cs="Verdana"/>
          <w:sz w:val="22"/>
          <w:szCs w:val="22"/>
          <w:lang w:val="en-GB"/>
        </w:rPr>
        <w:t>•</w:t>
      </w:r>
      <w:r w:rsidRPr="000F4F3E">
        <w:rPr>
          <w:rFonts w:ascii="Verdana" w:eastAsia="Verdana" w:hAnsi="Verdana" w:cs="Verdana"/>
          <w:sz w:val="22"/>
          <w:szCs w:val="22"/>
          <w:lang w:val="en-GB"/>
        </w:rPr>
        <w:tab/>
      </w:r>
      <w:r w:rsidRPr="000F4F3E">
        <w:rPr>
          <w:rFonts w:ascii="Verdana" w:eastAsia="Verdana" w:hAnsi="Verdana" w:cs="Verdana"/>
          <w:b/>
          <w:sz w:val="22"/>
          <w:szCs w:val="22"/>
          <w:lang w:val="en-GB"/>
        </w:rPr>
        <w:t>Forensic Service Uncertainty</w:t>
      </w:r>
    </w:p>
    <w:p w14:paraId="52874839" w14:textId="77777777" w:rsidR="00F227D9" w:rsidRPr="000F4F3E" w:rsidRDefault="00F227D9" w:rsidP="00DB7E44">
      <w:pPr>
        <w:pStyle w:val="Normal0"/>
        <w:spacing w:after="160"/>
        <w:jc w:val="both"/>
        <w:rPr>
          <w:rFonts w:ascii="Verdana" w:eastAsia="Verdana" w:hAnsi="Verdana" w:cs="Verdana"/>
          <w:sz w:val="22"/>
          <w:szCs w:val="22"/>
          <w:lang w:val="en-GB"/>
        </w:rPr>
      </w:pPr>
      <w:r w:rsidRPr="000F4F3E">
        <w:rPr>
          <w:rFonts w:ascii="Verdana" w:eastAsia="Verdana" w:hAnsi="Verdana" w:cs="Verdana"/>
          <w:sz w:val="22"/>
          <w:szCs w:val="22"/>
          <w:lang w:val="en-GB"/>
        </w:rPr>
        <w:t xml:space="preserve">The validity of evidence provided by a forensic testing company to the police service is currently under investigation and is an issue impacting on policing across England &amp; Wales. Re-testing is still underway and it is reasonable to anticipate that some people may have been convicted of offences based on flawed data, and that conviction will have had a significant impact on their personal circumstances. As a result some kind of litigation may be forthcoming. At this point in time it is not possible to assess the number of likely claims or the financial exposure arising from them. </w:t>
      </w:r>
    </w:p>
    <w:p w14:paraId="2AEAA533" w14:textId="77777777" w:rsidR="00F227D9" w:rsidRPr="000F4F3E" w:rsidRDefault="00F227D9" w:rsidP="00F227D9">
      <w:pPr>
        <w:pStyle w:val="Normal0"/>
        <w:spacing w:after="160"/>
        <w:rPr>
          <w:rFonts w:ascii="Verdana" w:hAnsi="Verdana"/>
          <w:sz w:val="4"/>
          <w:szCs w:val="4"/>
          <w:lang w:val="pt-BR"/>
        </w:rPr>
      </w:pPr>
    </w:p>
    <w:p w14:paraId="06D05DFD" w14:textId="77777777" w:rsidR="00F227D9" w:rsidRPr="000F4F3E" w:rsidRDefault="008979A0" w:rsidP="00F227D9">
      <w:pPr>
        <w:pStyle w:val="Heading1"/>
        <w:spacing w:after="240"/>
        <w:rPr>
          <w:lang w:val="pt-BR"/>
        </w:rPr>
      </w:pPr>
      <w:bookmarkStart w:id="27" w:name="_Toc77095578"/>
      <w:r w:rsidRPr="000F4F3E">
        <w:rPr>
          <w:lang w:val="pt-BR"/>
        </w:rPr>
        <w:t xml:space="preserve">Note </w:t>
      </w:r>
      <w:r w:rsidR="00D02B10" w:rsidRPr="000F4F3E">
        <w:rPr>
          <w:lang w:val="pt-BR"/>
        </w:rPr>
        <w:t>19</w:t>
      </w:r>
      <w:r w:rsidR="00F227D9" w:rsidRPr="000F4F3E">
        <w:rPr>
          <w:lang w:val="pt-BR"/>
        </w:rPr>
        <w:t xml:space="preserve"> - Contingent Assets</w:t>
      </w:r>
      <w:bookmarkEnd w:id="27"/>
      <w:r w:rsidR="00F227D9" w:rsidRPr="000F4F3E">
        <w:rPr>
          <w:lang w:val="pt-BR"/>
        </w:rPr>
        <w:t xml:space="preserve"> </w:t>
      </w:r>
    </w:p>
    <w:p w14:paraId="02B258D4" w14:textId="77777777" w:rsidR="00F227D9" w:rsidRPr="000F4F3E" w:rsidRDefault="00F227D9">
      <w:pPr>
        <w:pStyle w:val="Normal0"/>
        <w:spacing w:after="160"/>
        <w:rPr>
          <w:rFonts w:ascii="Verdana" w:eastAsia="Verdana" w:hAnsi="Verdana" w:cs="Verdana"/>
          <w:sz w:val="22"/>
          <w:szCs w:val="22"/>
          <w:lang w:val="en-GB"/>
        </w:rPr>
      </w:pPr>
      <w:r w:rsidRPr="000F4F3E">
        <w:rPr>
          <w:rFonts w:ascii="Verdana" w:eastAsia="Verdana" w:hAnsi="Verdana" w:cs="Verdana"/>
          <w:sz w:val="22"/>
          <w:szCs w:val="22"/>
          <w:lang w:val="en-GB"/>
        </w:rPr>
        <w:t>The Chief Constable has no contingent assets to disclose at 31 March 20</w:t>
      </w:r>
      <w:r w:rsidR="004D44FF" w:rsidRPr="000F4F3E">
        <w:rPr>
          <w:rFonts w:ascii="Verdana" w:eastAsia="Verdana" w:hAnsi="Verdana" w:cs="Verdana"/>
          <w:sz w:val="22"/>
          <w:szCs w:val="22"/>
          <w:lang w:val="en-GB"/>
        </w:rPr>
        <w:t>2</w:t>
      </w:r>
      <w:r w:rsidR="000F4F3E">
        <w:rPr>
          <w:rFonts w:ascii="Verdana" w:eastAsia="Verdana" w:hAnsi="Verdana" w:cs="Verdana"/>
          <w:sz w:val="22"/>
          <w:szCs w:val="22"/>
          <w:lang w:val="en-GB"/>
        </w:rPr>
        <w:t>1</w:t>
      </w:r>
      <w:r w:rsidRPr="000F4F3E">
        <w:rPr>
          <w:rFonts w:ascii="Verdana" w:eastAsia="Verdana" w:hAnsi="Verdana" w:cs="Verdana"/>
          <w:sz w:val="22"/>
          <w:szCs w:val="22"/>
          <w:lang w:val="en-GB"/>
        </w:rPr>
        <w:t>.</w:t>
      </w:r>
    </w:p>
    <w:p w14:paraId="0F066D0C" w14:textId="77777777" w:rsidR="00F227D9" w:rsidRPr="00DC1077" w:rsidRDefault="00F227D9" w:rsidP="00F227D9">
      <w:pPr>
        <w:pStyle w:val="Normal0"/>
        <w:spacing w:after="160"/>
        <w:rPr>
          <w:rFonts w:ascii="Verdana" w:hAnsi="Verdana"/>
          <w:sz w:val="4"/>
          <w:szCs w:val="4"/>
          <w:highlight w:val="yellow"/>
          <w:lang w:val="pt-BR"/>
        </w:rPr>
      </w:pPr>
    </w:p>
    <w:p w14:paraId="04922967" w14:textId="77777777" w:rsidR="00F227D9" w:rsidRPr="00547260" w:rsidRDefault="00F227D9" w:rsidP="00F227D9">
      <w:pPr>
        <w:pStyle w:val="Heading1"/>
        <w:spacing w:after="240"/>
        <w:rPr>
          <w:lang w:val="pt-BR"/>
        </w:rPr>
      </w:pPr>
      <w:bookmarkStart w:id="28" w:name="_Toc77095579"/>
      <w:r w:rsidRPr="00547260">
        <w:rPr>
          <w:lang w:val="pt-BR"/>
        </w:rPr>
        <w:t>Note 2</w:t>
      </w:r>
      <w:r w:rsidR="00D02B10" w:rsidRPr="00547260">
        <w:rPr>
          <w:lang w:val="pt-BR"/>
        </w:rPr>
        <w:t>0</w:t>
      </w:r>
      <w:r w:rsidRPr="00547260">
        <w:rPr>
          <w:lang w:val="pt-BR"/>
        </w:rPr>
        <w:t xml:space="preserve"> - Financing and Investment Income and Expenditure</w:t>
      </w:r>
      <w:bookmarkEnd w:id="28"/>
      <w:r w:rsidRPr="00547260">
        <w:rPr>
          <w:lang w:val="pt-BR"/>
        </w:rPr>
        <w:t xml:space="preserve"> </w:t>
      </w:r>
    </w:p>
    <w:tbl>
      <w:tblPr>
        <w:tblW w:w="0" w:type="auto"/>
        <w:jc w:val="center"/>
        <w:tblLayout w:type="fixed"/>
        <w:tblLook w:val="04A0" w:firstRow="1" w:lastRow="0" w:firstColumn="1" w:lastColumn="0" w:noHBand="0" w:noVBand="1"/>
      </w:tblPr>
      <w:tblGrid>
        <w:gridCol w:w="1276"/>
        <w:gridCol w:w="239"/>
        <w:gridCol w:w="3750"/>
        <w:gridCol w:w="1335"/>
      </w:tblGrid>
      <w:tr w:rsidR="0053376B" w:rsidRPr="00547260" w14:paraId="7BBE8D9D" w14:textId="77777777" w:rsidTr="0090634C">
        <w:trPr>
          <w:trHeight w:val="300"/>
          <w:jc w:val="center"/>
        </w:trPr>
        <w:tc>
          <w:tcPr>
            <w:tcW w:w="1276" w:type="dxa"/>
            <w:shd w:val="clear" w:color="auto" w:fill="auto"/>
            <w:tcMar>
              <w:top w:w="20" w:type="dxa"/>
              <w:left w:w="20" w:type="dxa"/>
              <w:bottom w:w="20" w:type="dxa"/>
              <w:right w:w="20" w:type="dxa"/>
            </w:tcMar>
            <w:vAlign w:val="bottom"/>
          </w:tcPr>
          <w:p w14:paraId="764AF5D5" w14:textId="77777777" w:rsidR="00F227D9" w:rsidRPr="00547260" w:rsidRDefault="00F227D9" w:rsidP="00D842D6">
            <w:pPr>
              <w:pStyle w:val="T1TableStyle"/>
              <w:jc w:val="center"/>
              <w:rPr>
                <w:rFonts w:ascii="Verdana" w:eastAsia="Verdana" w:hAnsi="Verdana" w:cs="Verdana"/>
                <w:b/>
                <w:color w:val="000000"/>
                <w:sz w:val="16"/>
                <w:lang w:val="en-GB"/>
              </w:rPr>
            </w:pPr>
            <w:r w:rsidRPr="00547260">
              <w:rPr>
                <w:rFonts w:ascii="Verdana" w:eastAsia="Verdana" w:hAnsi="Verdana" w:cs="Verdana"/>
                <w:b/>
                <w:color w:val="000000"/>
                <w:sz w:val="16"/>
                <w:lang w:val="en-GB"/>
              </w:rPr>
              <w:t>201</w:t>
            </w:r>
            <w:r w:rsidR="00D842D6" w:rsidRPr="00547260">
              <w:rPr>
                <w:rFonts w:ascii="Verdana" w:eastAsia="Verdana" w:hAnsi="Verdana" w:cs="Verdana"/>
                <w:b/>
                <w:color w:val="000000"/>
                <w:sz w:val="16"/>
                <w:lang w:val="en-GB"/>
              </w:rPr>
              <w:t>9</w:t>
            </w:r>
            <w:r w:rsidRPr="00547260">
              <w:rPr>
                <w:rFonts w:ascii="Verdana" w:eastAsia="Verdana" w:hAnsi="Verdana" w:cs="Verdana"/>
                <w:b/>
                <w:color w:val="000000"/>
                <w:sz w:val="16"/>
                <w:lang w:val="en-GB"/>
              </w:rPr>
              <w:t>/</w:t>
            </w:r>
            <w:r w:rsidR="00D842D6" w:rsidRPr="00547260">
              <w:rPr>
                <w:rFonts w:ascii="Verdana" w:eastAsia="Verdana" w:hAnsi="Verdana" w:cs="Verdana"/>
                <w:b/>
                <w:color w:val="000000"/>
                <w:sz w:val="16"/>
                <w:lang w:val="en-GB"/>
              </w:rPr>
              <w:t>20</w:t>
            </w:r>
          </w:p>
        </w:tc>
        <w:tc>
          <w:tcPr>
            <w:tcW w:w="239" w:type="dxa"/>
            <w:shd w:val="clear" w:color="auto" w:fill="auto"/>
            <w:tcMar>
              <w:top w:w="20" w:type="dxa"/>
              <w:left w:w="20" w:type="dxa"/>
              <w:bottom w:w="20" w:type="dxa"/>
              <w:right w:w="20" w:type="dxa"/>
            </w:tcMar>
            <w:vAlign w:val="bottom"/>
          </w:tcPr>
          <w:p w14:paraId="34C5ED08" w14:textId="77777777" w:rsidR="00F227D9" w:rsidRPr="00547260" w:rsidRDefault="00F227D9">
            <w:pPr>
              <w:pStyle w:val="T1TableStyle"/>
              <w:jc w:val="center"/>
              <w:rPr>
                <w:rFonts w:ascii="Calibri" w:eastAsia="Calibri" w:hAnsi="Calibri" w:cs="Calibri"/>
                <w:color w:val="000000"/>
                <w:sz w:val="2"/>
                <w:lang w:val="en-GB"/>
              </w:rPr>
            </w:pPr>
            <w:r w:rsidRPr="00547260">
              <w:rPr>
                <w:rFonts w:ascii="Calibri" w:eastAsia="Calibri" w:hAnsi="Calibri" w:cs="Calibri"/>
                <w:color w:val="000000"/>
                <w:sz w:val="2"/>
                <w:lang w:val="en-GB"/>
              </w:rPr>
              <w:t xml:space="preserve"> </w:t>
            </w:r>
          </w:p>
        </w:tc>
        <w:tc>
          <w:tcPr>
            <w:tcW w:w="3750" w:type="dxa"/>
            <w:shd w:val="clear" w:color="auto" w:fill="auto"/>
            <w:tcMar>
              <w:top w:w="20" w:type="dxa"/>
              <w:left w:w="20" w:type="dxa"/>
              <w:bottom w:w="20" w:type="dxa"/>
              <w:right w:w="20" w:type="dxa"/>
            </w:tcMar>
            <w:vAlign w:val="bottom"/>
          </w:tcPr>
          <w:p w14:paraId="2823211A" w14:textId="77777777" w:rsidR="00F227D9" w:rsidRPr="00547260" w:rsidRDefault="00F227D9">
            <w:pPr>
              <w:pStyle w:val="T1TableStyle"/>
              <w:jc w:val="center"/>
              <w:rPr>
                <w:rFonts w:ascii="Calibri" w:eastAsia="Calibri" w:hAnsi="Calibri" w:cs="Calibri"/>
                <w:color w:val="000000"/>
                <w:sz w:val="2"/>
                <w:lang w:val="en-GB"/>
              </w:rPr>
            </w:pPr>
            <w:r w:rsidRPr="00547260">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vAlign w:val="bottom"/>
          </w:tcPr>
          <w:p w14:paraId="66B9AA13" w14:textId="77777777" w:rsidR="00F227D9" w:rsidRPr="00547260" w:rsidRDefault="00F227D9" w:rsidP="00D842D6">
            <w:pPr>
              <w:pStyle w:val="T1TableStyle"/>
              <w:jc w:val="center"/>
              <w:rPr>
                <w:rFonts w:ascii="Verdana" w:eastAsia="Verdana" w:hAnsi="Verdana" w:cs="Verdana"/>
                <w:b/>
                <w:color w:val="000000"/>
                <w:sz w:val="16"/>
                <w:lang w:val="en-GB"/>
              </w:rPr>
            </w:pPr>
            <w:r w:rsidRPr="00547260">
              <w:rPr>
                <w:rFonts w:ascii="Verdana" w:eastAsia="Verdana" w:hAnsi="Verdana" w:cs="Verdana"/>
                <w:b/>
                <w:color w:val="000000"/>
                <w:sz w:val="16"/>
                <w:lang w:val="en-GB"/>
              </w:rPr>
              <w:t>20</w:t>
            </w:r>
            <w:r w:rsidR="00D842D6" w:rsidRPr="00547260">
              <w:rPr>
                <w:rFonts w:ascii="Verdana" w:eastAsia="Verdana" w:hAnsi="Verdana" w:cs="Verdana"/>
                <w:b/>
                <w:color w:val="000000"/>
                <w:sz w:val="16"/>
                <w:lang w:val="en-GB"/>
              </w:rPr>
              <w:t>20</w:t>
            </w:r>
            <w:r w:rsidRPr="00547260">
              <w:rPr>
                <w:rFonts w:ascii="Verdana" w:eastAsia="Verdana" w:hAnsi="Verdana" w:cs="Verdana"/>
                <w:b/>
                <w:color w:val="000000"/>
                <w:sz w:val="16"/>
                <w:lang w:val="en-GB"/>
              </w:rPr>
              <w:t>/2</w:t>
            </w:r>
            <w:r w:rsidR="00D842D6" w:rsidRPr="00547260">
              <w:rPr>
                <w:rFonts w:ascii="Verdana" w:eastAsia="Verdana" w:hAnsi="Verdana" w:cs="Verdana"/>
                <w:b/>
                <w:color w:val="000000"/>
                <w:sz w:val="16"/>
                <w:lang w:val="en-GB"/>
              </w:rPr>
              <w:t>1</w:t>
            </w:r>
          </w:p>
        </w:tc>
      </w:tr>
      <w:tr w:rsidR="0053376B" w:rsidRPr="00547260" w14:paraId="4CCAB610" w14:textId="77777777" w:rsidTr="0090634C">
        <w:trPr>
          <w:trHeight w:val="300"/>
          <w:jc w:val="center"/>
        </w:trPr>
        <w:tc>
          <w:tcPr>
            <w:tcW w:w="1276" w:type="dxa"/>
            <w:tcBorders>
              <w:bottom w:val="single" w:sz="2" w:space="0" w:color="000000"/>
            </w:tcBorders>
            <w:shd w:val="clear" w:color="auto" w:fill="auto"/>
            <w:tcMar>
              <w:top w:w="20" w:type="dxa"/>
              <w:left w:w="20" w:type="dxa"/>
              <w:bottom w:w="20" w:type="dxa"/>
              <w:right w:w="20" w:type="dxa"/>
            </w:tcMar>
          </w:tcPr>
          <w:p w14:paraId="584BC3C2" w14:textId="77777777" w:rsidR="00F227D9" w:rsidRPr="00547260" w:rsidRDefault="00F227D9">
            <w:pPr>
              <w:pStyle w:val="T1TableStyle"/>
              <w:jc w:val="right"/>
              <w:rPr>
                <w:rFonts w:ascii="Verdana" w:eastAsia="Verdana" w:hAnsi="Verdana" w:cs="Verdana"/>
                <w:b/>
                <w:color w:val="000000"/>
                <w:sz w:val="16"/>
                <w:lang w:val="en-GB"/>
              </w:rPr>
            </w:pPr>
            <w:r w:rsidRPr="00547260">
              <w:rPr>
                <w:rFonts w:ascii="Verdana" w:eastAsia="Verdana" w:hAnsi="Verdana" w:cs="Verdana"/>
                <w:b/>
                <w:color w:val="000000"/>
                <w:sz w:val="16"/>
                <w:lang w:val="en-GB"/>
              </w:rPr>
              <w:t>£000</w:t>
            </w:r>
          </w:p>
        </w:tc>
        <w:tc>
          <w:tcPr>
            <w:tcW w:w="239" w:type="dxa"/>
            <w:tcBorders>
              <w:bottom w:val="single" w:sz="2" w:space="0" w:color="000000"/>
            </w:tcBorders>
            <w:shd w:val="clear" w:color="auto" w:fill="auto"/>
            <w:tcMar>
              <w:top w:w="20" w:type="dxa"/>
              <w:left w:w="20" w:type="dxa"/>
              <w:bottom w:w="20" w:type="dxa"/>
              <w:right w:w="20" w:type="dxa"/>
            </w:tcMar>
          </w:tcPr>
          <w:p w14:paraId="6DA1CFE7" w14:textId="77777777" w:rsidR="00F227D9" w:rsidRPr="00547260" w:rsidRDefault="00F227D9">
            <w:pPr>
              <w:pStyle w:val="T1TableStyle"/>
              <w:jc w:val="right"/>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14:paraId="73B1B65E" w14:textId="77777777" w:rsidR="00F227D9" w:rsidRPr="00547260" w:rsidRDefault="00F227D9">
            <w:pPr>
              <w:pStyle w:val="T1TableStyle"/>
              <w:jc w:val="right"/>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14:paraId="03AE3242" w14:textId="77777777" w:rsidR="00F227D9" w:rsidRPr="00547260" w:rsidRDefault="00F227D9">
            <w:pPr>
              <w:pStyle w:val="T1TableStyle"/>
              <w:jc w:val="right"/>
              <w:rPr>
                <w:rFonts w:ascii="Verdana" w:eastAsia="Verdana" w:hAnsi="Verdana" w:cs="Verdana"/>
                <w:b/>
                <w:color w:val="000000"/>
                <w:sz w:val="16"/>
                <w:lang w:val="en-GB"/>
              </w:rPr>
            </w:pPr>
            <w:r w:rsidRPr="00547260">
              <w:rPr>
                <w:rFonts w:ascii="Verdana" w:eastAsia="Verdana" w:hAnsi="Verdana" w:cs="Verdana"/>
                <w:b/>
                <w:color w:val="000000"/>
                <w:sz w:val="16"/>
                <w:lang w:val="en-GB"/>
              </w:rPr>
              <w:t>£000</w:t>
            </w:r>
          </w:p>
        </w:tc>
      </w:tr>
      <w:tr w:rsidR="00D842D6" w:rsidRPr="00547260" w14:paraId="4F42839E" w14:textId="77777777" w:rsidTr="0090634C">
        <w:trPr>
          <w:trHeight w:val="300"/>
          <w:jc w:val="center"/>
        </w:trPr>
        <w:tc>
          <w:tcPr>
            <w:tcW w:w="1276" w:type="dxa"/>
            <w:shd w:val="clear" w:color="auto" w:fill="auto"/>
            <w:tcMar>
              <w:top w:w="20" w:type="dxa"/>
              <w:left w:w="20" w:type="dxa"/>
              <w:bottom w:w="20" w:type="dxa"/>
              <w:right w:w="20" w:type="dxa"/>
            </w:tcMar>
          </w:tcPr>
          <w:p w14:paraId="17B76479" w14:textId="77777777" w:rsidR="00D842D6" w:rsidRPr="00547260" w:rsidRDefault="0090634C" w:rsidP="00D842D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239" w:type="dxa"/>
            <w:shd w:val="clear" w:color="auto" w:fill="auto"/>
            <w:tcMar>
              <w:top w:w="20" w:type="dxa"/>
              <w:left w:w="20" w:type="dxa"/>
              <w:bottom w:w="20" w:type="dxa"/>
              <w:right w:w="20" w:type="dxa"/>
            </w:tcMar>
          </w:tcPr>
          <w:p w14:paraId="71963592" w14:textId="77777777" w:rsidR="00D842D6" w:rsidRPr="00547260" w:rsidRDefault="00D842D6" w:rsidP="00D842D6">
            <w:pPr>
              <w:pStyle w:val="T1TableStyle"/>
              <w:jc w:val="center"/>
              <w:rPr>
                <w:rFonts w:ascii="Verdana" w:eastAsia="Verdana" w:hAnsi="Verdana" w:cs="Verdana"/>
                <w:color w:val="000000"/>
                <w:sz w:val="2"/>
                <w:lang w:val="en-GB"/>
              </w:rPr>
            </w:pPr>
            <w:r w:rsidRPr="00547260">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2A92040C" w14:textId="77777777" w:rsidR="00D842D6" w:rsidRPr="00547260" w:rsidRDefault="00D842D6" w:rsidP="00D842D6">
            <w:pPr>
              <w:pStyle w:val="T1TableStyle"/>
              <w:rPr>
                <w:rFonts w:ascii="Verdana" w:eastAsia="Verdana" w:hAnsi="Verdana" w:cs="Verdana"/>
                <w:color w:val="000000"/>
                <w:sz w:val="16"/>
                <w:lang w:val="en-GB"/>
              </w:rPr>
            </w:pPr>
            <w:r w:rsidRPr="00547260">
              <w:rPr>
                <w:rFonts w:ascii="Verdana" w:eastAsia="Verdana" w:hAnsi="Verdana" w:cs="Verdana"/>
                <w:color w:val="000000"/>
                <w:sz w:val="16"/>
                <w:lang w:val="en-GB"/>
              </w:rPr>
              <w:t>Interest payable and similar charges</w:t>
            </w:r>
          </w:p>
        </w:tc>
        <w:tc>
          <w:tcPr>
            <w:tcW w:w="1335" w:type="dxa"/>
            <w:shd w:val="clear" w:color="auto" w:fill="auto"/>
            <w:tcMar>
              <w:top w:w="20" w:type="dxa"/>
              <w:left w:w="20" w:type="dxa"/>
              <w:bottom w:w="20" w:type="dxa"/>
              <w:right w:w="20" w:type="dxa"/>
            </w:tcMar>
          </w:tcPr>
          <w:p w14:paraId="3EB20A50" w14:textId="281B3DFE" w:rsidR="00D842D6" w:rsidRPr="0091312C" w:rsidRDefault="0091312C" w:rsidP="00D842D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D842D6" w:rsidRPr="00547260" w14:paraId="53D3C65A" w14:textId="77777777" w:rsidTr="0090634C">
        <w:trPr>
          <w:trHeight w:val="420"/>
          <w:jc w:val="center"/>
        </w:trPr>
        <w:tc>
          <w:tcPr>
            <w:tcW w:w="1276" w:type="dxa"/>
            <w:shd w:val="clear" w:color="auto" w:fill="auto"/>
            <w:tcMar>
              <w:top w:w="20" w:type="dxa"/>
              <w:left w:w="20" w:type="dxa"/>
              <w:bottom w:w="20" w:type="dxa"/>
              <w:right w:w="20" w:type="dxa"/>
            </w:tcMar>
          </w:tcPr>
          <w:p w14:paraId="45C01519" w14:textId="77777777" w:rsidR="00D842D6" w:rsidRPr="00547260" w:rsidRDefault="00D842D6" w:rsidP="00D842D6">
            <w:pPr>
              <w:pStyle w:val="T1TableStyle"/>
              <w:jc w:val="right"/>
              <w:rPr>
                <w:rFonts w:ascii="Verdana" w:eastAsia="Verdana" w:hAnsi="Verdana" w:cs="Verdana"/>
                <w:color w:val="000000"/>
                <w:sz w:val="16"/>
                <w:lang w:val="en-GB"/>
              </w:rPr>
            </w:pPr>
            <w:r w:rsidRPr="00547260">
              <w:rPr>
                <w:rFonts w:ascii="Verdana" w:eastAsia="Verdana" w:hAnsi="Verdana" w:cs="Verdana"/>
                <w:color w:val="000000"/>
                <w:sz w:val="16"/>
                <w:lang w:val="en-GB"/>
              </w:rPr>
              <w:t>53,109</w:t>
            </w:r>
          </w:p>
        </w:tc>
        <w:tc>
          <w:tcPr>
            <w:tcW w:w="239" w:type="dxa"/>
            <w:shd w:val="clear" w:color="auto" w:fill="auto"/>
            <w:tcMar>
              <w:top w:w="20" w:type="dxa"/>
              <w:left w:w="20" w:type="dxa"/>
              <w:bottom w:w="20" w:type="dxa"/>
              <w:right w:w="20" w:type="dxa"/>
            </w:tcMar>
          </w:tcPr>
          <w:p w14:paraId="74F62B9B" w14:textId="77777777" w:rsidR="00D842D6" w:rsidRPr="00547260" w:rsidRDefault="00D842D6" w:rsidP="00D842D6">
            <w:pPr>
              <w:pStyle w:val="T1TableStyle"/>
              <w:jc w:val="center"/>
              <w:rPr>
                <w:rFonts w:ascii="Verdana" w:eastAsia="Verdana" w:hAnsi="Verdana" w:cs="Verdana"/>
                <w:color w:val="000000"/>
                <w:sz w:val="2"/>
                <w:lang w:val="en-GB"/>
              </w:rPr>
            </w:pPr>
            <w:r w:rsidRPr="00547260">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22F3DD1C" w14:textId="77777777" w:rsidR="00D842D6" w:rsidRPr="00547260" w:rsidRDefault="00D842D6" w:rsidP="00D842D6">
            <w:pPr>
              <w:pStyle w:val="T1TableStyle"/>
              <w:rPr>
                <w:rFonts w:ascii="Verdana" w:eastAsia="Verdana" w:hAnsi="Verdana" w:cs="Verdana"/>
                <w:color w:val="000000"/>
                <w:sz w:val="16"/>
                <w:lang w:val="en-GB"/>
              </w:rPr>
            </w:pPr>
            <w:r w:rsidRPr="00547260">
              <w:rPr>
                <w:rFonts w:ascii="Verdana" w:eastAsia="Verdana" w:hAnsi="Verdana" w:cs="Verdana"/>
                <w:color w:val="000000"/>
                <w:sz w:val="16"/>
                <w:lang w:val="en-GB"/>
              </w:rPr>
              <w:t>Net interest on the net defined benefit liability (asset)</w:t>
            </w:r>
          </w:p>
        </w:tc>
        <w:tc>
          <w:tcPr>
            <w:tcW w:w="1335" w:type="dxa"/>
            <w:shd w:val="clear" w:color="auto" w:fill="auto"/>
            <w:tcMar>
              <w:top w:w="20" w:type="dxa"/>
              <w:left w:w="20" w:type="dxa"/>
              <w:bottom w:w="20" w:type="dxa"/>
              <w:right w:w="20" w:type="dxa"/>
            </w:tcMar>
          </w:tcPr>
          <w:p w14:paraId="00764222" w14:textId="77777777" w:rsidR="00D842D6" w:rsidRPr="0091312C" w:rsidRDefault="00547260" w:rsidP="00D842D6">
            <w:pPr>
              <w:pStyle w:val="T1TableStyle"/>
              <w:jc w:val="right"/>
              <w:rPr>
                <w:rFonts w:ascii="Verdana" w:eastAsia="Verdana" w:hAnsi="Verdana" w:cs="Verdana"/>
                <w:color w:val="000000"/>
                <w:sz w:val="16"/>
                <w:lang w:val="en-GB"/>
              </w:rPr>
            </w:pPr>
            <w:r w:rsidRPr="0091312C">
              <w:rPr>
                <w:rFonts w:ascii="Verdana" w:eastAsia="Verdana" w:hAnsi="Verdana" w:cs="Verdana"/>
                <w:color w:val="000000"/>
                <w:sz w:val="16"/>
                <w:lang w:val="en-GB"/>
              </w:rPr>
              <w:t>45,897</w:t>
            </w:r>
          </w:p>
        </w:tc>
      </w:tr>
      <w:tr w:rsidR="00D842D6" w:rsidRPr="00DC1077" w14:paraId="2977F789" w14:textId="77777777" w:rsidTr="0090634C">
        <w:trPr>
          <w:trHeight w:val="315"/>
          <w:jc w:val="center"/>
        </w:trPr>
        <w:tc>
          <w:tcPr>
            <w:tcW w:w="1276" w:type="dxa"/>
            <w:tcBorders>
              <w:top w:val="single" w:sz="2" w:space="0" w:color="000000"/>
              <w:bottom w:val="single" w:sz="12" w:space="0" w:color="000000"/>
            </w:tcBorders>
            <w:shd w:val="clear" w:color="auto" w:fill="auto"/>
            <w:tcMar>
              <w:top w:w="20" w:type="dxa"/>
              <w:left w:w="20" w:type="dxa"/>
              <w:bottom w:w="20" w:type="dxa"/>
              <w:right w:w="20" w:type="dxa"/>
            </w:tcMar>
          </w:tcPr>
          <w:p w14:paraId="7E6D46C8" w14:textId="77777777" w:rsidR="00D842D6" w:rsidRPr="00547260" w:rsidRDefault="00D842D6" w:rsidP="00D842D6">
            <w:pPr>
              <w:pStyle w:val="T1TableStyle"/>
              <w:jc w:val="right"/>
              <w:rPr>
                <w:rFonts w:ascii="Verdana" w:eastAsia="Verdana" w:hAnsi="Verdana" w:cs="Verdana"/>
                <w:b/>
                <w:color w:val="000000"/>
                <w:sz w:val="16"/>
                <w:lang w:val="en-GB"/>
              </w:rPr>
            </w:pPr>
            <w:r w:rsidRPr="00547260">
              <w:rPr>
                <w:rFonts w:ascii="Verdana" w:eastAsia="Verdana" w:hAnsi="Verdana" w:cs="Verdana"/>
                <w:b/>
                <w:color w:val="000000"/>
                <w:sz w:val="16"/>
                <w:lang w:val="en-GB"/>
              </w:rPr>
              <w:t>53,109</w:t>
            </w:r>
          </w:p>
        </w:tc>
        <w:tc>
          <w:tcPr>
            <w:tcW w:w="239" w:type="dxa"/>
            <w:tcBorders>
              <w:top w:val="single" w:sz="2" w:space="0" w:color="000000"/>
              <w:bottom w:val="single" w:sz="12" w:space="0" w:color="000000"/>
            </w:tcBorders>
            <w:shd w:val="clear" w:color="auto" w:fill="auto"/>
            <w:tcMar>
              <w:top w:w="20" w:type="dxa"/>
              <w:left w:w="20" w:type="dxa"/>
              <w:bottom w:w="20" w:type="dxa"/>
              <w:right w:w="20" w:type="dxa"/>
            </w:tcMar>
          </w:tcPr>
          <w:p w14:paraId="41415507" w14:textId="77777777" w:rsidR="00D842D6" w:rsidRPr="00547260" w:rsidRDefault="00D842D6" w:rsidP="00D842D6">
            <w:pPr>
              <w:pStyle w:val="T1TableStyle"/>
              <w:jc w:val="center"/>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14:paraId="0267B674" w14:textId="77777777" w:rsidR="00D842D6" w:rsidRPr="00547260" w:rsidRDefault="00D842D6" w:rsidP="00D842D6">
            <w:pPr>
              <w:pStyle w:val="T1TableStyle"/>
              <w:rPr>
                <w:rFonts w:ascii="Verdana" w:eastAsia="Verdana" w:hAnsi="Verdana" w:cs="Verdana"/>
                <w:b/>
                <w:color w:val="000000"/>
                <w:sz w:val="16"/>
                <w:lang w:val="en-GB"/>
              </w:rPr>
            </w:pPr>
            <w:r w:rsidRPr="00547260">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5FCF2980" w14:textId="77777777" w:rsidR="00D842D6" w:rsidRPr="0091312C" w:rsidRDefault="00547260" w:rsidP="00D842D6">
            <w:pPr>
              <w:pStyle w:val="T1TableStyle"/>
              <w:jc w:val="right"/>
              <w:rPr>
                <w:rFonts w:ascii="Verdana" w:eastAsia="Verdana" w:hAnsi="Verdana" w:cs="Verdana"/>
                <w:b/>
                <w:color w:val="000000"/>
                <w:sz w:val="16"/>
                <w:lang w:val="en-GB"/>
              </w:rPr>
            </w:pPr>
            <w:r w:rsidRPr="0091312C">
              <w:rPr>
                <w:rFonts w:ascii="Verdana" w:eastAsia="Verdana" w:hAnsi="Verdana" w:cs="Verdana"/>
                <w:b/>
                <w:color w:val="000000"/>
                <w:sz w:val="16"/>
                <w:lang w:val="en-GB"/>
              </w:rPr>
              <w:t>45,897</w:t>
            </w:r>
          </w:p>
        </w:tc>
      </w:tr>
    </w:tbl>
    <w:p w14:paraId="7A5FF9B0" w14:textId="77777777" w:rsidR="00F227D9" w:rsidRPr="00DC1077" w:rsidRDefault="00F227D9">
      <w:pPr>
        <w:pStyle w:val="T1TableStyle"/>
        <w:rPr>
          <w:rFonts w:ascii="Verdana" w:eastAsia="Verdana" w:hAnsi="Verdana" w:cs="Verdana"/>
          <w:sz w:val="22"/>
          <w:highlight w:val="yellow"/>
          <w:lang w:val="en-GB"/>
        </w:rPr>
      </w:pPr>
    </w:p>
    <w:p w14:paraId="4EFADA9C" w14:textId="77777777" w:rsidR="00F227D9" w:rsidRPr="00547260" w:rsidRDefault="00F227D9" w:rsidP="00F227D9">
      <w:pPr>
        <w:pStyle w:val="Heading1"/>
        <w:spacing w:after="240"/>
        <w:rPr>
          <w:lang w:val="pt-BR"/>
        </w:rPr>
      </w:pPr>
      <w:bookmarkStart w:id="29" w:name="_Toc77095580"/>
      <w:r w:rsidRPr="00547260">
        <w:rPr>
          <w:lang w:val="pt-BR"/>
        </w:rPr>
        <w:t>Note 2</w:t>
      </w:r>
      <w:r w:rsidR="00D02B10" w:rsidRPr="00547260">
        <w:rPr>
          <w:lang w:val="pt-BR"/>
        </w:rPr>
        <w:t>1</w:t>
      </w:r>
      <w:r w:rsidRPr="00547260">
        <w:rPr>
          <w:lang w:val="pt-BR"/>
        </w:rPr>
        <w:t xml:space="preserve"> - Other Operating Expenditure</w:t>
      </w:r>
      <w:bookmarkEnd w:id="29"/>
      <w:r w:rsidRPr="00547260">
        <w:rPr>
          <w:lang w:val="pt-BR"/>
        </w:rPr>
        <w:t xml:space="preserve"> </w:t>
      </w:r>
    </w:p>
    <w:tbl>
      <w:tblPr>
        <w:tblW w:w="0" w:type="auto"/>
        <w:jc w:val="center"/>
        <w:tblLayout w:type="fixed"/>
        <w:tblLook w:val="04A0" w:firstRow="1" w:lastRow="0" w:firstColumn="1" w:lastColumn="0" w:noHBand="0" w:noVBand="1"/>
      </w:tblPr>
      <w:tblGrid>
        <w:gridCol w:w="1335"/>
        <w:gridCol w:w="180"/>
        <w:gridCol w:w="3750"/>
        <w:gridCol w:w="1335"/>
      </w:tblGrid>
      <w:tr w:rsidR="0053376B" w:rsidRPr="00547260" w14:paraId="57BACB80" w14:textId="77777777" w:rsidTr="00884CD8">
        <w:trPr>
          <w:trHeight w:val="300"/>
          <w:jc w:val="center"/>
        </w:trPr>
        <w:tc>
          <w:tcPr>
            <w:tcW w:w="1335" w:type="dxa"/>
            <w:shd w:val="clear" w:color="auto" w:fill="auto"/>
            <w:tcMar>
              <w:top w:w="20" w:type="dxa"/>
              <w:left w:w="20" w:type="dxa"/>
              <w:bottom w:w="20" w:type="dxa"/>
              <w:right w:w="20" w:type="dxa"/>
            </w:tcMar>
            <w:vAlign w:val="bottom"/>
          </w:tcPr>
          <w:p w14:paraId="08A16E50" w14:textId="77777777" w:rsidR="00F227D9" w:rsidRPr="00547260" w:rsidRDefault="00F227D9" w:rsidP="006D0B9D">
            <w:pPr>
              <w:pStyle w:val="T1TableStyle"/>
              <w:jc w:val="center"/>
              <w:rPr>
                <w:rFonts w:ascii="Verdana" w:eastAsia="Verdana" w:hAnsi="Verdana" w:cs="Verdana"/>
                <w:b/>
                <w:color w:val="000000"/>
                <w:sz w:val="16"/>
                <w:lang w:val="en-GB"/>
              </w:rPr>
            </w:pPr>
            <w:r w:rsidRPr="00547260">
              <w:rPr>
                <w:rFonts w:ascii="Verdana" w:eastAsia="Verdana" w:hAnsi="Verdana" w:cs="Verdana"/>
                <w:b/>
                <w:color w:val="000000"/>
                <w:sz w:val="16"/>
                <w:lang w:val="en-GB"/>
              </w:rPr>
              <w:t>201</w:t>
            </w:r>
            <w:r w:rsidR="006D0B9D" w:rsidRPr="00547260">
              <w:rPr>
                <w:rFonts w:ascii="Verdana" w:eastAsia="Verdana" w:hAnsi="Verdana" w:cs="Verdana"/>
                <w:b/>
                <w:color w:val="000000"/>
                <w:sz w:val="16"/>
                <w:lang w:val="en-GB"/>
              </w:rPr>
              <w:t>9</w:t>
            </w:r>
            <w:r w:rsidRPr="00547260">
              <w:rPr>
                <w:rFonts w:ascii="Verdana" w:eastAsia="Verdana" w:hAnsi="Verdana" w:cs="Verdana"/>
                <w:b/>
                <w:color w:val="000000"/>
                <w:sz w:val="16"/>
                <w:lang w:val="en-GB"/>
              </w:rPr>
              <w:t>/</w:t>
            </w:r>
            <w:r w:rsidR="006D0B9D" w:rsidRPr="00547260">
              <w:rPr>
                <w:rFonts w:ascii="Verdana" w:eastAsia="Verdana" w:hAnsi="Verdana" w:cs="Verdana"/>
                <w:b/>
                <w:color w:val="000000"/>
                <w:sz w:val="16"/>
                <w:lang w:val="en-GB"/>
              </w:rPr>
              <w:t>20</w:t>
            </w:r>
          </w:p>
        </w:tc>
        <w:tc>
          <w:tcPr>
            <w:tcW w:w="180" w:type="dxa"/>
            <w:shd w:val="clear" w:color="auto" w:fill="auto"/>
            <w:tcMar>
              <w:top w:w="20" w:type="dxa"/>
              <w:left w:w="20" w:type="dxa"/>
              <w:bottom w:w="20" w:type="dxa"/>
              <w:right w:w="20" w:type="dxa"/>
            </w:tcMar>
          </w:tcPr>
          <w:p w14:paraId="3411AC29" w14:textId="77777777" w:rsidR="00F227D9" w:rsidRPr="00547260" w:rsidRDefault="00F227D9">
            <w:pPr>
              <w:pStyle w:val="T1TableStyle"/>
              <w:jc w:val="center"/>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3750" w:type="dxa"/>
            <w:shd w:val="clear" w:color="auto" w:fill="auto"/>
            <w:tcMar>
              <w:top w:w="20" w:type="dxa"/>
              <w:left w:w="20" w:type="dxa"/>
              <w:bottom w:w="20" w:type="dxa"/>
              <w:right w:w="20" w:type="dxa"/>
            </w:tcMar>
          </w:tcPr>
          <w:p w14:paraId="2506641B" w14:textId="77777777" w:rsidR="00F227D9" w:rsidRPr="00547260" w:rsidRDefault="00F227D9">
            <w:pPr>
              <w:pStyle w:val="T1TableStyle"/>
              <w:jc w:val="center"/>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14:paraId="013B3707" w14:textId="77777777" w:rsidR="00F227D9" w:rsidRPr="00547260" w:rsidRDefault="00F227D9" w:rsidP="006D0B9D">
            <w:pPr>
              <w:pStyle w:val="T1TableStyle"/>
              <w:jc w:val="center"/>
              <w:rPr>
                <w:rFonts w:ascii="Verdana" w:eastAsia="Verdana" w:hAnsi="Verdana" w:cs="Verdana"/>
                <w:b/>
                <w:color w:val="000000"/>
                <w:sz w:val="16"/>
                <w:lang w:val="en-GB"/>
              </w:rPr>
            </w:pPr>
            <w:r w:rsidRPr="00547260">
              <w:rPr>
                <w:rFonts w:ascii="Verdana" w:eastAsia="Verdana" w:hAnsi="Verdana" w:cs="Verdana"/>
                <w:b/>
                <w:color w:val="000000"/>
                <w:sz w:val="16"/>
                <w:lang w:val="en-GB"/>
              </w:rPr>
              <w:t>20</w:t>
            </w:r>
            <w:r w:rsidR="006D0B9D" w:rsidRPr="00547260">
              <w:rPr>
                <w:rFonts w:ascii="Verdana" w:eastAsia="Verdana" w:hAnsi="Verdana" w:cs="Verdana"/>
                <w:b/>
                <w:color w:val="000000"/>
                <w:sz w:val="16"/>
                <w:lang w:val="en-GB"/>
              </w:rPr>
              <w:t>20</w:t>
            </w:r>
            <w:r w:rsidRPr="00547260">
              <w:rPr>
                <w:rFonts w:ascii="Verdana" w:eastAsia="Verdana" w:hAnsi="Verdana" w:cs="Verdana"/>
                <w:b/>
                <w:color w:val="000000"/>
                <w:sz w:val="16"/>
                <w:lang w:val="en-GB"/>
              </w:rPr>
              <w:t>/2</w:t>
            </w:r>
            <w:r w:rsidR="006D0B9D" w:rsidRPr="00547260">
              <w:rPr>
                <w:rFonts w:ascii="Verdana" w:eastAsia="Verdana" w:hAnsi="Verdana" w:cs="Verdana"/>
                <w:b/>
                <w:color w:val="000000"/>
                <w:sz w:val="16"/>
                <w:lang w:val="en-GB"/>
              </w:rPr>
              <w:t>1</w:t>
            </w:r>
          </w:p>
        </w:tc>
      </w:tr>
      <w:tr w:rsidR="0053376B" w:rsidRPr="00547260" w14:paraId="497912F2" w14:textId="77777777" w:rsidTr="00884CD8">
        <w:trPr>
          <w:trHeight w:val="300"/>
          <w:jc w:val="center"/>
        </w:trPr>
        <w:tc>
          <w:tcPr>
            <w:tcW w:w="1335" w:type="dxa"/>
            <w:tcBorders>
              <w:bottom w:val="single" w:sz="2" w:space="0" w:color="000000"/>
            </w:tcBorders>
            <w:shd w:val="clear" w:color="auto" w:fill="auto"/>
            <w:tcMar>
              <w:top w:w="20" w:type="dxa"/>
              <w:left w:w="20" w:type="dxa"/>
              <w:bottom w:w="20" w:type="dxa"/>
              <w:right w:w="20" w:type="dxa"/>
            </w:tcMar>
          </w:tcPr>
          <w:p w14:paraId="341DE40A" w14:textId="77777777" w:rsidR="00F227D9" w:rsidRPr="00547260" w:rsidRDefault="00F227D9">
            <w:pPr>
              <w:pStyle w:val="T1TableStyle"/>
              <w:jc w:val="right"/>
              <w:rPr>
                <w:rFonts w:ascii="Verdana" w:eastAsia="Verdana" w:hAnsi="Verdana" w:cs="Verdana"/>
                <w:b/>
                <w:color w:val="000000"/>
                <w:sz w:val="16"/>
                <w:lang w:val="en-GB"/>
              </w:rPr>
            </w:pPr>
            <w:r w:rsidRPr="00547260">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14:paraId="79C22035" w14:textId="77777777" w:rsidR="00F227D9" w:rsidRPr="00547260" w:rsidRDefault="00F227D9">
            <w:pPr>
              <w:pStyle w:val="T1TableStyle"/>
              <w:jc w:val="right"/>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14:paraId="275A8385" w14:textId="77777777" w:rsidR="00F227D9" w:rsidRPr="00547260" w:rsidRDefault="00F227D9">
            <w:pPr>
              <w:pStyle w:val="T1TableStyle"/>
              <w:jc w:val="right"/>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14:paraId="56745F4E" w14:textId="77777777" w:rsidR="00F227D9" w:rsidRPr="00547260" w:rsidRDefault="00F227D9">
            <w:pPr>
              <w:pStyle w:val="T1TableStyle"/>
              <w:jc w:val="right"/>
              <w:rPr>
                <w:rFonts w:ascii="Verdana" w:eastAsia="Verdana" w:hAnsi="Verdana" w:cs="Verdana"/>
                <w:b/>
                <w:color w:val="000000"/>
                <w:sz w:val="16"/>
                <w:lang w:val="en-GB"/>
              </w:rPr>
            </w:pPr>
            <w:r w:rsidRPr="00547260">
              <w:rPr>
                <w:rFonts w:ascii="Verdana" w:eastAsia="Verdana" w:hAnsi="Verdana" w:cs="Verdana"/>
                <w:b/>
                <w:color w:val="000000"/>
                <w:sz w:val="16"/>
                <w:lang w:val="en-GB"/>
              </w:rPr>
              <w:t>£000</w:t>
            </w:r>
          </w:p>
        </w:tc>
      </w:tr>
      <w:tr w:rsidR="006D0B9D" w:rsidRPr="00547260" w14:paraId="70725375" w14:textId="77777777" w:rsidTr="00884CD8">
        <w:trPr>
          <w:trHeight w:val="300"/>
          <w:jc w:val="center"/>
        </w:trPr>
        <w:tc>
          <w:tcPr>
            <w:tcW w:w="1335" w:type="dxa"/>
            <w:shd w:val="clear" w:color="auto" w:fill="auto"/>
            <w:tcMar>
              <w:top w:w="20" w:type="dxa"/>
              <w:left w:w="20" w:type="dxa"/>
              <w:bottom w:w="20" w:type="dxa"/>
              <w:right w:w="20" w:type="dxa"/>
            </w:tcMar>
          </w:tcPr>
          <w:p w14:paraId="44D89F10" w14:textId="77777777" w:rsidR="006D0B9D" w:rsidRPr="00547260" w:rsidRDefault="006D0B9D" w:rsidP="006D0B9D">
            <w:pPr>
              <w:pStyle w:val="T1TableStyle"/>
              <w:jc w:val="right"/>
              <w:rPr>
                <w:rFonts w:ascii="Verdana" w:eastAsia="Verdana" w:hAnsi="Verdana" w:cs="Verdana"/>
                <w:color w:val="000000"/>
                <w:sz w:val="16"/>
                <w:lang w:val="en-GB"/>
              </w:rPr>
            </w:pPr>
            <w:r w:rsidRPr="00547260">
              <w:rPr>
                <w:rFonts w:ascii="Verdana" w:eastAsia="Verdana" w:hAnsi="Verdana" w:cs="Verdana"/>
                <w:color w:val="000000"/>
                <w:sz w:val="16"/>
                <w:lang w:val="en-GB"/>
              </w:rPr>
              <w:t>522</w:t>
            </w:r>
          </w:p>
        </w:tc>
        <w:tc>
          <w:tcPr>
            <w:tcW w:w="180" w:type="dxa"/>
            <w:shd w:val="clear" w:color="auto" w:fill="auto"/>
            <w:tcMar>
              <w:top w:w="20" w:type="dxa"/>
              <w:left w:w="20" w:type="dxa"/>
              <w:bottom w:w="20" w:type="dxa"/>
              <w:right w:w="20" w:type="dxa"/>
            </w:tcMar>
          </w:tcPr>
          <w:p w14:paraId="455AF7C9" w14:textId="77777777" w:rsidR="006D0B9D" w:rsidRPr="00547260" w:rsidRDefault="006D0B9D" w:rsidP="006D0B9D">
            <w:pPr>
              <w:pStyle w:val="T1TableStyle"/>
              <w:jc w:val="center"/>
              <w:rPr>
                <w:rFonts w:ascii="Verdana" w:eastAsia="Verdana" w:hAnsi="Verdana" w:cs="Verdana"/>
                <w:color w:val="000000"/>
                <w:sz w:val="2"/>
                <w:lang w:val="en-GB"/>
              </w:rPr>
            </w:pPr>
            <w:r w:rsidRPr="00547260">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4DE0C517" w14:textId="77777777" w:rsidR="006D0B9D" w:rsidRPr="00547260" w:rsidRDefault="006D0B9D" w:rsidP="006D0B9D">
            <w:pPr>
              <w:pStyle w:val="T1TableStyle"/>
              <w:rPr>
                <w:rFonts w:ascii="Verdana" w:eastAsia="Verdana" w:hAnsi="Verdana" w:cs="Verdana"/>
                <w:color w:val="000000"/>
                <w:sz w:val="16"/>
                <w:lang w:val="en-GB"/>
              </w:rPr>
            </w:pPr>
            <w:r w:rsidRPr="00547260">
              <w:rPr>
                <w:rFonts w:ascii="Verdana" w:eastAsia="Verdana" w:hAnsi="Verdana" w:cs="Verdana"/>
                <w:color w:val="000000"/>
                <w:sz w:val="16"/>
                <w:lang w:val="en-GB"/>
              </w:rPr>
              <w:t>Levies</w:t>
            </w:r>
          </w:p>
        </w:tc>
        <w:tc>
          <w:tcPr>
            <w:tcW w:w="1335" w:type="dxa"/>
            <w:shd w:val="clear" w:color="auto" w:fill="auto"/>
            <w:tcMar>
              <w:top w:w="20" w:type="dxa"/>
              <w:left w:w="20" w:type="dxa"/>
              <w:bottom w:w="20" w:type="dxa"/>
              <w:right w:w="20" w:type="dxa"/>
            </w:tcMar>
          </w:tcPr>
          <w:p w14:paraId="42F5F2D9" w14:textId="78CDF335" w:rsidR="006D0B9D" w:rsidRPr="00547260" w:rsidRDefault="00BD023B" w:rsidP="006D0B9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6D0B9D" w:rsidRPr="00547260" w14:paraId="23D43911" w14:textId="77777777" w:rsidTr="00884CD8">
        <w:trPr>
          <w:trHeight w:val="300"/>
          <w:jc w:val="center"/>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6CF8AD88" w14:textId="77777777" w:rsidR="006D0B9D" w:rsidRPr="00547260" w:rsidRDefault="006D0B9D" w:rsidP="006D0B9D">
            <w:pPr>
              <w:pStyle w:val="T1TableStyle"/>
              <w:jc w:val="right"/>
              <w:rPr>
                <w:rFonts w:ascii="Verdana" w:eastAsia="Verdana" w:hAnsi="Verdana" w:cs="Verdana"/>
                <w:b/>
                <w:color w:val="000000"/>
                <w:sz w:val="16"/>
                <w:lang w:val="en-GB"/>
              </w:rPr>
            </w:pPr>
            <w:r w:rsidRPr="00547260">
              <w:rPr>
                <w:rFonts w:ascii="Verdana" w:eastAsia="Verdana" w:hAnsi="Verdana" w:cs="Verdana"/>
                <w:b/>
                <w:color w:val="000000"/>
                <w:sz w:val="16"/>
                <w:lang w:val="en-GB"/>
              </w:rPr>
              <w:t>522</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1B262854" w14:textId="77777777" w:rsidR="006D0B9D" w:rsidRPr="00547260" w:rsidRDefault="006D0B9D" w:rsidP="006D0B9D">
            <w:pPr>
              <w:pStyle w:val="T1TableStyle"/>
              <w:jc w:val="center"/>
              <w:rPr>
                <w:rFonts w:ascii="Verdana" w:eastAsia="Verdana" w:hAnsi="Verdana" w:cs="Verdana"/>
                <w:b/>
                <w:color w:val="000000"/>
                <w:sz w:val="2"/>
                <w:lang w:val="en-GB"/>
              </w:rPr>
            </w:pPr>
            <w:r w:rsidRPr="00547260">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14:paraId="21E5E3FA" w14:textId="77777777" w:rsidR="006D0B9D" w:rsidRPr="00547260" w:rsidRDefault="006D0B9D" w:rsidP="006D0B9D">
            <w:pPr>
              <w:pStyle w:val="T1TableStyle"/>
              <w:rPr>
                <w:rFonts w:ascii="Verdana" w:eastAsia="Verdana" w:hAnsi="Verdana" w:cs="Verdana"/>
                <w:b/>
                <w:color w:val="000000"/>
                <w:sz w:val="16"/>
                <w:lang w:val="en-GB"/>
              </w:rPr>
            </w:pPr>
            <w:r w:rsidRPr="00547260">
              <w:rPr>
                <w:rFonts w:ascii="Verdana" w:eastAsia="Verdana" w:hAnsi="Verdana" w:cs="Verdana"/>
                <w:b/>
                <w:color w:val="000000"/>
                <w:sz w:val="16"/>
                <w:lang w:val="en-GB"/>
              </w:rPr>
              <w:t>Total Other Operating Expenditure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0B67AFE9" w14:textId="0FF824FA" w:rsidR="006D0B9D" w:rsidRPr="00547260" w:rsidRDefault="00BD023B" w:rsidP="006D0B9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bl>
    <w:p w14:paraId="1F9DF63A" w14:textId="77777777" w:rsidR="00F227D9" w:rsidRPr="00DC1077" w:rsidRDefault="00F227D9">
      <w:pPr>
        <w:pStyle w:val="T1TableStyle"/>
        <w:rPr>
          <w:rFonts w:ascii="Verdana" w:eastAsia="Verdana" w:hAnsi="Verdana" w:cs="Verdana"/>
          <w:sz w:val="22"/>
          <w:highlight w:val="yellow"/>
          <w:lang w:val="en-GB"/>
        </w:rPr>
      </w:pPr>
    </w:p>
    <w:p w14:paraId="09FBD9A1" w14:textId="77777777" w:rsidR="00F227D9" w:rsidRPr="00932742" w:rsidRDefault="00EB0483" w:rsidP="00F227D9">
      <w:pPr>
        <w:pStyle w:val="Heading1"/>
        <w:rPr>
          <w:lang w:val="en-GB" w:eastAsia="en-GB"/>
        </w:rPr>
      </w:pPr>
      <w:bookmarkStart w:id="30" w:name="_Toc77095581"/>
      <w:r w:rsidRPr="00932742">
        <w:rPr>
          <w:lang w:val="en-GB" w:eastAsia="en-GB"/>
        </w:rPr>
        <w:t>Note 2</w:t>
      </w:r>
      <w:r w:rsidR="00D02B10" w:rsidRPr="00932742">
        <w:rPr>
          <w:lang w:val="en-GB" w:eastAsia="en-GB"/>
        </w:rPr>
        <w:t>2</w:t>
      </w:r>
      <w:r w:rsidRPr="00932742">
        <w:rPr>
          <w:lang w:val="en-GB" w:eastAsia="en-GB"/>
        </w:rPr>
        <w:t xml:space="preserve"> - </w:t>
      </w:r>
      <w:r w:rsidR="00F227D9" w:rsidRPr="00932742">
        <w:rPr>
          <w:lang w:val="en-GB" w:eastAsia="en-GB"/>
        </w:rPr>
        <w:t>Accounting Policies</w:t>
      </w:r>
      <w:bookmarkEnd w:id="30"/>
    </w:p>
    <w:p w14:paraId="1DD89EB4" w14:textId="77777777" w:rsidR="00F227D9" w:rsidRPr="00932742" w:rsidRDefault="00F227D9" w:rsidP="00F227D9">
      <w:pPr>
        <w:pStyle w:val="Style1"/>
        <w:numPr>
          <w:ilvl w:val="0"/>
          <w:numId w:val="0"/>
        </w:numPr>
        <w:ind w:left="5606" w:hanging="360"/>
        <w:rPr>
          <w:rFonts w:ascii="Verdana" w:hAnsi="Verdana"/>
          <w:sz w:val="22"/>
          <w:szCs w:val="22"/>
          <w:lang w:val="en-GB" w:eastAsia="en-GB"/>
        </w:rPr>
      </w:pPr>
    </w:p>
    <w:p w14:paraId="1A4D0F1F" w14:textId="77777777" w:rsidR="003E44C5" w:rsidRPr="00932742" w:rsidRDefault="003E44C5" w:rsidP="003E44C5">
      <w:pPr>
        <w:pStyle w:val="Style1"/>
        <w:numPr>
          <w:ilvl w:val="0"/>
          <w:numId w:val="0"/>
        </w:numPr>
        <w:rPr>
          <w:rFonts w:ascii="Verdana" w:hAnsi="Verdana"/>
          <w:sz w:val="22"/>
          <w:szCs w:val="22"/>
        </w:rPr>
      </w:pPr>
      <w:bookmarkStart w:id="31" w:name="_Toc489957273"/>
      <w:r w:rsidRPr="00932742">
        <w:rPr>
          <w:rFonts w:ascii="Verdana" w:hAnsi="Verdana"/>
          <w:sz w:val="22"/>
          <w:szCs w:val="22"/>
        </w:rPr>
        <w:t>General Principles</w:t>
      </w:r>
    </w:p>
    <w:p w14:paraId="1949E6CA" w14:textId="77777777" w:rsidR="003E44C5" w:rsidRPr="00DC1077" w:rsidRDefault="003E44C5" w:rsidP="003E44C5">
      <w:pPr>
        <w:pStyle w:val="Style1"/>
        <w:numPr>
          <w:ilvl w:val="0"/>
          <w:numId w:val="0"/>
        </w:numPr>
        <w:ind w:left="5606"/>
        <w:rPr>
          <w:rFonts w:ascii="Verdana" w:hAnsi="Verdana"/>
          <w:sz w:val="22"/>
          <w:szCs w:val="22"/>
          <w:highlight w:val="yellow"/>
        </w:rPr>
      </w:pPr>
    </w:p>
    <w:p w14:paraId="432794A5" w14:textId="77777777" w:rsidR="00932742" w:rsidRPr="00932742" w:rsidRDefault="00932742" w:rsidP="00932742">
      <w:pPr>
        <w:jc w:val="both"/>
        <w:rPr>
          <w:rFonts w:ascii="Verdana" w:hAnsi="Verdana" w:cs="Arial"/>
          <w:sz w:val="22"/>
          <w:szCs w:val="22"/>
        </w:rPr>
      </w:pPr>
      <w:r w:rsidRPr="00932742">
        <w:rPr>
          <w:rFonts w:ascii="Verdana" w:hAnsi="Verdana" w:cs="Arial"/>
          <w:sz w:val="22"/>
          <w:szCs w:val="22"/>
        </w:rPr>
        <w:t>The Statement of accounts summarises the organisation’s transactions for the financial year and its position at the year-end of 31 March. The organisation is required to prepare an annual statement of accounts by the Accounts and Audit Regulations 2015, which require to be prepared in accordance with proper accounting practices. These practices primarily comprise the Code of Practice on Local Authority Accounting in the United Kingdom (the Code).</w:t>
      </w:r>
    </w:p>
    <w:p w14:paraId="607E5FCC" w14:textId="77777777" w:rsidR="00932742" w:rsidRPr="00932742" w:rsidRDefault="00932742" w:rsidP="00932742">
      <w:pPr>
        <w:jc w:val="both"/>
        <w:rPr>
          <w:rFonts w:ascii="Verdana" w:hAnsi="Verdana" w:cs="Arial"/>
          <w:sz w:val="22"/>
          <w:szCs w:val="22"/>
        </w:rPr>
      </w:pPr>
    </w:p>
    <w:p w14:paraId="6B2DF77D" w14:textId="77777777" w:rsidR="00932742" w:rsidRPr="00932742" w:rsidRDefault="00932742" w:rsidP="00932742">
      <w:pPr>
        <w:jc w:val="both"/>
        <w:rPr>
          <w:rFonts w:ascii="Verdana" w:hAnsi="Verdana" w:cs="Arial"/>
          <w:sz w:val="22"/>
          <w:szCs w:val="22"/>
        </w:rPr>
      </w:pPr>
      <w:r w:rsidRPr="00932742">
        <w:rPr>
          <w:rFonts w:ascii="Verdana" w:hAnsi="Verdana" w:cs="Arial"/>
          <w:sz w:val="22"/>
          <w:szCs w:val="22"/>
        </w:rPr>
        <w:t xml:space="preserve">The financial statements have been prepared in accordance with the Code, issued by the Chartered Institute of Public Finance and Accountancy (CIPFA) and reviewed by the Financial Reporting Advisory Board (FRAB).  The Code is based on approved accounting standards issued by the International Accounting Standards Board (IASB) and interpretations of the International Financial Reporting Interpretations Committee, except where these are inconsistent with specific statutory requirements.  The Code also draws on approved accounting standards issued by the International Public Sector Accounting Standards Board (IPSAS) and the UK Accounting Standards Board (ASB) where these provide additional guidance.  </w:t>
      </w:r>
    </w:p>
    <w:p w14:paraId="5D7C6334" w14:textId="77777777" w:rsidR="00932742" w:rsidRPr="00932742" w:rsidRDefault="00932742" w:rsidP="00932742">
      <w:pPr>
        <w:jc w:val="both"/>
        <w:rPr>
          <w:rFonts w:ascii="Verdana" w:hAnsi="Verdana" w:cs="Arial"/>
          <w:sz w:val="22"/>
          <w:szCs w:val="22"/>
        </w:rPr>
      </w:pPr>
    </w:p>
    <w:p w14:paraId="07F6B835" w14:textId="77777777" w:rsidR="00932742" w:rsidRPr="00932742" w:rsidRDefault="00932742" w:rsidP="00932742">
      <w:pPr>
        <w:jc w:val="both"/>
        <w:rPr>
          <w:rFonts w:ascii="Verdana" w:hAnsi="Verdana" w:cs="Arial"/>
          <w:sz w:val="22"/>
          <w:szCs w:val="22"/>
        </w:rPr>
      </w:pPr>
      <w:r w:rsidRPr="00932742">
        <w:rPr>
          <w:rFonts w:ascii="Verdana" w:hAnsi="Verdana" w:cs="Arial"/>
          <w:sz w:val="22"/>
          <w:szCs w:val="22"/>
        </w:rPr>
        <w:t>Following the passing of the Police Reform and Social Responsibility Act 2011 the Police and Crime Commissioner for Surrey (PCC) and the Chief Constable of Surrey (CC) were set up as two ‘corporation sole’ bodies.  Both bodies are required to prepare separate Statement of Accounts.</w:t>
      </w:r>
    </w:p>
    <w:p w14:paraId="1F057577" w14:textId="77777777" w:rsidR="00932742" w:rsidRPr="00932742" w:rsidRDefault="00932742" w:rsidP="00932742">
      <w:pPr>
        <w:jc w:val="both"/>
        <w:rPr>
          <w:rFonts w:ascii="Verdana" w:hAnsi="Verdana" w:cs="Arial"/>
          <w:sz w:val="22"/>
          <w:szCs w:val="22"/>
        </w:rPr>
      </w:pPr>
    </w:p>
    <w:p w14:paraId="2F781027" w14:textId="77777777" w:rsidR="00932742" w:rsidRPr="00932742" w:rsidRDefault="00932742" w:rsidP="00932742">
      <w:pPr>
        <w:jc w:val="both"/>
        <w:rPr>
          <w:rFonts w:ascii="Verdana" w:hAnsi="Verdana" w:cs="Arial"/>
          <w:sz w:val="22"/>
          <w:szCs w:val="22"/>
        </w:rPr>
      </w:pPr>
      <w:r w:rsidRPr="00932742">
        <w:rPr>
          <w:rFonts w:ascii="Verdana" w:hAnsi="Verdana" w:cs="Arial"/>
          <w:sz w:val="22"/>
          <w:szCs w:val="22"/>
        </w:rPr>
        <w:t xml:space="preserve">The Financial Statements (Statement of accounts) included here represent the accounts of the Chief Constable of Surrey as designated by the Police Reform and Social Responsibility Act 2011 and the Home Office Financial Management Code of Practice for the Police Service, England and Wales 2012.  The accounts cover the 12 months to 31 March 2021.  </w:t>
      </w:r>
    </w:p>
    <w:p w14:paraId="2C106B4E" w14:textId="77777777" w:rsidR="00932742" w:rsidRPr="00932742" w:rsidRDefault="00932742" w:rsidP="00932742">
      <w:pPr>
        <w:jc w:val="both"/>
        <w:rPr>
          <w:rFonts w:ascii="Verdana" w:hAnsi="Verdana" w:cs="Arial"/>
          <w:sz w:val="22"/>
          <w:szCs w:val="22"/>
        </w:rPr>
      </w:pPr>
    </w:p>
    <w:p w14:paraId="0CF15F96" w14:textId="77777777" w:rsidR="00932742" w:rsidRDefault="00932742" w:rsidP="00932742">
      <w:pPr>
        <w:jc w:val="both"/>
        <w:rPr>
          <w:rFonts w:ascii="Verdana" w:hAnsi="Verdana" w:cs="Arial"/>
          <w:sz w:val="22"/>
          <w:szCs w:val="22"/>
        </w:rPr>
      </w:pPr>
      <w:r w:rsidRPr="00932742">
        <w:rPr>
          <w:rFonts w:ascii="Verdana" w:hAnsi="Verdana" w:cs="Arial"/>
          <w:sz w:val="22"/>
          <w:szCs w:val="22"/>
        </w:rPr>
        <w:t>The Police Reform and Social Responsibility Act 2011 (Transitional Provision) Order 2013 allows the same provisions of the Local Government Act 2003 for financial arrangements to apply in relation to the Chief Constable as they apply in relation to a local authority.</w:t>
      </w:r>
    </w:p>
    <w:p w14:paraId="22ECC593" w14:textId="77777777" w:rsidR="00932742" w:rsidRPr="00932742" w:rsidRDefault="00932742" w:rsidP="00932742">
      <w:pPr>
        <w:jc w:val="both"/>
        <w:rPr>
          <w:rFonts w:ascii="Verdana" w:hAnsi="Verdana" w:cs="Arial"/>
          <w:sz w:val="22"/>
          <w:szCs w:val="22"/>
        </w:rPr>
      </w:pPr>
    </w:p>
    <w:p w14:paraId="70646833" w14:textId="77777777" w:rsidR="00932742" w:rsidRPr="00F146A6" w:rsidRDefault="00932742" w:rsidP="00932742">
      <w:pPr>
        <w:jc w:val="both"/>
        <w:rPr>
          <w:rFonts w:ascii="Verdana" w:hAnsi="Verdana" w:cs="Arial"/>
          <w:sz w:val="22"/>
          <w:szCs w:val="22"/>
        </w:rPr>
      </w:pPr>
      <w:r w:rsidRPr="00F146A6">
        <w:rPr>
          <w:rFonts w:ascii="Verdana" w:hAnsi="Verdana" w:cs="Arial"/>
          <w:sz w:val="22"/>
          <w:szCs w:val="22"/>
        </w:rPr>
        <w:t>The accounting convention adopted in the statement of accounts is principally historical cost, modified by the revaluation of certain categories of non-current asset and financial instruments.</w:t>
      </w:r>
    </w:p>
    <w:p w14:paraId="56FE5786" w14:textId="77777777" w:rsidR="003E44C5" w:rsidRPr="00F146A6" w:rsidRDefault="003E44C5" w:rsidP="003E44C5">
      <w:pPr>
        <w:jc w:val="both"/>
        <w:rPr>
          <w:rFonts w:ascii="Verdana" w:hAnsi="Verdana" w:cs="Arial"/>
          <w:sz w:val="22"/>
          <w:szCs w:val="22"/>
        </w:rPr>
      </w:pPr>
    </w:p>
    <w:p w14:paraId="76709834" w14:textId="77777777" w:rsidR="003E44C5" w:rsidRPr="00F146A6" w:rsidRDefault="003E44C5" w:rsidP="003E44C5">
      <w:pPr>
        <w:pStyle w:val="Style1"/>
        <w:numPr>
          <w:ilvl w:val="0"/>
          <w:numId w:val="0"/>
        </w:numPr>
        <w:rPr>
          <w:rFonts w:ascii="Verdana" w:hAnsi="Verdana"/>
          <w:sz w:val="22"/>
          <w:szCs w:val="22"/>
        </w:rPr>
      </w:pPr>
      <w:r w:rsidRPr="00F146A6">
        <w:rPr>
          <w:rFonts w:ascii="Verdana" w:hAnsi="Verdana"/>
          <w:sz w:val="22"/>
          <w:szCs w:val="22"/>
        </w:rPr>
        <w:t>Fundamental Accounting Policies</w:t>
      </w:r>
    </w:p>
    <w:p w14:paraId="588BEBA4" w14:textId="77777777" w:rsidR="003E44C5" w:rsidRPr="00F146A6" w:rsidRDefault="003E44C5" w:rsidP="003E44C5">
      <w:pPr>
        <w:jc w:val="both"/>
        <w:rPr>
          <w:rFonts w:ascii="Verdana" w:hAnsi="Verdana" w:cs="Arial"/>
          <w:sz w:val="22"/>
          <w:szCs w:val="22"/>
        </w:rPr>
      </w:pPr>
    </w:p>
    <w:p w14:paraId="0ADBCA06"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The Statement of Accounts has been prepared in accordance with the following accounting concepts and principles:</w:t>
      </w:r>
    </w:p>
    <w:p w14:paraId="2CE1FAAF" w14:textId="77777777" w:rsidR="003E44C5" w:rsidRPr="00F146A6" w:rsidRDefault="003E44C5" w:rsidP="003E44C5">
      <w:pPr>
        <w:jc w:val="both"/>
        <w:rPr>
          <w:rFonts w:ascii="Verdana" w:hAnsi="Verdana" w:cs="Arial"/>
          <w:sz w:val="22"/>
          <w:szCs w:val="22"/>
        </w:rPr>
      </w:pPr>
    </w:p>
    <w:p w14:paraId="745ACF62"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Accruals</w:t>
      </w:r>
      <w:r w:rsidRPr="00F146A6">
        <w:rPr>
          <w:rFonts w:ascii="Verdana" w:hAnsi="Verdana" w:cs="Arial"/>
          <w:sz w:val="22"/>
          <w:szCs w:val="22"/>
        </w:rPr>
        <w:t xml:space="preserve"> – the accruals basis of accounting establishes that the non-cash effects of transactions are reflected in the accounting period in which those effects are experienced and not in the period in which any cash is received or paid.</w:t>
      </w:r>
    </w:p>
    <w:p w14:paraId="5AD2CB33" w14:textId="77777777" w:rsidR="003E44C5" w:rsidRPr="00F146A6" w:rsidRDefault="003E44C5" w:rsidP="003E44C5">
      <w:pPr>
        <w:jc w:val="both"/>
        <w:rPr>
          <w:rFonts w:ascii="Verdana" w:hAnsi="Verdana" w:cs="Arial"/>
          <w:sz w:val="22"/>
          <w:szCs w:val="22"/>
        </w:rPr>
      </w:pPr>
    </w:p>
    <w:p w14:paraId="63CA533E"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Going Concern</w:t>
      </w:r>
      <w:r w:rsidRPr="00F146A6">
        <w:rPr>
          <w:rFonts w:ascii="Verdana" w:hAnsi="Verdana" w:cs="Arial"/>
          <w:sz w:val="22"/>
          <w:szCs w:val="22"/>
        </w:rPr>
        <w:t xml:space="preserve"> – the Accounts have been prepared on the assumption that the Chief Constable will operate for the foreseeable future. This means in particular that the Comprehensive Income &amp; Expenditure Statement and Balance Sheet assume no intention to curtail significantly the scale of operation. </w:t>
      </w:r>
    </w:p>
    <w:p w14:paraId="63E86B0E" w14:textId="77777777" w:rsidR="003E44C5" w:rsidRPr="00F146A6" w:rsidRDefault="003E44C5" w:rsidP="003E44C5">
      <w:pPr>
        <w:jc w:val="both"/>
        <w:rPr>
          <w:rFonts w:ascii="Verdana" w:hAnsi="Verdana" w:cs="Arial"/>
          <w:sz w:val="22"/>
          <w:szCs w:val="22"/>
        </w:rPr>
      </w:pPr>
    </w:p>
    <w:p w14:paraId="665FE9C0"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Understandable</w:t>
      </w:r>
      <w:r w:rsidRPr="00F146A6">
        <w:rPr>
          <w:rFonts w:ascii="Verdana" w:hAnsi="Verdana" w:cs="Arial"/>
          <w:sz w:val="22"/>
          <w:szCs w:val="22"/>
        </w:rPr>
        <w:t xml:space="preserve"> – to ensure that the Statement of Accounts produced can be understood by readers who have a reasonable knowledge of business and economic activities.</w:t>
      </w:r>
    </w:p>
    <w:p w14:paraId="089759A6" w14:textId="77777777" w:rsidR="003E44C5" w:rsidRPr="00F146A6" w:rsidRDefault="003E44C5" w:rsidP="003E44C5">
      <w:pPr>
        <w:jc w:val="both"/>
        <w:rPr>
          <w:rFonts w:ascii="Verdana" w:hAnsi="Verdana" w:cs="Arial"/>
          <w:sz w:val="22"/>
          <w:szCs w:val="22"/>
        </w:rPr>
      </w:pPr>
    </w:p>
    <w:p w14:paraId="3156E230"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Relevance</w:t>
      </w:r>
      <w:r w:rsidRPr="00F146A6">
        <w:rPr>
          <w:rFonts w:ascii="Verdana" w:hAnsi="Verdana" w:cs="Arial"/>
          <w:sz w:val="22"/>
          <w:szCs w:val="22"/>
        </w:rPr>
        <w:t xml:space="preserve"> – to ensure that the information provided about the Force’s financial position, performance and cash flow is useful for assessing stewardship of public funds and for making economic decisions.</w:t>
      </w:r>
    </w:p>
    <w:p w14:paraId="6D301DB5" w14:textId="77777777" w:rsidR="003E44C5" w:rsidRPr="00F146A6" w:rsidRDefault="003E44C5" w:rsidP="003E44C5">
      <w:pPr>
        <w:jc w:val="both"/>
        <w:rPr>
          <w:rFonts w:ascii="Verdana" w:hAnsi="Verdana" w:cs="Arial"/>
          <w:sz w:val="22"/>
          <w:szCs w:val="22"/>
        </w:rPr>
      </w:pPr>
    </w:p>
    <w:p w14:paraId="69F09386"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Materiality</w:t>
      </w:r>
      <w:r w:rsidRPr="00F146A6">
        <w:rPr>
          <w:rFonts w:ascii="Verdana" w:hAnsi="Verdana" w:cs="Arial"/>
          <w:sz w:val="22"/>
          <w:szCs w:val="22"/>
        </w:rPr>
        <w:t xml:space="preserve"> – provides a threshold or cut-off point to ensure that the information included in the Financial Statements is of such significance as to justify its inclusion. Omissions or misstatements of items are material if they could, individually or collectively, influence users decisions or assessment of the Financial Statements.</w:t>
      </w:r>
    </w:p>
    <w:p w14:paraId="4D5875BD" w14:textId="77777777" w:rsidR="003E44C5" w:rsidRPr="00F146A6" w:rsidRDefault="003E44C5" w:rsidP="003E44C5">
      <w:pPr>
        <w:jc w:val="both"/>
        <w:rPr>
          <w:rFonts w:ascii="Verdana" w:hAnsi="Verdana" w:cs="Arial"/>
          <w:sz w:val="22"/>
          <w:szCs w:val="22"/>
        </w:rPr>
      </w:pPr>
    </w:p>
    <w:p w14:paraId="55A9A961"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Reliability</w:t>
      </w:r>
      <w:r w:rsidRPr="00F146A6">
        <w:rPr>
          <w:rFonts w:ascii="Verdana" w:hAnsi="Verdana" w:cs="Arial"/>
          <w:sz w:val="22"/>
          <w:szCs w:val="22"/>
        </w:rPr>
        <w:t xml:space="preserve"> – to ensure that the financial information provided accurately reflects the substance of the transactions and other events that have taken place.</w:t>
      </w:r>
    </w:p>
    <w:p w14:paraId="68D3C048" w14:textId="77777777" w:rsidR="003E44C5" w:rsidRPr="00F146A6" w:rsidRDefault="003E44C5" w:rsidP="003E44C5">
      <w:pPr>
        <w:jc w:val="both"/>
        <w:rPr>
          <w:rFonts w:ascii="Verdana" w:hAnsi="Verdana" w:cs="Arial"/>
          <w:sz w:val="22"/>
          <w:szCs w:val="22"/>
        </w:rPr>
      </w:pPr>
    </w:p>
    <w:p w14:paraId="1E848664"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Comparability</w:t>
      </w:r>
      <w:r w:rsidRPr="00F146A6">
        <w:rPr>
          <w:rFonts w:ascii="Verdana" w:hAnsi="Verdana" w:cs="Arial"/>
          <w:sz w:val="22"/>
          <w:szCs w:val="22"/>
        </w:rPr>
        <w:t xml:space="preserve"> – the information contained in the Financial Statements has been prepared so that it can be readily compared with similar information about the same entity for different accounting periods and with similar information about other entities.</w:t>
      </w:r>
      <w:r w:rsidRPr="00F146A6">
        <w:rPr>
          <w:rFonts w:ascii="Verdana" w:hAnsi="Verdana" w:cs="Arial"/>
          <w:sz w:val="22"/>
          <w:szCs w:val="22"/>
        </w:rPr>
        <w:cr/>
      </w:r>
    </w:p>
    <w:p w14:paraId="5D2463F2" w14:textId="77777777" w:rsidR="003E44C5" w:rsidRPr="00F146A6" w:rsidRDefault="003E44C5" w:rsidP="003E44C5">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r>
      <w:r w:rsidRPr="00F146A6">
        <w:rPr>
          <w:rFonts w:ascii="Verdana" w:hAnsi="Verdana" w:cs="Arial"/>
          <w:b/>
          <w:sz w:val="22"/>
          <w:szCs w:val="22"/>
        </w:rPr>
        <w:t>Primacy of Legislative Requirements</w:t>
      </w:r>
      <w:r w:rsidRPr="00F146A6">
        <w:rPr>
          <w:rFonts w:ascii="Verdana" w:hAnsi="Verdana" w:cs="Arial"/>
          <w:sz w:val="22"/>
          <w:szCs w:val="22"/>
        </w:rPr>
        <w:t xml:space="preserve"> – Chief Constables derive their powers from statute and their financial and accounting framework is closely controlled by primary and secondary legislation. Where specific legislative requirements and accounting principles conflict, the legislative requirement is applied. However, the Code deals with such conflicts by showing the position required by the Code’s accounting requirements in the Comprehensive Income and Expenditure Statement, and the effect of the legislative requirements in the Movement in Reserves Statement.  These accounting entries are included in the Group Accounts</w:t>
      </w:r>
    </w:p>
    <w:p w14:paraId="581B2EE7" w14:textId="77777777" w:rsidR="003E44C5" w:rsidRPr="00F146A6" w:rsidRDefault="003E44C5" w:rsidP="003E44C5">
      <w:pPr>
        <w:jc w:val="both"/>
        <w:rPr>
          <w:rFonts w:ascii="Verdana" w:hAnsi="Verdana" w:cs="Arial"/>
          <w:sz w:val="22"/>
          <w:szCs w:val="22"/>
        </w:rPr>
      </w:pPr>
    </w:p>
    <w:p w14:paraId="25E334A7"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 xml:space="preserve">The following sections set out the Chief Constable’s general accounting policies, which have been followed in </w:t>
      </w:r>
      <w:r w:rsidR="00F146A6" w:rsidRPr="00F146A6">
        <w:rPr>
          <w:rFonts w:ascii="Verdana" w:hAnsi="Verdana" w:cs="Arial"/>
          <w:sz w:val="22"/>
          <w:szCs w:val="22"/>
        </w:rPr>
        <w:t>2020</w:t>
      </w:r>
      <w:r w:rsidRPr="00F146A6">
        <w:rPr>
          <w:rFonts w:ascii="Verdana" w:hAnsi="Verdana" w:cs="Arial"/>
          <w:sz w:val="22"/>
          <w:szCs w:val="22"/>
        </w:rPr>
        <w:t>/2</w:t>
      </w:r>
      <w:r w:rsidR="00F146A6" w:rsidRPr="00F146A6">
        <w:rPr>
          <w:rFonts w:ascii="Verdana" w:hAnsi="Verdana" w:cs="Arial"/>
          <w:sz w:val="22"/>
          <w:szCs w:val="22"/>
        </w:rPr>
        <w:t>1</w:t>
      </w:r>
      <w:r w:rsidRPr="00F146A6">
        <w:rPr>
          <w:rFonts w:ascii="Verdana" w:hAnsi="Verdana" w:cs="Arial"/>
          <w:sz w:val="22"/>
          <w:szCs w:val="22"/>
        </w:rPr>
        <w:t>.</w:t>
      </w:r>
    </w:p>
    <w:p w14:paraId="1867B141" w14:textId="77777777" w:rsidR="003E44C5" w:rsidRPr="00F146A6" w:rsidRDefault="003E44C5" w:rsidP="003E44C5">
      <w:pPr>
        <w:jc w:val="both"/>
        <w:rPr>
          <w:rFonts w:ascii="Verdana" w:hAnsi="Verdana" w:cs="Arial"/>
          <w:sz w:val="22"/>
          <w:szCs w:val="22"/>
        </w:rPr>
      </w:pPr>
    </w:p>
    <w:p w14:paraId="5D07C222" w14:textId="77777777" w:rsidR="003E44C5" w:rsidRPr="00F146A6" w:rsidRDefault="003E44C5" w:rsidP="003E44C5">
      <w:pPr>
        <w:pStyle w:val="Style1"/>
        <w:numPr>
          <w:ilvl w:val="0"/>
          <w:numId w:val="0"/>
        </w:numPr>
        <w:rPr>
          <w:rFonts w:ascii="Verdana" w:hAnsi="Verdana"/>
          <w:sz w:val="22"/>
          <w:szCs w:val="22"/>
        </w:rPr>
      </w:pPr>
      <w:r w:rsidRPr="00F146A6">
        <w:rPr>
          <w:rFonts w:ascii="Verdana" w:hAnsi="Verdana"/>
          <w:sz w:val="22"/>
          <w:szCs w:val="22"/>
        </w:rPr>
        <w:t>Income and Expenditure Recognition</w:t>
      </w:r>
    </w:p>
    <w:p w14:paraId="0DAF830C" w14:textId="77777777" w:rsidR="003E44C5" w:rsidRPr="00F146A6" w:rsidRDefault="003E44C5" w:rsidP="003E44C5">
      <w:pPr>
        <w:pStyle w:val="Style1"/>
        <w:numPr>
          <w:ilvl w:val="0"/>
          <w:numId w:val="0"/>
        </w:numPr>
        <w:rPr>
          <w:rFonts w:ascii="Verdana" w:hAnsi="Verdana"/>
          <w:sz w:val="22"/>
          <w:szCs w:val="22"/>
          <w:u w:val="single"/>
        </w:rPr>
      </w:pPr>
    </w:p>
    <w:p w14:paraId="21431E08"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 xml:space="preserve">Revenue (Income) is measured at the fair value of the consideration received or receivable and represents the amounts receivable for goods or services provided in the normal course of business less discounts and VAT.  </w:t>
      </w:r>
    </w:p>
    <w:p w14:paraId="26E3D500" w14:textId="77777777" w:rsidR="003E44C5" w:rsidRPr="00F146A6" w:rsidRDefault="003E44C5" w:rsidP="003E44C5">
      <w:pPr>
        <w:jc w:val="both"/>
        <w:rPr>
          <w:rFonts w:ascii="Verdana" w:hAnsi="Verdana" w:cs="Arial"/>
          <w:sz w:val="22"/>
          <w:szCs w:val="22"/>
        </w:rPr>
      </w:pPr>
    </w:p>
    <w:p w14:paraId="0D6F2E68"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Revenue is recognised when goods are delivered and title has passed.  The provision of services contains many accounting aspects and revenue is only recognised when all related work has been completed or when the percentage of completion of the transaction can be reliably measured and it is probable that economic benefits or service potential associated with the transaction will flow to the PCC and group.  Whilst all income is received by the PCC and all expenditure is paid for by the PCC including wages of police staff and officers, the actual recognition in the respective Police and Crime Commissioner and Chief Constable Accounts is based on economic benefit.</w:t>
      </w:r>
    </w:p>
    <w:p w14:paraId="7D53F13E" w14:textId="77777777" w:rsidR="003E44C5" w:rsidRPr="00F146A6" w:rsidRDefault="003E44C5" w:rsidP="003E44C5">
      <w:pPr>
        <w:jc w:val="both"/>
        <w:rPr>
          <w:rFonts w:ascii="Verdana" w:hAnsi="Verdana" w:cs="Arial"/>
          <w:sz w:val="22"/>
          <w:szCs w:val="22"/>
        </w:rPr>
      </w:pPr>
    </w:p>
    <w:p w14:paraId="185AD0D6"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Supplies are recorded as expenditure when they are consumed – where there is a gap between the date on which supplies are received and when they are consumed, they are carried as inventories or stocks on the Balance Sheet.</w:t>
      </w:r>
    </w:p>
    <w:p w14:paraId="6F0A5836" w14:textId="77777777" w:rsidR="003E44C5" w:rsidRPr="00F146A6" w:rsidRDefault="003E44C5" w:rsidP="003E44C5">
      <w:pPr>
        <w:jc w:val="both"/>
        <w:rPr>
          <w:rFonts w:ascii="Verdana" w:hAnsi="Verdana" w:cs="Arial"/>
          <w:sz w:val="22"/>
          <w:szCs w:val="22"/>
        </w:rPr>
      </w:pPr>
    </w:p>
    <w:p w14:paraId="7AE711D7"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Income and Expenditure are credited and debited to the relevant revenue account, unless they properly represent capital receipts or capital expenditure.  Works of a capital nature are charged as capital expenditure when they are completed, before which they are carried as Assets Under Construction on the Balance Sheet.</w:t>
      </w:r>
    </w:p>
    <w:p w14:paraId="0DA4599F" w14:textId="77777777" w:rsidR="003E44C5" w:rsidRPr="00F146A6" w:rsidRDefault="003E44C5" w:rsidP="003E44C5">
      <w:pPr>
        <w:jc w:val="both"/>
        <w:rPr>
          <w:rFonts w:ascii="Verdana" w:hAnsi="Verdana" w:cs="Arial"/>
          <w:sz w:val="22"/>
          <w:szCs w:val="22"/>
        </w:rPr>
      </w:pPr>
    </w:p>
    <w:p w14:paraId="750EED9E"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Activity is accounted for in the year that it takes place, not simply when cash payments are made or received, thus the accounts reflect the normal accruals concept for both capital and revenue.  Exceptions to this can be made for utilities (gas, electricity, telephones, etc.), where invoices may be accounted for in the year they fall, providing that only four quarterly or twelve monthly invoices are charged in any one year.</w:t>
      </w:r>
    </w:p>
    <w:p w14:paraId="58BEC3D4" w14:textId="77777777" w:rsidR="003E44C5" w:rsidRPr="00F146A6" w:rsidRDefault="003E44C5" w:rsidP="003E44C5">
      <w:pPr>
        <w:jc w:val="both"/>
        <w:rPr>
          <w:rFonts w:ascii="Verdana" w:hAnsi="Verdana" w:cs="Arial"/>
          <w:sz w:val="22"/>
          <w:szCs w:val="22"/>
        </w:rPr>
      </w:pPr>
    </w:p>
    <w:p w14:paraId="296B788E"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Where revenue or expenditure have been recognised by cash has not been received or paid, a debtor or creditor for the relevant amount is recorded in the Balance Sheet.  Creditors are included within the Balance Sheet for goods and services received and risks and rewards of ownership transferred, but not paid for at the year end.  Debtors are included within the Balance Sheet where services have been provided but not yet reimbursed at the year end.</w:t>
      </w:r>
    </w:p>
    <w:p w14:paraId="1AFC9F94" w14:textId="77777777" w:rsidR="003E44C5" w:rsidRPr="00F146A6" w:rsidRDefault="003E44C5" w:rsidP="003E44C5">
      <w:pPr>
        <w:jc w:val="both"/>
        <w:rPr>
          <w:rFonts w:ascii="Verdana" w:hAnsi="Verdana" w:cs="Arial"/>
          <w:sz w:val="22"/>
          <w:szCs w:val="22"/>
        </w:rPr>
      </w:pPr>
    </w:p>
    <w:p w14:paraId="6882A8E3" w14:textId="77777777" w:rsidR="003E44C5" w:rsidRPr="00F146A6" w:rsidRDefault="003E44C5" w:rsidP="003E44C5">
      <w:pPr>
        <w:jc w:val="both"/>
        <w:rPr>
          <w:rFonts w:ascii="Verdana" w:hAnsi="Verdana" w:cs="Arial"/>
          <w:sz w:val="22"/>
          <w:szCs w:val="22"/>
        </w:rPr>
      </w:pPr>
      <w:r w:rsidRPr="00F146A6">
        <w:rPr>
          <w:rFonts w:ascii="Verdana" w:hAnsi="Verdana" w:cs="Arial"/>
          <w:sz w:val="22"/>
          <w:szCs w:val="22"/>
        </w:rPr>
        <w:t xml:space="preserve">The above recognition policy complies with IFRS 15 </w:t>
      </w:r>
      <w:r w:rsidRPr="00F146A6">
        <w:rPr>
          <w:rFonts w:ascii="Verdana" w:hAnsi="Verdana" w:cs="Arial"/>
          <w:i/>
          <w:sz w:val="22"/>
          <w:szCs w:val="22"/>
        </w:rPr>
        <w:t>Revenue from Contracts with Customers</w:t>
      </w:r>
      <w:r w:rsidRPr="00F146A6">
        <w:rPr>
          <w:rFonts w:ascii="Verdana" w:hAnsi="Verdana" w:cs="Arial"/>
          <w:sz w:val="22"/>
          <w:szCs w:val="22"/>
        </w:rPr>
        <w:t>.</w:t>
      </w:r>
    </w:p>
    <w:p w14:paraId="7795E82D" w14:textId="77777777" w:rsidR="003E44C5" w:rsidRPr="00F146A6" w:rsidRDefault="003E44C5" w:rsidP="003E44C5">
      <w:pPr>
        <w:jc w:val="both"/>
        <w:rPr>
          <w:rFonts w:ascii="Verdana" w:hAnsi="Verdana" w:cs="Arial"/>
          <w:sz w:val="22"/>
          <w:szCs w:val="22"/>
        </w:rPr>
      </w:pPr>
    </w:p>
    <w:p w14:paraId="4CF8ECC6" w14:textId="77777777" w:rsidR="00F146A6" w:rsidRPr="00F146A6" w:rsidRDefault="00F146A6" w:rsidP="00F146A6">
      <w:pPr>
        <w:pStyle w:val="Style1"/>
        <w:numPr>
          <w:ilvl w:val="0"/>
          <w:numId w:val="0"/>
        </w:numPr>
        <w:ind w:left="2552" w:hanging="2552"/>
        <w:rPr>
          <w:rFonts w:ascii="Verdana" w:hAnsi="Verdana"/>
          <w:sz w:val="22"/>
          <w:szCs w:val="22"/>
        </w:rPr>
      </w:pPr>
      <w:r w:rsidRPr="00F146A6">
        <w:rPr>
          <w:rFonts w:ascii="Verdana" w:hAnsi="Verdana"/>
          <w:sz w:val="22"/>
          <w:szCs w:val="22"/>
        </w:rPr>
        <w:t>Prior Period Adjustments, Changes in Accounting Policies and Estimates and Errors</w:t>
      </w:r>
    </w:p>
    <w:p w14:paraId="04A04D76" w14:textId="77777777" w:rsidR="00F146A6" w:rsidRPr="00F146A6" w:rsidRDefault="00F146A6" w:rsidP="00F146A6">
      <w:pPr>
        <w:jc w:val="both"/>
        <w:rPr>
          <w:rFonts w:ascii="Verdana" w:hAnsi="Verdana" w:cs="Arial"/>
          <w:sz w:val="22"/>
          <w:szCs w:val="22"/>
        </w:rPr>
      </w:pPr>
    </w:p>
    <w:p w14:paraId="14C86011" w14:textId="77777777" w:rsidR="00F146A6" w:rsidRPr="00F146A6" w:rsidRDefault="00F146A6" w:rsidP="00F146A6">
      <w:pPr>
        <w:jc w:val="both"/>
        <w:rPr>
          <w:rFonts w:ascii="Verdana" w:hAnsi="Verdana" w:cs="Arial"/>
          <w:sz w:val="22"/>
          <w:szCs w:val="22"/>
        </w:rPr>
      </w:pPr>
      <w:r w:rsidRPr="00F146A6">
        <w:rPr>
          <w:rFonts w:ascii="Verdana" w:hAnsi="Verdana" w:cs="Arial"/>
          <w:sz w:val="22"/>
          <w:szCs w:val="22"/>
        </w:rPr>
        <w:t>Prior period adjustments arise as a result of a change in accounting policies or to correct a material error. Changes in accounting estimates are accounted for prospectively, i.e. in the current and future years affected by the change and do not give rise to a prior period adjustment.</w:t>
      </w:r>
    </w:p>
    <w:p w14:paraId="661A287E" w14:textId="77777777" w:rsidR="00F146A6" w:rsidRPr="00F146A6" w:rsidRDefault="00F146A6" w:rsidP="00F146A6">
      <w:pPr>
        <w:jc w:val="both"/>
        <w:rPr>
          <w:rFonts w:ascii="Verdana" w:hAnsi="Verdana" w:cs="Arial"/>
          <w:sz w:val="22"/>
          <w:szCs w:val="22"/>
        </w:rPr>
      </w:pPr>
    </w:p>
    <w:p w14:paraId="14904C15" w14:textId="77777777" w:rsidR="00F146A6" w:rsidRPr="00F146A6" w:rsidRDefault="00F146A6" w:rsidP="00F146A6">
      <w:pPr>
        <w:jc w:val="both"/>
        <w:rPr>
          <w:rFonts w:ascii="Verdana" w:hAnsi="Verdana" w:cs="Arial"/>
          <w:sz w:val="22"/>
          <w:szCs w:val="22"/>
        </w:rPr>
      </w:pPr>
      <w:r w:rsidRPr="00F146A6">
        <w:rPr>
          <w:rFonts w:ascii="Verdana" w:hAnsi="Verdana" w:cs="Arial"/>
          <w:sz w:val="22"/>
          <w:szCs w:val="22"/>
        </w:rPr>
        <w:t>Changes in accounting policies are only made when required by proper accounting practices or the change provides more reliable or relevant information about the effect of transactions, other events and conditions on the Chief Constable’s financial position or financial performance. Where a change is made, it is applied retrospectively by adjusting opening balances and comparative amounts for the prior period as if the new policy had always been applied.</w:t>
      </w:r>
    </w:p>
    <w:p w14:paraId="7EC38117" w14:textId="77777777" w:rsidR="00F146A6" w:rsidRPr="00F146A6" w:rsidRDefault="00F146A6" w:rsidP="00F146A6">
      <w:pPr>
        <w:jc w:val="both"/>
        <w:rPr>
          <w:rFonts w:ascii="Verdana" w:hAnsi="Verdana" w:cs="Arial"/>
          <w:sz w:val="22"/>
          <w:szCs w:val="22"/>
        </w:rPr>
      </w:pPr>
    </w:p>
    <w:p w14:paraId="2D3C49CA" w14:textId="77777777" w:rsidR="00F146A6" w:rsidRPr="00F146A6" w:rsidRDefault="00F146A6" w:rsidP="00F146A6">
      <w:pPr>
        <w:jc w:val="both"/>
        <w:rPr>
          <w:rFonts w:ascii="Verdana" w:hAnsi="Verdana" w:cs="Arial"/>
          <w:sz w:val="22"/>
          <w:szCs w:val="22"/>
        </w:rPr>
      </w:pPr>
      <w:r w:rsidRPr="00F146A6">
        <w:rPr>
          <w:rFonts w:ascii="Verdana" w:hAnsi="Verdana" w:cs="Arial"/>
          <w:sz w:val="22"/>
          <w:szCs w:val="22"/>
        </w:rPr>
        <w:t>Material errors discovered in prior period figures are corrected retrospectively by amending opening balances and comparative amounts for the prior period.</w:t>
      </w:r>
    </w:p>
    <w:p w14:paraId="7CE79CBA" w14:textId="77777777" w:rsidR="00F146A6" w:rsidRPr="00F146A6" w:rsidRDefault="00F146A6" w:rsidP="00F146A6">
      <w:pPr>
        <w:jc w:val="both"/>
        <w:rPr>
          <w:rFonts w:ascii="Verdana" w:hAnsi="Verdana" w:cs="Arial"/>
          <w:b/>
          <w:sz w:val="22"/>
          <w:szCs w:val="22"/>
        </w:rPr>
      </w:pPr>
    </w:p>
    <w:p w14:paraId="5C747D4F" w14:textId="77777777" w:rsidR="00F146A6" w:rsidRPr="00F146A6" w:rsidRDefault="00F146A6" w:rsidP="00F146A6">
      <w:pPr>
        <w:jc w:val="both"/>
        <w:rPr>
          <w:rFonts w:ascii="Verdana" w:hAnsi="Verdana" w:cs="Arial"/>
          <w:b/>
          <w:sz w:val="22"/>
          <w:szCs w:val="22"/>
        </w:rPr>
      </w:pPr>
      <w:r w:rsidRPr="00F146A6">
        <w:rPr>
          <w:rFonts w:ascii="Verdana" w:hAnsi="Verdana" w:cs="Arial"/>
          <w:b/>
          <w:sz w:val="22"/>
          <w:szCs w:val="22"/>
        </w:rPr>
        <w:t>Events after the Balance Sheet</w:t>
      </w:r>
    </w:p>
    <w:p w14:paraId="7BF835B5" w14:textId="77777777" w:rsidR="00F146A6" w:rsidRPr="00F146A6" w:rsidRDefault="00F146A6" w:rsidP="00F146A6">
      <w:pPr>
        <w:jc w:val="both"/>
        <w:rPr>
          <w:rFonts w:ascii="Verdana" w:hAnsi="Verdana" w:cs="Arial"/>
          <w:sz w:val="22"/>
          <w:szCs w:val="22"/>
        </w:rPr>
      </w:pPr>
    </w:p>
    <w:p w14:paraId="7C31642D" w14:textId="77777777" w:rsidR="00F146A6" w:rsidRPr="00F146A6" w:rsidRDefault="00F146A6" w:rsidP="00F146A6">
      <w:pPr>
        <w:jc w:val="both"/>
        <w:rPr>
          <w:rFonts w:ascii="Verdana" w:hAnsi="Verdana" w:cs="Arial"/>
          <w:sz w:val="22"/>
          <w:szCs w:val="22"/>
        </w:rPr>
      </w:pPr>
      <w:r w:rsidRPr="00F146A6">
        <w:rPr>
          <w:rFonts w:ascii="Verdana" w:hAnsi="Verdana" w:cs="Arial"/>
          <w:sz w:val="22"/>
          <w:szCs w:val="22"/>
        </w:rPr>
        <w:t>Events after the Balance Sheet date are those events, both favourable and unfavourable, that occur between the end of the reporting period and the date when the Statement of Accounts is authorised for issue. Two types of events can be identified:</w:t>
      </w:r>
    </w:p>
    <w:p w14:paraId="0DDD0345" w14:textId="77777777" w:rsidR="00F146A6" w:rsidRPr="00F146A6" w:rsidRDefault="00F146A6" w:rsidP="00F146A6">
      <w:pPr>
        <w:jc w:val="both"/>
        <w:rPr>
          <w:rFonts w:ascii="Verdana" w:hAnsi="Verdana" w:cs="Arial"/>
          <w:sz w:val="22"/>
          <w:szCs w:val="22"/>
        </w:rPr>
      </w:pPr>
    </w:p>
    <w:p w14:paraId="72D31759" w14:textId="77777777" w:rsidR="00F146A6" w:rsidRPr="00F146A6" w:rsidRDefault="00F146A6" w:rsidP="00F146A6">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t>those that provide evidence of conditions that existed at the end of the reporting period the Statement of Accounts is adjusted to reflect such events</w:t>
      </w:r>
    </w:p>
    <w:p w14:paraId="2733B4C2" w14:textId="77777777" w:rsidR="00F146A6" w:rsidRPr="00F146A6" w:rsidRDefault="00F146A6" w:rsidP="00F146A6">
      <w:pPr>
        <w:jc w:val="both"/>
        <w:rPr>
          <w:rFonts w:ascii="Verdana" w:hAnsi="Verdana" w:cs="Arial"/>
          <w:sz w:val="22"/>
          <w:szCs w:val="22"/>
        </w:rPr>
      </w:pPr>
    </w:p>
    <w:p w14:paraId="05AA4109" w14:textId="77777777" w:rsidR="00F146A6" w:rsidRPr="00F146A6" w:rsidRDefault="00F146A6" w:rsidP="00F146A6">
      <w:pPr>
        <w:ind w:left="720" w:hanging="720"/>
        <w:jc w:val="both"/>
        <w:rPr>
          <w:rFonts w:ascii="Verdana" w:hAnsi="Verdana" w:cs="Arial"/>
          <w:sz w:val="22"/>
          <w:szCs w:val="22"/>
        </w:rPr>
      </w:pPr>
      <w:r w:rsidRPr="00F146A6">
        <w:rPr>
          <w:rFonts w:ascii="Verdana" w:hAnsi="Verdana" w:cs="Arial"/>
          <w:sz w:val="22"/>
          <w:szCs w:val="22"/>
        </w:rPr>
        <w:t>•</w:t>
      </w:r>
      <w:r w:rsidRPr="00F146A6">
        <w:rPr>
          <w:rFonts w:ascii="Verdana" w:hAnsi="Verdana" w:cs="Arial"/>
          <w:sz w:val="22"/>
          <w:szCs w:val="22"/>
        </w:rPr>
        <w:tab/>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14:paraId="6F8D9F7A" w14:textId="77777777" w:rsidR="00F146A6" w:rsidRPr="00F146A6" w:rsidRDefault="00F146A6" w:rsidP="00F146A6">
      <w:pPr>
        <w:jc w:val="both"/>
        <w:rPr>
          <w:rFonts w:ascii="Verdana" w:hAnsi="Verdana" w:cs="Arial"/>
          <w:sz w:val="22"/>
          <w:szCs w:val="22"/>
        </w:rPr>
      </w:pPr>
    </w:p>
    <w:p w14:paraId="272C07C7" w14:textId="77777777" w:rsidR="00F146A6" w:rsidRPr="00F146A6" w:rsidRDefault="00F146A6" w:rsidP="00F146A6">
      <w:pPr>
        <w:jc w:val="both"/>
        <w:rPr>
          <w:rFonts w:ascii="Verdana" w:hAnsi="Verdana" w:cs="Arial"/>
          <w:sz w:val="22"/>
          <w:szCs w:val="22"/>
        </w:rPr>
      </w:pPr>
      <w:r w:rsidRPr="00F146A6">
        <w:rPr>
          <w:rFonts w:ascii="Verdana" w:hAnsi="Verdana" w:cs="Arial"/>
          <w:sz w:val="22"/>
          <w:szCs w:val="22"/>
        </w:rPr>
        <w:t>Events taking place after the date of authorisation for issue are not reflected in the Statement of Accounts.</w:t>
      </w:r>
    </w:p>
    <w:p w14:paraId="5F332BE4" w14:textId="77777777" w:rsidR="00F146A6" w:rsidRPr="00F146A6" w:rsidRDefault="00F146A6" w:rsidP="00F146A6">
      <w:pPr>
        <w:jc w:val="both"/>
        <w:rPr>
          <w:rFonts w:ascii="Verdana" w:hAnsi="Verdana" w:cs="Arial"/>
          <w:sz w:val="22"/>
          <w:szCs w:val="22"/>
        </w:rPr>
      </w:pPr>
    </w:p>
    <w:p w14:paraId="4927B86C" w14:textId="77777777" w:rsidR="00F146A6" w:rsidRPr="00F146A6" w:rsidRDefault="00F146A6" w:rsidP="00F146A6">
      <w:pPr>
        <w:spacing w:line="256" w:lineRule="auto"/>
        <w:jc w:val="both"/>
        <w:rPr>
          <w:rFonts w:ascii="Verdana" w:hAnsi="Verdana"/>
          <w:b/>
          <w:sz w:val="22"/>
          <w:szCs w:val="22"/>
          <w:lang w:val="en-GB"/>
        </w:rPr>
      </w:pPr>
      <w:r w:rsidRPr="00F146A6">
        <w:rPr>
          <w:rFonts w:ascii="Verdana" w:hAnsi="Verdana"/>
          <w:b/>
          <w:sz w:val="22"/>
          <w:szCs w:val="22"/>
          <w:lang w:val="en-GB"/>
        </w:rPr>
        <w:t>Jointly Controlled Operations and Jointly Controlled Assets</w:t>
      </w:r>
    </w:p>
    <w:p w14:paraId="13DAE4F9" w14:textId="77777777" w:rsidR="00F146A6" w:rsidRPr="00F146A6" w:rsidRDefault="00F146A6" w:rsidP="00F146A6">
      <w:pPr>
        <w:spacing w:line="256" w:lineRule="auto"/>
        <w:jc w:val="both"/>
        <w:rPr>
          <w:rFonts w:ascii="Verdana" w:hAnsi="Verdana"/>
          <w:sz w:val="22"/>
          <w:szCs w:val="22"/>
          <w:lang w:val="en-GB"/>
        </w:rPr>
      </w:pPr>
    </w:p>
    <w:p w14:paraId="4F8EE0D9" w14:textId="77777777" w:rsidR="00F146A6" w:rsidRPr="00F146A6" w:rsidRDefault="00F146A6" w:rsidP="00F146A6">
      <w:pPr>
        <w:spacing w:line="256" w:lineRule="auto"/>
        <w:jc w:val="both"/>
        <w:rPr>
          <w:rFonts w:ascii="Verdana" w:hAnsi="Verdana" w:cs="Arial"/>
          <w:sz w:val="22"/>
          <w:szCs w:val="22"/>
          <w:lang w:val="en-GB"/>
        </w:rPr>
      </w:pPr>
      <w:r w:rsidRPr="00F146A6">
        <w:rPr>
          <w:rFonts w:ascii="Verdana" w:hAnsi="Verdana" w:cs="Arial"/>
          <w:sz w:val="22"/>
          <w:szCs w:val="22"/>
          <w:lang w:val="en-GB"/>
        </w:rPr>
        <w:t>Joint operations are arrangements where the parties that have joint control of the arrangement have rights to the assets and obligations for the liabilities relating to the arrangement. Activities undertaken in conjunction with other joint operators involve the use of the assets and resources of those joint operators. In relation to its interest in a joint operation, the PCC/Group recognises the following as a joint operator:</w:t>
      </w:r>
    </w:p>
    <w:p w14:paraId="3754CE1B" w14:textId="77777777" w:rsidR="00F146A6" w:rsidRPr="00F146A6" w:rsidRDefault="00F146A6" w:rsidP="00F146A6">
      <w:pPr>
        <w:spacing w:line="256" w:lineRule="auto"/>
        <w:jc w:val="both"/>
        <w:rPr>
          <w:rFonts w:ascii="Verdana" w:hAnsi="Verdana"/>
          <w:sz w:val="22"/>
          <w:szCs w:val="22"/>
          <w:lang w:val="en-GB"/>
        </w:rPr>
      </w:pPr>
    </w:p>
    <w:p w14:paraId="4B73C384" w14:textId="77777777" w:rsidR="00F146A6" w:rsidRPr="00F146A6" w:rsidRDefault="00F146A6" w:rsidP="00F146A6">
      <w:pPr>
        <w:numPr>
          <w:ilvl w:val="0"/>
          <w:numId w:val="2"/>
        </w:numPr>
        <w:ind w:left="357" w:hanging="357"/>
        <w:contextualSpacing/>
        <w:jc w:val="both"/>
        <w:rPr>
          <w:rFonts w:ascii="Verdana" w:eastAsia="Times New Roman" w:hAnsi="Verdana" w:cs="Arial"/>
          <w:sz w:val="22"/>
          <w:szCs w:val="22"/>
          <w:lang w:val="en-GB" w:eastAsia="en-GB"/>
        </w:rPr>
      </w:pPr>
      <w:r w:rsidRPr="00F146A6">
        <w:rPr>
          <w:rFonts w:ascii="Verdana" w:eastAsia="Times New Roman" w:hAnsi="Verdana" w:cs="Arial"/>
          <w:sz w:val="22"/>
          <w:szCs w:val="22"/>
          <w:lang w:val="en-GB" w:eastAsia="en-GB"/>
        </w:rPr>
        <w:t xml:space="preserve">Its assets, including its share of any assets held jointly </w:t>
      </w:r>
    </w:p>
    <w:p w14:paraId="33207366" w14:textId="77777777" w:rsidR="00F146A6" w:rsidRPr="00F146A6" w:rsidRDefault="00F146A6" w:rsidP="00F146A6">
      <w:pPr>
        <w:numPr>
          <w:ilvl w:val="0"/>
          <w:numId w:val="2"/>
        </w:numPr>
        <w:ind w:left="357" w:hanging="357"/>
        <w:contextualSpacing/>
        <w:jc w:val="both"/>
        <w:rPr>
          <w:rFonts w:ascii="Verdana" w:eastAsia="Times New Roman" w:hAnsi="Verdana" w:cs="Arial"/>
          <w:sz w:val="22"/>
          <w:szCs w:val="22"/>
          <w:lang w:val="en-GB" w:eastAsia="en-GB"/>
        </w:rPr>
      </w:pPr>
      <w:r w:rsidRPr="00F146A6">
        <w:rPr>
          <w:rFonts w:ascii="Verdana" w:eastAsia="Times New Roman" w:hAnsi="Verdana" w:cs="Arial"/>
          <w:sz w:val="22"/>
          <w:szCs w:val="22"/>
          <w:lang w:val="en-GB" w:eastAsia="en-GB"/>
        </w:rPr>
        <w:t>Its liabilities, including its share of any liabilities incurred jointly</w:t>
      </w:r>
    </w:p>
    <w:p w14:paraId="7EF7DEBA" w14:textId="77777777" w:rsidR="00F146A6" w:rsidRPr="00F146A6" w:rsidRDefault="00F146A6" w:rsidP="00F146A6">
      <w:pPr>
        <w:numPr>
          <w:ilvl w:val="0"/>
          <w:numId w:val="2"/>
        </w:numPr>
        <w:ind w:left="357" w:hanging="357"/>
        <w:contextualSpacing/>
        <w:jc w:val="both"/>
        <w:rPr>
          <w:rFonts w:ascii="Verdana" w:eastAsia="Times New Roman" w:hAnsi="Verdana" w:cs="Arial"/>
          <w:sz w:val="22"/>
          <w:szCs w:val="22"/>
          <w:lang w:val="en-GB" w:eastAsia="en-GB"/>
        </w:rPr>
      </w:pPr>
      <w:r w:rsidRPr="00F146A6">
        <w:rPr>
          <w:rFonts w:ascii="Verdana" w:eastAsia="Times New Roman" w:hAnsi="Verdana" w:cs="Arial"/>
          <w:sz w:val="22"/>
          <w:szCs w:val="22"/>
          <w:lang w:val="en-GB" w:eastAsia="en-GB"/>
        </w:rPr>
        <w:t>Its revenue from the sale of its share of the output arising from the joint operation</w:t>
      </w:r>
    </w:p>
    <w:p w14:paraId="06287B23" w14:textId="77777777" w:rsidR="00F146A6" w:rsidRPr="00F146A6" w:rsidRDefault="00F146A6" w:rsidP="00F146A6">
      <w:pPr>
        <w:numPr>
          <w:ilvl w:val="0"/>
          <w:numId w:val="2"/>
        </w:numPr>
        <w:ind w:left="357" w:hanging="357"/>
        <w:contextualSpacing/>
        <w:jc w:val="both"/>
        <w:rPr>
          <w:rFonts w:ascii="Verdana" w:eastAsia="Times New Roman" w:hAnsi="Verdana" w:cs="Arial"/>
          <w:sz w:val="22"/>
          <w:szCs w:val="22"/>
          <w:lang w:val="en-GB" w:eastAsia="en-GB"/>
        </w:rPr>
      </w:pPr>
      <w:r w:rsidRPr="00F146A6">
        <w:rPr>
          <w:rFonts w:ascii="Verdana" w:eastAsia="Times New Roman" w:hAnsi="Verdana" w:cs="Arial"/>
          <w:sz w:val="22"/>
          <w:szCs w:val="22"/>
          <w:lang w:val="en-GB" w:eastAsia="en-GB"/>
        </w:rPr>
        <w:t>Its share of the revenue from the sale of the output by the joint operation</w:t>
      </w:r>
    </w:p>
    <w:p w14:paraId="5A08A10A" w14:textId="77777777" w:rsidR="00F146A6" w:rsidRPr="00F146A6" w:rsidRDefault="00F146A6" w:rsidP="00F146A6">
      <w:pPr>
        <w:numPr>
          <w:ilvl w:val="0"/>
          <w:numId w:val="2"/>
        </w:numPr>
        <w:ind w:left="357" w:hanging="357"/>
        <w:contextualSpacing/>
        <w:jc w:val="both"/>
        <w:rPr>
          <w:rFonts w:ascii="Verdana" w:eastAsia="Times New Roman" w:hAnsi="Verdana" w:cs="Arial"/>
          <w:sz w:val="22"/>
          <w:szCs w:val="22"/>
          <w:lang w:val="en-GB" w:eastAsia="en-GB"/>
        </w:rPr>
      </w:pPr>
      <w:r w:rsidRPr="00F146A6">
        <w:rPr>
          <w:rFonts w:ascii="Verdana" w:eastAsia="Times New Roman" w:hAnsi="Verdana" w:cs="Arial"/>
          <w:sz w:val="22"/>
          <w:szCs w:val="22"/>
          <w:lang w:val="en-GB" w:eastAsia="en-GB"/>
        </w:rPr>
        <w:t>Its expenses, including its share of any expenses incurred jointly</w:t>
      </w:r>
    </w:p>
    <w:p w14:paraId="1816E6BC" w14:textId="77777777" w:rsidR="00F146A6" w:rsidRPr="00F146A6" w:rsidRDefault="00F146A6" w:rsidP="00F146A6">
      <w:pPr>
        <w:spacing w:line="256" w:lineRule="auto"/>
        <w:jc w:val="both"/>
        <w:rPr>
          <w:rFonts w:ascii="Verdana" w:hAnsi="Verdana"/>
          <w:b/>
          <w:sz w:val="22"/>
          <w:szCs w:val="22"/>
          <w:lang w:val="en-GB"/>
        </w:rPr>
      </w:pPr>
    </w:p>
    <w:p w14:paraId="419E7591" w14:textId="77777777" w:rsidR="00B631B1" w:rsidRPr="00B631B1" w:rsidRDefault="00B631B1" w:rsidP="00B631B1">
      <w:pPr>
        <w:spacing w:line="256" w:lineRule="auto"/>
        <w:jc w:val="both"/>
        <w:rPr>
          <w:rFonts w:ascii="Verdana" w:hAnsi="Verdana"/>
          <w:b/>
          <w:sz w:val="22"/>
          <w:szCs w:val="22"/>
          <w:lang w:val="en-GB"/>
        </w:rPr>
      </w:pPr>
      <w:r w:rsidRPr="00B631B1">
        <w:rPr>
          <w:rFonts w:ascii="Verdana" w:hAnsi="Verdana"/>
          <w:b/>
          <w:sz w:val="22"/>
          <w:szCs w:val="22"/>
          <w:lang w:val="en-GB"/>
        </w:rPr>
        <w:t>Debts Outstanding</w:t>
      </w:r>
    </w:p>
    <w:p w14:paraId="77110926" w14:textId="77777777" w:rsidR="00B631B1" w:rsidRPr="00B631B1" w:rsidRDefault="00B631B1" w:rsidP="00B631B1">
      <w:pPr>
        <w:spacing w:line="256" w:lineRule="auto"/>
        <w:jc w:val="both"/>
        <w:rPr>
          <w:rFonts w:ascii="Verdana" w:hAnsi="Verdana"/>
          <w:sz w:val="22"/>
          <w:szCs w:val="22"/>
          <w:lang w:val="en-GB"/>
        </w:rPr>
      </w:pPr>
    </w:p>
    <w:p w14:paraId="6398EFF6" w14:textId="77777777" w:rsidR="00B631B1" w:rsidRPr="00B631B1" w:rsidRDefault="00B631B1" w:rsidP="00B631B1">
      <w:pPr>
        <w:spacing w:line="256" w:lineRule="auto"/>
        <w:jc w:val="both"/>
        <w:rPr>
          <w:rFonts w:ascii="Verdana" w:hAnsi="Verdana" w:cs="Arial"/>
          <w:sz w:val="22"/>
          <w:szCs w:val="22"/>
          <w:lang w:val="en-GB"/>
        </w:rPr>
      </w:pPr>
      <w:r w:rsidRPr="00B631B1">
        <w:rPr>
          <w:rFonts w:ascii="Verdana" w:hAnsi="Verdana" w:cs="Arial"/>
          <w:sz w:val="22"/>
          <w:szCs w:val="22"/>
          <w:lang w:val="en-GB"/>
        </w:rPr>
        <w:t>Income is accounted for on an accruals basis.  Debts that cannot be collected are written off via the Comprehensive Income and Expenditure Statement to the command team or department that raised the debt.  The level of any bad debt provision is reviewed annually.</w:t>
      </w:r>
    </w:p>
    <w:p w14:paraId="7D3AA5A0" w14:textId="77777777" w:rsidR="00B631B1" w:rsidRPr="00B631B1" w:rsidRDefault="00B631B1" w:rsidP="00B631B1">
      <w:pPr>
        <w:spacing w:line="256" w:lineRule="auto"/>
        <w:jc w:val="both"/>
        <w:rPr>
          <w:rFonts w:ascii="Verdana" w:hAnsi="Verdana" w:cs="Arial"/>
          <w:sz w:val="22"/>
          <w:szCs w:val="22"/>
          <w:lang w:val="en-GB"/>
        </w:rPr>
      </w:pPr>
    </w:p>
    <w:p w14:paraId="4DF0F598" w14:textId="77777777" w:rsidR="00B631B1" w:rsidRPr="00B631B1" w:rsidRDefault="00B631B1" w:rsidP="00B631B1">
      <w:pPr>
        <w:spacing w:line="256" w:lineRule="auto"/>
        <w:jc w:val="both"/>
        <w:rPr>
          <w:rFonts w:ascii="Verdana" w:hAnsi="Verdana" w:cs="Arial"/>
          <w:sz w:val="22"/>
          <w:szCs w:val="22"/>
          <w:lang w:val="en-GB"/>
        </w:rPr>
      </w:pPr>
      <w:r w:rsidRPr="00B631B1">
        <w:rPr>
          <w:rFonts w:ascii="Verdana" w:hAnsi="Verdana" w:cs="Arial"/>
          <w:sz w:val="22"/>
          <w:szCs w:val="22"/>
          <w:lang w:val="en-GB"/>
        </w:rPr>
        <w:t xml:space="preserve">The writing off of bad debt can be authorised by either the PCC’s CFO or the CC’s Executive Director of Commercial &amp; Finance Services in respect of their own corporations up to a value of £10,000 for individual bad debt cases and £25,000 cumulatively in any one financial year.  The write off of bad debts greater than these limits requires the approval of both CC’s Executive Director of Commercial &amp; Finance Services and PCC’s CFO up to a maximum of a cumulative value of £50,000 in any one financial year. The PCC will approve where appropriate the writing off of debts in excess of the CFOs delegated authority. </w:t>
      </w:r>
    </w:p>
    <w:p w14:paraId="300A9579" w14:textId="77777777" w:rsidR="00B631B1" w:rsidRPr="00B631B1" w:rsidRDefault="00B631B1" w:rsidP="00B631B1">
      <w:pPr>
        <w:spacing w:line="256" w:lineRule="auto"/>
        <w:jc w:val="both"/>
        <w:rPr>
          <w:rFonts w:ascii="Verdana" w:hAnsi="Verdana"/>
          <w:b/>
          <w:sz w:val="22"/>
          <w:szCs w:val="22"/>
          <w:lang w:val="en-GB"/>
        </w:rPr>
      </w:pPr>
    </w:p>
    <w:p w14:paraId="211500DA" w14:textId="77777777" w:rsidR="00B631B1" w:rsidRPr="00B631B1" w:rsidRDefault="00B631B1" w:rsidP="00B631B1">
      <w:pPr>
        <w:jc w:val="both"/>
        <w:rPr>
          <w:rFonts w:ascii="Verdana" w:hAnsi="Verdana" w:cs="Arial"/>
          <w:b/>
          <w:sz w:val="22"/>
          <w:szCs w:val="22"/>
        </w:rPr>
      </w:pPr>
      <w:r w:rsidRPr="00B631B1">
        <w:rPr>
          <w:rFonts w:ascii="Verdana" w:hAnsi="Verdana" w:cs="Arial"/>
          <w:b/>
          <w:sz w:val="22"/>
          <w:szCs w:val="22"/>
        </w:rPr>
        <w:t xml:space="preserve">Reserves </w:t>
      </w:r>
    </w:p>
    <w:p w14:paraId="3DCE6005" w14:textId="77777777" w:rsidR="00B631B1" w:rsidRPr="00B631B1" w:rsidRDefault="00B631B1" w:rsidP="00B631B1">
      <w:pPr>
        <w:jc w:val="both"/>
        <w:rPr>
          <w:rFonts w:ascii="Verdana" w:hAnsi="Verdana" w:cs="Arial"/>
          <w:sz w:val="22"/>
          <w:szCs w:val="22"/>
        </w:rPr>
      </w:pPr>
    </w:p>
    <w:p w14:paraId="31467BD4" w14:textId="77777777" w:rsidR="00B631B1" w:rsidRPr="00B631B1" w:rsidRDefault="00B631B1" w:rsidP="00B631B1">
      <w:pPr>
        <w:jc w:val="both"/>
        <w:rPr>
          <w:rFonts w:ascii="Verdana" w:hAnsi="Verdana" w:cs="Arial"/>
          <w:sz w:val="22"/>
          <w:szCs w:val="22"/>
        </w:rPr>
      </w:pPr>
      <w:r w:rsidRPr="00B631B1">
        <w:rPr>
          <w:rFonts w:ascii="Verdana" w:hAnsi="Verdana" w:cs="Arial"/>
          <w:sz w:val="22"/>
          <w:szCs w:val="22"/>
        </w:rPr>
        <w:t>The Chief Constable maintains certain reserves to manage the accounting processes for non-current assets, retirement benefits and other employee benefits. These reserves do not represent usable resources for the Chief Constable or the Group.</w:t>
      </w:r>
    </w:p>
    <w:p w14:paraId="78094FF3" w14:textId="77777777" w:rsidR="00B631B1" w:rsidRPr="00B631B1" w:rsidRDefault="00B631B1" w:rsidP="00B631B1">
      <w:pPr>
        <w:jc w:val="both"/>
        <w:rPr>
          <w:rFonts w:ascii="Verdana" w:hAnsi="Verdana" w:cs="Arial"/>
          <w:sz w:val="22"/>
          <w:szCs w:val="22"/>
        </w:rPr>
      </w:pPr>
    </w:p>
    <w:p w14:paraId="184D189D" w14:textId="77777777" w:rsidR="00B631B1" w:rsidRPr="00B631B1" w:rsidRDefault="00B631B1" w:rsidP="00B631B1">
      <w:pPr>
        <w:pStyle w:val="Normal0"/>
        <w:jc w:val="both"/>
        <w:rPr>
          <w:rFonts w:ascii="Verdana" w:eastAsia="Times New Roman" w:hAnsi="Verdana" w:cs="Arial"/>
          <w:sz w:val="22"/>
          <w:szCs w:val="22"/>
          <w:lang w:val="en-GB" w:eastAsia="en-GB"/>
        </w:rPr>
      </w:pPr>
      <w:r w:rsidRPr="00B631B1">
        <w:rPr>
          <w:rFonts w:ascii="Verdana" w:eastAsia="Times New Roman" w:hAnsi="Verdana" w:cs="Arial"/>
          <w:sz w:val="22"/>
          <w:szCs w:val="22"/>
          <w:lang w:val="en-GB" w:eastAsia="en-GB"/>
        </w:rPr>
        <w:t>The nature and purpose of each reserve set up by the Chief Constable is described in the Notes to the Financial Statements.</w:t>
      </w:r>
    </w:p>
    <w:p w14:paraId="60B5F1E9" w14:textId="77777777" w:rsidR="00B631B1" w:rsidRPr="00B631B1" w:rsidRDefault="00B631B1" w:rsidP="00B631B1">
      <w:pPr>
        <w:pStyle w:val="Normal0"/>
        <w:ind w:left="800"/>
        <w:jc w:val="both"/>
        <w:rPr>
          <w:rFonts w:ascii="Verdana" w:eastAsia="Times New Roman" w:hAnsi="Verdana" w:cs="Arial"/>
          <w:sz w:val="22"/>
          <w:szCs w:val="22"/>
          <w:lang w:val="en-GB" w:eastAsia="en-GB"/>
        </w:rPr>
      </w:pPr>
    </w:p>
    <w:p w14:paraId="3F0E5E4C" w14:textId="77777777" w:rsidR="00B631B1" w:rsidRPr="00B631B1" w:rsidRDefault="00B631B1" w:rsidP="00B631B1">
      <w:pPr>
        <w:pStyle w:val="Normal0"/>
        <w:jc w:val="both"/>
        <w:rPr>
          <w:rFonts w:ascii="Verdana" w:eastAsia="Times New Roman" w:hAnsi="Verdana" w:cs="Arial"/>
          <w:sz w:val="22"/>
          <w:szCs w:val="22"/>
          <w:lang w:val="en-GB" w:eastAsia="en-GB"/>
        </w:rPr>
      </w:pPr>
      <w:r w:rsidRPr="00B631B1">
        <w:rPr>
          <w:rFonts w:ascii="Verdana" w:eastAsia="Times New Roman" w:hAnsi="Verdana" w:cs="Arial"/>
          <w:sz w:val="22"/>
          <w:szCs w:val="22"/>
          <w:lang w:val="en-GB" w:eastAsia="en-GB"/>
        </w:rPr>
        <w:t xml:space="preserve">The classification of reserves is consistent with the CIPFA Code of Practice and is reviewed annually by the Police and Crime Commissioner.  </w:t>
      </w:r>
    </w:p>
    <w:p w14:paraId="25445D9B" w14:textId="77777777" w:rsidR="00B631B1" w:rsidRPr="00B631B1" w:rsidRDefault="00B631B1" w:rsidP="00B631B1">
      <w:pPr>
        <w:jc w:val="both"/>
        <w:rPr>
          <w:rFonts w:ascii="Verdana" w:hAnsi="Verdana" w:cs="Arial"/>
          <w:sz w:val="22"/>
          <w:szCs w:val="22"/>
        </w:rPr>
      </w:pPr>
    </w:p>
    <w:p w14:paraId="4AC7CE89" w14:textId="77777777" w:rsidR="00B631B1" w:rsidRPr="00B631B1" w:rsidRDefault="00B631B1" w:rsidP="00B631B1">
      <w:pPr>
        <w:jc w:val="both"/>
        <w:rPr>
          <w:rFonts w:ascii="Verdana" w:hAnsi="Verdana" w:cs="Arial"/>
          <w:b/>
          <w:sz w:val="22"/>
          <w:szCs w:val="22"/>
        </w:rPr>
      </w:pPr>
      <w:r w:rsidRPr="00B631B1">
        <w:rPr>
          <w:rFonts w:ascii="Verdana" w:hAnsi="Verdana" w:cs="Arial"/>
          <w:b/>
          <w:sz w:val="22"/>
          <w:szCs w:val="22"/>
        </w:rPr>
        <w:t xml:space="preserve">Overheads and Support Services </w:t>
      </w:r>
    </w:p>
    <w:p w14:paraId="6E4B45B1" w14:textId="77777777" w:rsidR="00B631B1" w:rsidRPr="00B631B1" w:rsidRDefault="00B631B1" w:rsidP="00B631B1">
      <w:pPr>
        <w:jc w:val="both"/>
        <w:rPr>
          <w:rFonts w:ascii="Verdana" w:hAnsi="Verdana" w:cs="Arial"/>
          <w:sz w:val="22"/>
          <w:szCs w:val="22"/>
        </w:rPr>
      </w:pPr>
    </w:p>
    <w:p w14:paraId="58BD9507" w14:textId="77777777" w:rsidR="00B631B1" w:rsidRPr="00B631B1" w:rsidRDefault="00B631B1" w:rsidP="00B631B1">
      <w:pPr>
        <w:jc w:val="both"/>
        <w:rPr>
          <w:rFonts w:ascii="Verdana" w:hAnsi="Verdana" w:cs="Arial"/>
          <w:sz w:val="22"/>
          <w:szCs w:val="22"/>
        </w:rPr>
      </w:pPr>
      <w:r w:rsidRPr="00B631B1">
        <w:rPr>
          <w:szCs w:val="22"/>
          <w:lang w:val="en-GB"/>
        </w:rPr>
        <w:t>The costs of overheads and support services are charged to the Comprehensive Income and Expenditure Statement in accordance with the CC/Group arrangements for accountability and financial performance.</w:t>
      </w:r>
    </w:p>
    <w:p w14:paraId="7C0B25F3" w14:textId="77777777" w:rsidR="00B631B1" w:rsidRPr="00B631B1" w:rsidRDefault="00B631B1" w:rsidP="00B631B1">
      <w:pPr>
        <w:jc w:val="both"/>
        <w:rPr>
          <w:rFonts w:ascii="Verdana" w:hAnsi="Verdana" w:cs="Arial"/>
          <w:sz w:val="22"/>
          <w:szCs w:val="22"/>
        </w:rPr>
      </w:pPr>
    </w:p>
    <w:p w14:paraId="52BBD782" w14:textId="77777777" w:rsidR="00B631B1" w:rsidRPr="005B6986" w:rsidRDefault="00B631B1" w:rsidP="00B631B1">
      <w:pPr>
        <w:jc w:val="both"/>
        <w:rPr>
          <w:rFonts w:ascii="Verdana" w:hAnsi="Verdana" w:cs="Arial"/>
          <w:b/>
          <w:sz w:val="22"/>
          <w:szCs w:val="22"/>
        </w:rPr>
      </w:pPr>
      <w:r w:rsidRPr="005B6986">
        <w:rPr>
          <w:rFonts w:ascii="Verdana" w:hAnsi="Verdana" w:cs="Arial"/>
          <w:b/>
          <w:sz w:val="22"/>
          <w:szCs w:val="22"/>
        </w:rPr>
        <w:t xml:space="preserve">Provisions and Contingent Liabilities </w:t>
      </w:r>
    </w:p>
    <w:p w14:paraId="0B47765D" w14:textId="77777777" w:rsidR="00B631B1" w:rsidRPr="005B6986" w:rsidRDefault="00B631B1" w:rsidP="00B631B1">
      <w:pPr>
        <w:jc w:val="both"/>
        <w:rPr>
          <w:rFonts w:ascii="Verdana" w:hAnsi="Verdana" w:cs="Arial"/>
          <w:sz w:val="22"/>
          <w:szCs w:val="22"/>
        </w:rPr>
      </w:pPr>
    </w:p>
    <w:p w14:paraId="4F9482FC" w14:textId="77777777" w:rsidR="00B631B1" w:rsidRPr="005B6986" w:rsidRDefault="00B631B1" w:rsidP="00B631B1">
      <w:pPr>
        <w:jc w:val="both"/>
        <w:rPr>
          <w:rFonts w:ascii="Verdana" w:hAnsi="Verdana" w:cs="Arial"/>
          <w:b/>
          <w:sz w:val="22"/>
          <w:szCs w:val="22"/>
        </w:rPr>
      </w:pPr>
      <w:r w:rsidRPr="005B6986">
        <w:rPr>
          <w:rFonts w:ascii="Verdana" w:hAnsi="Verdana" w:cs="Arial"/>
          <w:b/>
          <w:sz w:val="22"/>
          <w:szCs w:val="22"/>
        </w:rPr>
        <w:t xml:space="preserve">Provisions </w:t>
      </w:r>
    </w:p>
    <w:p w14:paraId="0F71D60A" w14:textId="77777777" w:rsidR="00B631B1" w:rsidRPr="005B6986" w:rsidRDefault="00B631B1" w:rsidP="00B631B1">
      <w:pPr>
        <w:jc w:val="both"/>
        <w:rPr>
          <w:rFonts w:ascii="Verdana" w:hAnsi="Verdana" w:cs="Arial"/>
          <w:sz w:val="22"/>
          <w:szCs w:val="22"/>
        </w:rPr>
      </w:pPr>
    </w:p>
    <w:p w14:paraId="1D2D04F8" w14:textId="77777777" w:rsidR="00B631B1" w:rsidRPr="005B6986" w:rsidRDefault="00B631B1" w:rsidP="00B631B1">
      <w:pPr>
        <w:jc w:val="both"/>
        <w:rPr>
          <w:rFonts w:ascii="Verdana" w:hAnsi="Verdana" w:cs="Arial"/>
          <w:sz w:val="22"/>
          <w:szCs w:val="22"/>
        </w:rPr>
      </w:pPr>
      <w:r w:rsidRPr="005B6986">
        <w:rPr>
          <w:rFonts w:ascii="Verdana" w:hAnsi="Verdana" w:cs="Arial"/>
          <w:sz w:val="22"/>
          <w:szCs w:val="22"/>
        </w:rPr>
        <w:t>Provisions are made where an event has taken place that gives the Group a legal or constructive obligation that probably requires settlement by a transfer of economic benefits or service potential, and a reliable estimate can be made of the amount of the obligation, but where the timing of transfer is uncertain.  Provisions are recognised on the Balance Sheet.</w:t>
      </w:r>
    </w:p>
    <w:p w14:paraId="63244E92" w14:textId="77777777" w:rsidR="00B631B1" w:rsidRPr="005B6986" w:rsidRDefault="00B631B1" w:rsidP="00B631B1">
      <w:pPr>
        <w:jc w:val="both"/>
        <w:rPr>
          <w:rFonts w:ascii="Verdana" w:hAnsi="Verdana" w:cs="Arial"/>
          <w:sz w:val="22"/>
          <w:szCs w:val="22"/>
        </w:rPr>
      </w:pPr>
    </w:p>
    <w:p w14:paraId="02E724E3" w14:textId="77777777" w:rsidR="00B631B1" w:rsidRPr="005B6986" w:rsidRDefault="00B631B1" w:rsidP="00B631B1">
      <w:pPr>
        <w:jc w:val="both"/>
        <w:rPr>
          <w:rFonts w:ascii="Verdana" w:hAnsi="Verdana" w:cs="Arial"/>
          <w:b/>
          <w:sz w:val="22"/>
          <w:szCs w:val="22"/>
        </w:rPr>
      </w:pPr>
      <w:r w:rsidRPr="005B6986">
        <w:rPr>
          <w:rFonts w:ascii="Verdana" w:hAnsi="Verdana" w:cs="Arial"/>
          <w:b/>
          <w:sz w:val="22"/>
          <w:szCs w:val="22"/>
        </w:rPr>
        <w:t>Contingent Liabilities</w:t>
      </w:r>
    </w:p>
    <w:p w14:paraId="787ED6E1" w14:textId="77777777" w:rsidR="00B631B1" w:rsidRPr="005B6986" w:rsidRDefault="00B631B1" w:rsidP="00B631B1">
      <w:pPr>
        <w:jc w:val="both"/>
        <w:rPr>
          <w:rFonts w:ascii="Verdana" w:hAnsi="Verdana" w:cs="Arial"/>
          <w:sz w:val="22"/>
          <w:szCs w:val="22"/>
        </w:rPr>
      </w:pPr>
    </w:p>
    <w:p w14:paraId="35065B58" w14:textId="77777777" w:rsidR="00F146A6" w:rsidRPr="00F146A6" w:rsidRDefault="00B631B1" w:rsidP="00B631B1">
      <w:pPr>
        <w:jc w:val="both"/>
        <w:rPr>
          <w:rFonts w:ascii="Verdana" w:hAnsi="Verdana" w:cs="Arial"/>
          <w:b/>
          <w:sz w:val="22"/>
          <w:szCs w:val="22"/>
        </w:rPr>
      </w:pPr>
      <w:r w:rsidRPr="005B6986">
        <w:rPr>
          <w:rFonts w:ascii="Verdana" w:hAnsi="Verdana" w:cs="Arial"/>
          <w:sz w:val="22"/>
          <w:szCs w:val="22"/>
        </w:rPr>
        <w:t>A contingent liability arises where an event has taken place that gives the Chief Constable a possible obligation whose existence will only be confirmed by the occurrence or otherwise of uncertain future events not wholly within the control of the Chief Constable. Contingent liabilities also arise in circumstances where a provision would otherwise be made but either it is not probable that an outflow of resources will be required or the amount of the obligation cannot be measured reliably.  Contingent liabilities are not recognised in the Balance Sheet but disclosed in a note to the accounts.</w:t>
      </w:r>
    </w:p>
    <w:p w14:paraId="4FEB1536" w14:textId="77777777" w:rsidR="00736699" w:rsidRDefault="00736699" w:rsidP="003E44C5">
      <w:pPr>
        <w:pStyle w:val="Style1"/>
        <w:numPr>
          <w:ilvl w:val="0"/>
          <w:numId w:val="0"/>
        </w:numPr>
        <w:jc w:val="left"/>
        <w:rPr>
          <w:rFonts w:ascii="Verdana" w:hAnsi="Verdana"/>
          <w:sz w:val="22"/>
          <w:szCs w:val="22"/>
        </w:rPr>
      </w:pPr>
    </w:p>
    <w:p w14:paraId="08999515" w14:textId="77777777" w:rsidR="00571F84" w:rsidRPr="00571F84" w:rsidRDefault="00571F84" w:rsidP="00571F84">
      <w:pPr>
        <w:pStyle w:val="Style1"/>
        <w:numPr>
          <w:ilvl w:val="0"/>
          <w:numId w:val="0"/>
        </w:numPr>
        <w:rPr>
          <w:rFonts w:ascii="Verdana" w:hAnsi="Verdana"/>
          <w:sz w:val="22"/>
          <w:szCs w:val="22"/>
        </w:rPr>
      </w:pPr>
      <w:r w:rsidRPr="00571F84">
        <w:rPr>
          <w:rFonts w:ascii="Verdana" w:hAnsi="Verdana"/>
          <w:sz w:val="22"/>
          <w:szCs w:val="22"/>
        </w:rPr>
        <w:t>VAT</w:t>
      </w:r>
    </w:p>
    <w:p w14:paraId="06F8FFA7" w14:textId="77777777" w:rsidR="00571F84" w:rsidRPr="00571F84" w:rsidRDefault="00571F84" w:rsidP="00571F84">
      <w:pPr>
        <w:jc w:val="both"/>
        <w:rPr>
          <w:rFonts w:ascii="Verdana" w:hAnsi="Verdana" w:cs="Arial"/>
          <w:sz w:val="22"/>
          <w:szCs w:val="22"/>
        </w:rPr>
      </w:pPr>
    </w:p>
    <w:p w14:paraId="197465EA" w14:textId="77777777" w:rsidR="00571F84" w:rsidRPr="00571F84" w:rsidRDefault="00571F84" w:rsidP="00571F84">
      <w:pPr>
        <w:jc w:val="both"/>
        <w:rPr>
          <w:rFonts w:ascii="Verdana" w:hAnsi="Verdana" w:cs="Arial"/>
          <w:sz w:val="22"/>
          <w:szCs w:val="22"/>
        </w:rPr>
      </w:pPr>
      <w:r w:rsidRPr="00571F84">
        <w:rPr>
          <w:rFonts w:ascii="Verdana" w:hAnsi="Verdana" w:cs="Arial"/>
          <w:sz w:val="22"/>
          <w:szCs w:val="22"/>
        </w:rPr>
        <w:t xml:space="preserve">VAT payable is included as an expense only to the extent that it is not recoverable from Her Majesty's Revenue and Customs. VAT receivable is excluded from income. </w:t>
      </w:r>
    </w:p>
    <w:p w14:paraId="217676FC" w14:textId="77777777" w:rsidR="00571F84" w:rsidRPr="00571F84" w:rsidRDefault="00571F84" w:rsidP="00571F84">
      <w:pPr>
        <w:jc w:val="both"/>
        <w:rPr>
          <w:rFonts w:ascii="Verdana" w:hAnsi="Verdana" w:cs="Arial"/>
          <w:sz w:val="22"/>
          <w:szCs w:val="22"/>
        </w:rPr>
      </w:pPr>
    </w:p>
    <w:p w14:paraId="58BF6522" w14:textId="77777777" w:rsidR="00571F84" w:rsidRPr="008E58B6" w:rsidRDefault="00571F84" w:rsidP="00571F84">
      <w:pPr>
        <w:jc w:val="both"/>
        <w:rPr>
          <w:rFonts w:ascii="Verdana" w:hAnsi="Verdana" w:cs="Arial"/>
          <w:sz w:val="22"/>
          <w:szCs w:val="22"/>
        </w:rPr>
      </w:pPr>
      <w:r w:rsidRPr="00571F84">
        <w:rPr>
          <w:rFonts w:ascii="Verdana" w:hAnsi="Verdana" w:cs="Arial"/>
          <w:sz w:val="22"/>
          <w:szCs w:val="22"/>
        </w:rPr>
        <w:t xml:space="preserve">A single VAT return is submitted on behalf of the </w:t>
      </w:r>
      <w:r w:rsidRPr="008E58B6">
        <w:rPr>
          <w:rFonts w:ascii="Verdana" w:hAnsi="Verdana" w:cs="Arial"/>
          <w:sz w:val="22"/>
          <w:szCs w:val="22"/>
        </w:rPr>
        <w:t xml:space="preserve">Group. </w:t>
      </w:r>
      <w:r w:rsidRPr="008E58B6">
        <w:rPr>
          <w:rFonts w:ascii="Verdana" w:eastAsia="Times New Roman" w:hAnsi="Verdana" w:cs="Arial"/>
          <w:sz w:val="22"/>
          <w:szCs w:val="22"/>
          <w:lang w:val="en-GB" w:eastAsia="en-GB"/>
        </w:rPr>
        <w:t xml:space="preserve">The Chief Constable does not submit a separate VAT return.  </w:t>
      </w:r>
    </w:p>
    <w:p w14:paraId="41979D0C" w14:textId="77777777" w:rsidR="00736699" w:rsidRPr="008E58B6" w:rsidRDefault="00736699" w:rsidP="003E44C5">
      <w:pPr>
        <w:pStyle w:val="Style1"/>
        <w:numPr>
          <w:ilvl w:val="0"/>
          <w:numId w:val="0"/>
        </w:numPr>
        <w:jc w:val="left"/>
        <w:rPr>
          <w:rFonts w:ascii="Verdana" w:hAnsi="Verdana"/>
          <w:sz w:val="22"/>
          <w:szCs w:val="22"/>
        </w:rPr>
      </w:pPr>
    </w:p>
    <w:p w14:paraId="7070AB13" w14:textId="77777777" w:rsidR="003E44C5" w:rsidRPr="008E58B6" w:rsidRDefault="003E44C5" w:rsidP="003E44C5">
      <w:pPr>
        <w:pStyle w:val="Style1"/>
        <w:numPr>
          <w:ilvl w:val="0"/>
          <w:numId w:val="0"/>
        </w:numPr>
        <w:jc w:val="left"/>
        <w:rPr>
          <w:rFonts w:ascii="Verdana" w:hAnsi="Verdana"/>
          <w:sz w:val="22"/>
          <w:szCs w:val="22"/>
        </w:rPr>
      </w:pPr>
      <w:r w:rsidRPr="008E58B6">
        <w:rPr>
          <w:rFonts w:ascii="Verdana" w:hAnsi="Verdana"/>
          <w:sz w:val="22"/>
          <w:szCs w:val="22"/>
        </w:rPr>
        <w:t>Employee Benefits Payable During Employment</w:t>
      </w:r>
    </w:p>
    <w:p w14:paraId="2D5FF050" w14:textId="77777777" w:rsidR="003E44C5" w:rsidRPr="008E58B6" w:rsidRDefault="003E44C5" w:rsidP="003E44C5">
      <w:pPr>
        <w:pStyle w:val="ListParagraph"/>
        <w:jc w:val="both"/>
        <w:rPr>
          <w:rFonts w:ascii="Verdana" w:hAnsi="Verdana" w:cs="Arial"/>
          <w:b/>
          <w:sz w:val="22"/>
          <w:szCs w:val="22"/>
        </w:rPr>
      </w:pPr>
    </w:p>
    <w:p w14:paraId="54930301" w14:textId="77777777" w:rsidR="003E44C5" w:rsidRPr="00E36FD2" w:rsidRDefault="003E44C5" w:rsidP="003E44C5">
      <w:pPr>
        <w:jc w:val="both"/>
        <w:rPr>
          <w:rFonts w:ascii="Verdana" w:hAnsi="Verdana" w:cs="Arial"/>
          <w:sz w:val="22"/>
          <w:szCs w:val="22"/>
        </w:rPr>
      </w:pPr>
      <w:r w:rsidRPr="008E58B6">
        <w:rPr>
          <w:rFonts w:ascii="Verdana" w:hAnsi="Verdana" w:cs="Arial"/>
          <w:sz w:val="22"/>
          <w:szCs w:val="22"/>
        </w:rPr>
        <w:t xml:space="preserve">Short-term employee benefits are those due to be settled within 12 months of the year-end.  They include benefits such as salaries, paid annual leave and paid sick leave, bonuses and non-monetary benefits (e.g. cars) for current employees and are recognised as an expense for services in the year in which employees render service to the Chief Constable. An accrual is made for the cost of holiday entitlements (or any form of leave, e.g. time off in lieu) earned by employees but not taken before the year-end, which employees can carry forward into the next financial year. The accrual is charged to the Comprehensive Income and Expenditure Statement, but then reversed out through the Movement in Reserves </w:t>
      </w:r>
      <w:r w:rsidRPr="00E36FD2">
        <w:rPr>
          <w:rFonts w:ascii="Verdana" w:hAnsi="Verdana" w:cs="Arial"/>
          <w:sz w:val="22"/>
          <w:szCs w:val="22"/>
        </w:rPr>
        <w:t>Statement, resulting in holiday benefits being charged to revenue in the financial year in which the holiday absence occurs.</w:t>
      </w:r>
    </w:p>
    <w:p w14:paraId="26E72451" w14:textId="77777777" w:rsidR="003E44C5" w:rsidRPr="00E36FD2" w:rsidRDefault="003E44C5" w:rsidP="003E44C5">
      <w:pPr>
        <w:jc w:val="both"/>
        <w:rPr>
          <w:rFonts w:ascii="Verdana" w:hAnsi="Verdana" w:cs="Arial"/>
          <w:sz w:val="22"/>
          <w:szCs w:val="22"/>
        </w:rPr>
      </w:pPr>
    </w:p>
    <w:p w14:paraId="0C6900EF" w14:textId="77777777" w:rsidR="003E44C5" w:rsidRPr="00E36FD2" w:rsidRDefault="003E44C5" w:rsidP="003E44C5">
      <w:pPr>
        <w:pStyle w:val="Style1"/>
        <w:numPr>
          <w:ilvl w:val="0"/>
          <w:numId w:val="0"/>
        </w:numPr>
        <w:rPr>
          <w:rFonts w:ascii="Verdana" w:hAnsi="Verdana"/>
          <w:sz w:val="22"/>
          <w:szCs w:val="22"/>
        </w:rPr>
      </w:pPr>
      <w:r w:rsidRPr="00E36FD2">
        <w:rPr>
          <w:rFonts w:ascii="Verdana" w:hAnsi="Verdana"/>
          <w:sz w:val="22"/>
          <w:szCs w:val="22"/>
        </w:rPr>
        <w:t>Termination Benefits / Exit Packages</w:t>
      </w:r>
    </w:p>
    <w:p w14:paraId="33558B92" w14:textId="77777777" w:rsidR="003E44C5" w:rsidRPr="00E36FD2" w:rsidRDefault="003E44C5" w:rsidP="003E44C5">
      <w:pPr>
        <w:jc w:val="both"/>
        <w:rPr>
          <w:rFonts w:ascii="Verdana" w:hAnsi="Verdana" w:cs="Arial"/>
          <w:sz w:val="22"/>
          <w:szCs w:val="22"/>
        </w:rPr>
      </w:pPr>
    </w:p>
    <w:p w14:paraId="73D82319"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Termination benefits are amounts payable as a result of a decision by the Chief Constable to terminate an employee’s employment before the normal retirement date or an employee’s decision to accept voluntary redundancy, and are charged on an accruals basis to the appropriate service in the Comprehensive Income &amp; Expenditure Statement when the Chief Constable is demonstrably committed to the termination of the employment of an employee or group of employees or making an offer to encourage voluntary redundancy.</w:t>
      </w:r>
    </w:p>
    <w:p w14:paraId="45C765BA" w14:textId="77777777" w:rsidR="003E44C5" w:rsidRPr="00E36FD2" w:rsidRDefault="003E44C5" w:rsidP="003E44C5">
      <w:pPr>
        <w:jc w:val="both"/>
        <w:rPr>
          <w:rFonts w:ascii="Verdana" w:hAnsi="Verdana" w:cs="Arial"/>
          <w:sz w:val="22"/>
          <w:szCs w:val="22"/>
        </w:rPr>
      </w:pPr>
    </w:p>
    <w:p w14:paraId="0D965CED"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Where termination benefits involve the enhancement of pensions, statutory provisions require the General Fund Balance to be charged with the amount payable by the Group to the pension fund or pensioner in the year, not the amount calculated according to the relevant accounting standards. In the Movement in Reserves Statement, appropriations are required to and from the Pensions Reserve to remove notional debits and credits for pension enhancement termination benefits and replace them with debits for the cash paid to the pension fund and pensioners and any such amounts payable but unpaid at the year-end.  The movement in Reserves appropriations are reflected in the Group Accounts.</w:t>
      </w:r>
    </w:p>
    <w:p w14:paraId="5C77A718" w14:textId="77777777" w:rsidR="003E44C5" w:rsidRPr="00E36FD2" w:rsidRDefault="003E44C5" w:rsidP="003E44C5">
      <w:pPr>
        <w:jc w:val="both"/>
        <w:rPr>
          <w:rFonts w:ascii="Verdana" w:hAnsi="Verdana" w:cs="Arial"/>
          <w:sz w:val="22"/>
          <w:szCs w:val="22"/>
        </w:rPr>
      </w:pPr>
    </w:p>
    <w:p w14:paraId="755229FE" w14:textId="77777777" w:rsidR="003E44C5" w:rsidRPr="00E36FD2" w:rsidRDefault="003E44C5" w:rsidP="003E44C5">
      <w:pPr>
        <w:pStyle w:val="Style1"/>
        <w:numPr>
          <w:ilvl w:val="0"/>
          <w:numId w:val="0"/>
        </w:numPr>
        <w:ind w:left="5606" w:hanging="5606"/>
        <w:rPr>
          <w:rFonts w:ascii="Verdana" w:hAnsi="Verdana"/>
          <w:sz w:val="22"/>
          <w:szCs w:val="22"/>
        </w:rPr>
      </w:pPr>
      <w:r w:rsidRPr="00E36FD2">
        <w:rPr>
          <w:rFonts w:ascii="Verdana" w:hAnsi="Verdana"/>
          <w:sz w:val="22"/>
          <w:szCs w:val="22"/>
        </w:rPr>
        <w:t>Long-term employee benefits - Pension arrangements</w:t>
      </w:r>
    </w:p>
    <w:p w14:paraId="6C21F327" w14:textId="77777777" w:rsidR="003E44C5" w:rsidRPr="00E36FD2" w:rsidRDefault="003E44C5" w:rsidP="003E44C5">
      <w:pPr>
        <w:pStyle w:val="Style1"/>
        <w:numPr>
          <w:ilvl w:val="0"/>
          <w:numId w:val="0"/>
        </w:numPr>
        <w:ind w:left="1080"/>
        <w:rPr>
          <w:rFonts w:ascii="Verdana" w:hAnsi="Verdana"/>
          <w:sz w:val="22"/>
          <w:szCs w:val="22"/>
        </w:rPr>
      </w:pPr>
    </w:p>
    <w:p w14:paraId="6D79FF00"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The Chief Constable operates, on behalf of the Group, three pension schemes for police officers and a single scheme for police staff:</w:t>
      </w:r>
    </w:p>
    <w:p w14:paraId="7C388920" w14:textId="77777777" w:rsidR="003E44C5" w:rsidRPr="00E36FD2" w:rsidRDefault="003E44C5" w:rsidP="003E44C5">
      <w:pPr>
        <w:jc w:val="both"/>
        <w:rPr>
          <w:rFonts w:ascii="Verdana" w:hAnsi="Verdana" w:cs="Arial"/>
          <w:sz w:val="22"/>
          <w:szCs w:val="22"/>
        </w:rPr>
      </w:pPr>
    </w:p>
    <w:p w14:paraId="1FF180A5"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t>The Police Pension Scheme (PPS), regulated under the Police Pensions Act 1976</w:t>
      </w:r>
    </w:p>
    <w:p w14:paraId="0EE102B3"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t>The New Police Pension Scheme (NPPS), regulated under the Police Pension Regulations 2006</w:t>
      </w:r>
    </w:p>
    <w:p w14:paraId="69314ED0"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t>The Police Pension Scheme 2015 (the 2015 scheme)</w:t>
      </w:r>
    </w:p>
    <w:p w14:paraId="23A96DD6"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t>The Local Government Pensions Scheme (LGPS), administered by Surrey County Council</w:t>
      </w:r>
    </w:p>
    <w:p w14:paraId="35E77047" w14:textId="77777777" w:rsidR="003E44C5" w:rsidRPr="00E36FD2" w:rsidRDefault="003E44C5" w:rsidP="003E44C5">
      <w:pPr>
        <w:jc w:val="both"/>
        <w:rPr>
          <w:rFonts w:ascii="Verdana" w:hAnsi="Verdana" w:cs="Arial"/>
          <w:sz w:val="22"/>
          <w:szCs w:val="22"/>
        </w:rPr>
      </w:pPr>
    </w:p>
    <w:p w14:paraId="0ACB1CDA"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All police schemes are contributory occupational pension schemes with officers making contributions.</w:t>
      </w:r>
    </w:p>
    <w:p w14:paraId="2D1E8E7E" w14:textId="77777777" w:rsidR="003E44C5" w:rsidRPr="00E36FD2" w:rsidRDefault="003E44C5" w:rsidP="003E44C5">
      <w:pPr>
        <w:jc w:val="both"/>
        <w:rPr>
          <w:rFonts w:ascii="Verdana" w:hAnsi="Verdana" w:cs="Arial"/>
          <w:sz w:val="22"/>
          <w:szCs w:val="22"/>
        </w:rPr>
      </w:pPr>
    </w:p>
    <w:p w14:paraId="084D5390"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A Police Pension Account was set up on 1st April 2006 to administer the police pension schemes.  All police schemes are unfunded schemes which are treated as defined benefit schemes and provide defined benefits to members (retirement lump sums and pensions), earned as employees worked.</w:t>
      </w:r>
    </w:p>
    <w:p w14:paraId="198B8259" w14:textId="77777777" w:rsidR="003E44C5" w:rsidRPr="00E36FD2" w:rsidRDefault="003E44C5" w:rsidP="003E44C5">
      <w:pPr>
        <w:jc w:val="both"/>
        <w:rPr>
          <w:rFonts w:ascii="Verdana" w:hAnsi="Verdana" w:cs="Arial"/>
          <w:sz w:val="22"/>
          <w:szCs w:val="22"/>
        </w:rPr>
      </w:pPr>
    </w:p>
    <w:p w14:paraId="18144B4E"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 xml:space="preserve">All police pension schemes are unfunded schemes which are treated as defined benefit schemes paid from revenue (without managed pension assets).  Accrued net pension liabilities have been assessed on an actuarial basis in accordance with IAS19 Employee Benefits, the net liability and a pensions reserve for both Pension Schemes has been recognised on the Balance Sheet, as have entries in the CIES for movements in the asset/liability relating to the defined benefit scheme.  Transfers into and out of the Scheme representing joining and leaving police officers, are recorded on a cash basis in the Pension Fund, because of the length of time taken to finalise the sums involved.  </w:t>
      </w:r>
    </w:p>
    <w:p w14:paraId="5D99A0F0" w14:textId="77777777" w:rsidR="003E44C5" w:rsidRPr="00E36FD2" w:rsidRDefault="003E44C5" w:rsidP="003E44C5">
      <w:pPr>
        <w:jc w:val="both"/>
        <w:rPr>
          <w:rFonts w:ascii="Verdana" w:hAnsi="Verdana" w:cs="Arial"/>
          <w:sz w:val="22"/>
          <w:szCs w:val="22"/>
        </w:rPr>
      </w:pPr>
    </w:p>
    <w:p w14:paraId="69BFFA77"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 xml:space="preserve">Following the Code’s requirements, IAS19 has been fully recognised in the Chief Constable and Group accounts.  </w:t>
      </w:r>
    </w:p>
    <w:p w14:paraId="04F89AEC" w14:textId="77777777" w:rsidR="003E44C5" w:rsidRPr="00E36FD2" w:rsidRDefault="003E44C5" w:rsidP="003E44C5">
      <w:pPr>
        <w:jc w:val="both"/>
        <w:rPr>
          <w:rFonts w:ascii="Verdana" w:hAnsi="Verdana" w:cs="Arial"/>
          <w:sz w:val="22"/>
          <w:szCs w:val="22"/>
        </w:rPr>
      </w:pPr>
    </w:p>
    <w:p w14:paraId="505C1498"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t>The liabilities of the police schemes attributable are included in the Balance Sheet on an actuarial basis using the projected unit method - i.e. an assessment of the future payments that will be made in relation to retirement benefits earned to date by employees, based on assumptions about mortality rates, employee turnover rates, etc. and projections of projected earnings for current employees</w:t>
      </w:r>
    </w:p>
    <w:p w14:paraId="778EE248" w14:textId="77777777" w:rsidR="003E44C5" w:rsidRPr="00E36FD2" w:rsidRDefault="003E44C5" w:rsidP="003E44C5">
      <w:pPr>
        <w:jc w:val="both"/>
        <w:rPr>
          <w:rFonts w:ascii="Verdana" w:hAnsi="Verdana" w:cs="Arial"/>
          <w:sz w:val="22"/>
          <w:szCs w:val="22"/>
        </w:rPr>
      </w:pPr>
    </w:p>
    <w:p w14:paraId="3F8BE6E8"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t>Liabilities are discounted to their value at current prices, using a discount rate based on the indicative rate of return on high quality corporate bond</w:t>
      </w:r>
    </w:p>
    <w:p w14:paraId="75262AC5" w14:textId="77777777" w:rsidR="003E44C5" w:rsidRPr="00E36FD2" w:rsidRDefault="003E44C5" w:rsidP="003E44C5">
      <w:pPr>
        <w:jc w:val="both"/>
        <w:rPr>
          <w:rFonts w:ascii="Verdana" w:hAnsi="Verdana" w:cs="Arial"/>
          <w:sz w:val="22"/>
          <w:szCs w:val="22"/>
        </w:rPr>
      </w:pPr>
    </w:p>
    <w:p w14:paraId="5443B543"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Police Staff are eligible to join the Local Government Pension Scheme (LGPS) administered by Surrey County Council.  This is a funded scheme.  The employer’s contribution rate is determined by the Fund’s actuary based on valuations every three years.</w:t>
      </w:r>
    </w:p>
    <w:p w14:paraId="448DA22F" w14:textId="77777777" w:rsidR="003E44C5" w:rsidRPr="00E36FD2" w:rsidRDefault="003E44C5" w:rsidP="003E44C5">
      <w:pPr>
        <w:jc w:val="both"/>
        <w:rPr>
          <w:rFonts w:ascii="Verdana" w:hAnsi="Verdana" w:cs="Arial"/>
          <w:sz w:val="22"/>
          <w:szCs w:val="22"/>
        </w:rPr>
      </w:pPr>
    </w:p>
    <w:p w14:paraId="0893AC8F"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Additional contributions are payable to cover the cost of any early retirements except those due to ill-health.  In addition the Chief Constable is responsible for all pension payments relating to any added years’ benefits, together with the related increases.</w:t>
      </w:r>
    </w:p>
    <w:p w14:paraId="244FA85E" w14:textId="77777777" w:rsidR="003E44C5" w:rsidRPr="00E36FD2" w:rsidRDefault="003E44C5" w:rsidP="003E44C5">
      <w:pPr>
        <w:jc w:val="both"/>
        <w:rPr>
          <w:rFonts w:ascii="Verdana" w:hAnsi="Verdana" w:cs="Arial"/>
          <w:sz w:val="22"/>
          <w:szCs w:val="22"/>
        </w:rPr>
      </w:pPr>
    </w:p>
    <w:p w14:paraId="1EFADD64"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t xml:space="preserve">The assets of the LGPS attributable to Surrey Police are included in the Balance Sheet at their fair value:  </w:t>
      </w:r>
    </w:p>
    <w:p w14:paraId="190C047F" w14:textId="77777777" w:rsidR="003E44C5" w:rsidRPr="00E36FD2" w:rsidRDefault="003E44C5" w:rsidP="005E3E6F">
      <w:pPr>
        <w:pStyle w:val="ListParagraph"/>
        <w:numPr>
          <w:ilvl w:val="0"/>
          <w:numId w:val="10"/>
        </w:numPr>
        <w:jc w:val="both"/>
        <w:rPr>
          <w:rFonts w:ascii="Verdana" w:hAnsi="Verdana" w:cs="Arial"/>
          <w:sz w:val="22"/>
          <w:szCs w:val="22"/>
        </w:rPr>
      </w:pPr>
      <w:r w:rsidRPr="00E36FD2">
        <w:rPr>
          <w:rFonts w:ascii="Verdana" w:hAnsi="Verdana" w:cs="Arial"/>
          <w:sz w:val="22"/>
          <w:szCs w:val="22"/>
        </w:rPr>
        <w:t>quoted securities - current bid price</w:t>
      </w:r>
    </w:p>
    <w:p w14:paraId="7D153454" w14:textId="77777777" w:rsidR="003E44C5" w:rsidRPr="00E36FD2" w:rsidRDefault="003E44C5" w:rsidP="005E3E6F">
      <w:pPr>
        <w:pStyle w:val="ListParagraph"/>
        <w:numPr>
          <w:ilvl w:val="0"/>
          <w:numId w:val="10"/>
        </w:numPr>
        <w:jc w:val="both"/>
        <w:rPr>
          <w:rFonts w:ascii="Verdana" w:hAnsi="Verdana" w:cs="Arial"/>
          <w:sz w:val="22"/>
          <w:szCs w:val="22"/>
        </w:rPr>
      </w:pPr>
      <w:r w:rsidRPr="00E36FD2">
        <w:rPr>
          <w:rFonts w:ascii="Verdana" w:hAnsi="Verdana" w:cs="Arial"/>
          <w:sz w:val="22"/>
          <w:szCs w:val="22"/>
        </w:rPr>
        <w:t>unquoted securities - professional estimate</w:t>
      </w:r>
    </w:p>
    <w:p w14:paraId="31858390" w14:textId="77777777" w:rsidR="003E44C5" w:rsidRPr="00E36FD2" w:rsidRDefault="003E44C5" w:rsidP="005E3E6F">
      <w:pPr>
        <w:pStyle w:val="ListParagraph"/>
        <w:numPr>
          <w:ilvl w:val="0"/>
          <w:numId w:val="10"/>
        </w:numPr>
        <w:jc w:val="both"/>
        <w:rPr>
          <w:rFonts w:ascii="Verdana" w:hAnsi="Verdana" w:cs="Arial"/>
          <w:sz w:val="22"/>
          <w:szCs w:val="22"/>
        </w:rPr>
      </w:pPr>
      <w:r w:rsidRPr="00E36FD2">
        <w:rPr>
          <w:rFonts w:ascii="Verdana" w:hAnsi="Verdana" w:cs="Arial"/>
          <w:sz w:val="22"/>
          <w:szCs w:val="22"/>
        </w:rPr>
        <w:t>unitised securities - current bid price</w:t>
      </w:r>
    </w:p>
    <w:p w14:paraId="6A14E754" w14:textId="77777777" w:rsidR="003E44C5" w:rsidRPr="00E36FD2" w:rsidRDefault="003E44C5" w:rsidP="005E3E6F">
      <w:pPr>
        <w:pStyle w:val="ListParagraph"/>
        <w:numPr>
          <w:ilvl w:val="0"/>
          <w:numId w:val="10"/>
        </w:numPr>
        <w:jc w:val="both"/>
        <w:rPr>
          <w:rFonts w:ascii="Verdana" w:hAnsi="Verdana" w:cs="Arial"/>
          <w:sz w:val="22"/>
          <w:szCs w:val="22"/>
        </w:rPr>
      </w:pPr>
      <w:r w:rsidRPr="00E36FD2">
        <w:rPr>
          <w:rFonts w:ascii="Verdana" w:hAnsi="Verdana" w:cs="Arial"/>
          <w:sz w:val="22"/>
          <w:szCs w:val="22"/>
        </w:rPr>
        <w:t>property - market value</w:t>
      </w:r>
    </w:p>
    <w:p w14:paraId="3EFB6E50" w14:textId="77777777" w:rsidR="003E44C5" w:rsidRPr="00E36FD2" w:rsidRDefault="003E44C5" w:rsidP="003E44C5">
      <w:pPr>
        <w:jc w:val="both"/>
        <w:rPr>
          <w:rFonts w:ascii="Verdana" w:hAnsi="Verdana" w:cs="Arial"/>
          <w:sz w:val="22"/>
          <w:szCs w:val="22"/>
        </w:rPr>
      </w:pPr>
    </w:p>
    <w:p w14:paraId="4EC3C303"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The change in the net pension liability is analysed into seven components:</w:t>
      </w:r>
    </w:p>
    <w:p w14:paraId="471D1CA9" w14:textId="77777777" w:rsidR="003E44C5" w:rsidRPr="00E36FD2" w:rsidRDefault="003E44C5" w:rsidP="003E44C5">
      <w:pPr>
        <w:jc w:val="both"/>
        <w:rPr>
          <w:rFonts w:ascii="Verdana" w:hAnsi="Verdana" w:cs="Arial"/>
          <w:sz w:val="22"/>
          <w:szCs w:val="22"/>
        </w:rPr>
      </w:pPr>
    </w:p>
    <w:p w14:paraId="42E15FAD"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r>
      <w:r w:rsidRPr="00E36FD2">
        <w:rPr>
          <w:rFonts w:ascii="Verdana" w:hAnsi="Verdana" w:cs="Arial"/>
          <w:b/>
          <w:sz w:val="22"/>
          <w:szCs w:val="22"/>
        </w:rPr>
        <w:t>current service cost</w:t>
      </w:r>
      <w:r w:rsidRPr="00E36FD2">
        <w:rPr>
          <w:rFonts w:ascii="Verdana" w:hAnsi="Verdana" w:cs="Arial"/>
          <w:sz w:val="22"/>
          <w:szCs w:val="22"/>
        </w:rPr>
        <w:t xml:space="preserve"> - the increase in liabilities as a result of years of service earned this year allocated in the CIES to the services for which the employees worked</w:t>
      </w:r>
    </w:p>
    <w:p w14:paraId="5B205958" w14:textId="77777777" w:rsidR="003E44C5" w:rsidRPr="00E36FD2" w:rsidRDefault="003E44C5" w:rsidP="003E44C5">
      <w:pPr>
        <w:jc w:val="both"/>
        <w:rPr>
          <w:rFonts w:ascii="Verdana" w:hAnsi="Verdana" w:cs="Arial"/>
          <w:sz w:val="22"/>
          <w:szCs w:val="22"/>
        </w:rPr>
      </w:pPr>
    </w:p>
    <w:p w14:paraId="03107B96"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r>
      <w:r w:rsidRPr="00E36FD2">
        <w:rPr>
          <w:rFonts w:ascii="Verdana" w:hAnsi="Verdana" w:cs="Arial"/>
          <w:b/>
          <w:sz w:val="22"/>
          <w:szCs w:val="22"/>
        </w:rPr>
        <w:t>past service cost</w:t>
      </w:r>
      <w:r w:rsidRPr="00E36FD2">
        <w:rPr>
          <w:rFonts w:ascii="Verdana" w:hAnsi="Verdana" w:cs="Arial"/>
          <w:sz w:val="22"/>
          <w:szCs w:val="22"/>
        </w:rPr>
        <w:t xml:space="preserve"> - the increase in liabilities arising from current year decisions whose effect relates to years of service earned in earlier years - debited to the Surplus or Deficit on the Provision of Services in the CIES as part of Non Distributed Costs</w:t>
      </w:r>
    </w:p>
    <w:p w14:paraId="2A61CB36" w14:textId="77777777" w:rsidR="003E44C5" w:rsidRPr="00E36FD2" w:rsidRDefault="003E44C5" w:rsidP="003E44C5">
      <w:pPr>
        <w:jc w:val="both"/>
        <w:rPr>
          <w:rFonts w:ascii="Verdana" w:hAnsi="Verdana" w:cs="Arial"/>
          <w:sz w:val="22"/>
          <w:szCs w:val="22"/>
        </w:rPr>
      </w:pPr>
    </w:p>
    <w:p w14:paraId="04BDA66C"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r>
      <w:r w:rsidRPr="00E36FD2">
        <w:rPr>
          <w:rFonts w:ascii="Verdana" w:hAnsi="Verdana" w:cs="Arial"/>
          <w:b/>
          <w:sz w:val="22"/>
          <w:szCs w:val="22"/>
        </w:rPr>
        <w:t>interest cost</w:t>
      </w:r>
      <w:r w:rsidRPr="00E36FD2">
        <w:rPr>
          <w:rFonts w:ascii="Verdana" w:hAnsi="Verdana" w:cs="Arial"/>
          <w:sz w:val="22"/>
          <w:szCs w:val="22"/>
        </w:rPr>
        <w:t xml:space="preserve"> - the expected increase in the present value of liabilities during the year as they move one year closer to being paid - debited to the Financing and Investment Income and Expenditure line in the CIES</w:t>
      </w:r>
    </w:p>
    <w:p w14:paraId="7AA63281" w14:textId="77777777" w:rsidR="003E44C5" w:rsidRPr="00E36FD2" w:rsidRDefault="003E44C5" w:rsidP="003E44C5">
      <w:pPr>
        <w:jc w:val="both"/>
        <w:rPr>
          <w:rFonts w:ascii="Verdana" w:hAnsi="Verdana" w:cs="Arial"/>
          <w:sz w:val="22"/>
          <w:szCs w:val="22"/>
        </w:rPr>
      </w:pPr>
    </w:p>
    <w:p w14:paraId="54EC84AF"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r>
      <w:r w:rsidRPr="00E36FD2">
        <w:rPr>
          <w:rFonts w:ascii="Verdana" w:hAnsi="Verdana" w:cs="Arial"/>
          <w:b/>
          <w:sz w:val="22"/>
          <w:szCs w:val="22"/>
        </w:rPr>
        <w:t>expected return on assets</w:t>
      </w:r>
      <w:r w:rsidRPr="00E36FD2">
        <w:rPr>
          <w:rFonts w:ascii="Verdana" w:hAnsi="Verdana" w:cs="Arial"/>
          <w:sz w:val="22"/>
          <w:szCs w:val="22"/>
        </w:rPr>
        <w:t xml:space="preserve"> - the annual investment return on the fund assets attributable to the Group, based on an average of the expected long-term return - credited to the Financing and Investment Income and Expenditure line in the CIES</w:t>
      </w:r>
    </w:p>
    <w:p w14:paraId="10AB174D" w14:textId="77777777" w:rsidR="003E44C5" w:rsidRPr="00E36FD2" w:rsidRDefault="003E44C5" w:rsidP="003E44C5">
      <w:pPr>
        <w:jc w:val="both"/>
        <w:rPr>
          <w:rFonts w:ascii="Verdana" w:hAnsi="Verdana" w:cs="Arial"/>
          <w:sz w:val="22"/>
          <w:szCs w:val="22"/>
        </w:rPr>
      </w:pPr>
    </w:p>
    <w:p w14:paraId="0EA9A3C4"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r>
      <w:r w:rsidRPr="00E36FD2">
        <w:rPr>
          <w:rFonts w:ascii="Verdana" w:hAnsi="Verdana" w:cs="Arial"/>
          <w:b/>
          <w:sz w:val="22"/>
          <w:szCs w:val="22"/>
        </w:rPr>
        <w:t>gains or losses on settlements and curtailments</w:t>
      </w:r>
      <w:r w:rsidRPr="00E36FD2">
        <w:rPr>
          <w:rFonts w:ascii="Verdana" w:hAnsi="Verdana" w:cs="Arial"/>
          <w:sz w:val="22"/>
          <w:szCs w:val="22"/>
        </w:rPr>
        <w:t xml:space="preserve"> - the result of actions to relieve the Group of liabilities or events that reduce the expected future service or accrual of benefits of employees - debited or credited to the Surplus or Deficit on the Provision of Services in the CIES as part of Non Distributed Costs</w:t>
      </w:r>
    </w:p>
    <w:p w14:paraId="1CFC51EC" w14:textId="77777777" w:rsidR="003E44C5" w:rsidRPr="00E36FD2" w:rsidRDefault="003E44C5" w:rsidP="003E44C5">
      <w:pPr>
        <w:jc w:val="both"/>
        <w:rPr>
          <w:rFonts w:ascii="Verdana" w:hAnsi="Verdana" w:cs="Arial"/>
          <w:sz w:val="22"/>
          <w:szCs w:val="22"/>
        </w:rPr>
      </w:pPr>
    </w:p>
    <w:p w14:paraId="16DF9BA9"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r>
      <w:r w:rsidRPr="00E36FD2">
        <w:rPr>
          <w:rFonts w:ascii="Verdana" w:hAnsi="Verdana" w:cs="Arial"/>
          <w:b/>
          <w:sz w:val="22"/>
          <w:szCs w:val="22"/>
        </w:rPr>
        <w:t>actuarial gains and losses</w:t>
      </w:r>
      <w:r w:rsidRPr="00E36FD2">
        <w:rPr>
          <w:rFonts w:ascii="Verdana" w:hAnsi="Verdana" w:cs="Arial"/>
          <w:sz w:val="22"/>
          <w:szCs w:val="22"/>
        </w:rPr>
        <w:t xml:space="preserve"> - changes in the net pensions liability that arise because events have not coincided with assumptions made at the last actuarial valuation or because the actuaries have updated their assumptions - debited to the Pensions Reserve</w:t>
      </w:r>
    </w:p>
    <w:p w14:paraId="1B635C77" w14:textId="77777777" w:rsidR="003E44C5" w:rsidRPr="00E36FD2" w:rsidRDefault="003E44C5" w:rsidP="003E44C5">
      <w:pPr>
        <w:jc w:val="both"/>
        <w:rPr>
          <w:rFonts w:ascii="Verdana" w:hAnsi="Verdana" w:cs="Arial"/>
          <w:sz w:val="22"/>
          <w:szCs w:val="22"/>
        </w:rPr>
      </w:pPr>
    </w:p>
    <w:p w14:paraId="4DDF124D" w14:textId="77777777" w:rsidR="003E44C5" w:rsidRPr="00E36FD2" w:rsidRDefault="003E44C5" w:rsidP="003E44C5">
      <w:pPr>
        <w:ind w:left="720" w:hanging="720"/>
        <w:jc w:val="both"/>
        <w:rPr>
          <w:rFonts w:ascii="Verdana" w:hAnsi="Verdana" w:cs="Arial"/>
          <w:sz w:val="22"/>
          <w:szCs w:val="22"/>
        </w:rPr>
      </w:pPr>
      <w:r w:rsidRPr="00E36FD2">
        <w:rPr>
          <w:rFonts w:ascii="Verdana" w:hAnsi="Verdana" w:cs="Arial"/>
          <w:sz w:val="22"/>
          <w:szCs w:val="22"/>
        </w:rPr>
        <w:t>•</w:t>
      </w:r>
      <w:r w:rsidRPr="00E36FD2">
        <w:rPr>
          <w:rFonts w:ascii="Verdana" w:hAnsi="Verdana" w:cs="Arial"/>
          <w:sz w:val="22"/>
          <w:szCs w:val="22"/>
        </w:rPr>
        <w:tab/>
      </w:r>
      <w:r w:rsidRPr="00E36FD2">
        <w:rPr>
          <w:rFonts w:ascii="Verdana" w:hAnsi="Verdana" w:cs="Arial"/>
          <w:b/>
          <w:sz w:val="22"/>
          <w:szCs w:val="22"/>
        </w:rPr>
        <w:t>contributions paid to the pension fund</w:t>
      </w:r>
      <w:r w:rsidRPr="00E36FD2">
        <w:rPr>
          <w:rFonts w:ascii="Verdana" w:hAnsi="Verdana" w:cs="Arial"/>
          <w:sz w:val="22"/>
          <w:szCs w:val="22"/>
        </w:rPr>
        <w:t xml:space="preserve"> - cash paid as employer's contributions to the pension fund in settlement of liabilities; not accounted for as an expense</w:t>
      </w:r>
    </w:p>
    <w:p w14:paraId="01CE0259" w14:textId="77777777" w:rsidR="003E44C5" w:rsidRPr="00E36FD2" w:rsidRDefault="003E44C5" w:rsidP="003E44C5">
      <w:pPr>
        <w:jc w:val="both"/>
        <w:rPr>
          <w:rFonts w:ascii="Verdana" w:hAnsi="Verdana" w:cs="Arial"/>
          <w:sz w:val="22"/>
          <w:szCs w:val="22"/>
        </w:rPr>
      </w:pPr>
    </w:p>
    <w:p w14:paraId="573CB2CC"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 xml:space="preserve">In relation to retirement benefits, statutory provisions require the General Fund balance to be charged with the amount payable by the </w:t>
      </w:r>
      <w:r w:rsidR="00E36FD2" w:rsidRPr="00E36FD2">
        <w:rPr>
          <w:rFonts w:ascii="Verdana" w:hAnsi="Verdana" w:cs="Arial"/>
          <w:sz w:val="22"/>
          <w:szCs w:val="22"/>
        </w:rPr>
        <w:t>Chief Constable</w:t>
      </w:r>
      <w:r w:rsidRPr="00E36FD2">
        <w:rPr>
          <w:rFonts w:ascii="Verdana" w:hAnsi="Verdana" w:cs="Arial"/>
          <w:sz w:val="22"/>
          <w:szCs w:val="22"/>
        </w:rPr>
        <w:t xml:space="preserve">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14:paraId="4EA42B3B" w14:textId="77777777" w:rsidR="003E44C5" w:rsidRPr="00E36FD2" w:rsidRDefault="003E44C5" w:rsidP="003E44C5">
      <w:pPr>
        <w:jc w:val="both"/>
        <w:rPr>
          <w:rFonts w:ascii="Verdana" w:hAnsi="Verdana" w:cs="Arial"/>
          <w:sz w:val="22"/>
          <w:szCs w:val="22"/>
        </w:rPr>
      </w:pPr>
    </w:p>
    <w:p w14:paraId="0B1B4F3A" w14:textId="77777777" w:rsidR="003E44C5" w:rsidRPr="00E36FD2" w:rsidRDefault="003E44C5" w:rsidP="003E44C5">
      <w:pPr>
        <w:jc w:val="both"/>
        <w:rPr>
          <w:rFonts w:ascii="Verdana" w:hAnsi="Verdana" w:cs="Arial"/>
          <w:b/>
          <w:sz w:val="22"/>
          <w:szCs w:val="22"/>
        </w:rPr>
      </w:pPr>
      <w:r w:rsidRPr="00E36FD2">
        <w:rPr>
          <w:rFonts w:ascii="Verdana" w:hAnsi="Verdana" w:cs="Arial"/>
          <w:b/>
          <w:sz w:val="22"/>
          <w:szCs w:val="22"/>
        </w:rPr>
        <w:t>Discretionary Benefits</w:t>
      </w:r>
    </w:p>
    <w:p w14:paraId="31BB20EA" w14:textId="77777777" w:rsidR="003E44C5" w:rsidRPr="00E36FD2" w:rsidRDefault="003E44C5" w:rsidP="003E44C5">
      <w:pPr>
        <w:jc w:val="both"/>
        <w:rPr>
          <w:rFonts w:ascii="Verdana" w:hAnsi="Verdana" w:cs="Arial"/>
          <w:sz w:val="22"/>
          <w:szCs w:val="22"/>
        </w:rPr>
      </w:pPr>
    </w:p>
    <w:p w14:paraId="72EA775D"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 xml:space="preserve">The </w:t>
      </w:r>
      <w:r w:rsidR="00E36FD2" w:rsidRPr="00E36FD2">
        <w:rPr>
          <w:rFonts w:ascii="Verdana" w:hAnsi="Verdana" w:cs="Arial"/>
          <w:sz w:val="22"/>
          <w:szCs w:val="22"/>
        </w:rPr>
        <w:t>Chief Constable</w:t>
      </w:r>
      <w:r w:rsidRPr="00E36FD2">
        <w:rPr>
          <w:rFonts w:ascii="Verdana" w:hAnsi="Verdana" w:cs="Arial"/>
          <w:sz w:val="22"/>
          <w:szCs w:val="22"/>
        </w:rPr>
        <w:t xml:space="preserve">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relevant Pension Scheme.</w:t>
      </w:r>
    </w:p>
    <w:p w14:paraId="27F21A21" w14:textId="77777777" w:rsidR="003E44C5" w:rsidRPr="00E36FD2" w:rsidRDefault="003E44C5" w:rsidP="003E44C5">
      <w:pPr>
        <w:jc w:val="both"/>
        <w:rPr>
          <w:rFonts w:ascii="Verdana" w:hAnsi="Verdana" w:cs="Arial"/>
          <w:sz w:val="22"/>
          <w:szCs w:val="22"/>
        </w:rPr>
      </w:pPr>
    </w:p>
    <w:p w14:paraId="0DE13AD5" w14:textId="77777777" w:rsidR="003E44C5" w:rsidRPr="00E36FD2" w:rsidRDefault="003E44C5" w:rsidP="003E44C5">
      <w:pPr>
        <w:jc w:val="both"/>
        <w:rPr>
          <w:rFonts w:ascii="Verdana" w:hAnsi="Verdana" w:cs="Arial"/>
          <w:sz w:val="22"/>
          <w:szCs w:val="22"/>
        </w:rPr>
      </w:pPr>
      <w:r w:rsidRPr="00E36FD2">
        <w:rPr>
          <w:rFonts w:ascii="Verdana" w:hAnsi="Verdana" w:cs="Arial"/>
          <w:sz w:val="22"/>
          <w:szCs w:val="22"/>
        </w:rPr>
        <w:t xml:space="preserve">The </w:t>
      </w:r>
      <w:r w:rsidR="00E36FD2" w:rsidRPr="00E36FD2">
        <w:rPr>
          <w:rFonts w:ascii="Verdana" w:hAnsi="Verdana" w:cs="Arial"/>
          <w:sz w:val="22"/>
          <w:szCs w:val="22"/>
        </w:rPr>
        <w:t xml:space="preserve">Chief Constable </w:t>
      </w:r>
      <w:r w:rsidRPr="00E36FD2">
        <w:rPr>
          <w:rFonts w:ascii="Verdana" w:hAnsi="Verdana" w:cs="Arial"/>
          <w:sz w:val="22"/>
          <w:szCs w:val="22"/>
        </w:rPr>
        <w:t>also has restricted powers to make material payments in relation to injury awards. Any liabilities estimated to arise as a result of an award to any member of staff or police officer are accrued in the year of the decision to make the award and accounted for using the same policies as are applied to the relevant pension scheme.</w:t>
      </w:r>
    </w:p>
    <w:bookmarkEnd w:id="31"/>
    <w:p w14:paraId="149AC4DD" w14:textId="77777777" w:rsidR="003E44C5" w:rsidRPr="00DC1077" w:rsidRDefault="003E44C5" w:rsidP="004D44FF">
      <w:pPr>
        <w:jc w:val="both"/>
        <w:rPr>
          <w:rFonts w:ascii="Verdana" w:hAnsi="Verdana" w:cs="Arial"/>
          <w:sz w:val="22"/>
          <w:szCs w:val="22"/>
          <w:highlight w:val="yellow"/>
        </w:rPr>
      </w:pPr>
    </w:p>
    <w:p w14:paraId="107F10B4" w14:textId="77777777" w:rsidR="004D44FF" w:rsidRPr="00DF3DA2" w:rsidRDefault="00EB0483" w:rsidP="004D44FF">
      <w:pPr>
        <w:pStyle w:val="Heading1"/>
        <w:rPr>
          <w:lang w:val="en-GB" w:eastAsia="en-GB"/>
        </w:rPr>
      </w:pPr>
      <w:bookmarkStart w:id="32" w:name="_Toc422143768"/>
      <w:bookmarkStart w:id="33" w:name="_Toc489957281"/>
      <w:bookmarkStart w:id="34" w:name="_Toc77095582"/>
      <w:r w:rsidRPr="00DF3DA2">
        <w:rPr>
          <w:lang w:val="en-GB" w:eastAsia="en-GB"/>
        </w:rPr>
        <w:t>Note 2</w:t>
      </w:r>
      <w:r w:rsidR="00D02B10" w:rsidRPr="00DF3DA2">
        <w:rPr>
          <w:lang w:val="en-GB" w:eastAsia="en-GB"/>
        </w:rPr>
        <w:t>3</w:t>
      </w:r>
      <w:r w:rsidRPr="00DF3DA2">
        <w:rPr>
          <w:lang w:val="en-GB" w:eastAsia="en-GB"/>
        </w:rPr>
        <w:t xml:space="preserve"> - </w:t>
      </w:r>
      <w:r w:rsidR="004D44FF" w:rsidRPr="00DF3DA2">
        <w:rPr>
          <w:lang w:val="en-GB" w:eastAsia="en-GB"/>
        </w:rPr>
        <w:t>Accounting Standards issued but not yet adopted</w:t>
      </w:r>
      <w:bookmarkEnd w:id="32"/>
      <w:bookmarkEnd w:id="33"/>
      <w:bookmarkEnd w:id="34"/>
    </w:p>
    <w:p w14:paraId="75B088A1" w14:textId="77777777" w:rsidR="00865B75" w:rsidRDefault="00865B75" w:rsidP="004D44FF">
      <w:pPr>
        <w:pStyle w:val="Style2"/>
        <w:jc w:val="both"/>
        <w:rPr>
          <w:rFonts w:ascii="Verdana" w:hAnsi="Verdana" w:cs="Times New Roman"/>
          <w:b w:val="0"/>
          <w:sz w:val="22"/>
          <w:szCs w:val="22"/>
        </w:rPr>
      </w:pPr>
    </w:p>
    <w:p w14:paraId="10766E05" w14:textId="77777777" w:rsidR="00DF3DA2" w:rsidRPr="00DF3DA2" w:rsidRDefault="00DF3DA2" w:rsidP="00DF3DA2">
      <w:pPr>
        <w:jc w:val="both"/>
        <w:rPr>
          <w:rFonts w:ascii="Verdana" w:hAnsi="Verdana" w:cs="Arial"/>
          <w:sz w:val="22"/>
          <w:szCs w:val="22"/>
        </w:rPr>
      </w:pPr>
      <w:r w:rsidRPr="00DF3DA2">
        <w:rPr>
          <w:rFonts w:ascii="Verdana" w:hAnsi="Verdana" w:cs="Arial"/>
          <w:sz w:val="22"/>
          <w:szCs w:val="22"/>
        </w:rPr>
        <w:t>A number of future accounting policy changes will need to be reported with effect from 1 April 2021.</w:t>
      </w:r>
    </w:p>
    <w:p w14:paraId="2A676E17" w14:textId="77777777" w:rsidR="00E36FD2" w:rsidRDefault="00E36FD2" w:rsidP="00DF3DA2">
      <w:pPr>
        <w:jc w:val="both"/>
        <w:rPr>
          <w:rFonts w:ascii="Verdana" w:hAnsi="Verdana" w:cs="Arial"/>
          <w:sz w:val="22"/>
          <w:szCs w:val="22"/>
        </w:rPr>
      </w:pPr>
    </w:p>
    <w:p w14:paraId="5CF72BA4" w14:textId="77777777" w:rsidR="00DF3DA2" w:rsidRDefault="00DF3DA2" w:rsidP="00DF3DA2">
      <w:pPr>
        <w:jc w:val="both"/>
        <w:rPr>
          <w:rFonts w:ascii="Verdana" w:hAnsi="Verdana" w:cs="Arial"/>
          <w:sz w:val="22"/>
          <w:szCs w:val="22"/>
        </w:rPr>
      </w:pPr>
      <w:r w:rsidRPr="00DF3DA2">
        <w:rPr>
          <w:rFonts w:ascii="Verdana" w:hAnsi="Verdana" w:cs="Arial"/>
          <w:sz w:val="22"/>
          <w:szCs w:val="22"/>
        </w:rPr>
        <w:t xml:space="preserve">Paragraph 3.3.2.13 of the 2020/2021 code requires changes in accounting policy to be applied retrospectively unless alternative transitional arrangements are specified in the Code. </w:t>
      </w:r>
    </w:p>
    <w:p w14:paraId="115210C4" w14:textId="77777777" w:rsidR="006C1B44" w:rsidRPr="00DF3DA2" w:rsidRDefault="006C1B44" w:rsidP="00DF3DA2">
      <w:pPr>
        <w:jc w:val="both"/>
        <w:rPr>
          <w:rFonts w:ascii="Verdana" w:hAnsi="Verdana" w:cs="Arial"/>
          <w:sz w:val="22"/>
          <w:szCs w:val="22"/>
        </w:rPr>
      </w:pPr>
    </w:p>
    <w:p w14:paraId="1459EF0C" w14:textId="77777777" w:rsidR="00DF3DA2" w:rsidRPr="00DF3DA2" w:rsidRDefault="00DF3DA2" w:rsidP="00DF3DA2">
      <w:pPr>
        <w:autoSpaceDE w:val="0"/>
        <w:autoSpaceDN w:val="0"/>
        <w:adjustRightInd w:val="0"/>
        <w:jc w:val="both"/>
        <w:rPr>
          <w:rFonts w:ascii="Verdana" w:hAnsi="Verdana" w:cs="Arial"/>
          <w:color w:val="000000"/>
          <w:sz w:val="22"/>
          <w:szCs w:val="22"/>
        </w:rPr>
      </w:pPr>
      <w:r w:rsidRPr="00DF3DA2">
        <w:rPr>
          <w:rFonts w:ascii="Verdana" w:hAnsi="Verdana" w:cs="Arial"/>
          <w:sz w:val="22"/>
          <w:szCs w:val="22"/>
        </w:rPr>
        <w:t xml:space="preserve">Paragraph 3.3.4.3 requires an authority (including police bodies) to disclose information relating to the impact of an accounting change that will be required by a new standard that has been issued but not yet adopted by the Code for the relevant financial year. Disclosure requirements are expected to be included in a subsequent edition of the Code. </w:t>
      </w:r>
    </w:p>
    <w:p w14:paraId="5934498B" w14:textId="77777777" w:rsidR="00DF3DA2" w:rsidRPr="00DF3DA2" w:rsidRDefault="00DF3DA2" w:rsidP="00DF3DA2">
      <w:pPr>
        <w:autoSpaceDE w:val="0"/>
        <w:autoSpaceDN w:val="0"/>
        <w:adjustRightInd w:val="0"/>
        <w:jc w:val="both"/>
        <w:rPr>
          <w:rFonts w:ascii="Verdana" w:hAnsi="Verdana" w:cs="Arial"/>
          <w:color w:val="000000"/>
          <w:sz w:val="22"/>
          <w:szCs w:val="22"/>
        </w:rPr>
      </w:pPr>
    </w:p>
    <w:p w14:paraId="45F63D73" w14:textId="77777777" w:rsidR="00DF3DA2" w:rsidRPr="00DF3DA2" w:rsidRDefault="00DF3DA2" w:rsidP="00DF3DA2">
      <w:pPr>
        <w:autoSpaceDE w:val="0"/>
        <w:autoSpaceDN w:val="0"/>
        <w:adjustRightInd w:val="0"/>
        <w:jc w:val="both"/>
        <w:rPr>
          <w:rFonts w:ascii="Verdana" w:hAnsi="Verdana" w:cs="Arial"/>
          <w:color w:val="000000"/>
          <w:sz w:val="22"/>
          <w:szCs w:val="22"/>
        </w:rPr>
      </w:pPr>
      <w:r w:rsidRPr="00DF3DA2">
        <w:rPr>
          <w:rFonts w:ascii="Verdana" w:hAnsi="Verdana" w:cs="Arial"/>
          <w:color w:val="000000"/>
          <w:sz w:val="22"/>
          <w:szCs w:val="22"/>
        </w:rPr>
        <w:t xml:space="preserve">Paragraph 3.3.4.3 and Appendix C of the Code adapt IAS 8 </w:t>
      </w:r>
      <w:r w:rsidRPr="00DF3DA2">
        <w:rPr>
          <w:rFonts w:ascii="Verdana" w:hAnsi="Verdana" w:cs="Arial"/>
          <w:i/>
          <w:iCs/>
          <w:color w:val="000000"/>
          <w:sz w:val="22"/>
          <w:szCs w:val="22"/>
        </w:rPr>
        <w:t xml:space="preserve">Accounting Policies, Changes in Accounting Estimates and Errors </w:t>
      </w:r>
      <w:r w:rsidRPr="00DF3DA2">
        <w:rPr>
          <w:rFonts w:ascii="Verdana" w:hAnsi="Verdana" w:cs="Arial"/>
          <w:color w:val="000000"/>
          <w:sz w:val="22"/>
          <w:szCs w:val="22"/>
        </w:rPr>
        <w:t xml:space="preserve">on an annual basis to limit the impact of standards that have been issued but not yet adopted to those listed in Appendix C of the Code in the relevant year of account (in this case the 2021/22 Code). This adaptation has been in place since the inception of the IFRS based Code in 2010/11. Additional clarification confirming this adaptation has been included in the 2021/22 Code. This clarification has not changed the Code’s requirements in this area. </w:t>
      </w:r>
    </w:p>
    <w:p w14:paraId="12A04A75" w14:textId="77777777" w:rsidR="00DF3DA2" w:rsidRPr="00DF3DA2" w:rsidRDefault="00DF3DA2" w:rsidP="00DF3DA2">
      <w:pPr>
        <w:autoSpaceDE w:val="0"/>
        <w:autoSpaceDN w:val="0"/>
        <w:adjustRightInd w:val="0"/>
        <w:jc w:val="both"/>
        <w:rPr>
          <w:rFonts w:ascii="Verdana" w:hAnsi="Verdana" w:cs="Arial"/>
          <w:color w:val="000000"/>
          <w:sz w:val="22"/>
          <w:szCs w:val="22"/>
        </w:rPr>
      </w:pPr>
    </w:p>
    <w:p w14:paraId="2A5530A3" w14:textId="77777777" w:rsidR="00DF3DA2" w:rsidRPr="00DF3DA2" w:rsidRDefault="00DF3DA2" w:rsidP="00DF3DA2">
      <w:pPr>
        <w:autoSpaceDE w:val="0"/>
        <w:autoSpaceDN w:val="0"/>
        <w:adjustRightInd w:val="0"/>
        <w:jc w:val="both"/>
        <w:rPr>
          <w:rFonts w:ascii="Verdana" w:hAnsi="Verdana" w:cs="Arial"/>
          <w:color w:val="000000"/>
          <w:sz w:val="22"/>
          <w:szCs w:val="22"/>
        </w:rPr>
      </w:pPr>
      <w:r w:rsidRPr="00DF3DA2">
        <w:rPr>
          <w:rFonts w:ascii="Verdana" w:hAnsi="Verdana" w:cs="Arial"/>
          <w:sz w:val="22"/>
          <w:szCs w:val="22"/>
        </w:rPr>
        <w:t xml:space="preserve">This means the requirements for IAS 8 for standards that have been issued but not yet adopted exclude IFRS 16 </w:t>
      </w:r>
      <w:r w:rsidRPr="00DF3DA2">
        <w:rPr>
          <w:rFonts w:ascii="Verdana" w:hAnsi="Verdana" w:cs="Arial"/>
          <w:i/>
          <w:sz w:val="22"/>
          <w:szCs w:val="22"/>
        </w:rPr>
        <w:t>Leases</w:t>
      </w:r>
      <w:r w:rsidRPr="00DF3DA2">
        <w:rPr>
          <w:rFonts w:ascii="Verdana" w:hAnsi="Verdana" w:cs="Arial"/>
          <w:sz w:val="22"/>
          <w:szCs w:val="22"/>
        </w:rPr>
        <w:t xml:space="preserve"> and IFRS 17 </w:t>
      </w:r>
      <w:r w:rsidRPr="00DF3DA2">
        <w:rPr>
          <w:rFonts w:ascii="Verdana" w:hAnsi="Verdana" w:cs="Arial"/>
          <w:i/>
          <w:sz w:val="22"/>
          <w:szCs w:val="22"/>
        </w:rPr>
        <w:t>Insurance Contracts</w:t>
      </w:r>
      <w:r w:rsidRPr="00DF3DA2">
        <w:rPr>
          <w:rFonts w:ascii="Verdana" w:hAnsi="Verdana" w:cs="Arial"/>
          <w:sz w:val="22"/>
          <w:szCs w:val="22"/>
        </w:rPr>
        <w:t xml:space="preserve"> from being necessary in these reporting requirements.</w:t>
      </w:r>
    </w:p>
    <w:p w14:paraId="2137B7A8" w14:textId="77777777" w:rsidR="00DF3DA2" w:rsidRPr="00DF3DA2" w:rsidRDefault="00DF3DA2" w:rsidP="00DF3DA2">
      <w:pPr>
        <w:autoSpaceDE w:val="0"/>
        <w:autoSpaceDN w:val="0"/>
        <w:adjustRightInd w:val="0"/>
        <w:jc w:val="both"/>
        <w:rPr>
          <w:rFonts w:ascii="Verdana" w:hAnsi="Verdana" w:cs="Arial"/>
          <w:color w:val="000000"/>
          <w:sz w:val="22"/>
          <w:szCs w:val="22"/>
        </w:rPr>
      </w:pPr>
    </w:p>
    <w:p w14:paraId="718D64B8" w14:textId="77777777" w:rsidR="00DF3DA2" w:rsidRDefault="00DF3DA2" w:rsidP="00DF3DA2">
      <w:pPr>
        <w:jc w:val="both"/>
        <w:rPr>
          <w:rFonts w:ascii="Verdana" w:hAnsi="Verdana" w:cs="Arial"/>
          <w:sz w:val="22"/>
          <w:szCs w:val="22"/>
        </w:rPr>
      </w:pPr>
      <w:r w:rsidRPr="00DF3DA2">
        <w:rPr>
          <w:rFonts w:ascii="Verdana" w:hAnsi="Verdana" w:cs="Arial"/>
          <w:sz w:val="22"/>
          <w:szCs w:val="22"/>
        </w:rPr>
        <w:t>The standards introduced by the 2021/22 Code and relevant for additional disclosures that will be required in the 2020/21 Financial Statements in accordance with the requirements of paragraph 3.3.4.3 of the Code are:</w:t>
      </w:r>
    </w:p>
    <w:p w14:paraId="585DEBFD" w14:textId="77777777" w:rsidR="00DF3DA2" w:rsidRPr="00DF3DA2" w:rsidRDefault="00DF3DA2" w:rsidP="00DF3DA2">
      <w:pPr>
        <w:jc w:val="both"/>
        <w:rPr>
          <w:rFonts w:ascii="Verdana" w:hAnsi="Verdana" w:cs="Arial"/>
          <w:sz w:val="22"/>
          <w:szCs w:val="22"/>
        </w:rPr>
      </w:pPr>
    </w:p>
    <w:p w14:paraId="26334093" w14:textId="77777777" w:rsidR="00DF3DA2" w:rsidRPr="00DF3DA2" w:rsidRDefault="00DF3DA2" w:rsidP="005E3E6F">
      <w:pPr>
        <w:pStyle w:val="ListParagraph"/>
        <w:numPr>
          <w:ilvl w:val="0"/>
          <w:numId w:val="24"/>
        </w:numPr>
        <w:spacing w:after="160" w:line="259" w:lineRule="auto"/>
        <w:jc w:val="both"/>
        <w:rPr>
          <w:rFonts w:ascii="Verdana" w:hAnsi="Verdana" w:cs="Arial"/>
          <w:sz w:val="22"/>
          <w:szCs w:val="22"/>
        </w:rPr>
      </w:pPr>
      <w:r w:rsidRPr="00DF3DA2">
        <w:rPr>
          <w:rFonts w:ascii="Verdana" w:hAnsi="Verdana" w:cs="Arial"/>
          <w:sz w:val="22"/>
          <w:szCs w:val="22"/>
        </w:rPr>
        <w:t>Definition of a Business: Amendments to IFRS 3 Business Combinations</w:t>
      </w:r>
    </w:p>
    <w:p w14:paraId="1740FDF4" w14:textId="77777777" w:rsidR="00DF3DA2" w:rsidRPr="00DF3DA2" w:rsidRDefault="00DF3DA2" w:rsidP="005E3E6F">
      <w:pPr>
        <w:pStyle w:val="ListParagraph"/>
        <w:numPr>
          <w:ilvl w:val="0"/>
          <w:numId w:val="24"/>
        </w:numPr>
        <w:spacing w:after="160" w:line="259" w:lineRule="auto"/>
        <w:jc w:val="both"/>
        <w:rPr>
          <w:rFonts w:ascii="Verdana" w:hAnsi="Verdana" w:cs="Arial"/>
          <w:sz w:val="22"/>
          <w:szCs w:val="22"/>
        </w:rPr>
      </w:pPr>
      <w:r w:rsidRPr="00DF3DA2">
        <w:rPr>
          <w:rFonts w:ascii="Verdana" w:hAnsi="Verdana" w:cs="Arial"/>
          <w:sz w:val="22"/>
          <w:szCs w:val="22"/>
        </w:rPr>
        <w:t>Interest Rates Benchmark Reform: Amendments to IFRA9, IAS 39, and IFRS 7</w:t>
      </w:r>
    </w:p>
    <w:p w14:paraId="335B361C" w14:textId="77777777" w:rsidR="00DF3DA2" w:rsidRPr="00DF3DA2" w:rsidRDefault="00DF3DA2" w:rsidP="005E3E6F">
      <w:pPr>
        <w:pStyle w:val="ListParagraph"/>
        <w:numPr>
          <w:ilvl w:val="0"/>
          <w:numId w:val="24"/>
        </w:numPr>
        <w:spacing w:after="160" w:line="259" w:lineRule="auto"/>
        <w:jc w:val="both"/>
        <w:rPr>
          <w:rFonts w:ascii="Verdana" w:hAnsi="Verdana" w:cs="Arial"/>
          <w:sz w:val="22"/>
          <w:szCs w:val="22"/>
        </w:rPr>
      </w:pPr>
      <w:r w:rsidRPr="00DF3DA2">
        <w:rPr>
          <w:rFonts w:ascii="Verdana" w:hAnsi="Verdana" w:cs="Arial"/>
          <w:sz w:val="22"/>
          <w:szCs w:val="22"/>
        </w:rPr>
        <w:t xml:space="preserve">Interest Rates Benchmark Reform – Phase 2: Amendments to IFRS 9, IAS 39, IFRS7, IFRS 4 and IFRS 16. </w:t>
      </w:r>
    </w:p>
    <w:p w14:paraId="4D379A0D" w14:textId="77777777" w:rsidR="00DF3DA2" w:rsidRDefault="00DF3DA2" w:rsidP="00DF3DA2">
      <w:pPr>
        <w:jc w:val="both"/>
        <w:rPr>
          <w:rFonts w:ascii="Verdana" w:hAnsi="Verdana" w:cs="Arial"/>
          <w:sz w:val="22"/>
          <w:szCs w:val="22"/>
        </w:rPr>
      </w:pPr>
      <w:r w:rsidRPr="00DF3DA2">
        <w:rPr>
          <w:rFonts w:ascii="Verdana" w:hAnsi="Verdana" w:cs="Arial"/>
          <w:sz w:val="22"/>
          <w:szCs w:val="22"/>
        </w:rPr>
        <w:t xml:space="preserve">The CIPFA LASAAC Local Authority Accounting Code Board has agreed to defer the implementation of IFRS 16 </w:t>
      </w:r>
      <w:r w:rsidRPr="00DF3DA2">
        <w:rPr>
          <w:rFonts w:ascii="Verdana" w:hAnsi="Verdana" w:cs="Arial"/>
          <w:i/>
          <w:sz w:val="22"/>
          <w:szCs w:val="22"/>
        </w:rPr>
        <w:t>Leases</w:t>
      </w:r>
      <w:r w:rsidRPr="00DF3DA2">
        <w:rPr>
          <w:rFonts w:ascii="Verdana" w:hAnsi="Verdana" w:cs="Arial"/>
          <w:sz w:val="22"/>
          <w:szCs w:val="22"/>
        </w:rPr>
        <w:t xml:space="preserve"> in the Code until the 2022/23 financial year. This aligns with the decision at the Government’s Financial Reporting Advisory Board to establish a new effective date of 1 April 2022 for implementation of IFRS 16.</w:t>
      </w:r>
    </w:p>
    <w:p w14:paraId="691DC24E" w14:textId="77777777" w:rsidR="00DF3DA2" w:rsidRPr="00DF3DA2" w:rsidRDefault="00DF3DA2" w:rsidP="00DF3DA2">
      <w:pPr>
        <w:jc w:val="both"/>
        <w:rPr>
          <w:rFonts w:ascii="Verdana" w:hAnsi="Verdana" w:cs="Arial"/>
          <w:sz w:val="22"/>
          <w:szCs w:val="22"/>
        </w:rPr>
      </w:pPr>
    </w:p>
    <w:p w14:paraId="35B42585" w14:textId="77777777" w:rsidR="00DF3DA2" w:rsidRPr="00DF3DA2" w:rsidRDefault="00DF3DA2" w:rsidP="00DF3DA2">
      <w:pPr>
        <w:pStyle w:val="Style2"/>
        <w:jc w:val="both"/>
        <w:rPr>
          <w:rFonts w:ascii="Verdana" w:hAnsi="Verdana" w:cs="Times New Roman"/>
          <w:b w:val="0"/>
          <w:sz w:val="22"/>
          <w:szCs w:val="22"/>
        </w:rPr>
      </w:pPr>
      <w:r w:rsidRPr="00DF3DA2">
        <w:rPr>
          <w:rFonts w:ascii="Verdana" w:hAnsi="Verdana"/>
          <w:b w:val="0"/>
          <w:sz w:val="22"/>
          <w:szCs w:val="22"/>
        </w:rPr>
        <w:t xml:space="preserve">It is not expected that any of these amendments other than IFRS 16 will have a material impact on the information provided in the financial statements for any of the </w:t>
      </w:r>
      <w:r w:rsidRPr="00DF3DA2">
        <w:rPr>
          <w:rFonts w:ascii="Verdana" w:hAnsi="Verdana"/>
          <w:b w:val="0"/>
          <w:color w:val="211D1E"/>
          <w:sz w:val="22"/>
          <w:szCs w:val="22"/>
        </w:rPr>
        <w:t xml:space="preserve">Surrey </w:t>
      </w:r>
      <w:r w:rsidRPr="00DF3DA2">
        <w:rPr>
          <w:rFonts w:ascii="Verdana" w:hAnsi="Verdana"/>
          <w:b w:val="0"/>
          <w:sz w:val="22"/>
          <w:szCs w:val="22"/>
        </w:rPr>
        <w:t>Police group accounts.</w:t>
      </w:r>
    </w:p>
    <w:p w14:paraId="5B102A78" w14:textId="77777777" w:rsidR="00865B75" w:rsidRDefault="00865B75" w:rsidP="004D44FF">
      <w:pPr>
        <w:pStyle w:val="Style2"/>
        <w:jc w:val="both"/>
        <w:rPr>
          <w:rFonts w:ascii="Verdana" w:hAnsi="Verdana" w:cs="Times New Roman"/>
          <w:b w:val="0"/>
          <w:sz w:val="22"/>
          <w:szCs w:val="22"/>
        </w:rPr>
      </w:pPr>
    </w:p>
    <w:p w14:paraId="163A1E8E" w14:textId="77777777" w:rsidR="00E8718E" w:rsidRDefault="00E8718E">
      <w:pPr>
        <w:rPr>
          <w:rFonts w:asciiTheme="majorHAnsi" w:eastAsiaTheme="majorEastAsia" w:hAnsiTheme="majorHAnsi" w:cstheme="majorBidi"/>
          <w:color w:val="2E74B5" w:themeColor="accent1" w:themeShade="BF"/>
          <w:sz w:val="32"/>
          <w:szCs w:val="32"/>
        </w:rPr>
      </w:pPr>
      <w:bookmarkStart w:id="35" w:name="_Toc43672343"/>
      <w:r>
        <w:br w:type="page"/>
      </w:r>
    </w:p>
    <w:p w14:paraId="4EB2E2B6" w14:textId="77777777" w:rsidR="006F0914" w:rsidRPr="0091312C" w:rsidRDefault="006F0914" w:rsidP="006F0914">
      <w:pPr>
        <w:pStyle w:val="Heading1"/>
      </w:pPr>
      <w:bookmarkStart w:id="36" w:name="_Toc77095583"/>
      <w:r w:rsidRPr="0091312C">
        <w:t>Police Pensions Fund Account Statements as at 31 March 202</w:t>
      </w:r>
      <w:bookmarkEnd w:id="35"/>
      <w:r w:rsidR="00E8718E" w:rsidRPr="0091312C">
        <w:t>1</w:t>
      </w:r>
      <w:bookmarkEnd w:id="36"/>
    </w:p>
    <w:p w14:paraId="3FB031A4" w14:textId="77777777" w:rsidR="006F0914" w:rsidRPr="0091312C" w:rsidRDefault="006F0914" w:rsidP="006F0914">
      <w:pPr>
        <w:rPr>
          <w:sz w:val="22"/>
          <w:szCs w:val="22"/>
        </w:rPr>
      </w:pPr>
    </w:p>
    <w:p w14:paraId="656D2C07" w14:textId="77777777" w:rsidR="00E8718E" w:rsidRPr="0091312C" w:rsidRDefault="00E8718E" w:rsidP="00E8718E">
      <w:pPr>
        <w:pStyle w:val="Normal0"/>
        <w:rPr>
          <w:rFonts w:ascii="Verdana" w:hAnsi="Verdana"/>
          <w:color w:val="8496B0" w:themeColor="text2" w:themeTint="99"/>
          <w:sz w:val="22"/>
          <w:lang w:val="en-GB" w:eastAsia="en-GB"/>
        </w:rPr>
      </w:pPr>
      <w:r w:rsidRPr="0091312C">
        <w:rPr>
          <w:rFonts w:ascii="Verdana" w:hAnsi="Verdana"/>
          <w:color w:val="2E74B5" w:themeColor="accent1" w:themeShade="BF"/>
          <w:sz w:val="22"/>
          <w:lang w:val="en-GB" w:eastAsia="en-GB"/>
        </w:rPr>
        <w:t>These statements show the contributions and benefits payable for the year</w:t>
      </w:r>
    </w:p>
    <w:p w14:paraId="283F0560" w14:textId="77777777" w:rsidR="006F0914" w:rsidRPr="006F0914" w:rsidRDefault="006F0914" w:rsidP="006F0914">
      <w:pPr>
        <w:pStyle w:val="Normal0"/>
        <w:jc w:val="both"/>
        <w:rPr>
          <w:rFonts w:ascii="Verdana" w:eastAsia="Times New Roman" w:hAnsi="Verdana"/>
          <w:sz w:val="22"/>
          <w:szCs w:val="22"/>
          <w:lang w:val="en-GB" w:eastAsia="en-GB"/>
        </w:rPr>
      </w:pPr>
      <w:r w:rsidRPr="0091312C">
        <w:rPr>
          <w:rFonts w:ascii="Verdana" w:eastAsia="Times New Roman" w:hAnsi="Verdana"/>
          <w:sz w:val="22"/>
          <w:szCs w:val="22"/>
          <w:lang w:val="en-GB" w:eastAsia="en-GB"/>
        </w:rPr>
        <w:t>The Chief Constable is responsible for administering the Police Pension Fund in accordance with the Police Reform and Social responsibility Act 2011.  During the year all payments and receipts are made to and from the PCC</w:t>
      </w:r>
      <w:r w:rsidRPr="006F0914">
        <w:rPr>
          <w:rFonts w:ascii="Verdana" w:eastAsia="Times New Roman" w:hAnsi="Verdana"/>
          <w:sz w:val="22"/>
          <w:szCs w:val="22"/>
          <w:lang w:val="en-GB" w:eastAsia="en-GB"/>
        </w:rPr>
        <w:t xml:space="preserve"> Police Fund.  This standalone statement shows income and expenditure for the police pension schemes and does not form part of the Chief Constable or the PCC Group’s statement of accounts.</w:t>
      </w:r>
    </w:p>
    <w:p w14:paraId="14BDFEE2" w14:textId="77777777" w:rsidR="006F0914" w:rsidRPr="004F6B37" w:rsidRDefault="006F0914" w:rsidP="006F0914">
      <w:pPr>
        <w:rPr>
          <w:rFonts w:ascii="Verdana" w:hAnsi="Verdana"/>
          <w:sz w:val="22"/>
          <w:szCs w:val="22"/>
          <w:lang w:val="en-GB" w:eastAsia="en-GB"/>
        </w:rPr>
      </w:pPr>
    </w:p>
    <w:p w14:paraId="57E7D0C2" w14:textId="77777777" w:rsidR="006F0914" w:rsidRPr="004F6B37" w:rsidRDefault="006F0914" w:rsidP="006F0914">
      <w:pPr>
        <w:jc w:val="center"/>
        <w:rPr>
          <w:rFonts w:ascii="Verdana" w:hAnsi="Verdana"/>
          <w:b/>
          <w:sz w:val="22"/>
          <w:szCs w:val="22"/>
          <w:lang w:val="en-GB" w:eastAsia="en-GB"/>
        </w:rPr>
      </w:pPr>
      <w:r w:rsidRPr="004F6B37">
        <w:rPr>
          <w:rFonts w:ascii="Verdana" w:hAnsi="Verdana"/>
          <w:b/>
          <w:sz w:val="22"/>
          <w:szCs w:val="22"/>
          <w:lang w:val="en-GB" w:eastAsia="en-GB"/>
        </w:rPr>
        <w:t>Surrey Police Pension Fund Account Statement</w:t>
      </w:r>
    </w:p>
    <w:tbl>
      <w:tblPr>
        <w:tblW w:w="13178" w:type="dxa"/>
        <w:jc w:val="center"/>
        <w:tblLayout w:type="fixed"/>
        <w:tblLook w:val="01E0" w:firstRow="1" w:lastRow="1" w:firstColumn="1" w:lastColumn="1" w:noHBand="0" w:noVBand="0"/>
      </w:tblPr>
      <w:tblGrid>
        <w:gridCol w:w="1275"/>
        <w:gridCol w:w="1238"/>
        <w:gridCol w:w="7492"/>
        <w:gridCol w:w="1614"/>
        <w:gridCol w:w="1559"/>
      </w:tblGrid>
      <w:tr w:rsidR="006F0914" w14:paraId="6DB10BB0" w14:textId="77777777" w:rsidTr="00B12066">
        <w:trPr>
          <w:trHeight w:val="195"/>
          <w:jc w:val="center"/>
        </w:trPr>
        <w:tc>
          <w:tcPr>
            <w:tcW w:w="2513" w:type="dxa"/>
            <w:gridSpan w:val="2"/>
            <w:tcBorders>
              <w:top w:val="single" w:sz="4" w:space="0" w:color="auto"/>
              <w:left w:val="single" w:sz="4" w:space="0" w:color="auto"/>
              <w:bottom w:val="single" w:sz="4" w:space="0" w:color="auto"/>
              <w:right w:val="single" w:sz="4" w:space="0" w:color="auto"/>
            </w:tcBorders>
          </w:tcPr>
          <w:p w14:paraId="73408634" w14:textId="77777777" w:rsidR="006F0914" w:rsidRPr="00E36FD2" w:rsidRDefault="006F0914" w:rsidP="003A1330">
            <w:pPr>
              <w:pStyle w:val="Normal0"/>
              <w:jc w:val="center"/>
              <w:rPr>
                <w:rFonts w:ascii="Verdana" w:eastAsia="Times New Roman" w:hAnsi="Verdana"/>
                <w:b/>
                <w:lang w:val="en-GB" w:eastAsia="en-GB"/>
              </w:rPr>
            </w:pPr>
            <w:r w:rsidRPr="00E36FD2">
              <w:rPr>
                <w:rFonts w:ascii="Verdana" w:hAnsi="Verdana"/>
                <w:b/>
                <w:bCs/>
              </w:rPr>
              <w:t>As at March 20</w:t>
            </w:r>
            <w:r w:rsidR="003A1330" w:rsidRPr="00E36FD2">
              <w:rPr>
                <w:rFonts w:ascii="Verdana" w:hAnsi="Verdana"/>
                <w:b/>
                <w:bCs/>
              </w:rPr>
              <w:t>20</w:t>
            </w:r>
          </w:p>
        </w:tc>
        <w:tc>
          <w:tcPr>
            <w:tcW w:w="7492" w:type="dxa"/>
            <w:tcBorders>
              <w:top w:val="single" w:sz="4" w:space="0" w:color="auto"/>
              <w:left w:val="single" w:sz="4" w:space="0" w:color="auto"/>
              <w:bottom w:val="nil"/>
              <w:right w:val="single" w:sz="4" w:space="0" w:color="auto"/>
            </w:tcBorders>
            <w:shd w:val="clear" w:color="auto" w:fill="auto"/>
            <w:vAlign w:val="center"/>
          </w:tcPr>
          <w:p w14:paraId="0D697008" w14:textId="77777777" w:rsidR="006F0914" w:rsidRPr="00E36FD2" w:rsidRDefault="006F0914" w:rsidP="007C11F3">
            <w:pPr>
              <w:pStyle w:val="Normal0"/>
              <w:rPr>
                <w:rFonts w:ascii="Verdana" w:eastAsia="Times New Roman" w:hAnsi="Verdana"/>
                <w:b/>
                <w:lang w:val="en-GB" w:eastAsia="en-GB"/>
              </w:rPr>
            </w:pPr>
          </w:p>
        </w:tc>
        <w:tc>
          <w:tcPr>
            <w:tcW w:w="3173" w:type="dxa"/>
            <w:gridSpan w:val="2"/>
            <w:tcBorders>
              <w:top w:val="single" w:sz="4" w:space="0" w:color="auto"/>
              <w:left w:val="single" w:sz="4" w:space="0" w:color="auto"/>
              <w:bottom w:val="single" w:sz="4" w:space="0" w:color="auto"/>
              <w:right w:val="single" w:sz="4" w:space="0" w:color="auto"/>
            </w:tcBorders>
          </w:tcPr>
          <w:p w14:paraId="20FB8F31" w14:textId="77777777" w:rsidR="006F0914" w:rsidRPr="00E36FD2" w:rsidRDefault="006F0914" w:rsidP="003A1330">
            <w:pPr>
              <w:pStyle w:val="Normal0"/>
              <w:jc w:val="center"/>
              <w:rPr>
                <w:rFonts w:ascii="Verdana" w:hAnsi="Verdana"/>
                <w:b/>
                <w:bCs/>
              </w:rPr>
            </w:pPr>
            <w:r w:rsidRPr="00E36FD2">
              <w:rPr>
                <w:rFonts w:ascii="Verdana" w:hAnsi="Verdana"/>
                <w:b/>
                <w:bCs/>
              </w:rPr>
              <w:t>As at March 202</w:t>
            </w:r>
            <w:r w:rsidR="003A1330" w:rsidRPr="00E36FD2">
              <w:rPr>
                <w:rFonts w:ascii="Verdana" w:hAnsi="Verdana"/>
                <w:b/>
                <w:bCs/>
              </w:rPr>
              <w:t>1</w:t>
            </w:r>
          </w:p>
        </w:tc>
      </w:tr>
      <w:tr w:rsidR="006F0914" w14:paraId="75BEA010"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vAlign w:val="center"/>
          </w:tcPr>
          <w:p w14:paraId="3C1A4451" w14:textId="77777777" w:rsidR="006F0914" w:rsidRPr="00E36FD2" w:rsidRDefault="006F0914" w:rsidP="007C11F3">
            <w:pPr>
              <w:pStyle w:val="Normal0"/>
              <w:jc w:val="right"/>
              <w:rPr>
                <w:rFonts w:ascii="Verdana" w:eastAsia="Times New Roman" w:hAnsi="Verdana"/>
                <w:b/>
                <w:lang w:val="en-GB" w:eastAsia="en-GB"/>
              </w:rPr>
            </w:pPr>
            <w:r w:rsidRPr="00E36FD2">
              <w:rPr>
                <w:rFonts w:ascii="Verdana" w:eastAsia="Times New Roman" w:hAnsi="Verdana"/>
                <w:b/>
                <w:lang w:val="en-GB" w:eastAsia="en-GB"/>
              </w:rPr>
              <w:t>£000</w:t>
            </w:r>
          </w:p>
        </w:tc>
        <w:tc>
          <w:tcPr>
            <w:tcW w:w="1238" w:type="dxa"/>
            <w:tcBorders>
              <w:top w:val="single" w:sz="4" w:space="0" w:color="auto"/>
              <w:left w:val="single" w:sz="4" w:space="0" w:color="auto"/>
              <w:bottom w:val="single" w:sz="4" w:space="0" w:color="auto"/>
              <w:right w:val="single" w:sz="4" w:space="0" w:color="auto"/>
            </w:tcBorders>
            <w:vAlign w:val="center"/>
          </w:tcPr>
          <w:p w14:paraId="56BBA81F" w14:textId="77777777" w:rsidR="006F0914" w:rsidRPr="00E36FD2" w:rsidRDefault="006F0914" w:rsidP="007C11F3">
            <w:pPr>
              <w:pStyle w:val="Normal0"/>
              <w:jc w:val="right"/>
              <w:rPr>
                <w:rFonts w:ascii="Verdana" w:eastAsia="Times New Roman" w:hAnsi="Verdana"/>
                <w:b/>
                <w:lang w:val="en-GB" w:eastAsia="en-GB"/>
              </w:rPr>
            </w:pPr>
            <w:r w:rsidRPr="00E36FD2">
              <w:rPr>
                <w:rFonts w:ascii="Verdana" w:eastAsia="Times New Roman" w:hAnsi="Verdana"/>
                <w:b/>
                <w:lang w:val="en-GB" w:eastAsia="en-GB"/>
              </w:rPr>
              <w:t>£000</w:t>
            </w:r>
          </w:p>
        </w:tc>
        <w:tc>
          <w:tcPr>
            <w:tcW w:w="7492" w:type="dxa"/>
            <w:tcBorders>
              <w:top w:val="nil"/>
              <w:left w:val="single" w:sz="4" w:space="0" w:color="auto"/>
              <w:bottom w:val="single" w:sz="4" w:space="0" w:color="auto"/>
              <w:right w:val="single" w:sz="4" w:space="0" w:color="auto"/>
            </w:tcBorders>
            <w:shd w:val="clear" w:color="auto" w:fill="auto"/>
            <w:vAlign w:val="center"/>
          </w:tcPr>
          <w:p w14:paraId="782D9F26" w14:textId="77777777" w:rsidR="006F0914" w:rsidRPr="00E36FD2" w:rsidRDefault="006F0914" w:rsidP="007C11F3">
            <w:pPr>
              <w:pStyle w:val="Normal0"/>
              <w:rPr>
                <w:rFonts w:ascii="Verdana" w:eastAsia="Times New Roman" w:hAnsi="Verdana"/>
                <w:i/>
                <w:lang w:val="en-GB" w:eastAsia="en-GB"/>
              </w:rPr>
            </w:pPr>
          </w:p>
        </w:tc>
        <w:tc>
          <w:tcPr>
            <w:tcW w:w="1614" w:type="dxa"/>
            <w:tcBorders>
              <w:top w:val="single" w:sz="4" w:space="0" w:color="auto"/>
              <w:left w:val="single" w:sz="4" w:space="0" w:color="auto"/>
              <w:bottom w:val="single" w:sz="4" w:space="0" w:color="auto"/>
              <w:right w:val="single" w:sz="4" w:space="0" w:color="auto"/>
            </w:tcBorders>
            <w:vAlign w:val="center"/>
          </w:tcPr>
          <w:p w14:paraId="093F789B" w14:textId="77777777" w:rsidR="006F0914" w:rsidRPr="00E36FD2" w:rsidRDefault="006F0914" w:rsidP="007C11F3">
            <w:pPr>
              <w:pStyle w:val="Normal0"/>
              <w:jc w:val="right"/>
              <w:rPr>
                <w:rFonts w:ascii="Verdana" w:eastAsia="Times New Roman" w:hAnsi="Verdana"/>
                <w:b/>
                <w:lang w:val="en-GB" w:eastAsia="en-GB"/>
              </w:rPr>
            </w:pPr>
            <w:r w:rsidRPr="00E36FD2">
              <w:rPr>
                <w:rFonts w:ascii="Verdana" w:eastAsia="Times New Roman" w:hAnsi="Verdana"/>
                <w:b/>
                <w:lang w:val="en-GB" w:eastAsia="en-GB"/>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3029944" w14:textId="77777777" w:rsidR="006F0914" w:rsidRPr="00E36FD2" w:rsidRDefault="006F0914" w:rsidP="007C11F3">
            <w:pPr>
              <w:pStyle w:val="Normal0"/>
              <w:jc w:val="right"/>
              <w:rPr>
                <w:rFonts w:ascii="Verdana" w:eastAsia="Times New Roman" w:hAnsi="Verdana"/>
                <w:b/>
                <w:lang w:val="en-GB" w:eastAsia="en-GB"/>
              </w:rPr>
            </w:pPr>
            <w:r w:rsidRPr="00E36FD2">
              <w:rPr>
                <w:rFonts w:ascii="Verdana" w:eastAsia="Times New Roman" w:hAnsi="Verdana"/>
                <w:b/>
                <w:lang w:val="en-GB" w:eastAsia="en-GB"/>
              </w:rPr>
              <w:t>£000</w:t>
            </w:r>
          </w:p>
        </w:tc>
      </w:tr>
      <w:tr w:rsidR="006F0914" w14:paraId="187AA546" w14:textId="77777777" w:rsidTr="00B12066">
        <w:trPr>
          <w:trHeight w:val="195"/>
          <w:jc w:val="center"/>
        </w:trPr>
        <w:tc>
          <w:tcPr>
            <w:tcW w:w="1275" w:type="dxa"/>
            <w:tcBorders>
              <w:left w:val="single" w:sz="4" w:space="0" w:color="auto"/>
              <w:bottom w:val="nil"/>
              <w:right w:val="single" w:sz="4" w:space="0" w:color="auto"/>
            </w:tcBorders>
            <w:vAlign w:val="bottom"/>
          </w:tcPr>
          <w:p w14:paraId="2D0F8844" w14:textId="77777777" w:rsidR="006F0914" w:rsidRPr="00E36FD2" w:rsidRDefault="006F0914" w:rsidP="007C11F3">
            <w:pPr>
              <w:pStyle w:val="Normal0"/>
              <w:jc w:val="right"/>
              <w:rPr>
                <w:rFonts w:ascii="Verdana" w:eastAsia="Times New Roman" w:hAnsi="Verdana"/>
                <w:b/>
                <w:lang w:val="en-GB" w:eastAsia="en-GB"/>
              </w:rPr>
            </w:pPr>
          </w:p>
        </w:tc>
        <w:tc>
          <w:tcPr>
            <w:tcW w:w="1238" w:type="dxa"/>
            <w:tcBorders>
              <w:top w:val="single" w:sz="4" w:space="0" w:color="auto"/>
              <w:left w:val="single" w:sz="4" w:space="0" w:color="auto"/>
              <w:bottom w:val="nil"/>
              <w:right w:val="single" w:sz="4" w:space="0" w:color="auto"/>
            </w:tcBorders>
            <w:vAlign w:val="bottom"/>
          </w:tcPr>
          <w:p w14:paraId="47EB5552" w14:textId="77777777" w:rsidR="006F0914" w:rsidRPr="00E36FD2" w:rsidRDefault="006F0914" w:rsidP="007C11F3">
            <w:pPr>
              <w:pStyle w:val="Normal0"/>
              <w:jc w:val="right"/>
              <w:rPr>
                <w:rFonts w:ascii="Verdana" w:eastAsia="Times New Roman" w:hAnsi="Verdana"/>
                <w:b/>
                <w:lang w:val="en-GB" w:eastAsia="en-GB"/>
              </w:rPr>
            </w:pPr>
          </w:p>
        </w:tc>
        <w:tc>
          <w:tcPr>
            <w:tcW w:w="7492" w:type="dxa"/>
            <w:tcBorders>
              <w:left w:val="single" w:sz="4" w:space="0" w:color="auto"/>
              <w:bottom w:val="nil"/>
              <w:right w:val="single" w:sz="4" w:space="0" w:color="auto"/>
            </w:tcBorders>
            <w:shd w:val="clear" w:color="auto" w:fill="auto"/>
            <w:vAlign w:val="center"/>
          </w:tcPr>
          <w:p w14:paraId="2A35029B" w14:textId="77777777" w:rsidR="006F0914" w:rsidRPr="00E36FD2" w:rsidRDefault="006F0914" w:rsidP="007C11F3">
            <w:pPr>
              <w:pStyle w:val="Normal0"/>
              <w:rPr>
                <w:rFonts w:ascii="Verdana" w:eastAsia="Times New Roman" w:hAnsi="Verdana"/>
                <w:b/>
                <w:lang w:val="en-GB" w:eastAsia="en-GB"/>
              </w:rPr>
            </w:pPr>
            <w:r w:rsidRPr="00E36FD2">
              <w:rPr>
                <w:rFonts w:ascii="Verdana" w:eastAsia="Times New Roman" w:hAnsi="Verdana"/>
                <w:b/>
                <w:lang w:val="en-GB" w:eastAsia="en-GB"/>
              </w:rPr>
              <w:t>Contributions Receivable</w:t>
            </w:r>
          </w:p>
        </w:tc>
        <w:tc>
          <w:tcPr>
            <w:tcW w:w="1614" w:type="dxa"/>
            <w:tcBorders>
              <w:top w:val="single" w:sz="4" w:space="0" w:color="auto"/>
              <w:left w:val="single" w:sz="4" w:space="0" w:color="auto"/>
              <w:right w:val="single" w:sz="4" w:space="0" w:color="auto"/>
            </w:tcBorders>
            <w:vAlign w:val="bottom"/>
          </w:tcPr>
          <w:p w14:paraId="4EB1C9A7" w14:textId="77777777" w:rsidR="006F0914" w:rsidRPr="00E36FD2" w:rsidRDefault="006F0914" w:rsidP="007C11F3">
            <w:pPr>
              <w:pStyle w:val="Normal0"/>
              <w:jc w:val="right"/>
              <w:rPr>
                <w:rFonts w:ascii="Verdana" w:eastAsia="Times New Roman" w:hAnsi="Verdana"/>
                <w:b/>
                <w:lang w:val="en-GB" w:eastAsia="en-GB"/>
              </w:rPr>
            </w:pPr>
          </w:p>
        </w:tc>
        <w:tc>
          <w:tcPr>
            <w:tcW w:w="1559" w:type="dxa"/>
            <w:tcBorders>
              <w:top w:val="single" w:sz="4" w:space="0" w:color="auto"/>
              <w:left w:val="single" w:sz="4" w:space="0" w:color="auto"/>
              <w:right w:val="single" w:sz="4" w:space="0" w:color="auto"/>
            </w:tcBorders>
            <w:vAlign w:val="bottom"/>
          </w:tcPr>
          <w:p w14:paraId="1591E13D" w14:textId="77777777" w:rsidR="006F0914" w:rsidRPr="00E36FD2" w:rsidRDefault="006F0914" w:rsidP="007C11F3">
            <w:pPr>
              <w:pStyle w:val="Normal0"/>
              <w:jc w:val="right"/>
              <w:rPr>
                <w:rFonts w:ascii="Verdana" w:eastAsia="Times New Roman" w:hAnsi="Verdana"/>
                <w:b/>
                <w:lang w:val="en-GB" w:eastAsia="en-GB"/>
              </w:rPr>
            </w:pPr>
          </w:p>
        </w:tc>
      </w:tr>
      <w:tr w:rsidR="006F0914" w14:paraId="013D9E75" w14:textId="77777777" w:rsidTr="00B12066">
        <w:trPr>
          <w:trHeight w:val="195"/>
          <w:jc w:val="center"/>
        </w:trPr>
        <w:tc>
          <w:tcPr>
            <w:tcW w:w="1275" w:type="dxa"/>
            <w:tcBorders>
              <w:top w:val="nil"/>
              <w:left w:val="single" w:sz="4" w:space="0" w:color="auto"/>
              <w:bottom w:val="nil"/>
              <w:right w:val="single" w:sz="4" w:space="0" w:color="auto"/>
            </w:tcBorders>
            <w:vAlign w:val="bottom"/>
          </w:tcPr>
          <w:p w14:paraId="3423262D" w14:textId="77777777" w:rsidR="006F0914" w:rsidRPr="00E36FD2" w:rsidRDefault="006F0914" w:rsidP="007C11F3">
            <w:pPr>
              <w:pStyle w:val="Normal0"/>
              <w:jc w:val="right"/>
              <w:rPr>
                <w:rFonts w:ascii="Verdana" w:eastAsia="Times New Roman" w:hAnsi="Verdana"/>
                <w:b/>
                <w:lang w:val="en-GB" w:eastAsia="en-GB"/>
              </w:rPr>
            </w:pPr>
          </w:p>
        </w:tc>
        <w:tc>
          <w:tcPr>
            <w:tcW w:w="1238" w:type="dxa"/>
            <w:tcBorders>
              <w:top w:val="nil"/>
              <w:left w:val="single" w:sz="4" w:space="0" w:color="auto"/>
              <w:bottom w:val="nil"/>
              <w:right w:val="single" w:sz="4" w:space="0" w:color="auto"/>
            </w:tcBorders>
            <w:vAlign w:val="bottom"/>
          </w:tcPr>
          <w:p w14:paraId="437C6B95" w14:textId="77777777" w:rsidR="006F0914" w:rsidRPr="00E36FD2" w:rsidRDefault="006F0914" w:rsidP="007C11F3">
            <w:pPr>
              <w:pStyle w:val="Normal0"/>
              <w:jc w:val="right"/>
              <w:rPr>
                <w:rFonts w:ascii="Verdana" w:eastAsia="Times New Roman" w:hAnsi="Verdana"/>
                <w:b/>
                <w:lang w:val="en-GB" w:eastAsia="en-GB"/>
              </w:rPr>
            </w:pPr>
          </w:p>
        </w:tc>
        <w:tc>
          <w:tcPr>
            <w:tcW w:w="7492" w:type="dxa"/>
            <w:tcBorders>
              <w:top w:val="nil"/>
              <w:left w:val="single" w:sz="4" w:space="0" w:color="auto"/>
              <w:bottom w:val="nil"/>
              <w:right w:val="single" w:sz="4" w:space="0" w:color="auto"/>
            </w:tcBorders>
            <w:shd w:val="clear" w:color="auto" w:fill="auto"/>
            <w:vAlign w:val="center"/>
          </w:tcPr>
          <w:p w14:paraId="173807CD" w14:textId="77777777" w:rsidR="006F0914" w:rsidRPr="00E36FD2" w:rsidRDefault="006F0914" w:rsidP="007C11F3">
            <w:pPr>
              <w:pStyle w:val="Normal0"/>
              <w:rPr>
                <w:rFonts w:ascii="Verdana" w:eastAsia="Times New Roman" w:hAnsi="Verdana"/>
                <w:lang w:val="en-GB" w:eastAsia="en-GB"/>
              </w:rPr>
            </w:pPr>
            <w:r w:rsidRPr="00E36FD2">
              <w:rPr>
                <w:rFonts w:ascii="Verdana" w:eastAsia="Times New Roman" w:hAnsi="Verdana"/>
                <w:lang w:val="en-GB" w:eastAsia="en-GB"/>
              </w:rPr>
              <w:t>From Employer:</w:t>
            </w:r>
          </w:p>
        </w:tc>
        <w:tc>
          <w:tcPr>
            <w:tcW w:w="1614" w:type="dxa"/>
            <w:tcBorders>
              <w:left w:val="single" w:sz="4" w:space="0" w:color="auto"/>
              <w:right w:val="single" w:sz="4" w:space="0" w:color="auto"/>
            </w:tcBorders>
            <w:vAlign w:val="bottom"/>
          </w:tcPr>
          <w:p w14:paraId="5B9000B0" w14:textId="77777777" w:rsidR="006F0914" w:rsidRPr="00E36FD2" w:rsidRDefault="006F0914" w:rsidP="007C11F3">
            <w:pPr>
              <w:pStyle w:val="Normal0"/>
              <w:jc w:val="right"/>
              <w:rPr>
                <w:rFonts w:ascii="Verdana" w:eastAsia="Times New Roman" w:hAnsi="Verdana"/>
                <w:b/>
                <w:lang w:val="en-GB" w:eastAsia="en-GB"/>
              </w:rPr>
            </w:pPr>
          </w:p>
        </w:tc>
        <w:tc>
          <w:tcPr>
            <w:tcW w:w="1559" w:type="dxa"/>
            <w:tcBorders>
              <w:left w:val="single" w:sz="4" w:space="0" w:color="auto"/>
              <w:right w:val="single" w:sz="4" w:space="0" w:color="auto"/>
            </w:tcBorders>
            <w:vAlign w:val="bottom"/>
          </w:tcPr>
          <w:p w14:paraId="3E774923" w14:textId="77777777" w:rsidR="006F0914" w:rsidRPr="00E36FD2" w:rsidRDefault="006F0914" w:rsidP="007C11F3">
            <w:pPr>
              <w:pStyle w:val="Normal0"/>
              <w:jc w:val="right"/>
              <w:rPr>
                <w:rFonts w:ascii="Verdana" w:eastAsia="Times New Roman" w:hAnsi="Verdana"/>
                <w:b/>
                <w:lang w:val="en-GB" w:eastAsia="en-GB"/>
              </w:rPr>
            </w:pPr>
          </w:p>
        </w:tc>
      </w:tr>
      <w:tr w:rsidR="003A1330" w14:paraId="25B8AF26" w14:textId="77777777" w:rsidTr="00B12066">
        <w:trPr>
          <w:trHeight w:val="195"/>
          <w:jc w:val="center"/>
        </w:trPr>
        <w:tc>
          <w:tcPr>
            <w:tcW w:w="1275" w:type="dxa"/>
            <w:tcBorders>
              <w:top w:val="nil"/>
              <w:left w:val="single" w:sz="4" w:space="0" w:color="auto"/>
              <w:bottom w:val="nil"/>
              <w:right w:val="single" w:sz="4" w:space="0" w:color="auto"/>
            </w:tcBorders>
            <w:vAlign w:val="center"/>
          </w:tcPr>
          <w:p w14:paraId="33F4A0B5" w14:textId="77777777" w:rsidR="003A1330" w:rsidRPr="00E36FD2" w:rsidRDefault="003A1330" w:rsidP="003A1330">
            <w:pPr>
              <w:pStyle w:val="Normal0"/>
              <w:jc w:val="right"/>
              <w:rPr>
                <w:rFonts w:ascii="Verdana" w:hAnsi="Verdana"/>
              </w:rPr>
            </w:pPr>
            <w:r w:rsidRPr="00E36FD2">
              <w:rPr>
                <w:rFonts w:ascii="Verdana" w:hAnsi="Verdana"/>
              </w:rPr>
              <w:t>(21,078)</w:t>
            </w:r>
          </w:p>
        </w:tc>
        <w:tc>
          <w:tcPr>
            <w:tcW w:w="1238" w:type="dxa"/>
            <w:tcBorders>
              <w:top w:val="nil"/>
              <w:left w:val="single" w:sz="4" w:space="0" w:color="auto"/>
              <w:bottom w:val="nil"/>
              <w:right w:val="single" w:sz="4" w:space="0" w:color="auto"/>
            </w:tcBorders>
            <w:vAlign w:val="center"/>
          </w:tcPr>
          <w:p w14:paraId="4AC60E0E"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2B160D4F"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 xml:space="preserve"> - Normal</w:t>
            </w:r>
          </w:p>
        </w:tc>
        <w:tc>
          <w:tcPr>
            <w:tcW w:w="1614" w:type="dxa"/>
            <w:tcBorders>
              <w:left w:val="single" w:sz="4" w:space="0" w:color="auto"/>
              <w:right w:val="single" w:sz="4" w:space="0" w:color="auto"/>
            </w:tcBorders>
            <w:vAlign w:val="center"/>
          </w:tcPr>
          <w:p w14:paraId="0809662C" w14:textId="272857AD" w:rsidR="003A1330" w:rsidRPr="00E36FD2" w:rsidRDefault="0091312C" w:rsidP="003A1330">
            <w:pPr>
              <w:pStyle w:val="Normal0"/>
              <w:jc w:val="right"/>
              <w:rPr>
                <w:rFonts w:ascii="Verdana" w:hAnsi="Verdana"/>
              </w:rPr>
            </w:pPr>
            <w:r>
              <w:rPr>
                <w:rFonts w:ascii="Verdana" w:hAnsi="Verdana"/>
              </w:rPr>
              <w:t>(22,794)</w:t>
            </w:r>
          </w:p>
        </w:tc>
        <w:tc>
          <w:tcPr>
            <w:tcW w:w="1559" w:type="dxa"/>
            <w:tcBorders>
              <w:left w:val="single" w:sz="4" w:space="0" w:color="auto"/>
              <w:right w:val="single" w:sz="4" w:space="0" w:color="auto"/>
            </w:tcBorders>
            <w:vAlign w:val="center"/>
          </w:tcPr>
          <w:p w14:paraId="6BA14A9F" w14:textId="77777777" w:rsidR="003A1330" w:rsidRPr="00E36FD2" w:rsidRDefault="003A1330" w:rsidP="003A1330">
            <w:pPr>
              <w:pStyle w:val="Normal0"/>
              <w:jc w:val="right"/>
              <w:rPr>
                <w:rFonts w:ascii="Verdana" w:hAnsi="Verdana"/>
              </w:rPr>
            </w:pPr>
          </w:p>
        </w:tc>
      </w:tr>
      <w:tr w:rsidR="003A1330" w14:paraId="0BA82F51" w14:textId="77777777" w:rsidTr="00B12066">
        <w:trPr>
          <w:trHeight w:val="195"/>
          <w:jc w:val="center"/>
        </w:trPr>
        <w:tc>
          <w:tcPr>
            <w:tcW w:w="1275" w:type="dxa"/>
            <w:tcBorders>
              <w:top w:val="nil"/>
              <w:left w:val="single" w:sz="4" w:space="0" w:color="auto"/>
              <w:bottom w:val="nil"/>
              <w:right w:val="single" w:sz="4" w:space="0" w:color="auto"/>
            </w:tcBorders>
            <w:vAlign w:val="center"/>
          </w:tcPr>
          <w:p w14:paraId="3924022C" w14:textId="77777777" w:rsidR="003A1330" w:rsidRPr="00E36FD2" w:rsidRDefault="003A1330" w:rsidP="003A1330">
            <w:pPr>
              <w:pStyle w:val="Normal0"/>
              <w:jc w:val="right"/>
              <w:rPr>
                <w:rFonts w:ascii="Verdana" w:hAnsi="Verdana"/>
              </w:rPr>
            </w:pPr>
            <w:r w:rsidRPr="00E36FD2">
              <w:rPr>
                <w:rFonts w:ascii="Verdana" w:hAnsi="Verdana"/>
              </w:rPr>
              <w:t>(80)</w:t>
            </w:r>
          </w:p>
        </w:tc>
        <w:tc>
          <w:tcPr>
            <w:tcW w:w="1238" w:type="dxa"/>
            <w:tcBorders>
              <w:top w:val="nil"/>
              <w:left w:val="single" w:sz="4" w:space="0" w:color="auto"/>
              <w:bottom w:val="nil"/>
              <w:right w:val="single" w:sz="4" w:space="0" w:color="auto"/>
            </w:tcBorders>
            <w:vAlign w:val="center"/>
          </w:tcPr>
          <w:p w14:paraId="357422C2"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43663EF9"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 xml:space="preserve"> - Early Retirements</w:t>
            </w:r>
          </w:p>
        </w:tc>
        <w:tc>
          <w:tcPr>
            <w:tcW w:w="1614" w:type="dxa"/>
            <w:tcBorders>
              <w:left w:val="single" w:sz="4" w:space="0" w:color="auto"/>
              <w:right w:val="single" w:sz="4" w:space="0" w:color="auto"/>
            </w:tcBorders>
            <w:vAlign w:val="center"/>
          </w:tcPr>
          <w:p w14:paraId="448AAFC6" w14:textId="25D99908" w:rsidR="003A1330" w:rsidRPr="00E36FD2" w:rsidRDefault="0091312C" w:rsidP="003A1330">
            <w:pPr>
              <w:pStyle w:val="Normal0"/>
              <w:jc w:val="right"/>
              <w:rPr>
                <w:rFonts w:ascii="Verdana" w:hAnsi="Verdana"/>
              </w:rPr>
            </w:pPr>
            <w:r>
              <w:rPr>
                <w:rFonts w:ascii="Verdana" w:hAnsi="Verdana"/>
              </w:rPr>
              <w:t>(576)</w:t>
            </w:r>
          </w:p>
        </w:tc>
        <w:tc>
          <w:tcPr>
            <w:tcW w:w="1559" w:type="dxa"/>
            <w:tcBorders>
              <w:left w:val="single" w:sz="4" w:space="0" w:color="auto"/>
              <w:right w:val="single" w:sz="4" w:space="0" w:color="auto"/>
            </w:tcBorders>
            <w:vAlign w:val="center"/>
          </w:tcPr>
          <w:p w14:paraId="17860630" w14:textId="77777777" w:rsidR="003A1330" w:rsidRPr="00E36FD2" w:rsidRDefault="003A1330" w:rsidP="003A1330">
            <w:pPr>
              <w:pStyle w:val="Normal0"/>
              <w:jc w:val="right"/>
              <w:rPr>
                <w:rFonts w:ascii="Verdana" w:hAnsi="Verdana"/>
              </w:rPr>
            </w:pPr>
          </w:p>
        </w:tc>
      </w:tr>
      <w:tr w:rsidR="003A1330" w14:paraId="61E57BA2" w14:textId="77777777" w:rsidTr="00B12066">
        <w:trPr>
          <w:trHeight w:val="195"/>
          <w:jc w:val="center"/>
        </w:trPr>
        <w:tc>
          <w:tcPr>
            <w:tcW w:w="1275" w:type="dxa"/>
            <w:tcBorders>
              <w:top w:val="nil"/>
              <w:left w:val="single" w:sz="4" w:space="0" w:color="auto"/>
              <w:bottom w:val="single" w:sz="4" w:space="0" w:color="auto"/>
              <w:right w:val="single" w:sz="4" w:space="0" w:color="auto"/>
            </w:tcBorders>
            <w:vAlign w:val="center"/>
          </w:tcPr>
          <w:p w14:paraId="4E2BDBAA" w14:textId="77777777" w:rsidR="003A1330" w:rsidRPr="00E36FD2" w:rsidRDefault="003A1330" w:rsidP="003A1330">
            <w:pPr>
              <w:pStyle w:val="Normal0"/>
              <w:jc w:val="right"/>
              <w:rPr>
                <w:rFonts w:ascii="Verdana" w:hAnsi="Verdana"/>
              </w:rPr>
            </w:pPr>
            <w:r w:rsidRPr="00E36FD2">
              <w:rPr>
                <w:rFonts w:ascii="Verdana" w:hAnsi="Verdana"/>
              </w:rPr>
              <w:t>(9,048)</w:t>
            </w:r>
          </w:p>
        </w:tc>
        <w:tc>
          <w:tcPr>
            <w:tcW w:w="1238" w:type="dxa"/>
            <w:tcBorders>
              <w:top w:val="nil"/>
              <w:left w:val="single" w:sz="4" w:space="0" w:color="auto"/>
              <w:bottom w:val="single" w:sz="4" w:space="0" w:color="auto"/>
              <w:right w:val="single" w:sz="4" w:space="0" w:color="auto"/>
            </w:tcBorders>
            <w:vAlign w:val="center"/>
          </w:tcPr>
          <w:p w14:paraId="0396ED2A"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50152705"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From Members</w:t>
            </w:r>
          </w:p>
        </w:tc>
        <w:tc>
          <w:tcPr>
            <w:tcW w:w="1614" w:type="dxa"/>
            <w:tcBorders>
              <w:left w:val="single" w:sz="4" w:space="0" w:color="auto"/>
              <w:bottom w:val="single" w:sz="4" w:space="0" w:color="auto"/>
              <w:right w:val="single" w:sz="4" w:space="0" w:color="auto"/>
            </w:tcBorders>
            <w:vAlign w:val="center"/>
          </w:tcPr>
          <w:p w14:paraId="5686BE96" w14:textId="1715EE5C" w:rsidR="003A1330" w:rsidRPr="00E36FD2" w:rsidRDefault="0091312C" w:rsidP="003A1330">
            <w:pPr>
              <w:pStyle w:val="Normal0"/>
              <w:jc w:val="right"/>
              <w:rPr>
                <w:rFonts w:ascii="Verdana" w:hAnsi="Verdana"/>
              </w:rPr>
            </w:pPr>
            <w:r>
              <w:rPr>
                <w:rFonts w:ascii="Verdana" w:hAnsi="Verdana"/>
              </w:rPr>
              <w:t>(9,761)</w:t>
            </w:r>
          </w:p>
        </w:tc>
        <w:tc>
          <w:tcPr>
            <w:tcW w:w="1559" w:type="dxa"/>
            <w:tcBorders>
              <w:left w:val="single" w:sz="4" w:space="0" w:color="auto"/>
              <w:bottom w:val="single" w:sz="4" w:space="0" w:color="auto"/>
              <w:right w:val="single" w:sz="4" w:space="0" w:color="auto"/>
            </w:tcBorders>
            <w:vAlign w:val="center"/>
          </w:tcPr>
          <w:p w14:paraId="0A4A5D2F" w14:textId="77777777" w:rsidR="003A1330" w:rsidRPr="00E36FD2" w:rsidRDefault="003A1330" w:rsidP="003A1330">
            <w:pPr>
              <w:pStyle w:val="Normal0"/>
              <w:jc w:val="right"/>
              <w:rPr>
                <w:rFonts w:ascii="Verdana" w:hAnsi="Verdana"/>
              </w:rPr>
            </w:pPr>
          </w:p>
        </w:tc>
      </w:tr>
      <w:tr w:rsidR="003A1330" w14:paraId="0FBD7C76"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vAlign w:val="center"/>
          </w:tcPr>
          <w:p w14:paraId="3BC4F275" w14:textId="77777777" w:rsidR="003A1330" w:rsidRPr="00E36FD2" w:rsidRDefault="003A1330" w:rsidP="003A1330">
            <w:pPr>
              <w:pStyle w:val="Normal0"/>
              <w:jc w:val="right"/>
              <w:rPr>
                <w:rFonts w:ascii="Verdana" w:hAnsi="Verdana"/>
                <w:b/>
                <w:bCs/>
              </w:rPr>
            </w:pPr>
          </w:p>
        </w:tc>
        <w:tc>
          <w:tcPr>
            <w:tcW w:w="1238" w:type="dxa"/>
            <w:tcBorders>
              <w:top w:val="single" w:sz="4" w:space="0" w:color="auto"/>
              <w:left w:val="single" w:sz="4" w:space="0" w:color="auto"/>
              <w:bottom w:val="single" w:sz="4" w:space="0" w:color="auto"/>
              <w:right w:val="single" w:sz="4" w:space="0" w:color="auto"/>
            </w:tcBorders>
            <w:vAlign w:val="center"/>
          </w:tcPr>
          <w:p w14:paraId="0D964EF8" w14:textId="77777777" w:rsidR="003A1330" w:rsidRPr="00E36FD2" w:rsidRDefault="003A1330" w:rsidP="003A1330">
            <w:pPr>
              <w:pStyle w:val="Normal0"/>
              <w:jc w:val="right"/>
              <w:rPr>
                <w:rFonts w:ascii="Verdana" w:hAnsi="Verdana"/>
                <w:b/>
                <w:bCs/>
              </w:rPr>
            </w:pPr>
            <w:r w:rsidRPr="00E36FD2">
              <w:rPr>
                <w:rFonts w:ascii="Verdana" w:hAnsi="Verdana"/>
                <w:b/>
                <w:bCs/>
              </w:rPr>
              <w:t>(30,206)</w:t>
            </w:r>
          </w:p>
        </w:tc>
        <w:tc>
          <w:tcPr>
            <w:tcW w:w="7492" w:type="dxa"/>
            <w:tcBorders>
              <w:top w:val="nil"/>
              <w:left w:val="single" w:sz="4" w:space="0" w:color="auto"/>
              <w:bottom w:val="single" w:sz="4" w:space="0" w:color="auto"/>
              <w:right w:val="single" w:sz="4" w:space="0" w:color="auto"/>
            </w:tcBorders>
            <w:shd w:val="clear" w:color="auto" w:fill="auto"/>
            <w:vAlign w:val="center"/>
          </w:tcPr>
          <w:p w14:paraId="5A60391D" w14:textId="77777777" w:rsidR="003A1330" w:rsidRPr="00E36FD2" w:rsidRDefault="003A1330" w:rsidP="003A1330">
            <w:pPr>
              <w:pStyle w:val="Normal0"/>
              <w:rPr>
                <w:rFonts w:ascii="Verdana" w:eastAsia="Times New Roman" w:hAnsi="Verdana"/>
                <w:b/>
                <w:lang w:val="en-GB" w:eastAsia="en-GB"/>
              </w:rPr>
            </w:pPr>
          </w:p>
        </w:tc>
        <w:tc>
          <w:tcPr>
            <w:tcW w:w="1614" w:type="dxa"/>
            <w:tcBorders>
              <w:top w:val="single" w:sz="4" w:space="0" w:color="auto"/>
              <w:left w:val="single" w:sz="4" w:space="0" w:color="auto"/>
              <w:bottom w:val="single" w:sz="4" w:space="0" w:color="auto"/>
              <w:right w:val="single" w:sz="4" w:space="0" w:color="auto"/>
            </w:tcBorders>
            <w:vAlign w:val="center"/>
          </w:tcPr>
          <w:p w14:paraId="387BF024"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bottom w:val="single" w:sz="4" w:space="0" w:color="auto"/>
              <w:right w:val="single" w:sz="4" w:space="0" w:color="auto"/>
            </w:tcBorders>
            <w:vAlign w:val="center"/>
          </w:tcPr>
          <w:p w14:paraId="05B8706B" w14:textId="440D5FC5" w:rsidR="003A1330" w:rsidRPr="00E36FD2" w:rsidRDefault="0091312C" w:rsidP="003A1330">
            <w:pPr>
              <w:pStyle w:val="Normal0"/>
              <w:jc w:val="right"/>
              <w:rPr>
                <w:rFonts w:ascii="Verdana" w:hAnsi="Verdana"/>
                <w:b/>
                <w:bCs/>
              </w:rPr>
            </w:pPr>
            <w:r>
              <w:rPr>
                <w:rFonts w:ascii="Verdana" w:hAnsi="Verdana"/>
                <w:b/>
                <w:bCs/>
              </w:rPr>
              <w:t>(33,131)</w:t>
            </w:r>
          </w:p>
        </w:tc>
      </w:tr>
      <w:tr w:rsidR="003A1330" w14:paraId="32054E25" w14:textId="77777777" w:rsidTr="00B12066">
        <w:trPr>
          <w:trHeight w:val="195"/>
          <w:jc w:val="center"/>
        </w:trPr>
        <w:tc>
          <w:tcPr>
            <w:tcW w:w="1275" w:type="dxa"/>
            <w:tcBorders>
              <w:top w:val="single" w:sz="4" w:space="0" w:color="auto"/>
              <w:left w:val="single" w:sz="4" w:space="0" w:color="auto"/>
              <w:bottom w:val="nil"/>
              <w:right w:val="single" w:sz="4" w:space="0" w:color="auto"/>
            </w:tcBorders>
            <w:vAlign w:val="center"/>
          </w:tcPr>
          <w:p w14:paraId="735C6832" w14:textId="77777777" w:rsidR="003A1330" w:rsidRPr="00E36FD2" w:rsidRDefault="003A1330" w:rsidP="003A1330">
            <w:pPr>
              <w:pStyle w:val="Normal0"/>
              <w:jc w:val="right"/>
              <w:rPr>
                <w:rFonts w:ascii="Verdana" w:hAnsi="Verdana"/>
                <w:b/>
                <w:bCs/>
              </w:rPr>
            </w:pPr>
          </w:p>
        </w:tc>
        <w:tc>
          <w:tcPr>
            <w:tcW w:w="1238" w:type="dxa"/>
            <w:tcBorders>
              <w:top w:val="single" w:sz="4" w:space="0" w:color="auto"/>
              <w:left w:val="single" w:sz="4" w:space="0" w:color="auto"/>
              <w:bottom w:val="nil"/>
              <w:right w:val="single" w:sz="4" w:space="0" w:color="auto"/>
            </w:tcBorders>
            <w:vAlign w:val="center"/>
          </w:tcPr>
          <w:p w14:paraId="3B16423F" w14:textId="77777777" w:rsidR="003A1330" w:rsidRPr="00E36FD2" w:rsidRDefault="003A1330" w:rsidP="003A1330">
            <w:pPr>
              <w:pStyle w:val="Normal0"/>
              <w:jc w:val="right"/>
              <w:rPr>
                <w:rFonts w:ascii="Verdana" w:hAnsi="Verdana"/>
                <w:b/>
                <w:bCs/>
              </w:rPr>
            </w:pPr>
          </w:p>
        </w:tc>
        <w:tc>
          <w:tcPr>
            <w:tcW w:w="7492" w:type="dxa"/>
            <w:tcBorders>
              <w:top w:val="single" w:sz="4" w:space="0" w:color="auto"/>
              <w:left w:val="single" w:sz="4" w:space="0" w:color="auto"/>
              <w:bottom w:val="nil"/>
              <w:right w:val="single" w:sz="4" w:space="0" w:color="auto"/>
            </w:tcBorders>
            <w:shd w:val="clear" w:color="auto" w:fill="auto"/>
            <w:vAlign w:val="center"/>
          </w:tcPr>
          <w:p w14:paraId="5FF83CEE" w14:textId="77777777" w:rsidR="003A1330" w:rsidRPr="00E36FD2" w:rsidRDefault="003A1330" w:rsidP="003A1330">
            <w:pPr>
              <w:pStyle w:val="Normal0"/>
              <w:rPr>
                <w:rFonts w:ascii="Verdana" w:eastAsia="Times New Roman" w:hAnsi="Verdana"/>
                <w:b/>
                <w:lang w:val="en-GB" w:eastAsia="en-GB"/>
              </w:rPr>
            </w:pPr>
            <w:r w:rsidRPr="00E36FD2">
              <w:rPr>
                <w:rFonts w:ascii="Verdana" w:eastAsia="Times New Roman" w:hAnsi="Verdana"/>
                <w:b/>
                <w:lang w:val="en-GB" w:eastAsia="en-GB"/>
              </w:rPr>
              <w:t>Transfers In</w:t>
            </w:r>
          </w:p>
        </w:tc>
        <w:tc>
          <w:tcPr>
            <w:tcW w:w="1614" w:type="dxa"/>
            <w:tcBorders>
              <w:top w:val="single" w:sz="4" w:space="0" w:color="auto"/>
              <w:left w:val="single" w:sz="4" w:space="0" w:color="auto"/>
              <w:right w:val="single" w:sz="4" w:space="0" w:color="auto"/>
            </w:tcBorders>
            <w:vAlign w:val="center"/>
          </w:tcPr>
          <w:p w14:paraId="514672B1"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right w:val="single" w:sz="4" w:space="0" w:color="auto"/>
            </w:tcBorders>
            <w:vAlign w:val="center"/>
          </w:tcPr>
          <w:p w14:paraId="16AAD049" w14:textId="77777777" w:rsidR="003A1330" w:rsidRPr="00E36FD2" w:rsidRDefault="003A1330" w:rsidP="003A1330">
            <w:pPr>
              <w:pStyle w:val="Normal0"/>
              <w:jc w:val="right"/>
              <w:rPr>
                <w:rFonts w:ascii="Verdana" w:hAnsi="Verdana"/>
                <w:b/>
                <w:bCs/>
              </w:rPr>
            </w:pPr>
          </w:p>
        </w:tc>
      </w:tr>
      <w:tr w:rsidR="003A1330" w14:paraId="4B594221" w14:textId="77777777" w:rsidTr="00B12066">
        <w:trPr>
          <w:trHeight w:val="195"/>
          <w:jc w:val="center"/>
        </w:trPr>
        <w:tc>
          <w:tcPr>
            <w:tcW w:w="1275" w:type="dxa"/>
            <w:tcBorders>
              <w:top w:val="nil"/>
              <w:left w:val="single" w:sz="4" w:space="0" w:color="auto"/>
              <w:bottom w:val="single" w:sz="4" w:space="0" w:color="auto"/>
              <w:right w:val="single" w:sz="4" w:space="0" w:color="auto"/>
            </w:tcBorders>
            <w:vAlign w:val="center"/>
          </w:tcPr>
          <w:p w14:paraId="1093C22D" w14:textId="77777777" w:rsidR="003A1330" w:rsidRPr="00E36FD2" w:rsidRDefault="003A1330" w:rsidP="003A1330">
            <w:pPr>
              <w:pStyle w:val="Normal0"/>
              <w:jc w:val="right"/>
              <w:rPr>
                <w:rFonts w:ascii="Verdana" w:hAnsi="Verdana"/>
                <w:b/>
                <w:bCs/>
              </w:rPr>
            </w:pPr>
          </w:p>
        </w:tc>
        <w:tc>
          <w:tcPr>
            <w:tcW w:w="1238" w:type="dxa"/>
            <w:tcBorders>
              <w:top w:val="nil"/>
              <w:left w:val="single" w:sz="4" w:space="0" w:color="auto"/>
              <w:bottom w:val="single" w:sz="4" w:space="0" w:color="auto"/>
              <w:right w:val="single" w:sz="4" w:space="0" w:color="auto"/>
            </w:tcBorders>
            <w:vAlign w:val="center"/>
          </w:tcPr>
          <w:p w14:paraId="0F8CFEEF" w14:textId="77777777" w:rsidR="003A1330" w:rsidRPr="00E36FD2" w:rsidRDefault="003A1330" w:rsidP="003A1330">
            <w:pPr>
              <w:pStyle w:val="Normal0"/>
              <w:jc w:val="right"/>
              <w:rPr>
                <w:rFonts w:ascii="Verdana" w:hAnsi="Verdana"/>
                <w:b/>
                <w:bCs/>
              </w:rPr>
            </w:pPr>
            <w:r w:rsidRPr="00E36FD2">
              <w:rPr>
                <w:rFonts w:ascii="Verdana" w:hAnsi="Verdana"/>
                <w:b/>
                <w:bCs/>
              </w:rPr>
              <w:t>(460)</w:t>
            </w:r>
          </w:p>
        </w:tc>
        <w:tc>
          <w:tcPr>
            <w:tcW w:w="7492" w:type="dxa"/>
            <w:tcBorders>
              <w:top w:val="nil"/>
              <w:left w:val="single" w:sz="4" w:space="0" w:color="auto"/>
              <w:bottom w:val="single" w:sz="4" w:space="0" w:color="auto"/>
              <w:right w:val="single" w:sz="4" w:space="0" w:color="auto"/>
            </w:tcBorders>
            <w:shd w:val="clear" w:color="auto" w:fill="auto"/>
            <w:vAlign w:val="center"/>
          </w:tcPr>
          <w:p w14:paraId="2F1CCE59"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Individual Transfers in From Other Schemes</w:t>
            </w:r>
          </w:p>
        </w:tc>
        <w:tc>
          <w:tcPr>
            <w:tcW w:w="1614" w:type="dxa"/>
            <w:tcBorders>
              <w:left w:val="single" w:sz="4" w:space="0" w:color="auto"/>
              <w:bottom w:val="single" w:sz="4" w:space="0" w:color="auto"/>
              <w:right w:val="single" w:sz="4" w:space="0" w:color="auto"/>
            </w:tcBorders>
            <w:vAlign w:val="center"/>
          </w:tcPr>
          <w:p w14:paraId="7F24F6A8" w14:textId="77777777" w:rsidR="003A1330" w:rsidRPr="00E36FD2" w:rsidRDefault="003A1330" w:rsidP="003A1330">
            <w:pPr>
              <w:pStyle w:val="Normal0"/>
              <w:jc w:val="right"/>
              <w:rPr>
                <w:rFonts w:ascii="Verdana" w:hAnsi="Verdana"/>
                <w:b/>
                <w:bCs/>
              </w:rPr>
            </w:pPr>
          </w:p>
        </w:tc>
        <w:tc>
          <w:tcPr>
            <w:tcW w:w="1559" w:type="dxa"/>
            <w:tcBorders>
              <w:left w:val="single" w:sz="4" w:space="0" w:color="auto"/>
              <w:bottom w:val="single" w:sz="4" w:space="0" w:color="auto"/>
              <w:right w:val="single" w:sz="4" w:space="0" w:color="auto"/>
            </w:tcBorders>
            <w:vAlign w:val="center"/>
          </w:tcPr>
          <w:p w14:paraId="4817926D" w14:textId="501FF211" w:rsidR="003A1330" w:rsidRPr="00E36FD2" w:rsidRDefault="0091312C" w:rsidP="003A1330">
            <w:pPr>
              <w:pStyle w:val="Normal0"/>
              <w:jc w:val="right"/>
              <w:rPr>
                <w:rFonts w:ascii="Verdana" w:hAnsi="Verdana"/>
                <w:b/>
                <w:bCs/>
              </w:rPr>
            </w:pPr>
            <w:r>
              <w:rPr>
                <w:rFonts w:ascii="Verdana" w:hAnsi="Verdana"/>
                <w:b/>
                <w:bCs/>
              </w:rPr>
              <w:t>(287)</w:t>
            </w:r>
          </w:p>
        </w:tc>
      </w:tr>
      <w:tr w:rsidR="003A1330" w14:paraId="62CBB640"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shd w:val="clear" w:color="auto" w:fill="FFFFCC"/>
            <w:vAlign w:val="center"/>
          </w:tcPr>
          <w:p w14:paraId="3A4AC05C" w14:textId="77777777" w:rsidR="003A1330" w:rsidRPr="00E36FD2" w:rsidRDefault="003A1330" w:rsidP="003A1330">
            <w:pPr>
              <w:pStyle w:val="Normal0"/>
              <w:jc w:val="right"/>
              <w:rPr>
                <w:rFonts w:ascii="Verdana" w:hAnsi="Verdana"/>
                <w:b/>
                <w:bCs/>
              </w:rPr>
            </w:pPr>
          </w:p>
        </w:tc>
        <w:tc>
          <w:tcPr>
            <w:tcW w:w="1238" w:type="dxa"/>
            <w:tcBorders>
              <w:top w:val="single" w:sz="4" w:space="0" w:color="auto"/>
              <w:left w:val="single" w:sz="4" w:space="0" w:color="auto"/>
              <w:bottom w:val="single" w:sz="4" w:space="0" w:color="auto"/>
              <w:right w:val="single" w:sz="4" w:space="0" w:color="auto"/>
            </w:tcBorders>
            <w:shd w:val="clear" w:color="auto" w:fill="FFFFCC"/>
            <w:vAlign w:val="center"/>
          </w:tcPr>
          <w:p w14:paraId="60C25120" w14:textId="77777777" w:rsidR="003A1330" w:rsidRPr="00E36FD2" w:rsidRDefault="003A1330" w:rsidP="003A1330">
            <w:pPr>
              <w:pStyle w:val="Normal0"/>
              <w:jc w:val="right"/>
              <w:rPr>
                <w:rFonts w:ascii="Verdana" w:hAnsi="Verdana"/>
                <w:b/>
                <w:bCs/>
              </w:rPr>
            </w:pPr>
            <w:r w:rsidRPr="00E36FD2">
              <w:rPr>
                <w:rFonts w:ascii="Verdana" w:hAnsi="Verdana"/>
                <w:b/>
                <w:bCs/>
              </w:rPr>
              <w:t>(30,666)</w:t>
            </w:r>
          </w:p>
        </w:tc>
        <w:tc>
          <w:tcPr>
            <w:tcW w:w="7492" w:type="dxa"/>
            <w:tcBorders>
              <w:top w:val="single" w:sz="4" w:space="0" w:color="auto"/>
              <w:left w:val="single" w:sz="4" w:space="0" w:color="auto"/>
              <w:bottom w:val="single" w:sz="4" w:space="0" w:color="auto"/>
              <w:right w:val="single" w:sz="4" w:space="0" w:color="auto"/>
            </w:tcBorders>
            <w:shd w:val="clear" w:color="auto" w:fill="FFFFCC"/>
            <w:vAlign w:val="center"/>
          </w:tcPr>
          <w:p w14:paraId="19AF3250" w14:textId="77777777" w:rsidR="003A1330" w:rsidRPr="00E36FD2" w:rsidRDefault="003A1330" w:rsidP="003A1330">
            <w:pPr>
              <w:pStyle w:val="Normal0"/>
              <w:rPr>
                <w:rFonts w:ascii="Verdana" w:eastAsia="Times New Roman" w:hAnsi="Verdana"/>
                <w:b/>
                <w:lang w:val="en-GB" w:eastAsia="en-GB"/>
              </w:rPr>
            </w:pPr>
            <w:r w:rsidRPr="00E36FD2">
              <w:rPr>
                <w:rFonts w:ascii="Verdana" w:eastAsia="Times New Roman" w:hAnsi="Verdana"/>
                <w:b/>
                <w:lang w:val="en-GB" w:eastAsia="en-GB"/>
              </w:rPr>
              <w:t>Total Inflows</w:t>
            </w:r>
          </w:p>
        </w:tc>
        <w:tc>
          <w:tcPr>
            <w:tcW w:w="1614" w:type="dxa"/>
            <w:tcBorders>
              <w:top w:val="single" w:sz="4" w:space="0" w:color="auto"/>
              <w:left w:val="single" w:sz="4" w:space="0" w:color="auto"/>
              <w:bottom w:val="single" w:sz="4" w:space="0" w:color="auto"/>
              <w:right w:val="single" w:sz="4" w:space="0" w:color="auto"/>
            </w:tcBorders>
            <w:shd w:val="clear" w:color="auto" w:fill="FFFFCC"/>
            <w:vAlign w:val="center"/>
          </w:tcPr>
          <w:p w14:paraId="7129D9F0"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vAlign w:val="center"/>
          </w:tcPr>
          <w:p w14:paraId="6D9AB2D6" w14:textId="7496466C" w:rsidR="003A1330" w:rsidRPr="00E36FD2" w:rsidRDefault="0091312C" w:rsidP="003A1330">
            <w:pPr>
              <w:pStyle w:val="Normal0"/>
              <w:jc w:val="right"/>
              <w:rPr>
                <w:rFonts w:ascii="Verdana" w:hAnsi="Verdana"/>
                <w:b/>
                <w:bCs/>
              </w:rPr>
            </w:pPr>
            <w:r>
              <w:rPr>
                <w:rFonts w:ascii="Verdana" w:hAnsi="Verdana"/>
                <w:b/>
                <w:bCs/>
              </w:rPr>
              <w:t>(33,418)</w:t>
            </w:r>
          </w:p>
        </w:tc>
      </w:tr>
      <w:tr w:rsidR="003A1330" w14:paraId="15643A20" w14:textId="77777777" w:rsidTr="00B12066">
        <w:trPr>
          <w:trHeight w:val="283"/>
          <w:jc w:val="center"/>
        </w:trPr>
        <w:tc>
          <w:tcPr>
            <w:tcW w:w="1275" w:type="dxa"/>
            <w:tcBorders>
              <w:left w:val="single" w:sz="4" w:space="0" w:color="auto"/>
              <w:bottom w:val="nil"/>
              <w:right w:val="single" w:sz="4" w:space="0" w:color="auto"/>
            </w:tcBorders>
            <w:vAlign w:val="center"/>
          </w:tcPr>
          <w:p w14:paraId="3C1B8E7D" w14:textId="77777777" w:rsidR="003A1330" w:rsidRPr="00E36FD2" w:rsidRDefault="003A1330" w:rsidP="003A1330">
            <w:pPr>
              <w:pStyle w:val="Normal0"/>
              <w:jc w:val="right"/>
              <w:rPr>
                <w:rFonts w:ascii="Verdana" w:hAnsi="Verdana"/>
                <w:b/>
                <w:bCs/>
              </w:rPr>
            </w:pPr>
          </w:p>
        </w:tc>
        <w:tc>
          <w:tcPr>
            <w:tcW w:w="1238" w:type="dxa"/>
            <w:tcBorders>
              <w:left w:val="single" w:sz="4" w:space="0" w:color="auto"/>
              <w:bottom w:val="nil"/>
              <w:right w:val="single" w:sz="4" w:space="0" w:color="auto"/>
            </w:tcBorders>
            <w:vAlign w:val="center"/>
          </w:tcPr>
          <w:p w14:paraId="08363811" w14:textId="77777777" w:rsidR="003A1330" w:rsidRPr="00E36FD2" w:rsidRDefault="003A1330" w:rsidP="003A1330">
            <w:pPr>
              <w:pStyle w:val="Normal0"/>
              <w:jc w:val="right"/>
              <w:rPr>
                <w:rFonts w:ascii="Verdana" w:hAnsi="Verdana"/>
                <w:b/>
                <w:bCs/>
              </w:rPr>
            </w:pPr>
          </w:p>
        </w:tc>
        <w:tc>
          <w:tcPr>
            <w:tcW w:w="7492" w:type="dxa"/>
            <w:tcBorders>
              <w:left w:val="single" w:sz="4" w:space="0" w:color="auto"/>
              <w:bottom w:val="nil"/>
              <w:right w:val="single" w:sz="4" w:space="0" w:color="auto"/>
            </w:tcBorders>
            <w:shd w:val="clear" w:color="auto" w:fill="auto"/>
            <w:vAlign w:val="center"/>
          </w:tcPr>
          <w:p w14:paraId="231191CF" w14:textId="77777777" w:rsidR="003A1330" w:rsidRPr="00E36FD2" w:rsidRDefault="003A1330" w:rsidP="003A1330">
            <w:pPr>
              <w:pStyle w:val="Normal0"/>
              <w:rPr>
                <w:rFonts w:ascii="Verdana" w:eastAsia="Times New Roman" w:hAnsi="Verdana"/>
                <w:b/>
                <w:lang w:val="en-GB" w:eastAsia="en-GB"/>
              </w:rPr>
            </w:pPr>
            <w:r w:rsidRPr="00E36FD2">
              <w:rPr>
                <w:rFonts w:ascii="Verdana" w:eastAsia="Times New Roman" w:hAnsi="Verdana"/>
                <w:b/>
                <w:lang w:val="en-GB" w:eastAsia="en-GB"/>
              </w:rPr>
              <w:t>Benefits Payable</w:t>
            </w:r>
          </w:p>
        </w:tc>
        <w:tc>
          <w:tcPr>
            <w:tcW w:w="1614" w:type="dxa"/>
            <w:tcBorders>
              <w:top w:val="single" w:sz="4" w:space="0" w:color="auto"/>
              <w:left w:val="single" w:sz="4" w:space="0" w:color="auto"/>
              <w:right w:val="single" w:sz="4" w:space="0" w:color="auto"/>
            </w:tcBorders>
            <w:vAlign w:val="center"/>
          </w:tcPr>
          <w:p w14:paraId="74137D6D"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right w:val="single" w:sz="4" w:space="0" w:color="auto"/>
            </w:tcBorders>
            <w:vAlign w:val="center"/>
          </w:tcPr>
          <w:p w14:paraId="2ABFA686" w14:textId="77777777" w:rsidR="003A1330" w:rsidRPr="00E36FD2" w:rsidRDefault="003A1330" w:rsidP="003A1330">
            <w:pPr>
              <w:pStyle w:val="Normal0"/>
              <w:jc w:val="right"/>
              <w:rPr>
                <w:rFonts w:ascii="Verdana" w:hAnsi="Verdana"/>
                <w:b/>
                <w:bCs/>
              </w:rPr>
            </w:pPr>
          </w:p>
        </w:tc>
      </w:tr>
      <w:tr w:rsidR="003A1330" w14:paraId="3E49FC4B" w14:textId="77777777" w:rsidTr="00B12066">
        <w:trPr>
          <w:trHeight w:val="195"/>
          <w:jc w:val="center"/>
        </w:trPr>
        <w:tc>
          <w:tcPr>
            <w:tcW w:w="1275" w:type="dxa"/>
            <w:tcBorders>
              <w:top w:val="nil"/>
              <w:left w:val="single" w:sz="4" w:space="0" w:color="auto"/>
              <w:bottom w:val="nil"/>
              <w:right w:val="single" w:sz="4" w:space="0" w:color="auto"/>
            </w:tcBorders>
            <w:vAlign w:val="center"/>
          </w:tcPr>
          <w:p w14:paraId="41169020" w14:textId="77777777" w:rsidR="003A1330" w:rsidRPr="00E36FD2" w:rsidRDefault="003A1330" w:rsidP="003A1330">
            <w:pPr>
              <w:pStyle w:val="Normal0"/>
              <w:jc w:val="right"/>
              <w:rPr>
                <w:rFonts w:ascii="Verdana" w:hAnsi="Verdana"/>
              </w:rPr>
            </w:pPr>
            <w:r w:rsidRPr="00E36FD2">
              <w:rPr>
                <w:rFonts w:ascii="Verdana" w:hAnsi="Verdana"/>
              </w:rPr>
              <w:t>38,889</w:t>
            </w:r>
          </w:p>
        </w:tc>
        <w:tc>
          <w:tcPr>
            <w:tcW w:w="1238" w:type="dxa"/>
            <w:tcBorders>
              <w:top w:val="nil"/>
              <w:left w:val="single" w:sz="4" w:space="0" w:color="auto"/>
              <w:bottom w:val="nil"/>
              <w:right w:val="single" w:sz="4" w:space="0" w:color="auto"/>
            </w:tcBorders>
            <w:vAlign w:val="center"/>
          </w:tcPr>
          <w:p w14:paraId="19A405CD"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447F4BB6"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Pensions</w:t>
            </w:r>
          </w:p>
        </w:tc>
        <w:tc>
          <w:tcPr>
            <w:tcW w:w="1614" w:type="dxa"/>
            <w:tcBorders>
              <w:left w:val="single" w:sz="4" w:space="0" w:color="auto"/>
              <w:right w:val="single" w:sz="4" w:space="0" w:color="auto"/>
            </w:tcBorders>
            <w:vAlign w:val="center"/>
          </w:tcPr>
          <w:p w14:paraId="62884E78" w14:textId="37DE62AA" w:rsidR="003A1330" w:rsidRPr="00E36FD2" w:rsidRDefault="0091312C" w:rsidP="003A1330">
            <w:pPr>
              <w:pStyle w:val="Normal0"/>
              <w:jc w:val="right"/>
              <w:rPr>
                <w:rFonts w:ascii="Verdana" w:hAnsi="Verdana"/>
              </w:rPr>
            </w:pPr>
            <w:r>
              <w:rPr>
                <w:rFonts w:ascii="Verdana" w:hAnsi="Verdana"/>
              </w:rPr>
              <w:t>40,335</w:t>
            </w:r>
          </w:p>
        </w:tc>
        <w:tc>
          <w:tcPr>
            <w:tcW w:w="1559" w:type="dxa"/>
            <w:tcBorders>
              <w:left w:val="single" w:sz="4" w:space="0" w:color="auto"/>
              <w:right w:val="single" w:sz="4" w:space="0" w:color="auto"/>
            </w:tcBorders>
            <w:vAlign w:val="center"/>
          </w:tcPr>
          <w:p w14:paraId="22374B21" w14:textId="77777777" w:rsidR="003A1330" w:rsidRPr="00E36FD2" w:rsidRDefault="003A1330" w:rsidP="003A1330">
            <w:pPr>
              <w:pStyle w:val="Normal0"/>
              <w:jc w:val="right"/>
              <w:rPr>
                <w:rFonts w:ascii="Verdana" w:hAnsi="Verdana"/>
              </w:rPr>
            </w:pPr>
          </w:p>
        </w:tc>
      </w:tr>
      <w:tr w:rsidR="003A1330" w14:paraId="3444B8FC" w14:textId="77777777" w:rsidTr="00B12066">
        <w:trPr>
          <w:trHeight w:val="195"/>
          <w:jc w:val="center"/>
        </w:trPr>
        <w:tc>
          <w:tcPr>
            <w:tcW w:w="1275" w:type="dxa"/>
            <w:tcBorders>
              <w:top w:val="nil"/>
              <w:left w:val="single" w:sz="4" w:space="0" w:color="auto"/>
              <w:bottom w:val="nil"/>
              <w:right w:val="single" w:sz="4" w:space="0" w:color="auto"/>
            </w:tcBorders>
            <w:vAlign w:val="center"/>
          </w:tcPr>
          <w:p w14:paraId="376091C7" w14:textId="77777777" w:rsidR="003A1330" w:rsidRPr="00E36FD2" w:rsidRDefault="003A1330" w:rsidP="003A1330">
            <w:pPr>
              <w:pStyle w:val="Normal0"/>
              <w:jc w:val="right"/>
              <w:rPr>
                <w:rFonts w:ascii="Verdana" w:hAnsi="Verdana"/>
              </w:rPr>
            </w:pPr>
            <w:r w:rsidRPr="00E36FD2">
              <w:rPr>
                <w:rFonts w:ascii="Verdana" w:hAnsi="Verdana"/>
              </w:rPr>
              <w:t>8,846</w:t>
            </w:r>
          </w:p>
        </w:tc>
        <w:tc>
          <w:tcPr>
            <w:tcW w:w="1238" w:type="dxa"/>
            <w:tcBorders>
              <w:top w:val="nil"/>
              <w:left w:val="single" w:sz="4" w:space="0" w:color="auto"/>
              <w:bottom w:val="nil"/>
              <w:right w:val="single" w:sz="4" w:space="0" w:color="auto"/>
            </w:tcBorders>
            <w:vAlign w:val="center"/>
          </w:tcPr>
          <w:p w14:paraId="0EC5528B"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42FC4A67"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Commutations and Lump Sums</w:t>
            </w:r>
          </w:p>
        </w:tc>
        <w:tc>
          <w:tcPr>
            <w:tcW w:w="1614" w:type="dxa"/>
            <w:tcBorders>
              <w:left w:val="single" w:sz="4" w:space="0" w:color="auto"/>
              <w:right w:val="single" w:sz="4" w:space="0" w:color="auto"/>
            </w:tcBorders>
            <w:vAlign w:val="center"/>
          </w:tcPr>
          <w:p w14:paraId="63BF3C30" w14:textId="697BE4D4" w:rsidR="003A1330" w:rsidRPr="00E36FD2" w:rsidRDefault="0091312C" w:rsidP="003A1330">
            <w:pPr>
              <w:pStyle w:val="Normal0"/>
              <w:jc w:val="right"/>
              <w:rPr>
                <w:rFonts w:ascii="Verdana" w:hAnsi="Verdana"/>
              </w:rPr>
            </w:pPr>
            <w:r>
              <w:rPr>
                <w:rFonts w:ascii="Verdana" w:hAnsi="Verdana"/>
              </w:rPr>
              <w:t>5,629</w:t>
            </w:r>
          </w:p>
        </w:tc>
        <w:tc>
          <w:tcPr>
            <w:tcW w:w="1559" w:type="dxa"/>
            <w:tcBorders>
              <w:left w:val="single" w:sz="4" w:space="0" w:color="auto"/>
              <w:right w:val="single" w:sz="4" w:space="0" w:color="auto"/>
            </w:tcBorders>
            <w:vAlign w:val="center"/>
          </w:tcPr>
          <w:p w14:paraId="3A74F76C" w14:textId="77777777" w:rsidR="003A1330" w:rsidRPr="00E36FD2" w:rsidRDefault="003A1330" w:rsidP="003A1330">
            <w:pPr>
              <w:pStyle w:val="Normal0"/>
              <w:jc w:val="right"/>
              <w:rPr>
                <w:rFonts w:ascii="Verdana" w:hAnsi="Verdana"/>
              </w:rPr>
            </w:pPr>
          </w:p>
        </w:tc>
      </w:tr>
      <w:tr w:rsidR="003A1330" w14:paraId="7FB98763" w14:textId="77777777" w:rsidTr="00B12066">
        <w:trPr>
          <w:trHeight w:val="195"/>
          <w:jc w:val="center"/>
        </w:trPr>
        <w:tc>
          <w:tcPr>
            <w:tcW w:w="1275" w:type="dxa"/>
            <w:tcBorders>
              <w:top w:val="nil"/>
              <w:left w:val="single" w:sz="4" w:space="0" w:color="auto"/>
              <w:bottom w:val="nil"/>
              <w:right w:val="single" w:sz="4" w:space="0" w:color="auto"/>
            </w:tcBorders>
            <w:vAlign w:val="center"/>
          </w:tcPr>
          <w:p w14:paraId="4B7971B7" w14:textId="77777777" w:rsidR="003A1330" w:rsidRPr="00E36FD2" w:rsidRDefault="003A1330" w:rsidP="003A1330">
            <w:pPr>
              <w:pStyle w:val="Normal0"/>
              <w:jc w:val="right"/>
              <w:rPr>
                <w:rFonts w:ascii="Verdana" w:hAnsi="Verdana"/>
              </w:rPr>
            </w:pPr>
            <w:r w:rsidRPr="00E36FD2">
              <w:rPr>
                <w:rFonts w:ascii="Verdana" w:hAnsi="Verdana"/>
              </w:rPr>
              <w:t>113</w:t>
            </w:r>
          </w:p>
        </w:tc>
        <w:tc>
          <w:tcPr>
            <w:tcW w:w="1238" w:type="dxa"/>
            <w:tcBorders>
              <w:top w:val="nil"/>
              <w:left w:val="single" w:sz="4" w:space="0" w:color="auto"/>
              <w:bottom w:val="nil"/>
              <w:right w:val="single" w:sz="4" w:space="0" w:color="auto"/>
            </w:tcBorders>
            <w:vAlign w:val="center"/>
          </w:tcPr>
          <w:p w14:paraId="0D0C4EFA"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2C3E89F7"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Lump Sum Death Benefits</w:t>
            </w:r>
          </w:p>
        </w:tc>
        <w:tc>
          <w:tcPr>
            <w:tcW w:w="1614" w:type="dxa"/>
            <w:tcBorders>
              <w:left w:val="single" w:sz="4" w:space="0" w:color="auto"/>
              <w:right w:val="single" w:sz="4" w:space="0" w:color="auto"/>
            </w:tcBorders>
            <w:vAlign w:val="center"/>
          </w:tcPr>
          <w:p w14:paraId="763F8498" w14:textId="51068762" w:rsidR="003A1330" w:rsidRPr="00E36FD2" w:rsidRDefault="0091312C" w:rsidP="003A1330">
            <w:pPr>
              <w:pStyle w:val="Normal0"/>
              <w:jc w:val="right"/>
              <w:rPr>
                <w:rFonts w:ascii="Verdana" w:hAnsi="Verdana"/>
              </w:rPr>
            </w:pPr>
            <w:r>
              <w:rPr>
                <w:rFonts w:ascii="Verdana" w:hAnsi="Verdana"/>
              </w:rPr>
              <w:t>0</w:t>
            </w:r>
          </w:p>
        </w:tc>
        <w:tc>
          <w:tcPr>
            <w:tcW w:w="1559" w:type="dxa"/>
            <w:tcBorders>
              <w:left w:val="single" w:sz="4" w:space="0" w:color="auto"/>
              <w:right w:val="single" w:sz="4" w:space="0" w:color="auto"/>
            </w:tcBorders>
            <w:vAlign w:val="center"/>
          </w:tcPr>
          <w:p w14:paraId="7DCEC070" w14:textId="77777777" w:rsidR="003A1330" w:rsidRPr="00E36FD2" w:rsidRDefault="003A1330" w:rsidP="003A1330">
            <w:pPr>
              <w:pStyle w:val="Normal0"/>
              <w:jc w:val="right"/>
              <w:rPr>
                <w:rFonts w:ascii="Verdana" w:hAnsi="Verdana"/>
              </w:rPr>
            </w:pPr>
          </w:p>
        </w:tc>
      </w:tr>
      <w:tr w:rsidR="003A1330" w14:paraId="64099D91" w14:textId="77777777" w:rsidTr="00B12066">
        <w:trPr>
          <w:trHeight w:val="195"/>
          <w:jc w:val="center"/>
        </w:trPr>
        <w:tc>
          <w:tcPr>
            <w:tcW w:w="1275" w:type="dxa"/>
            <w:tcBorders>
              <w:top w:val="nil"/>
              <w:left w:val="single" w:sz="4" w:space="0" w:color="auto"/>
              <w:bottom w:val="single" w:sz="4" w:space="0" w:color="auto"/>
              <w:right w:val="single" w:sz="4" w:space="0" w:color="auto"/>
            </w:tcBorders>
            <w:vAlign w:val="center"/>
          </w:tcPr>
          <w:p w14:paraId="0B8BE72A" w14:textId="77777777" w:rsidR="003A1330" w:rsidRPr="00E36FD2" w:rsidRDefault="003A1330" w:rsidP="003A1330">
            <w:pPr>
              <w:pStyle w:val="Normal0"/>
              <w:jc w:val="right"/>
              <w:rPr>
                <w:rFonts w:ascii="Verdana" w:hAnsi="Verdana"/>
              </w:rPr>
            </w:pPr>
            <w:r w:rsidRPr="00E36FD2">
              <w:rPr>
                <w:rFonts w:ascii="Verdana" w:hAnsi="Verdana"/>
              </w:rPr>
              <w:t>117</w:t>
            </w:r>
          </w:p>
        </w:tc>
        <w:tc>
          <w:tcPr>
            <w:tcW w:w="1238" w:type="dxa"/>
            <w:tcBorders>
              <w:top w:val="nil"/>
              <w:left w:val="single" w:sz="4" w:space="0" w:color="auto"/>
              <w:bottom w:val="single" w:sz="4" w:space="0" w:color="auto"/>
              <w:right w:val="single" w:sz="4" w:space="0" w:color="auto"/>
            </w:tcBorders>
            <w:vAlign w:val="center"/>
          </w:tcPr>
          <w:p w14:paraId="112FF606"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77FE0DC2"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Lump Sum Ill-health Benefits</w:t>
            </w:r>
          </w:p>
        </w:tc>
        <w:tc>
          <w:tcPr>
            <w:tcW w:w="1614" w:type="dxa"/>
            <w:tcBorders>
              <w:left w:val="single" w:sz="4" w:space="0" w:color="auto"/>
              <w:bottom w:val="single" w:sz="4" w:space="0" w:color="auto"/>
              <w:right w:val="single" w:sz="4" w:space="0" w:color="auto"/>
            </w:tcBorders>
            <w:vAlign w:val="center"/>
          </w:tcPr>
          <w:p w14:paraId="6862B38D" w14:textId="0284A9CD" w:rsidR="003A1330" w:rsidRPr="00E36FD2" w:rsidRDefault="0091312C" w:rsidP="003A1330">
            <w:pPr>
              <w:pStyle w:val="Normal0"/>
              <w:jc w:val="right"/>
              <w:rPr>
                <w:rFonts w:ascii="Verdana" w:hAnsi="Verdana"/>
              </w:rPr>
            </w:pPr>
            <w:r>
              <w:rPr>
                <w:rFonts w:ascii="Verdana" w:hAnsi="Verdana"/>
              </w:rPr>
              <w:t>595</w:t>
            </w:r>
          </w:p>
        </w:tc>
        <w:tc>
          <w:tcPr>
            <w:tcW w:w="1559" w:type="dxa"/>
            <w:tcBorders>
              <w:left w:val="single" w:sz="4" w:space="0" w:color="auto"/>
              <w:bottom w:val="single" w:sz="4" w:space="0" w:color="auto"/>
              <w:right w:val="single" w:sz="4" w:space="0" w:color="auto"/>
            </w:tcBorders>
            <w:vAlign w:val="center"/>
          </w:tcPr>
          <w:p w14:paraId="2D8F0D9A" w14:textId="77777777" w:rsidR="003A1330" w:rsidRPr="00E36FD2" w:rsidRDefault="003A1330" w:rsidP="003A1330">
            <w:pPr>
              <w:pStyle w:val="Normal0"/>
              <w:jc w:val="right"/>
              <w:rPr>
                <w:rFonts w:ascii="Verdana" w:hAnsi="Verdana"/>
              </w:rPr>
            </w:pPr>
          </w:p>
        </w:tc>
      </w:tr>
      <w:tr w:rsidR="003A1330" w14:paraId="77BC4EE0"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vAlign w:val="center"/>
          </w:tcPr>
          <w:p w14:paraId="5FEEAE99" w14:textId="77777777" w:rsidR="003A1330" w:rsidRPr="00E36FD2" w:rsidRDefault="003A1330" w:rsidP="003A1330">
            <w:pPr>
              <w:pStyle w:val="Normal0"/>
              <w:jc w:val="right"/>
              <w:rPr>
                <w:rFonts w:ascii="Verdana" w:hAnsi="Verdana"/>
              </w:rPr>
            </w:pPr>
          </w:p>
        </w:tc>
        <w:tc>
          <w:tcPr>
            <w:tcW w:w="1238" w:type="dxa"/>
            <w:tcBorders>
              <w:top w:val="single" w:sz="4" w:space="0" w:color="auto"/>
              <w:left w:val="single" w:sz="4" w:space="0" w:color="auto"/>
              <w:bottom w:val="single" w:sz="4" w:space="0" w:color="auto"/>
              <w:right w:val="single" w:sz="4" w:space="0" w:color="auto"/>
            </w:tcBorders>
            <w:vAlign w:val="center"/>
          </w:tcPr>
          <w:p w14:paraId="62AD0523" w14:textId="77777777" w:rsidR="003A1330" w:rsidRPr="00E36FD2" w:rsidRDefault="003A1330" w:rsidP="003A1330">
            <w:pPr>
              <w:pStyle w:val="Normal0"/>
              <w:jc w:val="right"/>
              <w:rPr>
                <w:rFonts w:ascii="Verdana" w:hAnsi="Verdana"/>
                <w:b/>
                <w:bCs/>
              </w:rPr>
            </w:pPr>
            <w:r w:rsidRPr="00E36FD2">
              <w:rPr>
                <w:rFonts w:ascii="Verdana" w:hAnsi="Verdana"/>
                <w:b/>
                <w:bCs/>
              </w:rPr>
              <w:t>47,995</w:t>
            </w:r>
          </w:p>
        </w:tc>
        <w:tc>
          <w:tcPr>
            <w:tcW w:w="7492" w:type="dxa"/>
            <w:tcBorders>
              <w:top w:val="nil"/>
              <w:left w:val="single" w:sz="4" w:space="0" w:color="auto"/>
              <w:bottom w:val="single" w:sz="4" w:space="0" w:color="auto"/>
              <w:right w:val="single" w:sz="4" w:space="0" w:color="auto"/>
            </w:tcBorders>
            <w:shd w:val="clear" w:color="auto" w:fill="auto"/>
            <w:vAlign w:val="center"/>
          </w:tcPr>
          <w:p w14:paraId="22AAFC96" w14:textId="77777777" w:rsidR="003A1330" w:rsidRPr="00E36FD2" w:rsidRDefault="003A1330" w:rsidP="003A1330">
            <w:pPr>
              <w:pStyle w:val="Normal0"/>
              <w:rPr>
                <w:rFonts w:ascii="Verdana" w:eastAsia="Times New Roman" w:hAnsi="Verdana"/>
                <w:lang w:val="en-GB" w:eastAsia="en-GB"/>
              </w:rPr>
            </w:pPr>
          </w:p>
        </w:tc>
        <w:tc>
          <w:tcPr>
            <w:tcW w:w="1614" w:type="dxa"/>
            <w:tcBorders>
              <w:top w:val="single" w:sz="4" w:space="0" w:color="auto"/>
              <w:left w:val="single" w:sz="4" w:space="0" w:color="auto"/>
              <w:bottom w:val="single" w:sz="4" w:space="0" w:color="auto"/>
              <w:right w:val="single" w:sz="4" w:space="0" w:color="auto"/>
            </w:tcBorders>
            <w:vAlign w:val="center"/>
          </w:tcPr>
          <w:p w14:paraId="14A8DD69" w14:textId="77777777" w:rsidR="003A1330" w:rsidRPr="00E36FD2" w:rsidRDefault="003A1330" w:rsidP="003A1330">
            <w:pPr>
              <w:pStyle w:val="Normal0"/>
              <w:jc w:val="right"/>
              <w:rPr>
                <w:rFonts w:ascii="Verdana" w:hAnsi="Verdana"/>
              </w:rPr>
            </w:pPr>
          </w:p>
        </w:tc>
        <w:tc>
          <w:tcPr>
            <w:tcW w:w="1559" w:type="dxa"/>
            <w:tcBorders>
              <w:top w:val="single" w:sz="4" w:space="0" w:color="auto"/>
              <w:left w:val="single" w:sz="4" w:space="0" w:color="auto"/>
              <w:bottom w:val="single" w:sz="4" w:space="0" w:color="auto"/>
              <w:right w:val="single" w:sz="4" w:space="0" w:color="auto"/>
            </w:tcBorders>
            <w:vAlign w:val="center"/>
          </w:tcPr>
          <w:p w14:paraId="2D42D399" w14:textId="3672BFDE" w:rsidR="003A1330" w:rsidRPr="00E36FD2" w:rsidRDefault="0091312C" w:rsidP="003A1330">
            <w:pPr>
              <w:pStyle w:val="Normal0"/>
              <w:jc w:val="right"/>
              <w:rPr>
                <w:rFonts w:ascii="Verdana" w:hAnsi="Verdana"/>
                <w:b/>
                <w:bCs/>
              </w:rPr>
            </w:pPr>
            <w:r>
              <w:rPr>
                <w:rFonts w:ascii="Verdana" w:hAnsi="Verdana"/>
                <w:b/>
                <w:bCs/>
              </w:rPr>
              <w:t>46,559</w:t>
            </w:r>
          </w:p>
        </w:tc>
      </w:tr>
      <w:tr w:rsidR="003A1330" w14:paraId="028E6724" w14:textId="77777777" w:rsidTr="00B12066">
        <w:trPr>
          <w:trHeight w:val="313"/>
          <w:jc w:val="center"/>
        </w:trPr>
        <w:tc>
          <w:tcPr>
            <w:tcW w:w="1275" w:type="dxa"/>
            <w:tcBorders>
              <w:left w:val="single" w:sz="4" w:space="0" w:color="auto"/>
              <w:bottom w:val="nil"/>
              <w:right w:val="single" w:sz="4" w:space="0" w:color="auto"/>
            </w:tcBorders>
            <w:vAlign w:val="center"/>
          </w:tcPr>
          <w:p w14:paraId="0E2ACD5B" w14:textId="77777777" w:rsidR="003A1330" w:rsidRPr="00E36FD2" w:rsidRDefault="003A1330" w:rsidP="003A1330">
            <w:pPr>
              <w:pStyle w:val="Normal0"/>
              <w:jc w:val="right"/>
              <w:rPr>
                <w:rFonts w:ascii="Verdana" w:hAnsi="Verdana"/>
                <w:b/>
                <w:bCs/>
              </w:rPr>
            </w:pPr>
          </w:p>
        </w:tc>
        <w:tc>
          <w:tcPr>
            <w:tcW w:w="1238" w:type="dxa"/>
            <w:tcBorders>
              <w:left w:val="single" w:sz="4" w:space="0" w:color="auto"/>
              <w:bottom w:val="nil"/>
              <w:right w:val="single" w:sz="4" w:space="0" w:color="auto"/>
            </w:tcBorders>
            <w:vAlign w:val="center"/>
          </w:tcPr>
          <w:p w14:paraId="1B14D7C7" w14:textId="77777777" w:rsidR="003A1330" w:rsidRPr="00E36FD2" w:rsidRDefault="003A1330" w:rsidP="003A1330">
            <w:pPr>
              <w:pStyle w:val="Normal0"/>
              <w:jc w:val="right"/>
              <w:rPr>
                <w:rFonts w:ascii="Verdana" w:hAnsi="Verdana"/>
                <w:b/>
                <w:bCs/>
              </w:rPr>
            </w:pPr>
          </w:p>
        </w:tc>
        <w:tc>
          <w:tcPr>
            <w:tcW w:w="7492" w:type="dxa"/>
            <w:tcBorders>
              <w:left w:val="single" w:sz="4" w:space="0" w:color="auto"/>
              <w:bottom w:val="nil"/>
              <w:right w:val="single" w:sz="4" w:space="0" w:color="auto"/>
            </w:tcBorders>
            <w:shd w:val="clear" w:color="auto" w:fill="auto"/>
            <w:vAlign w:val="center"/>
          </w:tcPr>
          <w:p w14:paraId="09A6BE38" w14:textId="77777777" w:rsidR="003A1330" w:rsidRPr="00E36FD2" w:rsidRDefault="003A1330" w:rsidP="003A1330">
            <w:pPr>
              <w:pStyle w:val="Normal0"/>
              <w:rPr>
                <w:rFonts w:ascii="Verdana" w:eastAsia="Times New Roman" w:hAnsi="Verdana"/>
                <w:b/>
                <w:lang w:val="en-GB" w:eastAsia="en-GB"/>
              </w:rPr>
            </w:pPr>
            <w:r w:rsidRPr="00E36FD2">
              <w:rPr>
                <w:rFonts w:ascii="Verdana" w:eastAsia="Times New Roman" w:hAnsi="Verdana"/>
                <w:b/>
                <w:lang w:val="en-GB" w:eastAsia="en-GB"/>
              </w:rPr>
              <w:t>Payments To and On Account of Leavers</w:t>
            </w:r>
          </w:p>
        </w:tc>
        <w:tc>
          <w:tcPr>
            <w:tcW w:w="1614" w:type="dxa"/>
            <w:tcBorders>
              <w:top w:val="single" w:sz="4" w:space="0" w:color="auto"/>
              <w:left w:val="single" w:sz="4" w:space="0" w:color="auto"/>
              <w:right w:val="single" w:sz="4" w:space="0" w:color="auto"/>
            </w:tcBorders>
            <w:vAlign w:val="center"/>
          </w:tcPr>
          <w:p w14:paraId="5CDC2469"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right w:val="single" w:sz="4" w:space="0" w:color="auto"/>
            </w:tcBorders>
            <w:vAlign w:val="center"/>
          </w:tcPr>
          <w:p w14:paraId="046DC796" w14:textId="77777777" w:rsidR="003A1330" w:rsidRPr="00E36FD2" w:rsidRDefault="003A1330" w:rsidP="003A1330">
            <w:pPr>
              <w:pStyle w:val="Normal0"/>
              <w:jc w:val="right"/>
              <w:rPr>
                <w:rFonts w:ascii="Verdana" w:hAnsi="Verdana"/>
                <w:b/>
                <w:bCs/>
              </w:rPr>
            </w:pPr>
          </w:p>
        </w:tc>
      </w:tr>
      <w:tr w:rsidR="003A1330" w14:paraId="2E17E1F4" w14:textId="77777777" w:rsidTr="00B12066">
        <w:trPr>
          <w:trHeight w:val="195"/>
          <w:jc w:val="center"/>
        </w:trPr>
        <w:tc>
          <w:tcPr>
            <w:tcW w:w="1275" w:type="dxa"/>
            <w:tcBorders>
              <w:top w:val="nil"/>
              <w:left w:val="single" w:sz="4" w:space="0" w:color="auto"/>
              <w:bottom w:val="nil"/>
              <w:right w:val="single" w:sz="4" w:space="0" w:color="auto"/>
            </w:tcBorders>
            <w:vAlign w:val="center"/>
          </w:tcPr>
          <w:p w14:paraId="2C17728C" w14:textId="77777777" w:rsidR="003A1330" w:rsidRPr="00E36FD2" w:rsidRDefault="003A1330" w:rsidP="003A1330">
            <w:pPr>
              <w:pStyle w:val="Normal0"/>
              <w:jc w:val="right"/>
              <w:rPr>
                <w:rFonts w:ascii="Verdana" w:hAnsi="Verdana"/>
              </w:rPr>
            </w:pPr>
            <w:r w:rsidRPr="00E36FD2">
              <w:rPr>
                <w:rFonts w:ascii="Verdana" w:hAnsi="Verdana"/>
              </w:rPr>
              <w:t>49</w:t>
            </w:r>
          </w:p>
        </w:tc>
        <w:tc>
          <w:tcPr>
            <w:tcW w:w="1238" w:type="dxa"/>
            <w:tcBorders>
              <w:top w:val="nil"/>
              <w:left w:val="single" w:sz="4" w:space="0" w:color="auto"/>
              <w:bottom w:val="nil"/>
              <w:right w:val="single" w:sz="4" w:space="0" w:color="auto"/>
            </w:tcBorders>
            <w:vAlign w:val="center"/>
          </w:tcPr>
          <w:p w14:paraId="1A922D9F"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74ECDF30"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Refund of Contributions</w:t>
            </w:r>
          </w:p>
        </w:tc>
        <w:tc>
          <w:tcPr>
            <w:tcW w:w="1614" w:type="dxa"/>
            <w:tcBorders>
              <w:left w:val="single" w:sz="4" w:space="0" w:color="auto"/>
              <w:right w:val="single" w:sz="4" w:space="0" w:color="auto"/>
            </w:tcBorders>
            <w:vAlign w:val="center"/>
          </w:tcPr>
          <w:p w14:paraId="3E3B17A5" w14:textId="6B37696F" w:rsidR="003A1330" w:rsidRPr="00E36FD2" w:rsidRDefault="0091312C" w:rsidP="003A1330">
            <w:pPr>
              <w:pStyle w:val="Normal0"/>
              <w:jc w:val="right"/>
              <w:rPr>
                <w:rFonts w:ascii="Verdana" w:hAnsi="Verdana"/>
              </w:rPr>
            </w:pPr>
            <w:r>
              <w:rPr>
                <w:rFonts w:ascii="Verdana" w:hAnsi="Verdana"/>
              </w:rPr>
              <w:t>42</w:t>
            </w:r>
          </w:p>
        </w:tc>
        <w:tc>
          <w:tcPr>
            <w:tcW w:w="1559" w:type="dxa"/>
            <w:tcBorders>
              <w:left w:val="single" w:sz="4" w:space="0" w:color="auto"/>
              <w:right w:val="single" w:sz="4" w:space="0" w:color="auto"/>
            </w:tcBorders>
            <w:vAlign w:val="center"/>
          </w:tcPr>
          <w:p w14:paraId="7C06DB4C" w14:textId="77777777" w:rsidR="003A1330" w:rsidRPr="00E36FD2" w:rsidRDefault="003A1330" w:rsidP="003A1330">
            <w:pPr>
              <w:pStyle w:val="Normal0"/>
              <w:jc w:val="right"/>
              <w:rPr>
                <w:rFonts w:ascii="Verdana" w:hAnsi="Verdana"/>
              </w:rPr>
            </w:pPr>
          </w:p>
        </w:tc>
      </w:tr>
      <w:tr w:rsidR="003A1330" w14:paraId="6E84D9EA" w14:textId="77777777" w:rsidTr="00B12066">
        <w:trPr>
          <w:trHeight w:val="195"/>
          <w:jc w:val="center"/>
        </w:trPr>
        <w:tc>
          <w:tcPr>
            <w:tcW w:w="1275" w:type="dxa"/>
            <w:tcBorders>
              <w:top w:val="nil"/>
              <w:left w:val="single" w:sz="4" w:space="0" w:color="auto"/>
              <w:bottom w:val="single" w:sz="4" w:space="0" w:color="auto"/>
              <w:right w:val="single" w:sz="4" w:space="0" w:color="auto"/>
            </w:tcBorders>
            <w:vAlign w:val="center"/>
          </w:tcPr>
          <w:p w14:paraId="6544247B" w14:textId="77777777" w:rsidR="003A1330" w:rsidRPr="00E36FD2" w:rsidRDefault="003A1330" w:rsidP="003A1330">
            <w:pPr>
              <w:pStyle w:val="Normal0"/>
              <w:jc w:val="right"/>
              <w:rPr>
                <w:rFonts w:ascii="Verdana" w:hAnsi="Verdana"/>
              </w:rPr>
            </w:pPr>
            <w:r w:rsidRPr="00E36FD2">
              <w:rPr>
                <w:rFonts w:ascii="Verdana" w:hAnsi="Verdana"/>
              </w:rPr>
              <w:t>0</w:t>
            </w:r>
          </w:p>
        </w:tc>
        <w:tc>
          <w:tcPr>
            <w:tcW w:w="1238" w:type="dxa"/>
            <w:tcBorders>
              <w:top w:val="nil"/>
              <w:left w:val="single" w:sz="4" w:space="0" w:color="auto"/>
              <w:bottom w:val="single" w:sz="4" w:space="0" w:color="auto"/>
              <w:right w:val="single" w:sz="4" w:space="0" w:color="auto"/>
            </w:tcBorders>
            <w:vAlign w:val="center"/>
          </w:tcPr>
          <w:p w14:paraId="02387088" w14:textId="77777777" w:rsidR="003A1330" w:rsidRPr="00E36FD2" w:rsidRDefault="003A1330" w:rsidP="003A1330">
            <w:pPr>
              <w:pStyle w:val="Normal0"/>
              <w:jc w:val="right"/>
              <w:rPr>
                <w:rFonts w:ascii="Verdana" w:hAnsi="Verdana"/>
              </w:rPr>
            </w:pPr>
          </w:p>
        </w:tc>
        <w:tc>
          <w:tcPr>
            <w:tcW w:w="7492" w:type="dxa"/>
            <w:tcBorders>
              <w:top w:val="nil"/>
              <w:left w:val="single" w:sz="4" w:space="0" w:color="auto"/>
              <w:bottom w:val="nil"/>
              <w:right w:val="single" w:sz="4" w:space="0" w:color="auto"/>
            </w:tcBorders>
            <w:shd w:val="clear" w:color="auto" w:fill="auto"/>
            <w:vAlign w:val="center"/>
          </w:tcPr>
          <w:p w14:paraId="4A41CFD2"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Individual Transfers Out To Other Schemes</w:t>
            </w:r>
          </w:p>
        </w:tc>
        <w:tc>
          <w:tcPr>
            <w:tcW w:w="1614" w:type="dxa"/>
            <w:tcBorders>
              <w:left w:val="single" w:sz="4" w:space="0" w:color="auto"/>
              <w:bottom w:val="single" w:sz="4" w:space="0" w:color="auto"/>
              <w:right w:val="single" w:sz="4" w:space="0" w:color="auto"/>
            </w:tcBorders>
            <w:vAlign w:val="center"/>
          </w:tcPr>
          <w:p w14:paraId="59CE90E5" w14:textId="47D4CA99" w:rsidR="003A1330" w:rsidRPr="00E36FD2" w:rsidRDefault="0091312C" w:rsidP="003A1330">
            <w:pPr>
              <w:pStyle w:val="Normal0"/>
              <w:jc w:val="right"/>
              <w:rPr>
                <w:rFonts w:ascii="Verdana" w:hAnsi="Verdana"/>
              </w:rPr>
            </w:pPr>
            <w:r>
              <w:rPr>
                <w:rFonts w:ascii="Verdana" w:hAnsi="Verdana"/>
              </w:rPr>
              <w:t>150</w:t>
            </w:r>
          </w:p>
        </w:tc>
        <w:tc>
          <w:tcPr>
            <w:tcW w:w="1559" w:type="dxa"/>
            <w:tcBorders>
              <w:left w:val="single" w:sz="4" w:space="0" w:color="auto"/>
              <w:bottom w:val="single" w:sz="4" w:space="0" w:color="auto"/>
              <w:right w:val="single" w:sz="4" w:space="0" w:color="auto"/>
            </w:tcBorders>
            <w:vAlign w:val="center"/>
          </w:tcPr>
          <w:p w14:paraId="6499775B" w14:textId="77777777" w:rsidR="003A1330" w:rsidRPr="00E36FD2" w:rsidRDefault="003A1330" w:rsidP="003A1330">
            <w:pPr>
              <w:pStyle w:val="Normal0"/>
              <w:jc w:val="right"/>
              <w:rPr>
                <w:rFonts w:ascii="Verdana" w:hAnsi="Verdana"/>
              </w:rPr>
            </w:pPr>
          </w:p>
        </w:tc>
      </w:tr>
      <w:tr w:rsidR="003A1330" w14:paraId="68CAF408"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vAlign w:val="center"/>
          </w:tcPr>
          <w:p w14:paraId="79A8C982" w14:textId="77777777" w:rsidR="003A1330" w:rsidRPr="00E36FD2" w:rsidRDefault="003A1330" w:rsidP="003A1330">
            <w:pPr>
              <w:pStyle w:val="Normal0"/>
              <w:jc w:val="right"/>
              <w:rPr>
                <w:rFonts w:ascii="Verdana" w:hAnsi="Verdana"/>
              </w:rPr>
            </w:pPr>
          </w:p>
        </w:tc>
        <w:tc>
          <w:tcPr>
            <w:tcW w:w="1238" w:type="dxa"/>
            <w:tcBorders>
              <w:top w:val="single" w:sz="4" w:space="0" w:color="auto"/>
              <w:left w:val="single" w:sz="4" w:space="0" w:color="auto"/>
              <w:bottom w:val="single" w:sz="4" w:space="0" w:color="auto"/>
              <w:right w:val="single" w:sz="4" w:space="0" w:color="auto"/>
            </w:tcBorders>
            <w:vAlign w:val="center"/>
          </w:tcPr>
          <w:p w14:paraId="5B4788D2" w14:textId="77777777" w:rsidR="003A1330" w:rsidRPr="00E36FD2" w:rsidRDefault="003A1330" w:rsidP="003A1330">
            <w:pPr>
              <w:pStyle w:val="Normal0"/>
              <w:jc w:val="right"/>
              <w:rPr>
                <w:rFonts w:ascii="Verdana" w:hAnsi="Verdana"/>
                <w:b/>
                <w:bCs/>
              </w:rPr>
            </w:pPr>
            <w:r w:rsidRPr="00E36FD2">
              <w:rPr>
                <w:rFonts w:ascii="Verdana" w:hAnsi="Verdana"/>
                <w:b/>
                <w:bCs/>
              </w:rPr>
              <w:t>49</w:t>
            </w:r>
          </w:p>
        </w:tc>
        <w:tc>
          <w:tcPr>
            <w:tcW w:w="7492" w:type="dxa"/>
            <w:tcBorders>
              <w:top w:val="nil"/>
              <w:left w:val="single" w:sz="4" w:space="0" w:color="auto"/>
              <w:bottom w:val="single" w:sz="4" w:space="0" w:color="auto"/>
              <w:right w:val="single" w:sz="4" w:space="0" w:color="auto"/>
            </w:tcBorders>
            <w:shd w:val="clear" w:color="auto" w:fill="auto"/>
            <w:vAlign w:val="center"/>
          </w:tcPr>
          <w:p w14:paraId="6258BF39" w14:textId="77777777" w:rsidR="003A1330" w:rsidRPr="00E36FD2" w:rsidRDefault="003A1330" w:rsidP="003A1330">
            <w:pPr>
              <w:pStyle w:val="Normal0"/>
              <w:rPr>
                <w:rFonts w:ascii="Verdana" w:eastAsia="Times New Roman" w:hAnsi="Verdana"/>
                <w:lang w:val="en-GB" w:eastAsia="en-GB"/>
              </w:rPr>
            </w:pPr>
          </w:p>
        </w:tc>
        <w:tc>
          <w:tcPr>
            <w:tcW w:w="1614" w:type="dxa"/>
            <w:tcBorders>
              <w:top w:val="single" w:sz="4" w:space="0" w:color="auto"/>
              <w:left w:val="single" w:sz="4" w:space="0" w:color="auto"/>
              <w:bottom w:val="single" w:sz="4" w:space="0" w:color="auto"/>
              <w:right w:val="single" w:sz="4" w:space="0" w:color="auto"/>
            </w:tcBorders>
            <w:vAlign w:val="center"/>
          </w:tcPr>
          <w:p w14:paraId="01ACCCDF" w14:textId="77777777" w:rsidR="003A1330" w:rsidRPr="00E36FD2" w:rsidRDefault="003A1330" w:rsidP="003A1330">
            <w:pPr>
              <w:pStyle w:val="Normal0"/>
              <w:jc w:val="right"/>
              <w:rPr>
                <w:rFonts w:ascii="Verdana" w:hAnsi="Verdana"/>
              </w:rPr>
            </w:pPr>
          </w:p>
        </w:tc>
        <w:tc>
          <w:tcPr>
            <w:tcW w:w="1559" w:type="dxa"/>
            <w:tcBorders>
              <w:top w:val="single" w:sz="4" w:space="0" w:color="auto"/>
              <w:left w:val="single" w:sz="4" w:space="0" w:color="auto"/>
              <w:bottom w:val="single" w:sz="4" w:space="0" w:color="auto"/>
              <w:right w:val="single" w:sz="4" w:space="0" w:color="auto"/>
            </w:tcBorders>
            <w:vAlign w:val="center"/>
          </w:tcPr>
          <w:p w14:paraId="5D3C2E59" w14:textId="496D326A" w:rsidR="003A1330" w:rsidRPr="00E36FD2" w:rsidRDefault="0091312C" w:rsidP="003A1330">
            <w:pPr>
              <w:pStyle w:val="Normal0"/>
              <w:jc w:val="right"/>
              <w:rPr>
                <w:rFonts w:ascii="Verdana" w:hAnsi="Verdana"/>
                <w:b/>
                <w:bCs/>
              </w:rPr>
            </w:pPr>
            <w:r>
              <w:rPr>
                <w:rFonts w:ascii="Verdana" w:hAnsi="Verdana"/>
                <w:b/>
                <w:bCs/>
              </w:rPr>
              <w:t>192</w:t>
            </w:r>
          </w:p>
        </w:tc>
      </w:tr>
      <w:tr w:rsidR="003A1330" w14:paraId="2C245B65"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shd w:val="clear" w:color="auto" w:fill="FFFFCC"/>
            <w:vAlign w:val="center"/>
          </w:tcPr>
          <w:p w14:paraId="4D00D6BC" w14:textId="77777777" w:rsidR="003A1330" w:rsidRPr="00E36FD2" w:rsidRDefault="003A1330" w:rsidP="003A1330">
            <w:pPr>
              <w:pStyle w:val="Normal0"/>
              <w:jc w:val="right"/>
              <w:rPr>
                <w:rFonts w:ascii="Verdana" w:hAnsi="Verdana"/>
                <w:b/>
                <w:bCs/>
              </w:rPr>
            </w:pPr>
          </w:p>
        </w:tc>
        <w:tc>
          <w:tcPr>
            <w:tcW w:w="1238" w:type="dxa"/>
            <w:tcBorders>
              <w:top w:val="single" w:sz="4" w:space="0" w:color="auto"/>
              <w:left w:val="single" w:sz="4" w:space="0" w:color="auto"/>
              <w:bottom w:val="single" w:sz="4" w:space="0" w:color="auto"/>
              <w:right w:val="single" w:sz="4" w:space="0" w:color="auto"/>
            </w:tcBorders>
            <w:shd w:val="clear" w:color="auto" w:fill="FFFFCC"/>
            <w:vAlign w:val="center"/>
          </w:tcPr>
          <w:p w14:paraId="343ABF7E" w14:textId="77777777" w:rsidR="003A1330" w:rsidRPr="00E36FD2" w:rsidRDefault="003A1330" w:rsidP="003A1330">
            <w:pPr>
              <w:pStyle w:val="Normal0"/>
              <w:jc w:val="right"/>
              <w:rPr>
                <w:rFonts w:ascii="Verdana" w:hAnsi="Verdana"/>
                <w:b/>
                <w:bCs/>
              </w:rPr>
            </w:pPr>
            <w:r w:rsidRPr="00E36FD2">
              <w:rPr>
                <w:rFonts w:ascii="Verdana" w:hAnsi="Verdana"/>
                <w:b/>
                <w:bCs/>
              </w:rPr>
              <w:t>48,044</w:t>
            </w:r>
          </w:p>
        </w:tc>
        <w:tc>
          <w:tcPr>
            <w:tcW w:w="7492" w:type="dxa"/>
            <w:tcBorders>
              <w:top w:val="single" w:sz="4" w:space="0" w:color="auto"/>
              <w:left w:val="single" w:sz="4" w:space="0" w:color="auto"/>
              <w:bottom w:val="single" w:sz="4" w:space="0" w:color="auto"/>
              <w:right w:val="single" w:sz="4" w:space="0" w:color="auto"/>
            </w:tcBorders>
            <w:shd w:val="clear" w:color="auto" w:fill="FFFFCC"/>
            <w:vAlign w:val="center"/>
          </w:tcPr>
          <w:p w14:paraId="4CD10C68" w14:textId="77777777" w:rsidR="003A1330" w:rsidRPr="00E36FD2" w:rsidRDefault="003A1330" w:rsidP="003A1330">
            <w:pPr>
              <w:pStyle w:val="Normal0"/>
              <w:rPr>
                <w:rFonts w:ascii="Verdana" w:eastAsia="Times New Roman" w:hAnsi="Verdana"/>
                <w:b/>
                <w:lang w:val="en-GB" w:eastAsia="en-GB"/>
              </w:rPr>
            </w:pPr>
            <w:r w:rsidRPr="00E36FD2">
              <w:rPr>
                <w:rFonts w:ascii="Verdana" w:eastAsia="Times New Roman" w:hAnsi="Verdana"/>
                <w:b/>
                <w:lang w:val="en-GB" w:eastAsia="en-GB"/>
              </w:rPr>
              <w:t>Total Outflows</w:t>
            </w:r>
          </w:p>
        </w:tc>
        <w:tc>
          <w:tcPr>
            <w:tcW w:w="1614" w:type="dxa"/>
            <w:tcBorders>
              <w:top w:val="single" w:sz="4" w:space="0" w:color="auto"/>
              <w:left w:val="single" w:sz="4" w:space="0" w:color="auto"/>
              <w:bottom w:val="single" w:sz="4" w:space="0" w:color="auto"/>
              <w:right w:val="single" w:sz="4" w:space="0" w:color="auto"/>
            </w:tcBorders>
            <w:shd w:val="clear" w:color="auto" w:fill="FFFFCC"/>
            <w:vAlign w:val="center"/>
          </w:tcPr>
          <w:p w14:paraId="0AD5BE23"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vAlign w:val="center"/>
          </w:tcPr>
          <w:p w14:paraId="44EBFBB6" w14:textId="7D33D662" w:rsidR="003A1330" w:rsidRPr="00E36FD2" w:rsidRDefault="0091312C" w:rsidP="003A1330">
            <w:pPr>
              <w:pStyle w:val="Normal0"/>
              <w:jc w:val="right"/>
              <w:rPr>
                <w:rFonts w:ascii="Verdana" w:hAnsi="Verdana"/>
                <w:b/>
                <w:bCs/>
              </w:rPr>
            </w:pPr>
            <w:r>
              <w:rPr>
                <w:rFonts w:ascii="Verdana" w:hAnsi="Verdana"/>
                <w:b/>
                <w:bCs/>
              </w:rPr>
              <w:t>46,751</w:t>
            </w:r>
          </w:p>
        </w:tc>
      </w:tr>
      <w:tr w:rsidR="003A1330" w14:paraId="0E4E9047" w14:textId="77777777" w:rsidTr="00B12066">
        <w:trPr>
          <w:trHeight w:val="93"/>
          <w:jc w:val="center"/>
        </w:trPr>
        <w:tc>
          <w:tcPr>
            <w:tcW w:w="1275" w:type="dxa"/>
            <w:tcBorders>
              <w:top w:val="single" w:sz="4" w:space="0" w:color="auto"/>
              <w:left w:val="single" w:sz="4" w:space="0" w:color="auto"/>
              <w:bottom w:val="single" w:sz="4" w:space="0" w:color="auto"/>
              <w:right w:val="single" w:sz="4" w:space="0" w:color="auto"/>
            </w:tcBorders>
            <w:vAlign w:val="center"/>
          </w:tcPr>
          <w:p w14:paraId="09D30936" w14:textId="77777777" w:rsidR="003A1330" w:rsidRPr="00E8718E" w:rsidRDefault="00B12066" w:rsidP="003A1330">
            <w:pPr>
              <w:pStyle w:val="Normal0"/>
              <w:jc w:val="right"/>
              <w:rPr>
                <w:rFonts w:ascii="Verdana" w:hAnsi="Verdana"/>
                <w:sz w:val="2"/>
                <w:szCs w:val="2"/>
              </w:rPr>
            </w:pPr>
            <w:r>
              <w:rPr>
                <w:rFonts w:ascii="Verdana" w:hAnsi="Verdana"/>
                <w:sz w:val="2"/>
                <w:szCs w:val="2"/>
              </w:rPr>
              <w:softHyphen/>
            </w:r>
          </w:p>
        </w:tc>
        <w:tc>
          <w:tcPr>
            <w:tcW w:w="1238" w:type="dxa"/>
            <w:tcBorders>
              <w:top w:val="single" w:sz="4" w:space="0" w:color="auto"/>
              <w:left w:val="single" w:sz="4" w:space="0" w:color="auto"/>
              <w:bottom w:val="single" w:sz="4" w:space="0" w:color="auto"/>
              <w:right w:val="single" w:sz="4" w:space="0" w:color="auto"/>
            </w:tcBorders>
            <w:vAlign w:val="center"/>
          </w:tcPr>
          <w:p w14:paraId="00151617" w14:textId="77777777" w:rsidR="003A1330" w:rsidRPr="00E8718E" w:rsidRDefault="003A1330" w:rsidP="003A1330">
            <w:pPr>
              <w:pStyle w:val="Normal0"/>
              <w:jc w:val="right"/>
              <w:rPr>
                <w:rFonts w:ascii="Verdana" w:hAnsi="Verdana"/>
                <w:sz w:val="2"/>
                <w:szCs w:val="2"/>
              </w:rPr>
            </w:pPr>
          </w:p>
        </w:tc>
        <w:tc>
          <w:tcPr>
            <w:tcW w:w="7492" w:type="dxa"/>
            <w:tcBorders>
              <w:top w:val="single" w:sz="4" w:space="0" w:color="auto"/>
              <w:left w:val="single" w:sz="4" w:space="0" w:color="auto"/>
              <w:bottom w:val="single" w:sz="4" w:space="0" w:color="auto"/>
              <w:right w:val="single" w:sz="4" w:space="0" w:color="auto"/>
            </w:tcBorders>
            <w:shd w:val="clear" w:color="auto" w:fill="auto"/>
            <w:vAlign w:val="center"/>
          </w:tcPr>
          <w:p w14:paraId="43FD300B" w14:textId="77777777" w:rsidR="003A1330" w:rsidRPr="00E8718E" w:rsidRDefault="003A1330" w:rsidP="003A1330">
            <w:pPr>
              <w:pStyle w:val="Normal0"/>
              <w:rPr>
                <w:rFonts w:ascii="Verdana" w:eastAsia="Times New Roman" w:hAnsi="Verdana"/>
                <w:sz w:val="2"/>
                <w:szCs w:val="2"/>
                <w:lang w:val="en-GB" w:eastAsia="en-GB"/>
              </w:rPr>
            </w:pPr>
          </w:p>
        </w:tc>
        <w:tc>
          <w:tcPr>
            <w:tcW w:w="1614" w:type="dxa"/>
            <w:tcBorders>
              <w:top w:val="single" w:sz="4" w:space="0" w:color="auto"/>
              <w:left w:val="single" w:sz="4" w:space="0" w:color="auto"/>
              <w:bottom w:val="single" w:sz="4" w:space="0" w:color="auto"/>
              <w:right w:val="single" w:sz="4" w:space="0" w:color="auto"/>
            </w:tcBorders>
            <w:vAlign w:val="center"/>
          </w:tcPr>
          <w:p w14:paraId="6328FEF8" w14:textId="77777777" w:rsidR="003A1330" w:rsidRPr="00E8718E" w:rsidRDefault="003A1330" w:rsidP="003A1330">
            <w:pPr>
              <w:pStyle w:val="Normal0"/>
              <w:jc w:val="right"/>
              <w:rPr>
                <w:rFonts w:ascii="Verdana" w:hAnsi="Verdana"/>
                <w:sz w:val="2"/>
                <w:szCs w:val="2"/>
              </w:rPr>
            </w:pPr>
          </w:p>
        </w:tc>
        <w:tc>
          <w:tcPr>
            <w:tcW w:w="1559" w:type="dxa"/>
            <w:tcBorders>
              <w:top w:val="single" w:sz="4" w:space="0" w:color="auto"/>
              <w:left w:val="single" w:sz="4" w:space="0" w:color="auto"/>
              <w:bottom w:val="single" w:sz="4" w:space="0" w:color="auto"/>
              <w:right w:val="single" w:sz="4" w:space="0" w:color="auto"/>
            </w:tcBorders>
            <w:vAlign w:val="center"/>
          </w:tcPr>
          <w:p w14:paraId="36CA69EE" w14:textId="77777777" w:rsidR="003A1330" w:rsidRPr="00E8718E" w:rsidRDefault="003A1330" w:rsidP="003A1330">
            <w:pPr>
              <w:pStyle w:val="Normal0"/>
              <w:jc w:val="right"/>
              <w:rPr>
                <w:rFonts w:ascii="Verdana" w:hAnsi="Verdana"/>
                <w:sz w:val="2"/>
                <w:szCs w:val="2"/>
              </w:rPr>
            </w:pPr>
          </w:p>
        </w:tc>
      </w:tr>
      <w:tr w:rsidR="003A1330" w14:paraId="3A507D1F"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shd w:val="clear" w:color="auto" w:fill="FFFFCC"/>
            <w:vAlign w:val="center"/>
          </w:tcPr>
          <w:p w14:paraId="7701ABD6" w14:textId="77777777" w:rsidR="003A1330" w:rsidRPr="00E36FD2" w:rsidRDefault="003A1330" w:rsidP="003A1330">
            <w:pPr>
              <w:pStyle w:val="Normal0"/>
              <w:jc w:val="right"/>
              <w:rPr>
                <w:rFonts w:ascii="Verdana" w:hAnsi="Verdana"/>
                <w:b/>
                <w:bCs/>
              </w:rPr>
            </w:pPr>
          </w:p>
        </w:tc>
        <w:tc>
          <w:tcPr>
            <w:tcW w:w="1238" w:type="dxa"/>
            <w:tcBorders>
              <w:top w:val="single" w:sz="4" w:space="0" w:color="auto"/>
              <w:left w:val="single" w:sz="4" w:space="0" w:color="auto"/>
              <w:bottom w:val="single" w:sz="4" w:space="0" w:color="auto"/>
              <w:right w:val="single" w:sz="4" w:space="0" w:color="auto"/>
            </w:tcBorders>
            <w:shd w:val="clear" w:color="auto" w:fill="FFFFCC"/>
            <w:vAlign w:val="center"/>
          </w:tcPr>
          <w:p w14:paraId="162A2BDA" w14:textId="77777777" w:rsidR="003A1330" w:rsidRPr="00E36FD2" w:rsidRDefault="003A1330" w:rsidP="003A1330">
            <w:pPr>
              <w:pStyle w:val="Normal0"/>
              <w:jc w:val="right"/>
              <w:rPr>
                <w:rFonts w:ascii="Verdana" w:hAnsi="Verdana"/>
                <w:b/>
                <w:bCs/>
              </w:rPr>
            </w:pPr>
            <w:r w:rsidRPr="00E36FD2">
              <w:rPr>
                <w:rFonts w:ascii="Verdana" w:hAnsi="Verdana"/>
                <w:b/>
                <w:bCs/>
              </w:rPr>
              <w:t>17,378</w:t>
            </w:r>
          </w:p>
        </w:tc>
        <w:tc>
          <w:tcPr>
            <w:tcW w:w="7492" w:type="dxa"/>
            <w:tcBorders>
              <w:top w:val="single" w:sz="4" w:space="0" w:color="auto"/>
              <w:left w:val="single" w:sz="4" w:space="0" w:color="auto"/>
              <w:bottom w:val="single" w:sz="4" w:space="0" w:color="auto"/>
              <w:right w:val="single" w:sz="4" w:space="0" w:color="auto"/>
            </w:tcBorders>
            <w:shd w:val="clear" w:color="auto" w:fill="FFFFCC"/>
            <w:vAlign w:val="center"/>
          </w:tcPr>
          <w:p w14:paraId="6AE10E74" w14:textId="77777777" w:rsidR="003A1330" w:rsidRPr="00E36FD2" w:rsidRDefault="003A1330" w:rsidP="003A1330">
            <w:pPr>
              <w:pStyle w:val="Normal0"/>
              <w:rPr>
                <w:rFonts w:ascii="Verdana" w:eastAsia="Times New Roman" w:hAnsi="Verdana"/>
                <w:b/>
                <w:lang w:val="en-GB" w:eastAsia="en-GB"/>
              </w:rPr>
            </w:pPr>
            <w:r w:rsidRPr="00E36FD2">
              <w:rPr>
                <w:rFonts w:ascii="Verdana" w:eastAsia="Times New Roman" w:hAnsi="Verdana"/>
                <w:b/>
                <w:lang w:val="en-GB" w:eastAsia="en-GB"/>
              </w:rPr>
              <w:t xml:space="preserve">Net amount payable for the year from the Group (equal to deficit amount) </w:t>
            </w:r>
          </w:p>
        </w:tc>
        <w:tc>
          <w:tcPr>
            <w:tcW w:w="1614" w:type="dxa"/>
            <w:tcBorders>
              <w:top w:val="single" w:sz="4" w:space="0" w:color="auto"/>
              <w:left w:val="single" w:sz="4" w:space="0" w:color="auto"/>
              <w:bottom w:val="single" w:sz="4" w:space="0" w:color="auto"/>
              <w:right w:val="single" w:sz="4" w:space="0" w:color="auto"/>
            </w:tcBorders>
            <w:shd w:val="clear" w:color="auto" w:fill="FFFFCC"/>
            <w:vAlign w:val="center"/>
          </w:tcPr>
          <w:p w14:paraId="56F46430"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vAlign w:val="center"/>
          </w:tcPr>
          <w:p w14:paraId="78B45C93" w14:textId="48B4718D" w:rsidR="003A1330" w:rsidRPr="00E36FD2" w:rsidRDefault="0091312C" w:rsidP="003A1330">
            <w:pPr>
              <w:pStyle w:val="Normal0"/>
              <w:jc w:val="right"/>
              <w:rPr>
                <w:rFonts w:ascii="Verdana" w:hAnsi="Verdana"/>
                <w:b/>
                <w:bCs/>
              </w:rPr>
            </w:pPr>
            <w:r>
              <w:rPr>
                <w:rFonts w:ascii="Verdana" w:hAnsi="Verdana"/>
                <w:b/>
                <w:bCs/>
              </w:rPr>
              <w:t>13,333</w:t>
            </w:r>
          </w:p>
        </w:tc>
      </w:tr>
      <w:tr w:rsidR="003A1330" w14:paraId="70F2E806"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vAlign w:val="center"/>
          </w:tcPr>
          <w:p w14:paraId="3CDCE2B5" w14:textId="77777777" w:rsidR="003A1330" w:rsidRPr="00E36FD2" w:rsidRDefault="003A1330" w:rsidP="003A1330">
            <w:pPr>
              <w:pStyle w:val="Normal0"/>
              <w:jc w:val="right"/>
              <w:rPr>
                <w:rFonts w:ascii="Verdana" w:hAnsi="Verdana"/>
                <w:b/>
                <w:bCs/>
              </w:rPr>
            </w:pPr>
          </w:p>
        </w:tc>
        <w:tc>
          <w:tcPr>
            <w:tcW w:w="1238" w:type="dxa"/>
            <w:tcBorders>
              <w:top w:val="single" w:sz="4" w:space="0" w:color="auto"/>
              <w:left w:val="single" w:sz="4" w:space="0" w:color="auto"/>
              <w:bottom w:val="single" w:sz="4" w:space="0" w:color="auto"/>
              <w:right w:val="single" w:sz="4" w:space="0" w:color="auto"/>
            </w:tcBorders>
            <w:vAlign w:val="center"/>
          </w:tcPr>
          <w:p w14:paraId="00F2086F" w14:textId="77777777" w:rsidR="003A1330" w:rsidRPr="00E36FD2" w:rsidRDefault="003A1330" w:rsidP="003A1330">
            <w:pPr>
              <w:pStyle w:val="Normal0"/>
              <w:jc w:val="right"/>
              <w:rPr>
                <w:rFonts w:ascii="Verdana" w:hAnsi="Verdana"/>
                <w:b/>
                <w:bCs/>
              </w:rPr>
            </w:pPr>
            <w:r w:rsidRPr="00E36FD2">
              <w:rPr>
                <w:rFonts w:ascii="Verdana" w:hAnsi="Verdana"/>
                <w:b/>
                <w:bCs/>
              </w:rPr>
              <w:t>(17,378)</w:t>
            </w:r>
          </w:p>
        </w:tc>
        <w:tc>
          <w:tcPr>
            <w:tcW w:w="7492" w:type="dxa"/>
            <w:tcBorders>
              <w:top w:val="single" w:sz="4" w:space="0" w:color="auto"/>
              <w:left w:val="single" w:sz="4" w:space="0" w:color="auto"/>
              <w:bottom w:val="single" w:sz="4" w:space="0" w:color="auto"/>
              <w:right w:val="single" w:sz="4" w:space="0" w:color="auto"/>
            </w:tcBorders>
            <w:shd w:val="clear" w:color="auto" w:fill="auto"/>
            <w:vAlign w:val="center"/>
          </w:tcPr>
          <w:p w14:paraId="603A3329" w14:textId="77777777" w:rsidR="003A1330" w:rsidRPr="00E36FD2" w:rsidRDefault="003A1330" w:rsidP="003A1330">
            <w:pPr>
              <w:pStyle w:val="Normal0"/>
              <w:rPr>
                <w:rFonts w:ascii="Verdana" w:eastAsia="Times New Roman" w:hAnsi="Verdana"/>
                <w:lang w:val="en-GB" w:eastAsia="en-GB"/>
              </w:rPr>
            </w:pPr>
            <w:r w:rsidRPr="00E36FD2">
              <w:rPr>
                <w:rFonts w:ascii="Verdana" w:eastAsia="Times New Roman" w:hAnsi="Verdana"/>
                <w:lang w:val="en-GB" w:eastAsia="en-GB"/>
              </w:rPr>
              <w:t>Additional contribution from the Group to fund the deficit for the year *</w:t>
            </w:r>
          </w:p>
        </w:tc>
        <w:tc>
          <w:tcPr>
            <w:tcW w:w="1614" w:type="dxa"/>
            <w:tcBorders>
              <w:top w:val="single" w:sz="4" w:space="0" w:color="auto"/>
              <w:left w:val="single" w:sz="4" w:space="0" w:color="auto"/>
              <w:bottom w:val="single" w:sz="4" w:space="0" w:color="auto"/>
              <w:right w:val="single" w:sz="4" w:space="0" w:color="auto"/>
            </w:tcBorders>
            <w:vAlign w:val="center"/>
          </w:tcPr>
          <w:p w14:paraId="33C98583"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bottom w:val="single" w:sz="4" w:space="0" w:color="auto"/>
              <w:right w:val="single" w:sz="4" w:space="0" w:color="auto"/>
            </w:tcBorders>
            <w:vAlign w:val="center"/>
          </w:tcPr>
          <w:p w14:paraId="5513BAD2" w14:textId="1D056806" w:rsidR="003A1330" w:rsidRPr="00E36FD2" w:rsidRDefault="0091312C" w:rsidP="003A1330">
            <w:pPr>
              <w:pStyle w:val="Normal0"/>
              <w:jc w:val="right"/>
              <w:rPr>
                <w:rFonts w:ascii="Verdana" w:hAnsi="Verdana"/>
                <w:b/>
                <w:bCs/>
              </w:rPr>
            </w:pPr>
            <w:r>
              <w:rPr>
                <w:rFonts w:ascii="Verdana" w:hAnsi="Verdana"/>
                <w:b/>
                <w:bCs/>
              </w:rPr>
              <w:t>(13,333)</w:t>
            </w:r>
          </w:p>
        </w:tc>
      </w:tr>
      <w:tr w:rsidR="003A1330" w14:paraId="6B83D63C" w14:textId="77777777" w:rsidTr="00B12066">
        <w:trPr>
          <w:trHeight w:val="195"/>
          <w:jc w:val="center"/>
        </w:trPr>
        <w:tc>
          <w:tcPr>
            <w:tcW w:w="1275" w:type="dxa"/>
            <w:tcBorders>
              <w:top w:val="single" w:sz="4" w:space="0" w:color="auto"/>
              <w:left w:val="single" w:sz="4" w:space="0" w:color="auto"/>
              <w:bottom w:val="single" w:sz="4" w:space="0" w:color="auto"/>
              <w:right w:val="single" w:sz="4" w:space="0" w:color="auto"/>
            </w:tcBorders>
            <w:vAlign w:val="center"/>
          </w:tcPr>
          <w:p w14:paraId="31BC10F0" w14:textId="77777777" w:rsidR="003A1330" w:rsidRPr="00E36FD2" w:rsidRDefault="003A1330" w:rsidP="003A1330">
            <w:pPr>
              <w:pStyle w:val="Normal0"/>
              <w:jc w:val="right"/>
              <w:rPr>
                <w:rFonts w:ascii="Verdana" w:hAnsi="Verdana"/>
                <w:b/>
                <w:bCs/>
              </w:rPr>
            </w:pPr>
          </w:p>
        </w:tc>
        <w:tc>
          <w:tcPr>
            <w:tcW w:w="1238" w:type="dxa"/>
            <w:tcBorders>
              <w:top w:val="single" w:sz="4" w:space="0" w:color="auto"/>
              <w:left w:val="single" w:sz="4" w:space="0" w:color="auto"/>
              <w:bottom w:val="single" w:sz="4" w:space="0" w:color="auto"/>
              <w:right w:val="single" w:sz="4" w:space="0" w:color="auto"/>
            </w:tcBorders>
            <w:vAlign w:val="center"/>
          </w:tcPr>
          <w:p w14:paraId="16E28A40" w14:textId="77777777" w:rsidR="003A1330" w:rsidRPr="00E36FD2" w:rsidRDefault="003A1330" w:rsidP="003A1330">
            <w:pPr>
              <w:pStyle w:val="Normal0"/>
              <w:jc w:val="right"/>
              <w:rPr>
                <w:rFonts w:ascii="Verdana" w:hAnsi="Verdana"/>
                <w:b/>
                <w:bCs/>
              </w:rPr>
            </w:pPr>
            <w:r w:rsidRPr="00E36FD2">
              <w:rPr>
                <w:rFonts w:ascii="Verdana" w:hAnsi="Verdana"/>
                <w:b/>
                <w:bCs/>
              </w:rPr>
              <w:t>0</w:t>
            </w:r>
          </w:p>
        </w:tc>
        <w:tc>
          <w:tcPr>
            <w:tcW w:w="7492" w:type="dxa"/>
            <w:tcBorders>
              <w:top w:val="single" w:sz="4" w:space="0" w:color="auto"/>
              <w:left w:val="single" w:sz="4" w:space="0" w:color="auto"/>
              <w:bottom w:val="single" w:sz="4" w:space="0" w:color="auto"/>
              <w:right w:val="single" w:sz="4" w:space="0" w:color="auto"/>
            </w:tcBorders>
            <w:shd w:val="clear" w:color="auto" w:fill="auto"/>
            <w:vAlign w:val="center"/>
          </w:tcPr>
          <w:p w14:paraId="0BDE8289" w14:textId="77777777" w:rsidR="003A1330" w:rsidRPr="00E36FD2" w:rsidRDefault="003A1330" w:rsidP="003A1330">
            <w:pPr>
              <w:pStyle w:val="Normal0"/>
              <w:rPr>
                <w:rFonts w:ascii="Verdana" w:eastAsia="Times New Roman" w:hAnsi="Verdana"/>
                <w:b/>
                <w:lang w:val="en-GB" w:eastAsia="en-GB"/>
              </w:rPr>
            </w:pPr>
            <w:r w:rsidRPr="00E36FD2">
              <w:rPr>
                <w:rFonts w:ascii="Verdana" w:eastAsia="Times New Roman" w:hAnsi="Verdana"/>
                <w:b/>
                <w:lang w:val="en-GB" w:eastAsia="en-GB"/>
              </w:rPr>
              <w:t>Net Amount Payable for the Year</w:t>
            </w:r>
          </w:p>
        </w:tc>
        <w:tc>
          <w:tcPr>
            <w:tcW w:w="1614" w:type="dxa"/>
            <w:tcBorders>
              <w:top w:val="single" w:sz="4" w:space="0" w:color="auto"/>
              <w:left w:val="single" w:sz="4" w:space="0" w:color="auto"/>
              <w:bottom w:val="single" w:sz="4" w:space="0" w:color="auto"/>
              <w:right w:val="single" w:sz="4" w:space="0" w:color="auto"/>
            </w:tcBorders>
            <w:vAlign w:val="center"/>
          </w:tcPr>
          <w:p w14:paraId="7242679B" w14:textId="77777777" w:rsidR="003A1330" w:rsidRPr="00E36FD2" w:rsidRDefault="003A1330" w:rsidP="003A1330">
            <w:pPr>
              <w:pStyle w:val="Normal0"/>
              <w:jc w:val="right"/>
              <w:rPr>
                <w:rFonts w:ascii="Verdana" w:hAnsi="Verdana"/>
                <w:b/>
                <w:bCs/>
              </w:rPr>
            </w:pPr>
          </w:p>
        </w:tc>
        <w:tc>
          <w:tcPr>
            <w:tcW w:w="1559" w:type="dxa"/>
            <w:tcBorders>
              <w:top w:val="single" w:sz="4" w:space="0" w:color="auto"/>
              <w:left w:val="single" w:sz="4" w:space="0" w:color="auto"/>
              <w:bottom w:val="single" w:sz="4" w:space="0" w:color="auto"/>
              <w:right w:val="single" w:sz="4" w:space="0" w:color="auto"/>
            </w:tcBorders>
            <w:vAlign w:val="center"/>
          </w:tcPr>
          <w:p w14:paraId="788D9B18" w14:textId="737464A6" w:rsidR="003A1330" w:rsidRPr="00E36FD2" w:rsidRDefault="0091312C" w:rsidP="003A1330">
            <w:pPr>
              <w:pStyle w:val="Normal0"/>
              <w:jc w:val="right"/>
              <w:rPr>
                <w:rFonts w:ascii="Verdana" w:hAnsi="Verdana"/>
                <w:b/>
                <w:bCs/>
              </w:rPr>
            </w:pPr>
            <w:r>
              <w:rPr>
                <w:rFonts w:ascii="Verdana" w:hAnsi="Verdana"/>
                <w:b/>
                <w:bCs/>
              </w:rPr>
              <w:t>0</w:t>
            </w:r>
          </w:p>
        </w:tc>
      </w:tr>
    </w:tbl>
    <w:p w14:paraId="3BBEB901" w14:textId="77777777" w:rsidR="006F0914" w:rsidRPr="00D56A15" w:rsidRDefault="006F0914" w:rsidP="006F0914">
      <w:pPr>
        <w:rPr>
          <w:sz w:val="8"/>
          <w:szCs w:val="8"/>
          <w:lang w:val="en-GB" w:eastAsia="en-GB"/>
        </w:rPr>
      </w:pPr>
    </w:p>
    <w:p w14:paraId="1ECC22EC" w14:textId="77777777" w:rsidR="006F0914" w:rsidRDefault="006F0914" w:rsidP="006F0914">
      <w:pPr>
        <w:pStyle w:val="Normal0"/>
        <w:rPr>
          <w:rFonts w:eastAsia="Times New Roman"/>
          <w:sz w:val="22"/>
          <w:szCs w:val="22"/>
          <w:lang w:val="en-GB" w:eastAsia="en-GB"/>
        </w:rPr>
      </w:pPr>
      <w:r w:rsidRPr="000C28D1">
        <w:rPr>
          <w:rFonts w:eastAsia="Times New Roman"/>
          <w:sz w:val="22"/>
          <w:szCs w:val="22"/>
          <w:lang w:val="en-GB" w:eastAsia="en-GB"/>
        </w:rPr>
        <w:t>* The annual deficit on the Police Pensions Account is funded by the Home Office Pension’s Top-up grant.  This income is shown in the PCC and Group Income and Expenditure account.</w:t>
      </w:r>
    </w:p>
    <w:p w14:paraId="18647D1F" w14:textId="77777777" w:rsidR="006F0914" w:rsidRPr="00D56A15" w:rsidRDefault="006F0914" w:rsidP="006F0914">
      <w:pPr>
        <w:pStyle w:val="Normal0"/>
        <w:rPr>
          <w:rFonts w:eastAsia="Times New Roman"/>
          <w:sz w:val="8"/>
          <w:szCs w:val="8"/>
          <w:lang w:val="en-GB" w:eastAsia="en-GB"/>
        </w:rPr>
      </w:pPr>
    </w:p>
    <w:p w14:paraId="6220C961" w14:textId="77777777" w:rsidR="00E8718E" w:rsidRDefault="00E8718E">
      <w:pPr>
        <w:rPr>
          <w:rFonts w:eastAsia="Times New Roman" w:cs="Arial"/>
          <w:b/>
          <w:lang w:val="en-GB" w:eastAsia="en-GB"/>
        </w:rPr>
      </w:pPr>
    </w:p>
    <w:p w14:paraId="1EDA7425" w14:textId="77777777" w:rsidR="006F0914" w:rsidRDefault="006F0914" w:rsidP="006F0914">
      <w:pPr>
        <w:jc w:val="center"/>
        <w:rPr>
          <w:rFonts w:eastAsia="Times New Roman" w:cs="Arial"/>
          <w:b/>
          <w:lang w:val="en-GB" w:eastAsia="en-GB"/>
        </w:rPr>
      </w:pPr>
      <w:r>
        <w:rPr>
          <w:rFonts w:eastAsia="Times New Roman" w:cs="Arial"/>
          <w:b/>
          <w:lang w:val="en-GB" w:eastAsia="en-GB"/>
        </w:rPr>
        <w:t xml:space="preserve">Police Pension Fund </w:t>
      </w:r>
      <w:r w:rsidRPr="000C28D1">
        <w:rPr>
          <w:rFonts w:eastAsia="Times New Roman" w:cs="Arial"/>
          <w:b/>
          <w:lang w:val="en-GB" w:eastAsia="en-GB"/>
        </w:rPr>
        <w:t>Net Assets Statement</w:t>
      </w:r>
    </w:p>
    <w:p w14:paraId="3DA6641E" w14:textId="77777777" w:rsidR="00E900D0" w:rsidRDefault="00E900D0" w:rsidP="006F0914">
      <w:pPr>
        <w:jc w:val="center"/>
        <w:rPr>
          <w:rFonts w:eastAsia="Times New Roman" w:cs="Arial"/>
          <w:b/>
          <w:lang w:val="en-GB" w:eastAsia="en-GB"/>
        </w:rPr>
      </w:pPr>
    </w:p>
    <w:p w14:paraId="335BA0FA" w14:textId="77777777" w:rsidR="006F0914" w:rsidRPr="009962A0" w:rsidRDefault="006F0914" w:rsidP="006F0914">
      <w:pPr>
        <w:jc w:val="center"/>
        <w:rPr>
          <w:rFonts w:eastAsia="Times New Roman" w:cs="Arial"/>
          <w:b/>
          <w:sz w:val="4"/>
          <w:szCs w:val="4"/>
          <w:lang w:val="en-GB" w:eastAsia="en-GB"/>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758"/>
        <w:gridCol w:w="4816"/>
        <w:gridCol w:w="1834"/>
      </w:tblGrid>
      <w:tr w:rsidR="006F0914" w:rsidRPr="009962A0" w14:paraId="0E284B12" w14:textId="77777777" w:rsidTr="00E900D0">
        <w:trPr>
          <w:trHeight w:val="21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14:paraId="5D3B54A2" w14:textId="77777777" w:rsidR="006F0914" w:rsidRPr="00E900D0" w:rsidRDefault="006F0914" w:rsidP="00E900D0">
            <w:pPr>
              <w:jc w:val="center"/>
              <w:rPr>
                <w:rFonts w:ascii="Verdana" w:eastAsia="Calibri" w:hAnsi="Verdana" w:cs="Arial"/>
                <w:b/>
                <w:bCs/>
                <w:sz w:val="22"/>
                <w:szCs w:val="22"/>
                <w:lang w:val="en-GB"/>
              </w:rPr>
            </w:pPr>
            <w:r w:rsidRPr="00E900D0">
              <w:rPr>
                <w:rFonts w:ascii="Verdana" w:eastAsia="Calibri" w:hAnsi="Verdana" w:cs="Arial"/>
                <w:b/>
                <w:bCs/>
                <w:sz w:val="22"/>
                <w:szCs w:val="22"/>
              </w:rPr>
              <w:t>201</w:t>
            </w:r>
            <w:r w:rsidR="00E900D0">
              <w:rPr>
                <w:rFonts w:ascii="Verdana" w:eastAsia="Calibri" w:hAnsi="Verdana" w:cs="Arial"/>
                <w:b/>
                <w:bCs/>
                <w:sz w:val="22"/>
                <w:szCs w:val="22"/>
              </w:rPr>
              <w:t>9</w:t>
            </w:r>
            <w:r w:rsidRPr="00E900D0">
              <w:rPr>
                <w:rFonts w:ascii="Verdana" w:eastAsia="Calibri" w:hAnsi="Verdana" w:cs="Arial"/>
                <w:b/>
                <w:bCs/>
                <w:sz w:val="22"/>
                <w:szCs w:val="22"/>
              </w:rPr>
              <w:t>/</w:t>
            </w:r>
            <w:r w:rsidR="00E900D0">
              <w:rPr>
                <w:rFonts w:ascii="Verdana" w:eastAsia="Calibri" w:hAnsi="Verdana" w:cs="Arial"/>
                <w:b/>
                <w:bCs/>
                <w:sz w:val="22"/>
                <w:szCs w:val="22"/>
              </w:rPr>
              <w:t>20</w:t>
            </w:r>
          </w:p>
        </w:tc>
        <w:tc>
          <w:tcPr>
            <w:tcW w:w="4816" w:type="dxa"/>
            <w:tcBorders>
              <w:top w:val="single" w:sz="4" w:space="0" w:color="auto"/>
              <w:left w:val="single" w:sz="4" w:space="0" w:color="auto"/>
              <w:bottom w:val="single" w:sz="4" w:space="0" w:color="auto"/>
              <w:right w:val="single" w:sz="4" w:space="0" w:color="auto"/>
            </w:tcBorders>
            <w:vAlign w:val="center"/>
            <w:hideMark/>
          </w:tcPr>
          <w:p w14:paraId="482AC56F" w14:textId="77777777" w:rsidR="006F0914" w:rsidRPr="00E900D0" w:rsidRDefault="006F0914" w:rsidP="007C11F3">
            <w:pPr>
              <w:jc w:val="both"/>
              <w:rPr>
                <w:rFonts w:ascii="Verdana" w:eastAsia="Times New Roman" w:hAnsi="Verdana" w:cs="Arial"/>
                <w:b/>
                <w:sz w:val="22"/>
                <w:szCs w:val="22"/>
                <w:lang w:val="en-GB" w:eastAsia="en-GB"/>
              </w:rPr>
            </w:pPr>
            <w:r w:rsidRPr="00E900D0">
              <w:rPr>
                <w:rFonts w:ascii="Verdana" w:eastAsia="Times New Roman" w:hAnsi="Verdana" w:cs="Arial"/>
                <w:b/>
                <w:sz w:val="22"/>
                <w:szCs w:val="22"/>
                <w:lang w:val="en-GB" w:eastAsia="en-GB"/>
              </w:rPr>
              <w:t>Net Current Assets And Liabilities</w:t>
            </w:r>
          </w:p>
        </w:tc>
        <w:tc>
          <w:tcPr>
            <w:tcW w:w="1834" w:type="dxa"/>
            <w:tcBorders>
              <w:top w:val="single" w:sz="4" w:space="0" w:color="auto"/>
              <w:left w:val="single" w:sz="4" w:space="0" w:color="auto"/>
              <w:bottom w:val="single" w:sz="4" w:space="0" w:color="auto"/>
              <w:right w:val="single" w:sz="4" w:space="0" w:color="auto"/>
            </w:tcBorders>
            <w:vAlign w:val="center"/>
            <w:hideMark/>
          </w:tcPr>
          <w:p w14:paraId="2BE51375" w14:textId="77777777" w:rsidR="006F0914" w:rsidRPr="00E900D0" w:rsidRDefault="006F0914" w:rsidP="00E900D0">
            <w:pPr>
              <w:jc w:val="center"/>
              <w:rPr>
                <w:rFonts w:ascii="Verdana" w:eastAsia="Calibri" w:hAnsi="Verdana" w:cs="Arial"/>
                <w:b/>
                <w:bCs/>
                <w:sz w:val="22"/>
                <w:szCs w:val="22"/>
              </w:rPr>
            </w:pPr>
            <w:r w:rsidRPr="00E900D0">
              <w:rPr>
                <w:rFonts w:ascii="Verdana" w:eastAsia="Calibri" w:hAnsi="Verdana" w:cs="Arial"/>
                <w:b/>
                <w:bCs/>
                <w:sz w:val="22"/>
                <w:szCs w:val="22"/>
              </w:rPr>
              <w:t>20</w:t>
            </w:r>
            <w:r w:rsidR="00E900D0">
              <w:rPr>
                <w:rFonts w:ascii="Verdana" w:eastAsia="Calibri" w:hAnsi="Verdana" w:cs="Arial"/>
                <w:b/>
                <w:bCs/>
                <w:sz w:val="22"/>
                <w:szCs w:val="22"/>
              </w:rPr>
              <w:t>20</w:t>
            </w:r>
            <w:r w:rsidRPr="00E900D0">
              <w:rPr>
                <w:rFonts w:ascii="Verdana" w:eastAsia="Calibri" w:hAnsi="Verdana" w:cs="Arial"/>
                <w:b/>
                <w:bCs/>
                <w:sz w:val="22"/>
                <w:szCs w:val="22"/>
              </w:rPr>
              <w:t>/2</w:t>
            </w:r>
            <w:r w:rsidR="00E900D0">
              <w:rPr>
                <w:rFonts w:ascii="Verdana" w:eastAsia="Calibri" w:hAnsi="Verdana" w:cs="Arial"/>
                <w:b/>
                <w:bCs/>
                <w:sz w:val="22"/>
                <w:szCs w:val="22"/>
              </w:rPr>
              <w:t>1</w:t>
            </w:r>
          </w:p>
        </w:tc>
      </w:tr>
      <w:tr w:rsidR="006F0914" w:rsidRPr="009962A0" w14:paraId="142DF108" w14:textId="77777777" w:rsidTr="00E900D0">
        <w:trPr>
          <w:trHeight w:val="117"/>
          <w:jc w:val="center"/>
        </w:trPr>
        <w:tc>
          <w:tcPr>
            <w:tcW w:w="1758" w:type="dxa"/>
            <w:tcBorders>
              <w:top w:val="single" w:sz="4" w:space="0" w:color="auto"/>
              <w:left w:val="single" w:sz="4" w:space="0" w:color="auto"/>
              <w:bottom w:val="nil"/>
              <w:right w:val="single" w:sz="4" w:space="0" w:color="auto"/>
            </w:tcBorders>
            <w:vAlign w:val="center"/>
            <w:hideMark/>
          </w:tcPr>
          <w:p w14:paraId="3AD4A3AB"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£000</w:t>
            </w:r>
          </w:p>
        </w:tc>
        <w:tc>
          <w:tcPr>
            <w:tcW w:w="4816" w:type="dxa"/>
            <w:tcBorders>
              <w:top w:val="single" w:sz="4" w:space="0" w:color="auto"/>
              <w:left w:val="single" w:sz="4" w:space="0" w:color="auto"/>
              <w:bottom w:val="nil"/>
              <w:right w:val="single" w:sz="4" w:space="0" w:color="auto"/>
            </w:tcBorders>
            <w:vAlign w:val="center"/>
          </w:tcPr>
          <w:p w14:paraId="0A979E75" w14:textId="77777777" w:rsidR="006F0914" w:rsidRPr="00E900D0" w:rsidRDefault="006F0914" w:rsidP="007C11F3">
            <w:pPr>
              <w:jc w:val="both"/>
              <w:rPr>
                <w:rFonts w:ascii="Verdana" w:eastAsia="Times New Roman" w:hAnsi="Verdana" w:cs="Arial"/>
                <w:sz w:val="22"/>
                <w:szCs w:val="22"/>
                <w:lang w:val="en-GB" w:eastAsia="en-GB"/>
              </w:rPr>
            </w:pPr>
          </w:p>
        </w:tc>
        <w:tc>
          <w:tcPr>
            <w:tcW w:w="1834" w:type="dxa"/>
            <w:tcBorders>
              <w:top w:val="single" w:sz="4" w:space="0" w:color="auto"/>
              <w:left w:val="single" w:sz="4" w:space="0" w:color="auto"/>
              <w:bottom w:val="nil"/>
              <w:right w:val="single" w:sz="4" w:space="0" w:color="auto"/>
            </w:tcBorders>
            <w:vAlign w:val="center"/>
            <w:hideMark/>
          </w:tcPr>
          <w:p w14:paraId="75A69EFB"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£000</w:t>
            </w:r>
          </w:p>
        </w:tc>
      </w:tr>
      <w:tr w:rsidR="006F0914" w:rsidRPr="009962A0" w14:paraId="31CC6A86" w14:textId="77777777" w:rsidTr="00E900D0">
        <w:trPr>
          <w:trHeight w:val="211"/>
          <w:jc w:val="center"/>
        </w:trPr>
        <w:tc>
          <w:tcPr>
            <w:tcW w:w="1758" w:type="dxa"/>
            <w:tcBorders>
              <w:top w:val="nil"/>
              <w:left w:val="single" w:sz="4" w:space="0" w:color="auto"/>
              <w:bottom w:val="nil"/>
              <w:right w:val="single" w:sz="4" w:space="0" w:color="auto"/>
            </w:tcBorders>
            <w:vAlign w:val="center"/>
          </w:tcPr>
          <w:p w14:paraId="41847E79" w14:textId="77777777" w:rsidR="006F0914" w:rsidRPr="00E900D0" w:rsidRDefault="006F0914" w:rsidP="007C11F3">
            <w:pPr>
              <w:jc w:val="center"/>
              <w:rPr>
                <w:rFonts w:ascii="Verdana" w:eastAsia="Times New Roman" w:hAnsi="Verdana" w:cs="Arial"/>
                <w:sz w:val="22"/>
                <w:szCs w:val="22"/>
                <w:lang w:val="en-GB" w:eastAsia="en-GB"/>
              </w:rPr>
            </w:pPr>
          </w:p>
        </w:tc>
        <w:tc>
          <w:tcPr>
            <w:tcW w:w="4816" w:type="dxa"/>
            <w:tcBorders>
              <w:top w:val="nil"/>
              <w:left w:val="single" w:sz="4" w:space="0" w:color="auto"/>
              <w:bottom w:val="nil"/>
              <w:right w:val="single" w:sz="4" w:space="0" w:color="auto"/>
            </w:tcBorders>
            <w:vAlign w:val="center"/>
            <w:hideMark/>
          </w:tcPr>
          <w:p w14:paraId="12F4B523" w14:textId="77777777" w:rsidR="006F0914" w:rsidRPr="00E900D0" w:rsidRDefault="006F0914" w:rsidP="007C11F3">
            <w:pPr>
              <w:jc w:val="both"/>
              <w:rPr>
                <w:rFonts w:ascii="Verdana" w:eastAsia="Times New Roman" w:hAnsi="Verdana" w:cs="Arial"/>
                <w:b/>
                <w:sz w:val="22"/>
                <w:szCs w:val="22"/>
                <w:lang w:val="en-GB" w:eastAsia="en-GB"/>
              </w:rPr>
            </w:pPr>
            <w:r w:rsidRPr="00E900D0">
              <w:rPr>
                <w:rFonts w:ascii="Verdana" w:eastAsia="Times New Roman" w:hAnsi="Verdana" w:cs="Arial"/>
                <w:b/>
                <w:sz w:val="22"/>
                <w:szCs w:val="22"/>
                <w:lang w:val="en-GB" w:eastAsia="en-GB"/>
              </w:rPr>
              <w:t>Current Assets:</w:t>
            </w:r>
          </w:p>
        </w:tc>
        <w:tc>
          <w:tcPr>
            <w:tcW w:w="1834" w:type="dxa"/>
            <w:tcBorders>
              <w:top w:val="nil"/>
              <w:left w:val="single" w:sz="4" w:space="0" w:color="auto"/>
              <w:bottom w:val="nil"/>
              <w:right w:val="single" w:sz="4" w:space="0" w:color="auto"/>
            </w:tcBorders>
            <w:vAlign w:val="center"/>
          </w:tcPr>
          <w:p w14:paraId="50D5B6A3" w14:textId="77777777" w:rsidR="006F0914" w:rsidRPr="00E900D0" w:rsidRDefault="006F0914" w:rsidP="007C11F3">
            <w:pPr>
              <w:jc w:val="center"/>
              <w:rPr>
                <w:rFonts w:ascii="Verdana" w:eastAsia="Times New Roman" w:hAnsi="Verdana" w:cs="Arial"/>
                <w:sz w:val="22"/>
                <w:szCs w:val="22"/>
                <w:lang w:val="en-GB" w:eastAsia="en-GB"/>
              </w:rPr>
            </w:pPr>
          </w:p>
        </w:tc>
      </w:tr>
      <w:tr w:rsidR="006F0914" w:rsidRPr="009962A0" w14:paraId="6178DB23" w14:textId="77777777" w:rsidTr="00E900D0">
        <w:trPr>
          <w:trHeight w:val="211"/>
          <w:jc w:val="center"/>
        </w:trPr>
        <w:tc>
          <w:tcPr>
            <w:tcW w:w="1758" w:type="dxa"/>
            <w:tcBorders>
              <w:top w:val="nil"/>
              <w:left w:val="single" w:sz="4" w:space="0" w:color="auto"/>
              <w:bottom w:val="nil"/>
              <w:right w:val="single" w:sz="4" w:space="0" w:color="auto"/>
            </w:tcBorders>
            <w:vAlign w:val="center"/>
            <w:hideMark/>
          </w:tcPr>
          <w:p w14:paraId="0A1F7252"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c>
          <w:tcPr>
            <w:tcW w:w="4816" w:type="dxa"/>
            <w:tcBorders>
              <w:top w:val="nil"/>
              <w:left w:val="single" w:sz="4" w:space="0" w:color="auto"/>
              <w:bottom w:val="nil"/>
              <w:right w:val="single" w:sz="4" w:space="0" w:color="auto"/>
            </w:tcBorders>
            <w:vAlign w:val="center"/>
            <w:hideMark/>
          </w:tcPr>
          <w:p w14:paraId="73716CE2" w14:textId="77777777" w:rsidR="006F0914" w:rsidRPr="00E900D0" w:rsidRDefault="006F0914" w:rsidP="007C11F3">
            <w:pPr>
              <w:jc w:val="both"/>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 xml:space="preserve">Contributions due from the </w:t>
            </w:r>
            <w:smartTag w:uri="urn:schemas-microsoft-com:office:smarttags" w:element="stockticker">
              <w:r w:rsidRPr="00E900D0">
                <w:rPr>
                  <w:rFonts w:ascii="Verdana" w:eastAsia="Times New Roman" w:hAnsi="Verdana" w:cs="Arial"/>
                  <w:sz w:val="22"/>
                  <w:szCs w:val="22"/>
                  <w:lang w:val="en-GB" w:eastAsia="en-GB"/>
                </w:rPr>
                <w:t>PCC</w:t>
              </w:r>
            </w:smartTag>
          </w:p>
        </w:tc>
        <w:tc>
          <w:tcPr>
            <w:tcW w:w="1834" w:type="dxa"/>
            <w:tcBorders>
              <w:top w:val="nil"/>
              <w:left w:val="single" w:sz="4" w:space="0" w:color="auto"/>
              <w:bottom w:val="nil"/>
              <w:right w:val="single" w:sz="4" w:space="0" w:color="auto"/>
            </w:tcBorders>
            <w:vAlign w:val="center"/>
            <w:hideMark/>
          </w:tcPr>
          <w:p w14:paraId="616B03AC"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r>
      <w:tr w:rsidR="006F0914" w:rsidRPr="009962A0" w14:paraId="01D960B7" w14:textId="77777777" w:rsidTr="00E900D0">
        <w:trPr>
          <w:trHeight w:val="211"/>
          <w:jc w:val="center"/>
        </w:trPr>
        <w:tc>
          <w:tcPr>
            <w:tcW w:w="1758" w:type="dxa"/>
            <w:tcBorders>
              <w:top w:val="nil"/>
              <w:left w:val="single" w:sz="4" w:space="0" w:color="auto"/>
              <w:bottom w:val="nil"/>
              <w:right w:val="single" w:sz="4" w:space="0" w:color="auto"/>
            </w:tcBorders>
            <w:vAlign w:val="center"/>
            <w:hideMark/>
          </w:tcPr>
          <w:p w14:paraId="747BBF01"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c>
          <w:tcPr>
            <w:tcW w:w="4816" w:type="dxa"/>
            <w:tcBorders>
              <w:top w:val="nil"/>
              <w:left w:val="single" w:sz="4" w:space="0" w:color="auto"/>
              <w:bottom w:val="nil"/>
              <w:right w:val="single" w:sz="4" w:space="0" w:color="auto"/>
            </w:tcBorders>
            <w:vAlign w:val="center"/>
            <w:hideMark/>
          </w:tcPr>
          <w:p w14:paraId="4A5B7BC7" w14:textId="77777777" w:rsidR="006F0914" w:rsidRPr="00E900D0" w:rsidRDefault="006F0914" w:rsidP="007C11F3">
            <w:pPr>
              <w:jc w:val="both"/>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Recoverable overpayments of pensions</w:t>
            </w:r>
          </w:p>
        </w:tc>
        <w:tc>
          <w:tcPr>
            <w:tcW w:w="1834" w:type="dxa"/>
            <w:tcBorders>
              <w:top w:val="nil"/>
              <w:left w:val="single" w:sz="4" w:space="0" w:color="auto"/>
              <w:bottom w:val="nil"/>
              <w:right w:val="single" w:sz="4" w:space="0" w:color="auto"/>
            </w:tcBorders>
            <w:vAlign w:val="center"/>
            <w:hideMark/>
          </w:tcPr>
          <w:p w14:paraId="32A86938"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r>
      <w:tr w:rsidR="006F0914" w:rsidRPr="009962A0" w14:paraId="27CC8A54" w14:textId="77777777" w:rsidTr="00E900D0">
        <w:trPr>
          <w:trHeight w:val="211"/>
          <w:jc w:val="center"/>
        </w:trPr>
        <w:tc>
          <w:tcPr>
            <w:tcW w:w="1758" w:type="dxa"/>
            <w:tcBorders>
              <w:top w:val="nil"/>
              <w:left w:val="single" w:sz="4" w:space="0" w:color="auto"/>
              <w:bottom w:val="nil"/>
              <w:right w:val="single" w:sz="4" w:space="0" w:color="auto"/>
            </w:tcBorders>
            <w:vAlign w:val="center"/>
          </w:tcPr>
          <w:p w14:paraId="0B5FF804" w14:textId="77777777" w:rsidR="006F0914" w:rsidRPr="00E900D0" w:rsidRDefault="006F0914" w:rsidP="007C11F3">
            <w:pPr>
              <w:jc w:val="center"/>
              <w:rPr>
                <w:rFonts w:ascii="Verdana" w:eastAsia="Times New Roman" w:hAnsi="Verdana" w:cs="Arial"/>
                <w:sz w:val="22"/>
                <w:szCs w:val="22"/>
                <w:lang w:val="en-GB" w:eastAsia="en-GB"/>
              </w:rPr>
            </w:pPr>
          </w:p>
        </w:tc>
        <w:tc>
          <w:tcPr>
            <w:tcW w:w="4816" w:type="dxa"/>
            <w:tcBorders>
              <w:top w:val="nil"/>
              <w:left w:val="single" w:sz="4" w:space="0" w:color="auto"/>
              <w:bottom w:val="nil"/>
              <w:right w:val="single" w:sz="4" w:space="0" w:color="auto"/>
            </w:tcBorders>
            <w:vAlign w:val="center"/>
            <w:hideMark/>
          </w:tcPr>
          <w:p w14:paraId="7BBA7962" w14:textId="77777777" w:rsidR="006F0914" w:rsidRPr="00E900D0" w:rsidRDefault="006F0914" w:rsidP="007C11F3">
            <w:pPr>
              <w:jc w:val="both"/>
              <w:rPr>
                <w:rFonts w:ascii="Verdana" w:eastAsia="Times New Roman" w:hAnsi="Verdana" w:cs="Arial"/>
                <w:b/>
                <w:sz w:val="22"/>
                <w:szCs w:val="22"/>
                <w:lang w:val="en-GB" w:eastAsia="en-GB"/>
              </w:rPr>
            </w:pPr>
            <w:r w:rsidRPr="00E900D0">
              <w:rPr>
                <w:rFonts w:ascii="Verdana" w:eastAsia="Times New Roman" w:hAnsi="Verdana" w:cs="Arial"/>
                <w:b/>
                <w:sz w:val="22"/>
                <w:szCs w:val="22"/>
                <w:lang w:val="en-GB" w:eastAsia="en-GB"/>
              </w:rPr>
              <w:t>Current Liabilities:</w:t>
            </w:r>
          </w:p>
        </w:tc>
        <w:tc>
          <w:tcPr>
            <w:tcW w:w="1834" w:type="dxa"/>
            <w:tcBorders>
              <w:top w:val="nil"/>
              <w:left w:val="single" w:sz="4" w:space="0" w:color="auto"/>
              <w:bottom w:val="nil"/>
              <w:right w:val="single" w:sz="4" w:space="0" w:color="auto"/>
            </w:tcBorders>
            <w:vAlign w:val="center"/>
          </w:tcPr>
          <w:p w14:paraId="3BCFA3D2" w14:textId="77777777" w:rsidR="006F0914" w:rsidRPr="00E900D0" w:rsidRDefault="006F0914" w:rsidP="007C11F3">
            <w:pPr>
              <w:jc w:val="center"/>
              <w:rPr>
                <w:rFonts w:ascii="Verdana" w:eastAsia="Times New Roman" w:hAnsi="Verdana" w:cs="Arial"/>
                <w:sz w:val="22"/>
                <w:szCs w:val="22"/>
                <w:lang w:val="en-GB" w:eastAsia="en-GB"/>
              </w:rPr>
            </w:pPr>
          </w:p>
        </w:tc>
      </w:tr>
      <w:tr w:rsidR="006F0914" w:rsidRPr="009962A0" w14:paraId="202CDF7E" w14:textId="77777777" w:rsidTr="00E900D0">
        <w:trPr>
          <w:trHeight w:val="211"/>
          <w:jc w:val="center"/>
        </w:trPr>
        <w:tc>
          <w:tcPr>
            <w:tcW w:w="1758" w:type="dxa"/>
            <w:tcBorders>
              <w:top w:val="nil"/>
              <w:left w:val="single" w:sz="4" w:space="0" w:color="auto"/>
              <w:bottom w:val="nil"/>
              <w:right w:val="single" w:sz="4" w:space="0" w:color="auto"/>
            </w:tcBorders>
            <w:vAlign w:val="center"/>
            <w:hideMark/>
          </w:tcPr>
          <w:p w14:paraId="6CE38697"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c>
          <w:tcPr>
            <w:tcW w:w="4816" w:type="dxa"/>
            <w:tcBorders>
              <w:top w:val="nil"/>
              <w:left w:val="single" w:sz="4" w:space="0" w:color="auto"/>
              <w:bottom w:val="nil"/>
              <w:right w:val="single" w:sz="4" w:space="0" w:color="auto"/>
            </w:tcBorders>
            <w:vAlign w:val="center"/>
            <w:hideMark/>
          </w:tcPr>
          <w:p w14:paraId="6FAF3308" w14:textId="77777777" w:rsidR="006F0914" w:rsidRPr="00E900D0" w:rsidRDefault="006F0914" w:rsidP="007C11F3">
            <w:pPr>
              <w:jc w:val="both"/>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Unpaid pensions benefits</w:t>
            </w:r>
          </w:p>
        </w:tc>
        <w:tc>
          <w:tcPr>
            <w:tcW w:w="1834" w:type="dxa"/>
            <w:tcBorders>
              <w:top w:val="nil"/>
              <w:left w:val="single" w:sz="4" w:space="0" w:color="auto"/>
              <w:bottom w:val="nil"/>
              <w:right w:val="single" w:sz="4" w:space="0" w:color="auto"/>
            </w:tcBorders>
            <w:vAlign w:val="center"/>
            <w:hideMark/>
          </w:tcPr>
          <w:p w14:paraId="2F45B491"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r>
      <w:tr w:rsidR="006F0914" w:rsidRPr="009962A0" w14:paraId="09B2312B" w14:textId="77777777" w:rsidTr="00E900D0">
        <w:trPr>
          <w:trHeight w:val="211"/>
          <w:jc w:val="center"/>
        </w:trPr>
        <w:tc>
          <w:tcPr>
            <w:tcW w:w="1758" w:type="dxa"/>
            <w:tcBorders>
              <w:top w:val="nil"/>
              <w:left w:val="single" w:sz="4" w:space="0" w:color="auto"/>
              <w:bottom w:val="single" w:sz="4" w:space="0" w:color="auto"/>
              <w:right w:val="single" w:sz="4" w:space="0" w:color="auto"/>
            </w:tcBorders>
            <w:vAlign w:val="center"/>
            <w:hideMark/>
          </w:tcPr>
          <w:p w14:paraId="74869CD1"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c>
          <w:tcPr>
            <w:tcW w:w="4816" w:type="dxa"/>
            <w:tcBorders>
              <w:top w:val="nil"/>
              <w:left w:val="single" w:sz="4" w:space="0" w:color="auto"/>
              <w:bottom w:val="single" w:sz="4" w:space="0" w:color="auto"/>
              <w:right w:val="single" w:sz="4" w:space="0" w:color="auto"/>
            </w:tcBorders>
            <w:vAlign w:val="center"/>
            <w:hideMark/>
          </w:tcPr>
          <w:p w14:paraId="6B3AF908" w14:textId="77777777" w:rsidR="006F0914" w:rsidRPr="00E900D0" w:rsidRDefault="006F0914" w:rsidP="007C11F3">
            <w:pPr>
              <w:jc w:val="both"/>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 xml:space="preserve">Surplus for the year owing to the </w:t>
            </w:r>
            <w:smartTag w:uri="urn:schemas-microsoft-com:office:smarttags" w:element="stockticker">
              <w:r w:rsidRPr="00E900D0">
                <w:rPr>
                  <w:rFonts w:ascii="Verdana" w:eastAsia="Times New Roman" w:hAnsi="Verdana" w:cs="Arial"/>
                  <w:sz w:val="22"/>
                  <w:szCs w:val="22"/>
                  <w:lang w:val="en-GB" w:eastAsia="en-GB"/>
                </w:rPr>
                <w:t>PCC</w:t>
              </w:r>
            </w:smartTag>
          </w:p>
        </w:tc>
        <w:tc>
          <w:tcPr>
            <w:tcW w:w="1834" w:type="dxa"/>
            <w:tcBorders>
              <w:top w:val="nil"/>
              <w:left w:val="single" w:sz="4" w:space="0" w:color="auto"/>
              <w:bottom w:val="single" w:sz="4" w:space="0" w:color="auto"/>
              <w:right w:val="single" w:sz="4" w:space="0" w:color="auto"/>
            </w:tcBorders>
            <w:vAlign w:val="center"/>
            <w:hideMark/>
          </w:tcPr>
          <w:p w14:paraId="50709287" w14:textId="77777777" w:rsidR="006F0914" w:rsidRPr="00E900D0" w:rsidRDefault="006F0914" w:rsidP="007C11F3">
            <w:pPr>
              <w:jc w:val="center"/>
              <w:rPr>
                <w:rFonts w:ascii="Verdana" w:eastAsia="Times New Roman" w:hAnsi="Verdana" w:cs="Arial"/>
                <w:sz w:val="22"/>
                <w:szCs w:val="22"/>
                <w:lang w:val="en-GB" w:eastAsia="en-GB"/>
              </w:rPr>
            </w:pPr>
            <w:r w:rsidRPr="00E900D0">
              <w:rPr>
                <w:rFonts w:ascii="Verdana" w:eastAsia="Times New Roman" w:hAnsi="Verdana" w:cs="Arial"/>
                <w:sz w:val="22"/>
                <w:szCs w:val="22"/>
                <w:lang w:val="en-GB" w:eastAsia="en-GB"/>
              </w:rPr>
              <w:t>0</w:t>
            </w:r>
          </w:p>
        </w:tc>
      </w:tr>
      <w:tr w:rsidR="006F0914" w:rsidRPr="009962A0" w14:paraId="03B9B93F" w14:textId="77777777" w:rsidTr="00E900D0">
        <w:trPr>
          <w:trHeight w:val="211"/>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14:paraId="1414F639" w14:textId="77777777" w:rsidR="006F0914" w:rsidRPr="00E900D0" w:rsidRDefault="006F0914" w:rsidP="007C11F3">
            <w:pPr>
              <w:jc w:val="center"/>
              <w:rPr>
                <w:rFonts w:ascii="Verdana" w:eastAsia="Times New Roman" w:hAnsi="Verdana" w:cs="Arial"/>
                <w:b/>
                <w:sz w:val="22"/>
                <w:szCs w:val="22"/>
                <w:lang w:val="en-GB" w:eastAsia="en-GB"/>
              </w:rPr>
            </w:pPr>
            <w:r w:rsidRPr="00E900D0">
              <w:rPr>
                <w:rFonts w:ascii="Verdana" w:eastAsia="Times New Roman" w:hAnsi="Verdana" w:cs="Arial"/>
                <w:b/>
                <w:sz w:val="22"/>
                <w:szCs w:val="22"/>
                <w:lang w:val="en-GB" w:eastAsia="en-GB"/>
              </w:rPr>
              <w:t>0</w:t>
            </w:r>
          </w:p>
        </w:tc>
        <w:tc>
          <w:tcPr>
            <w:tcW w:w="4816" w:type="dxa"/>
            <w:tcBorders>
              <w:top w:val="single" w:sz="4" w:space="0" w:color="auto"/>
              <w:left w:val="single" w:sz="4" w:space="0" w:color="auto"/>
              <w:bottom w:val="single" w:sz="4" w:space="0" w:color="auto"/>
              <w:right w:val="single" w:sz="4" w:space="0" w:color="auto"/>
            </w:tcBorders>
            <w:vAlign w:val="center"/>
            <w:hideMark/>
          </w:tcPr>
          <w:p w14:paraId="033693A5" w14:textId="77777777" w:rsidR="006F0914" w:rsidRPr="00E900D0" w:rsidRDefault="006F0914" w:rsidP="007C11F3">
            <w:pPr>
              <w:jc w:val="both"/>
              <w:rPr>
                <w:rFonts w:ascii="Verdana" w:eastAsia="Times New Roman" w:hAnsi="Verdana" w:cs="Arial"/>
                <w:b/>
                <w:sz w:val="22"/>
                <w:szCs w:val="22"/>
                <w:lang w:val="en-GB" w:eastAsia="en-GB"/>
              </w:rPr>
            </w:pPr>
            <w:r w:rsidRPr="00E900D0">
              <w:rPr>
                <w:rFonts w:ascii="Verdana" w:eastAsia="Times New Roman" w:hAnsi="Verdana" w:cs="Arial"/>
                <w:b/>
                <w:sz w:val="22"/>
                <w:szCs w:val="22"/>
                <w:lang w:val="en-GB" w:eastAsia="en-GB"/>
              </w:rPr>
              <w:t>Net Assets / (Liabilities)</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FCAD77D" w14:textId="77777777" w:rsidR="006F0914" w:rsidRPr="00E900D0" w:rsidRDefault="006F0914" w:rsidP="007C11F3">
            <w:pPr>
              <w:jc w:val="center"/>
              <w:rPr>
                <w:rFonts w:ascii="Verdana" w:eastAsia="Times New Roman" w:hAnsi="Verdana" w:cs="Arial"/>
                <w:b/>
                <w:sz w:val="22"/>
                <w:szCs w:val="22"/>
                <w:lang w:val="en-GB" w:eastAsia="en-GB"/>
              </w:rPr>
            </w:pPr>
            <w:r w:rsidRPr="00E900D0">
              <w:rPr>
                <w:rFonts w:ascii="Verdana" w:eastAsia="Times New Roman" w:hAnsi="Verdana" w:cs="Arial"/>
                <w:b/>
                <w:sz w:val="22"/>
                <w:szCs w:val="22"/>
                <w:lang w:val="en-GB" w:eastAsia="en-GB"/>
              </w:rPr>
              <w:t>0</w:t>
            </w:r>
          </w:p>
        </w:tc>
      </w:tr>
    </w:tbl>
    <w:p w14:paraId="07046069" w14:textId="77777777" w:rsidR="00E900D0" w:rsidRPr="00E900D0" w:rsidRDefault="00E900D0" w:rsidP="006F0914">
      <w:pPr>
        <w:pStyle w:val="Heading1"/>
        <w:rPr>
          <w:rFonts w:ascii="Verdana" w:hAnsi="Verdana"/>
          <w:sz w:val="22"/>
          <w:szCs w:val="22"/>
          <w:lang w:eastAsia="en-GB"/>
        </w:rPr>
      </w:pPr>
      <w:bookmarkStart w:id="37" w:name="_Toc15152187"/>
      <w:bookmarkStart w:id="38" w:name="_Toc43672344"/>
    </w:p>
    <w:p w14:paraId="4DF34A4D" w14:textId="77777777" w:rsidR="006F0914" w:rsidRPr="00D56A15" w:rsidRDefault="006F0914" w:rsidP="006F0914">
      <w:pPr>
        <w:pStyle w:val="Heading1"/>
        <w:rPr>
          <w:lang w:eastAsia="en-GB"/>
        </w:rPr>
      </w:pPr>
      <w:bookmarkStart w:id="39" w:name="_Toc77095584"/>
      <w:r w:rsidRPr="00D56A15">
        <w:rPr>
          <w:lang w:eastAsia="en-GB"/>
        </w:rPr>
        <w:t>Police Pension Funds - Notes</w:t>
      </w:r>
      <w:bookmarkEnd w:id="37"/>
      <w:bookmarkEnd w:id="38"/>
      <w:bookmarkEnd w:id="39"/>
    </w:p>
    <w:p w14:paraId="0976419F" w14:textId="77777777" w:rsidR="006F0914" w:rsidRPr="00915848" w:rsidRDefault="006F0914" w:rsidP="006F0914">
      <w:pPr>
        <w:pStyle w:val="Normal0"/>
        <w:rPr>
          <w:sz w:val="22"/>
          <w:lang w:val="en-GB" w:eastAsia="en-GB"/>
        </w:rPr>
      </w:pPr>
    </w:p>
    <w:p w14:paraId="18C0157B" w14:textId="77777777" w:rsidR="006F0914" w:rsidRPr="00E900D0" w:rsidRDefault="006F0914" w:rsidP="006F0914">
      <w:pPr>
        <w:pStyle w:val="Normal0"/>
        <w:rPr>
          <w:rFonts w:ascii="Verdana" w:hAnsi="Verdana"/>
          <w:b/>
          <w:sz w:val="22"/>
          <w:szCs w:val="22"/>
          <w:lang w:val="en-GB" w:eastAsia="en-GB"/>
        </w:rPr>
      </w:pPr>
      <w:r w:rsidRPr="00E900D0">
        <w:rPr>
          <w:rFonts w:ascii="Verdana" w:hAnsi="Verdana"/>
          <w:b/>
          <w:sz w:val="22"/>
          <w:szCs w:val="22"/>
          <w:lang w:val="en-GB" w:eastAsia="en-GB"/>
        </w:rPr>
        <w:t>Accounting Policies</w:t>
      </w:r>
    </w:p>
    <w:p w14:paraId="1C04C350" w14:textId="77777777" w:rsidR="006F0914" w:rsidRPr="00E900D0" w:rsidRDefault="006F0914" w:rsidP="006F0914">
      <w:pPr>
        <w:pStyle w:val="Normal0"/>
        <w:rPr>
          <w:rFonts w:ascii="Verdana" w:hAnsi="Verdana"/>
          <w:sz w:val="22"/>
          <w:szCs w:val="22"/>
          <w:lang w:val="en-GB" w:eastAsia="en-GB"/>
        </w:rPr>
      </w:pPr>
    </w:p>
    <w:p w14:paraId="7DC58D4E" w14:textId="77777777" w:rsidR="006F0914" w:rsidRPr="00E900D0" w:rsidRDefault="006F0914" w:rsidP="006F0914">
      <w:pPr>
        <w:pStyle w:val="Normal0"/>
        <w:jc w:val="both"/>
        <w:rPr>
          <w:rFonts w:ascii="Verdana" w:hAnsi="Verdana"/>
          <w:sz w:val="22"/>
          <w:szCs w:val="22"/>
          <w:lang w:val="en-GB" w:eastAsia="en-GB"/>
        </w:rPr>
      </w:pPr>
      <w:r w:rsidRPr="00E900D0">
        <w:rPr>
          <w:rFonts w:ascii="Verdana" w:hAnsi="Verdana"/>
          <w:sz w:val="22"/>
          <w:szCs w:val="22"/>
          <w:lang w:val="en-GB" w:eastAsia="en-GB"/>
        </w:rPr>
        <w:t>The Police Pension Account Statements have been prepared to meet the requirements of Regulation 7(1) (d) of the Accounts and Audit Regulations 2003, which states that Chief Constables are obliged to include the police pensions account in their statement of accounts.  They also meet the requirements of the Code of Practice on Local Authority Accounting in the United Kingdom 2018/19 based on International Financial Reporting Standards IAS19, as last amended on 16 June 2011.  The Accounts have been prepared on an accruals basis.  The statements do not take account of liabilities to pay pensions and other benefits in the future.  This is reported upon separately in the Actuary’s statement.</w:t>
      </w:r>
    </w:p>
    <w:p w14:paraId="1ECAE0D9" w14:textId="77777777" w:rsidR="006F0914" w:rsidRPr="00E900D0" w:rsidRDefault="006F0914" w:rsidP="006F0914">
      <w:pPr>
        <w:pStyle w:val="Normal0"/>
        <w:jc w:val="both"/>
        <w:rPr>
          <w:rFonts w:ascii="Verdana" w:hAnsi="Verdana"/>
          <w:sz w:val="22"/>
          <w:szCs w:val="22"/>
          <w:lang w:val="en-GB" w:eastAsia="en-GB"/>
        </w:rPr>
      </w:pPr>
    </w:p>
    <w:p w14:paraId="6820B3E1" w14:textId="77777777" w:rsidR="006F0914" w:rsidRPr="00E900D0" w:rsidRDefault="006F0914" w:rsidP="006F0914">
      <w:pPr>
        <w:jc w:val="both"/>
        <w:rPr>
          <w:rFonts w:ascii="Verdana" w:hAnsi="Verdana" w:cs="Arial"/>
          <w:b/>
          <w:sz w:val="22"/>
          <w:szCs w:val="22"/>
          <w:lang w:val="en-GB" w:eastAsia="en-GB"/>
        </w:rPr>
      </w:pPr>
      <w:r w:rsidRPr="00E900D0">
        <w:rPr>
          <w:rFonts w:ascii="Verdana" w:hAnsi="Verdana" w:cs="Arial"/>
          <w:b/>
          <w:sz w:val="22"/>
          <w:szCs w:val="22"/>
          <w:lang w:val="en-GB" w:eastAsia="en-GB"/>
        </w:rPr>
        <w:t>Explanatory Notes to the Police Pension Fund Account Statements</w:t>
      </w:r>
    </w:p>
    <w:p w14:paraId="49A1B0C7" w14:textId="77777777" w:rsidR="006F0914" w:rsidRPr="00E900D0" w:rsidRDefault="006F0914" w:rsidP="006F0914">
      <w:pPr>
        <w:pStyle w:val="Normal0"/>
        <w:jc w:val="both"/>
        <w:rPr>
          <w:rFonts w:ascii="Verdana" w:hAnsi="Verdana"/>
          <w:sz w:val="22"/>
          <w:szCs w:val="22"/>
          <w:lang w:val="en-GB" w:eastAsia="en-GB"/>
        </w:rPr>
      </w:pPr>
    </w:p>
    <w:p w14:paraId="5B07ADAA" w14:textId="77777777" w:rsidR="006F0914" w:rsidRPr="00E900D0" w:rsidRDefault="006F0914" w:rsidP="006F0914">
      <w:pPr>
        <w:pStyle w:val="Normal0"/>
        <w:jc w:val="both"/>
        <w:rPr>
          <w:rFonts w:ascii="Verdana" w:hAnsi="Verdana"/>
          <w:sz w:val="22"/>
          <w:szCs w:val="22"/>
          <w:lang w:val="en-GB" w:eastAsia="en-GB"/>
        </w:rPr>
      </w:pPr>
      <w:r w:rsidRPr="00E900D0">
        <w:rPr>
          <w:rFonts w:ascii="Verdana" w:hAnsi="Verdana"/>
          <w:sz w:val="22"/>
          <w:szCs w:val="22"/>
          <w:lang w:val="en-GB" w:eastAsia="en-GB"/>
        </w:rPr>
        <w:t>The Chief Constable is required to include a separate police pension account in their Statement of Accounts and is responsible for paying the pension of its former police officers.  The Pension Fund is administered by the Chief Constable in accordance with the Police Pension Fund Regulations 2007 (SI 2007 No 1932).</w:t>
      </w:r>
    </w:p>
    <w:p w14:paraId="509E37C3" w14:textId="77777777" w:rsidR="006F0914" w:rsidRPr="00E900D0" w:rsidRDefault="006F0914" w:rsidP="006F0914">
      <w:pPr>
        <w:pStyle w:val="Normal0"/>
        <w:jc w:val="both"/>
        <w:rPr>
          <w:rFonts w:ascii="Verdana" w:hAnsi="Verdana"/>
          <w:sz w:val="22"/>
          <w:szCs w:val="22"/>
          <w:lang w:val="en-GB" w:eastAsia="en-GB"/>
        </w:rPr>
      </w:pPr>
    </w:p>
    <w:p w14:paraId="60CE07FC" w14:textId="77777777" w:rsidR="006F0914" w:rsidRPr="00E900D0" w:rsidRDefault="006F0914" w:rsidP="006F0914">
      <w:pPr>
        <w:pStyle w:val="Normal0"/>
        <w:jc w:val="both"/>
        <w:rPr>
          <w:rFonts w:ascii="Verdana" w:hAnsi="Verdana"/>
          <w:sz w:val="22"/>
          <w:szCs w:val="22"/>
          <w:lang w:val="en-GB" w:eastAsia="en-GB"/>
        </w:rPr>
      </w:pPr>
      <w:r w:rsidRPr="00E900D0">
        <w:rPr>
          <w:rFonts w:ascii="Verdana" w:hAnsi="Verdana"/>
          <w:sz w:val="22"/>
          <w:szCs w:val="22"/>
          <w:lang w:val="en-GB" w:eastAsia="en-GB"/>
        </w:rPr>
        <w:t>On 1 April 2006 new arrangements came into being for funding and accounting for the Police Pension Schemes.  Before 1 April 2006 these pensions were paid from the Revenue Account and the Authority (preceding the Police Reform and Social Responsibility Act 2011 creating the two corporation sole bodies; the Police and Crime Commissioner for Surrey and the Chief Constable of Surrey) received funding from central government as part of the general funding formula to support payments of pensions.  Prior to 1 April 2006, there were no employer contributions based on pensionable pay and no top-up grants.</w:t>
      </w:r>
    </w:p>
    <w:p w14:paraId="5B1527B6" w14:textId="77777777" w:rsidR="006F0914" w:rsidRPr="00E900D0" w:rsidRDefault="006F0914" w:rsidP="006F0914">
      <w:pPr>
        <w:pStyle w:val="Normal0"/>
        <w:jc w:val="both"/>
        <w:rPr>
          <w:rFonts w:ascii="Verdana" w:hAnsi="Verdana"/>
          <w:sz w:val="22"/>
          <w:szCs w:val="22"/>
          <w:lang w:val="en-GB" w:eastAsia="en-GB"/>
        </w:rPr>
      </w:pPr>
    </w:p>
    <w:p w14:paraId="55A150CD" w14:textId="77777777" w:rsidR="006F0914" w:rsidRPr="00E900D0" w:rsidRDefault="006F0914" w:rsidP="006F0914">
      <w:pPr>
        <w:pStyle w:val="Normal0"/>
        <w:jc w:val="both"/>
        <w:rPr>
          <w:rFonts w:ascii="Verdana" w:hAnsi="Verdana"/>
          <w:sz w:val="22"/>
          <w:szCs w:val="22"/>
          <w:lang w:val="en-GB" w:eastAsia="en-GB"/>
        </w:rPr>
      </w:pPr>
      <w:r w:rsidRPr="00E900D0">
        <w:rPr>
          <w:rFonts w:ascii="Verdana" w:hAnsi="Verdana"/>
          <w:sz w:val="22"/>
          <w:szCs w:val="22"/>
          <w:lang w:val="en-GB" w:eastAsia="en-GB"/>
        </w:rPr>
        <w:t>From 1 April 2006 pensions are paid from a separate local police pensions account, rather than direct from the Income and Expenditure Account.  Overall the change to the financial arrangements for police officer pensions is intended to be ‘cost neutral’ with no impact on either the national or local council tax payer.</w:t>
      </w:r>
    </w:p>
    <w:p w14:paraId="28A5A097" w14:textId="77777777" w:rsidR="006F0914" w:rsidRPr="00E900D0" w:rsidRDefault="006F0914" w:rsidP="006F0914">
      <w:pPr>
        <w:pStyle w:val="Normal0"/>
        <w:jc w:val="both"/>
        <w:rPr>
          <w:rFonts w:ascii="Verdana" w:hAnsi="Verdana"/>
          <w:sz w:val="22"/>
          <w:szCs w:val="22"/>
          <w:lang w:val="en-GB" w:eastAsia="en-GB"/>
        </w:rPr>
      </w:pPr>
    </w:p>
    <w:p w14:paraId="750E8BB5" w14:textId="77777777" w:rsidR="006F0914" w:rsidRPr="00E900D0" w:rsidRDefault="006F0914" w:rsidP="006F0914">
      <w:pPr>
        <w:pStyle w:val="Normal0"/>
        <w:jc w:val="both"/>
        <w:rPr>
          <w:rFonts w:ascii="Verdana" w:hAnsi="Verdana"/>
          <w:sz w:val="22"/>
          <w:szCs w:val="22"/>
          <w:lang w:val="en-GB" w:eastAsia="en-GB"/>
        </w:rPr>
      </w:pPr>
      <w:r w:rsidRPr="00E900D0">
        <w:rPr>
          <w:rFonts w:ascii="Verdana" w:hAnsi="Verdana"/>
          <w:sz w:val="22"/>
          <w:szCs w:val="22"/>
          <w:lang w:val="en-GB" w:eastAsia="en-GB"/>
        </w:rPr>
        <w:t>There are currently three Police Officer pension schemes. Officers in the ‘old scheme’ currently contribute between 14.25% and 15.05% depending upon level of basic annual salary (prior to 1 April 2012 officers in the ‘old scheme’ contributed 11% of pensionable pay).  Officers in the ‘new scheme’ currently contribute between 11.0% and 12.75% depending upon level of basic annual salary (prior to 1 April 2012 officers in the ‘new scheme’ contributed 9.5% of earnings or 6% if ineligible for ill-health benefits).  From 1 April 2015 the Police Pensions Scheme 2015 came into effect and all current active members were transferred to this scheme – with the exception of those qualifying for protections allowing them to remain in their current scheme.  Officers contribute between 12.44% and 13.78% depending on their basic salary.  The Chief Constable makes an employer’s contribution of 31% of pensionable pay.  Employee’s and Employer’s contribution levels are based on percentages of pensionable pay set nationally by the Home Office and are subject to triennial revaluation by the Government Actuary’s Department.  The Police Pension scheme has no assets to cover it liabilities, therefore the total payments to pensioners in any year must be paid for by current officer and employer contributions.</w:t>
      </w:r>
    </w:p>
    <w:p w14:paraId="4A128A33" w14:textId="77777777" w:rsidR="006F0914" w:rsidRPr="00E900D0" w:rsidRDefault="006F0914" w:rsidP="006F0914">
      <w:pPr>
        <w:pStyle w:val="Normal0"/>
        <w:jc w:val="both"/>
        <w:rPr>
          <w:rFonts w:ascii="Verdana" w:eastAsia="Times New Roman" w:hAnsi="Verdana"/>
          <w:sz w:val="22"/>
          <w:szCs w:val="22"/>
          <w:lang w:val="en-GB" w:eastAsia="en-GB"/>
        </w:rPr>
      </w:pPr>
    </w:p>
    <w:p w14:paraId="444CB2A6" w14:textId="77777777" w:rsidR="006F0914" w:rsidRPr="00E900D0" w:rsidRDefault="006F0914" w:rsidP="006F0914">
      <w:pPr>
        <w:pStyle w:val="Normal0"/>
        <w:jc w:val="both"/>
        <w:rPr>
          <w:rFonts w:ascii="Verdana" w:eastAsia="Times New Roman" w:hAnsi="Verdana"/>
          <w:sz w:val="22"/>
          <w:szCs w:val="22"/>
          <w:lang w:val="en-GB" w:eastAsia="en-GB"/>
        </w:rPr>
      </w:pPr>
      <w:r w:rsidRPr="00E900D0">
        <w:rPr>
          <w:rFonts w:ascii="Verdana" w:eastAsia="Times New Roman" w:hAnsi="Verdana"/>
          <w:sz w:val="22"/>
          <w:szCs w:val="22"/>
          <w:lang w:val="en-GB" w:eastAsia="en-GB"/>
        </w:rPr>
        <w:t xml:space="preserve">Under the current financing arrangements the Pension Account is balanced to nil at the end of the year.  In the event that the Pension Account is in deficit, the Home Office partially reimburse the Police and Crime Commissioner and the remaining amount required to balance it to nil is met from the Police Operating Account.  </w:t>
      </w:r>
    </w:p>
    <w:p w14:paraId="4D6E6844" w14:textId="77777777" w:rsidR="006F0914" w:rsidRPr="00E900D0" w:rsidRDefault="006F0914" w:rsidP="006F0914">
      <w:pPr>
        <w:pStyle w:val="Normal0"/>
        <w:jc w:val="both"/>
        <w:rPr>
          <w:rFonts w:ascii="Verdana" w:eastAsia="Times New Roman" w:hAnsi="Verdana"/>
          <w:sz w:val="22"/>
          <w:szCs w:val="22"/>
          <w:lang w:val="en-GB" w:eastAsia="en-GB"/>
        </w:rPr>
      </w:pPr>
    </w:p>
    <w:p w14:paraId="1FA2CA01" w14:textId="77777777" w:rsidR="006F0914" w:rsidRPr="00E900D0" w:rsidRDefault="006F0914" w:rsidP="006F0914">
      <w:pPr>
        <w:pStyle w:val="Normal0"/>
        <w:jc w:val="both"/>
        <w:rPr>
          <w:rFonts w:ascii="Verdana" w:eastAsia="Times New Roman" w:hAnsi="Verdana"/>
          <w:sz w:val="22"/>
          <w:szCs w:val="22"/>
          <w:lang w:val="en-GB" w:eastAsia="en-GB"/>
        </w:rPr>
      </w:pPr>
      <w:r w:rsidRPr="00E900D0">
        <w:rPr>
          <w:rFonts w:ascii="Verdana" w:eastAsia="Times New Roman" w:hAnsi="Verdana"/>
          <w:sz w:val="22"/>
          <w:szCs w:val="22"/>
          <w:lang w:val="en-GB" w:eastAsia="en-GB"/>
        </w:rPr>
        <w:t xml:space="preserve">The Net Asset Statement does not include liabilities to pay pensions and other benefits after the balance sheet date.  </w:t>
      </w:r>
    </w:p>
    <w:p w14:paraId="432C3EE9" w14:textId="77777777" w:rsidR="006F0914" w:rsidRPr="00E900D0" w:rsidRDefault="006F0914" w:rsidP="006F0914">
      <w:pPr>
        <w:pStyle w:val="Normal0"/>
        <w:jc w:val="both"/>
        <w:rPr>
          <w:rFonts w:ascii="Verdana" w:eastAsia="Times New Roman" w:hAnsi="Verdana"/>
          <w:sz w:val="22"/>
          <w:szCs w:val="22"/>
          <w:lang w:val="en-GB" w:eastAsia="en-GB"/>
        </w:rPr>
      </w:pPr>
    </w:p>
    <w:p w14:paraId="1376537A" w14:textId="77777777" w:rsidR="006F0914" w:rsidRPr="00E900D0" w:rsidRDefault="006F0914" w:rsidP="006F0914">
      <w:pPr>
        <w:pStyle w:val="Normal0"/>
        <w:jc w:val="both"/>
        <w:rPr>
          <w:rFonts w:ascii="Verdana" w:eastAsia="Times New Roman" w:hAnsi="Verdana"/>
          <w:sz w:val="22"/>
          <w:szCs w:val="22"/>
          <w:lang w:val="en-GB" w:eastAsia="en-GB"/>
        </w:rPr>
      </w:pPr>
      <w:r w:rsidRPr="00E900D0">
        <w:rPr>
          <w:rFonts w:ascii="Verdana" w:eastAsia="Times New Roman" w:hAnsi="Verdana"/>
          <w:sz w:val="22"/>
          <w:szCs w:val="22"/>
          <w:lang w:val="en-GB" w:eastAsia="en-GB"/>
        </w:rPr>
        <w:t xml:space="preserve">Liabilities to pay future pension benefits have been disclosed separately at </w:t>
      </w:r>
      <w:r w:rsidRPr="00355708">
        <w:rPr>
          <w:rFonts w:ascii="Verdana" w:eastAsia="Times New Roman" w:hAnsi="Verdana"/>
          <w:sz w:val="22"/>
          <w:szCs w:val="22"/>
          <w:highlight w:val="yellow"/>
          <w:lang w:val="en-GB" w:eastAsia="en-GB"/>
        </w:rPr>
        <w:t>Note 1</w:t>
      </w:r>
      <w:r w:rsidR="003E513C" w:rsidRPr="00355708">
        <w:rPr>
          <w:rFonts w:ascii="Verdana" w:eastAsia="Times New Roman" w:hAnsi="Verdana"/>
          <w:sz w:val="22"/>
          <w:szCs w:val="22"/>
          <w:highlight w:val="yellow"/>
          <w:lang w:val="en-GB" w:eastAsia="en-GB"/>
        </w:rPr>
        <w:t>7</w:t>
      </w:r>
      <w:r w:rsidRPr="00E900D0">
        <w:rPr>
          <w:rFonts w:ascii="Verdana" w:eastAsia="Times New Roman" w:hAnsi="Verdana"/>
          <w:sz w:val="22"/>
          <w:szCs w:val="22"/>
          <w:lang w:val="en-GB" w:eastAsia="en-GB"/>
        </w:rPr>
        <w:t xml:space="preserve"> in accordance with IAS 19 ‘Employee Benefits’.</w:t>
      </w:r>
    </w:p>
    <w:p w14:paraId="3D6D3933" w14:textId="77777777" w:rsidR="006F0914" w:rsidRPr="00E900D0" w:rsidRDefault="006F0914" w:rsidP="006F0914">
      <w:pPr>
        <w:pStyle w:val="Normal0"/>
        <w:jc w:val="both"/>
        <w:rPr>
          <w:rFonts w:ascii="Verdana" w:eastAsia="Times New Roman" w:hAnsi="Verdana"/>
          <w:sz w:val="22"/>
          <w:szCs w:val="22"/>
          <w:lang w:val="en-GB" w:eastAsia="en-GB"/>
        </w:rPr>
      </w:pPr>
    </w:p>
    <w:p w14:paraId="2238371D" w14:textId="77777777" w:rsidR="006F0914" w:rsidRDefault="006F0914" w:rsidP="006F0914">
      <w:pPr>
        <w:pStyle w:val="Normal0"/>
        <w:jc w:val="both"/>
        <w:rPr>
          <w:rFonts w:ascii="Verdana" w:eastAsia="Times New Roman" w:hAnsi="Verdana"/>
          <w:sz w:val="22"/>
          <w:szCs w:val="22"/>
          <w:lang w:val="en-GB" w:eastAsia="en-GB"/>
        </w:rPr>
      </w:pPr>
      <w:r w:rsidRPr="00E900D0">
        <w:rPr>
          <w:rFonts w:ascii="Verdana" w:eastAsia="Times New Roman" w:hAnsi="Verdana"/>
          <w:sz w:val="22"/>
          <w:szCs w:val="22"/>
          <w:lang w:val="en-GB" w:eastAsia="en-GB"/>
        </w:rPr>
        <w:t>The New Police Pension Scheme (NPPS) applies to police entrants who joined the service on or after 6 April 2006 up to 31 March 2015, or who chose to transfer from the previous Police Pension Scheme (</w:t>
      </w:r>
      <w:smartTag w:uri="urn:schemas-microsoft-com:office:smarttags" w:element="stockticker">
        <w:r w:rsidRPr="00E900D0">
          <w:rPr>
            <w:rFonts w:ascii="Verdana" w:eastAsia="Times New Roman" w:hAnsi="Verdana"/>
            <w:sz w:val="22"/>
            <w:szCs w:val="22"/>
            <w:lang w:val="en-GB" w:eastAsia="en-GB"/>
          </w:rPr>
          <w:t>PPS</w:t>
        </w:r>
      </w:smartTag>
      <w:r w:rsidRPr="00E900D0">
        <w:rPr>
          <w:rFonts w:ascii="Verdana" w:eastAsia="Times New Roman" w:hAnsi="Verdana"/>
          <w:sz w:val="22"/>
          <w:szCs w:val="22"/>
          <w:lang w:val="en-GB" w:eastAsia="en-GB"/>
        </w:rPr>
        <w:t>) to the NPPS.  The Police Pensions Scheme 2015 applies to all current active members who do not qualify for any protections allowing them to remain in their original scheme.  Benefits payable under all three schemes</w:t>
      </w:r>
      <w:r w:rsidR="00E900D0">
        <w:rPr>
          <w:rFonts w:ascii="Verdana" w:eastAsia="Times New Roman" w:hAnsi="Verdana"/>
          <w:sz w:val="22"/>
          <w:szCs w:val="22"/>
          <w:lang w:val="en-GB" w:eastAsia="en-GB"/>
        </w:rPr>
        <w:t xml:space="preserve"> are shown in tabular form</w:t>
      </w:r>
      <w:r w:rsidRPr="00E900D0">
        <w:rPr>
          <w:rFonts w:ascii="Verdana" w:eastAsia="Times New Roman" w:hAnsi="Verdana"/>
          <w:sz w:val="22"/>
          <w:szCs w:val="22"/>
          <w:lang w:val="en-GB" w:eastAsia="en-GB"/>
        </w:rPr>
        <w:t>:</w:t>
      </w:r>
    </w:p>
    <w:p w14:paraId="61A7285A" w14:textId="77777777" w:rsidR="00E900D0" w:rsidRDefault="00E900D0" w:rsidP="006F0914">
      <w:pPr>
        <w:pStyle w:val="Normal0"/>
        <w:jc w:val="both"/>
        <w:rPr>
          <w:rFonts w:ascii="Verdana" w:eastAsia="Times New Roman" w:hAnsi="Verdana"/>
          <w:sz w:val="22"/>
          <w:szCs w:val="22"/>
          <w:lang w:val="en-GB" w:eastAsia="en-GB"/>
        </w:rPr>
      </w:pPr>
    </w:p>
    <w:p w14:paraId="64C3F636" w14:textId="77777777" w:rsidR="00E900D0" w:rsidRDefault="00E900D0" w:rsidP="006F0914">
      <w:pPr>
        <w:pStyle w:val="Normal0"/>
        <w:jc w:val="both"/>
        <w:rPr>
          <w:rFonts w:ascii="Verdana" w:eastAsia="Times New Roman" w:hAnsi="Verdana"/>
          <w:sz w:val="22"/>
          <w:szCs w:val="22"/>
          <w:lang w:val="en-GB" w:eastAsia="en-GB"/>
        </w:rPr>
      </w:pPr>
    </w:p>
    <w:p w14:paraId="4CC95693" w14:textId="77777777" w:rsidR="00E900D0" w:rsidRDefault="00E900D0" w:rsidP="006F0914">
      <w:pPr>
        <w:pStyle w:val="Normal0"/>
        <w:jc w:val="both"/>
        <w:rPr>
          <w:rFonts w:ascii="Verdana" w:eastAsia="Times New Roman" w:hAnsi="Verdana"/>
          <w:sz w:val="22"/>
          <w:szCs w:val="22"/>
          <w:lang w:val="en-GB" w:eastAsia="en-GB"/>
        </w:rPr>
      </w:pPr>
    </w:p>
    <w:p w14:paraId="630B20E3" w14:textId="77777777" w:rsidR="00E900D0" w:rsidRPr="00E900D0" w:rsidRDefault="00E900D0" w:rsidP="006F0914">
      <w:pPr>
        <w:pStyle w:val="Normal0"/>
        <w:jc w:val="both"/>
        <w:rPr>
          <w:rFonts w:ascii="Verdana" w:eastAsia="Times New Roman" w:hAnsi="Verdana"/>
          <w:sz w:val="22"/>
          <w:szCs w:val="22"/>
          <w:lang w:val="en-GB" w:eastAsia="en-GB"/>
        </w:rPr>
      </w:pPr>
    </w:p>
    <w:p w14:paraId="3CF99C5A" w14:textId="77777777" w:rsidR="006F0914" w:rsidRPr="00E900D0" w:rsidRDefault="006F0914" w:rsidP="006F0914">
      <w:pPr>
        <w:pStyle w:val="Normal00"/>
        <w:ind w:left="500"/>
        <w:rPr>
          <w:rFonts w:ascii="Verdana" w:eastAsia="Times New Roman" w:hAnsi="Verdana" w:cs="Arial"/>
          <w:sz w:val="22"/>
          <w:szCs w:val="22"/>
          <w:lang w:val="en-GB" w:eastAsia="en-GB"/>
        </w:rPr>
      </w:pPr>
    </w:p>
    <w:tbl>
      <w:tblPr>
        <w:tblW w:w="13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3852"/>
        <w:gridCol w:w="3448"/>
        <w:gridCol w:w="3814"/>
      </w:tblGrid>
      <w:tr w:rsidR="006F0914" w14:paraId="1849F8B3" w14:textId="77777777" w:rsidTr="00E900D0">
        <w:trPr>
          <w:trHeight w:val="344"/>
          <w:jc w:val="center"/>
        </w:trPr>
        <w:tc>
          <w:tcPr>
            <w:tcW w:w="2474" w:type="dxa"/>
            <w:shd w:val="clear" w:color="auto" w:fill="auto"/>
          </w:tcPr>
          <w:p w14:paraId="4EEFF426" w14:textId="77777777" w:rsidR="006F0914" w:rsidRPr="00E900D0" w:rsidRDefault="006F0914" w:rsidP="007C11F3">
            <w:pPr>
              <w:pStyle w:val="Normal00"/>
              <w:tabs>
                <w:tab w:val="center" w:pos="4153"/>
                <w:tab w:val="right" w:pos="8306"/>
              </w:tabs>
              <w:rPr>
                <w:rFonts w:ascii="Verdana" w:eastAsia="Times New Roman" w:hAnsi="Verdana" w:cs="Arial"/>
                <w:b/>
                <w:sz w:val="20"/>
                <w:szCs w:val="20"/>
                <w:lang w:val="en-GB" w:eastAsia="en-GB"/>
              </w:rPr>
            </w:pPr>
          </w:p>
        </w:tc>
        <w:tc>
          <w:tcPr>
            <w:tcW w:w="3852" w:type="dxa"/>
            <w:shd w:val="clear" w:color="auto" w:fill="auto"/>
            <w:vAlign w:val="center"/>
          </w:tcPr>
          <w:p w14:paraId="66762C45" w14:textId="77777777" w:rsidR="006F0914" w:rsidRPr="00E900D0" w:rsidRDefault="006F0914" w:rsidP="007C11F3">
            <w:pPr>
              <w:pStyle w:val="Normal00"/>
              <w:tabs>
                <w:tab w:val="center" w:pos="4153"/>
                <w:tab w:val="right" w:pos="8306"/>
              </w:tabs>
              <w:rPr>
                <w:rFonts w:ascii="Verdana" w:eastAsia="Times New Roman" w:hAnsi="Verdana" w:cs="Arial"/>
                <w:b/>
                <w:sz w:val="20"/>
                <w:szCs w:val="20"/>
                <w:lang w:val="en-GB" w:eastAsia="en-GB"/>
              </w:rPr>
            </w:pPr>
            <w:r w:rsidRPr="00E900D0">
              <w:rPr>
                <w:rFonts w:ascii="Verdana" w:eastAsia="Times New Roman" w:hAnsi="Verdana" w:cs="Arial"/>
                <w:b/>
                <w:sz w:val="20"/>
                <w:szCs w:val="20"/>
                <w:lang w:val="en-GB" w:eastAsia="en-GB"/>
              </w:rPr>
              <w:t>Police Pension Scheme (</w:t>
            </w:r>
            <w:smartTag w:uri="urn:schemas-microsoft-com:office:smarttags" w:element="stockticker">
              <w:r w:rsidRPr="00E900D0">
                <w:rPr>
                  <w:rFonts w:ascii="Verdana" w:eastAsia="Times New Roman" w:hAnsi="Verdana" w:cs="Arial"/>
                  <w:b/>
                  <w:sz w:val="20"/>
                  <w:szCs w:val="20"/>
                  <w:lang w:val="en-GB" w:eastAsia="en-GB"/>
                </w:rPr>
                <w:t>PPS</w:t>
              </w:r>
            </w:smartTag>
            <w:r w:rsidRPr="00E900D0">
              <w:rPr>
                <w:rFonts w:ascii="Verdana" w:eastAsia="Times New Roman" w:hAnsi="Verdana" w:cs="Arial"/>
                <w:b/>
                <w:sz w:val="20"/>
                <w:szCs w:val="20"/>
                <w:lang w:val="en-GB" w:eastAsia="en-GB"/>
              </w:rPr>
              <w:t>) (1987)</w:t>
            </w:r>
          </w:p>
        </w:tc>
        <w:tc>
          <w:tcPr>
            <w:tcW w:w="3448" w:type="dxa"/>
            <w:shd w:val="clear" w:color="auto" w:fill="auto"/>
            <w:vAlign w:val="center"/>
          </w:tcPr>
          <w:p w14:paraId="5E8D446E" w14:textId="77777777" w:rsidR="006F0914" w:rsidRPr="00E900D0" w:rsidRDefault="006F0914" w:rsidP="007C11F3">
            <w:pPr>
              <w:pStyle w:val="Normal00"/>
              <w:tabs>
                <w:tab w:val="left" w:pos="1667"/>
                <w:tab w:val="center" w:pos="4153"/>
                <w:tab w:val="right" w:pos="8306"/>
              </w:tabs>
              <w:jc w:val="center"/>
              <w:rPr>
                <w:rFonts w:ascii="Verdana" w:eastAsia="Times New Roman" w:hAnsi="Verdana" w:cs="Arial"/>
                <w:b/>
                <w:sz w:val="20"/>
                <w:szCs w:val="20"/>
                <w:lang w:val="en-GB" w:eastAsia="en-GB"/>
              </w:rPr>
            </w:pPr>
            <w:r w:rsidRPr="00E900D0">
              <w:rPr>
                <w:rFonts w:ascii="Verdana" w:eastAsia="Times New Roman" w:hAnsi="Verdana" w:cs="Arial"/>
                <w:b/>
                <w:sz w:val="20"/>
                <w:szCs w:val="20"/>
                <w:lang w:val="en-GB" w:eastAsia="en-GB"/>
              </w:rPr>
              <w:t>New Police Pension Scheme (NPP) (2006)</w:t>
            </w:r>
          </w:p>
        </w:tc>
        <w:tc>
          <w:tcPr>
            <w:tcW w:w="3814" w:type="dxa"/>
            <w:shd w:val="clear" w:color="auto" w:fill="auto"/>
          </w:tcPr>
          <w:p w14:paraId="6C872958" w14:textId="77777777" w:rsidR="006F0914" w:rsidRPr="00E900D0" w:rsidRDefault="006F0914" w:rsidP="007C11F3">
            <w:pPr>
              <w:pStyle w:val="Normal00"/>
              <w:tabs>
                <w:tab w:val="left" w:pos="1667"/>
                <w:tab w:val="center" w:pos="4153"/>
                <w:tab w:val="right" w:pos="8306"/>
              </w:tabs>
              <w:jc w:val="center"/>
              <w:rPr>
                <w:rFonts w:ascii="Verdana" w:eastAsia="Times New Roman" w:hAnsi="Verdana" w:cs="Arial"/>
                <w:b/>
                <w:sz w:val="20"/>
                <w:szCs w:val="20"/>
                <w:lang w:val="en-GB" w:eastAsia="en-GB"/>
              </w:rPr>
            </w:pPr>
            <w:r w:rsidRPr="00E900D0">
              <w:rPr>
                <w:rFonts w:ascii="Verdana" w:eastAsia="Times New Roman" w:hAnsi="Verdana" w:cs="Arial"/>
                <w:b/>
                <w:sz w:val="20"/>
                <w:szCs w:val="20"/>
                <w:lang w:val="en-GB" w:eastAsia="en-GB"/>
              </w:rPr>
              <w:t>Police Pensions Scheme 2015</w:t>
            </w:r>
          </w:p>
        </w:tc>
      </w:tr>
      <w:tr w:rsidR="006F0914" w14:paraId="603B65A9" w14:textId="77777777" w:rsidTr="00E900D0">
        <w:trPr>
          <w:trHeight w:val="701"/>
          <w:jc w:val="center"/>
        </w:trPr>
        <w:tc>
          <w:tcPr>
            <w:tcW w:w="2474" w:type="dxa"/>
            <w:shd w:val="clear" w:color="auto" w:fill="auto"/>
          </w:tcPr>
          <w:p w14:paraId="68D6BBDF"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What is maximum pension</w:t>
            </w:r>
          </w:p>
        </w:tc>
        <w:tc>
          <w:tcPr>
            <w:tcW w:w="3852" w:type="dxa"/>
            <w:shd w:val="clear" w:color="auto" w:fill="auto"/>
          </w:tcPr>
          <w:p w14:paraId="10F259D8"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2/3 final salary, with option to exchange part of the pension for a lump sum</w:t>
            </w:r>
          </w:p>
        </w:tc>
        <w:tc>
          <w:tcPr>
            <w:tcW w:w="3448" w:type="dxa"/>
            <w:shd w:val="clear" w:color="auto" w:fill="auto"/>
          </w:tcPr>
          <w:p w14:paraId="3C6D624D"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½ final salary plus fixed lump sum of 4 times the pension, with option to exchange part or all of lump sum for extra pension</w:t>
            </w:r>
          </w:p>
        </w:tc>
        <w:tc>
          <w:tcPr>
            <w:tcW w:w="3814" w:type="dxa"/>
            <w:shd w:val="clear" w:color="auto" w:fill="auto"/>
          </w:tcPr>
          <w:p w14:paraId="4B60EB9B"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Pension at retirement is the sum of each of the accrued pension pots, subject to revaluation at a rate of CPI +1.25% per year</w:t>
            </w:r>
          </w:p>
        </w:tc>
      </w:tr>
      <w:tr w:rsidR="006F0914" w14:paraId="1EE26C07" w14:textId="77777777" w:rsidTr="00E900D0">
        <w:trPr>
          <w:trHeight w:val="410"/>
          <w:jc w:val="center"/>
        </w:trPr>
        <w:tc>
          <w:tcPr>
            <w:tcW w:w="2474" w:type="dxa"/>
            <w:shd w:val="clear" w:color="auto" w:fill="auto"/>
          </w:tcPr>
          <w:p w14:paraId="61B7E1C1"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Final salary basis</w:t>
            </w:r>
          </w:p>
        </w:tc>
        <w:tc>
          <w:tcPr>
            <w:tcW w:w="3852" w:type="dxa"/>
            <w:shd w:val="clear" w:color="auto" w:fill="auto"/>
          </w:tcPr>
          <w:p w14:paraId="665C8F63"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Pensionable remuneration is normally the average remuneration in the employee’s final year</w:t>
            </w:r>
          </w:p>
        </w:tc>
        <w:tc>
          <w:tcPr>
            <w:tcW w:w="3448" w:type="dxa"/>
            <w:shd w:val="clear" w:color="auto" w:fill="auto"/>
            <w:vAlign w:val="center"/>
          </w:tcPr>
          <w:p w14:paraId="07F5C6D9"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Earnings over the last ten years are taken into account via best average over 3 consecutive years</w:t>
            </w:r>
          </w:p>
        </w:tc>
        <w:tc>
          <w:tcPr>
            <w:tcW w:w="3814" w:type="dxa"/>
            <w:shd w:val="clear" w:color="auto" w:fill="auto"/>
          </w:tcPr>
          <w:p w14:paraId="7ADA2C4C"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Scheme is a Career Average Revalued Earnings scheme</w:t>
            </w:r>
          </w:p>
        </w:tc>
      </w:tr>
      <w:tr w:rsidR="006F0914" w14:paraId="259964C9" w14:textId="77777777" w:rsidTr="00E900D0">
        <w:trPr>
          <w:trHeight w:val="407"/>
          <w:jc w:val="center"/>
        </w:trPr>
        <w:tc>
          <w:tcPr>
            <w:tcW w:w="2474" w:type="dxa"/>
            <w:shd w:val="clear" w:color="auto" w:fill="auto"/>
          </w:tcPr>
          <w:p w14:paraId="6F570B4D"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Length of service for maximum pension</w:t>
            </w:r>
          </w:p>
        </w:tc>
        <w:tc>
          <w:tcPr>
            <w:tcW w:w="3852" w:type="dxa"/>
            <w:shd w:val="clear" w:color="auto" w:fill="auto"/>
            <w:vAlign w:val="center"/>
          </w:tcPr>
          <w:p w14:paraId="7959831A"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30 years</w:t>
            </w:r>
          </w:p>
        </w:tc>
        <w:tc>
          <w:tcPr>
            <w:tcW w:w="3448" w:type="dxa"/>
            <w:shd w:val="clear" w:color="auto" w:fill="auto"/>
            <w:vAlign w:val="center"/>
          </w:tcPr>
          <w:p w14:paraId="7A077FA4"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35 years</w:t>
            </w:r>
          </w:p>
        </w:tc>
        <w:tc>
          <w:tcPr>
            <w:tcW w:w="3814" w:type="dxa"/>
            <w:shd w:val="clear" w:color="auto" w:fill="auto"/>
            <w:vAlign w:val="center"/>
          </w:tcPr>
          <w:p w14:paraId="0CB8B8E2"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No maximum length of membership</w:t>
            </w:r>
          </w:p>
        </w:tc>
      </w:tr>
      <w:tr w:rsidR="006F0914" w14:paraId="654007A5" w14:textId="77777777" w:rsidTr="00E900D0">
        <w:trPr>
          <w:trHeight w:val="553"/>
          <w:jc w:val="center"/>
        </w:trPr>
        <w:tc>
          <w:tcPr>
            <w:tcW w:w="2474" w:type="dxa"/>
            <w:shd w:val="clear" w:color="auto" w:fill="auto"/>
          </w:tcPr>
          <w:p w14:paraId="08BC2CB8"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Earliest age to receive pension</w:t>
            </w:r>
          </w:p>
        </w:tc>
        <w:tc>
          <w:tcPr>
            <w:tcW w:w="3852" w:type="dxa"/>
            <w:shd w:val="clear" w:color="auto" w:fill="auto"/>
          </w:tcPr>
          <w:p w14:paraId="360C3D13"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Age 50 after 25 years of service</w:t>
            </w:r>
          </w:p>
          <w:p w14:paraId="0E8FDE84"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Any age after 30 years of service</w:t>
            </w:r>
          </w:p>
          <w:p w14:paraId="405834E9"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Age 55 for less than 25 years of service</w:t>
            </w:r>
          </w:p>
          <w:p w14:paraId="12F2A903"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Age 60 if leave service before compulsory retirement age with less than 25 years of service</w:t>
            </w:r>
          </w:p>
        </w:tc>
        <w:tc>
          <w:tcPr>
            <w:tcW w:w="3448" w:type="dxa"/>
            <w:shd w:val="clear" w:color="auto" w:fill="auto"/>
            <w:vAlign w:val="center"/>
          </w:tcPr>
          <w:p w14:paraId="024A8DD1"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Age 55 if remain in police service until that age</w:t>
            </w:r>
          </w:p>
          <w:p w14:paraId="012F4779"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p>
          <w:p w14:paraId="0DD59772"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Age 65 if leave police service before age 55 or opting out of the scheme</w:t>
            </w:r>
          </w:p>
        </w:tc>
        <w:tc>
          <w:tcPr>
            <w:tcW w:w="3814" w:type="dxa"/>
            <w:shd w:val="clear" w:color="auto" w:fill="auto"/>
          </w:tcPr>
          <w:p w14:paraId="561FBA83"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Age 60 if remain in police service until that age.</w:t>
            </w:r>
          </w:p>
          <w:p w14:paraId="1A4312F5"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p>
          <w:p w14:paraId="1A3B051E"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State pension age if leave police service before age 60.</w:t>
            </w:r>
          </w:p>
        </w:tc>
      </w:tr>
      <w:tr w:rsidR="006F0914" w14:paraId="661E7A8B" w14:textId="77777777" w:rsidTr="00E900D0">
        <w:trPr>
          <w:trHeight w:val="491"/>
          <w:jc w:val="center"/>
        </w:trPr>
        <w:tc>
          <w:tcPr>
            <w:tcW w:w="2474" w:type="dxa"/>
            <w:shd w:val="clear" w:color="auto" w:fill="auto"/>
          </w:tcPr>
          <w:p w14:paraId="6472242C"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Pension increases</w:t>
            </w:r>
          </w:p>
        </w:tc>
        <w:tc>
          <w:tcPr>
            <w:tcW w:w="3852" w:type="dxa"/>
            <w:shd w:val="clear" w:color="auto" w:fill="auto"/>
          </w:tcPr>
          <w:p w14:paraId="09E2A705"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All pensions in payment, deferred pensions and children’s pensions are increased annually in line with the Consumer Price Index.</w:t>
            </w:r>
          </w:p>
        </w:tc>
        <w:tc>
          <w:tcPr>
            <w:tcW w:w="3448" w:type="dxa"/>
            <w:shd w:val="clear" w:color="auto" w:fill="auto"/>
          </w:tcPr>
          <w:p w14:paraId="572E2808"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All pensions in payment, deferred pensions and children’s pensions are increased annually in line with the Consumer Price Index.</w:t>
            </w:r>
          </w:p>
        </w:tc>
        <w:tc>
          <w:tcPr>
            <w:tcW w:w="3814" w:type="dxa"/>
            <w:shd w:val="clear" w:color="auto" w:fill="auto"/>
          </w:tcPr>
          <w:p w14:paraId="20C2A41C"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All pensions in payment, deferred pensions and children’s pensions are increased annually in line with the Consumer Price Index.</w:t>
            </w:r>
          </w:p>
        </w:tc>
      </w:tr>
      <w:tr w:rsidR="006F0914" w14:paraId="27DACB50" w14:textId="77777777" w:rsidTr="00E900D0">
        <w:trPr>
          <w:trHeight w:val="482"/>
          <w:jc w:val="center"/>
        </w:trPr>
        <w:tc>
          <w:tcPr>
            <w:tcW w:w="2474" w:type="dxa"/>
            <w:shd w:val="clear" w:color="auto" w:fill="auto"/>
          </w:tcPr>
          <w:p w14:paraId="3A50256D"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How is pension accumulated</w:t>
            </w:r>
          </w:p>
        </w:tc>
        <w:tc>
          <w:tcPr>
            <w:tcW w:w="3852" w:type="dxa"/>
            <w:shd w:val="clear" w:color="auto" w:fill="auto"/>
          </w:tcPr>
          <w:p w14:paraId="2FB894E6"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1/60 of final salary for first 20 years of service, plus 1/30 for final 10 years of service up to a maximum pension entitlement of 40/60.</w:t>
            </w:r>
          </w:p>
        </w:tc>
        <w:tc>
          <w:tcPr>
            <w:tcW w:w="3448" w:type="dxa"/>
            <w:shd w:val="clear" w:color="auto" w:fill="auto"/>
          </w:tcPr>
          <w:p w14:paraId="57350E46"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 xml:space="preserve">1/70 of final salary for each year of service up to a maximum 50% of final pensionable after 35 years of service. </w:t>
            </w:r>
          </w:p>
        </w:tc>
        <w:tc>
          <w:tcPr>
            <w:tcW w:w="3814" w:type="dxa"/>
            <w:shd w:val="clear" w:color="auto" w:fill="auto"/>
          </w:tcPr>
          <w:p w14:paraId="297181A7"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r w:rsidRPr="00E900D0">
              <w:rPr>
                <w:rFonts w:ascii="Verdana" w:eastAsia="Times New Roman" w:hAnsi="Verdana" w:cs="Arial"/>
                <w:sz w:val="20"/>
                <w:szCs w:val="20"/>
                <w:lang w:val="en-GB" w:eastAsia="en-GB"/>
              </w:rPr>
              <w:t>1/55.3th of pensionable earnings each year is added to the members’ pension pot for each year of membership.</w:t>
            </w:r>
          </w:p>
          <w:p w14:paraId="02879E91" w14:textId="77777777" w:rsidR="006F0914" w:rsidRPr="00E900D0" w:rsidRDefault="006F0914" w:rsidP="007C11F3">
            <w:pPr>
              <w:pStyle w:val="Normal00"/>
              <w:tabs>
                <w:tab w:val="center" w:pos="4153"/>
                <w:tab w:val="right" w:pos="8306"/>
              </w:tabs>
              <w:rPr>
                <w:rFonts w:ascii="Verdana" w:eastAsia="Times New Roman" w:hAnsi="Verdana" w:cs="Arial"/>
                <w:sz w:val="20"/>
                <w:szCs w:val="20"/>
                <w:lang w:val="en-GB" w:eastAsia="en-GB"/>
              </w:rPr>
            </w:pPr>
          </w:p>
        </w:tc>
      </w:tr>
    </w:tbl>
    <w:p w14:paraId="0FB67D1B" w14:textId="77777777" w:rsidR="006F0914" w:rsidRDefault="006F0914" w:rsidP="006F0914">
      <w:pPr>
        <w:rPr>
          <w:rFonts w:eastAsia="Times New Roman" w:cs="Arial"/>
          <w:b/>
          <w:lang w:val="en-GB" w:eastAsia="en-GB"/>
        </w:rPr>
      </w:pPr>
    </w:p>
    <w:p w14:paraId="66EA3266" w14:textId="77777777" w:rsidR="006F0914" w:rsidRDefault="006F0914" w:rsidP="004D44FF">
      <w:pPr>
        <w:pStyle w:val="Style2"/>
        <w:jc w:val="both"/>
        <w:rPr>
          <w:rFonts w:ascii="Verdana" w:hAnsi="Verdana" w:cs="Times New Roman"/>
          <w:b w:val="0"/>
          <w:sz w:val="22"/>
          <w:szCs w:val="22"/>
        </w:rPr>
      </w:pPr>
    </w:p>
    <w:p w14:paraId="419C58BC" w14:textId="77777777" w:rsidR="006F0914" w:rsidRDefault="006F0914" w:rsidP="004D44FF">
      <w:pPr>
        <w:pStyle w:val="Style2"/>
        <w:jc w:val="both"/>
        <w:rPr>
          <w:rFonts w:ascii="Verdana" w:hAnsi="Verdana" w:cs="Times New Roman"/>
          <w:b w:val="0"/>
          <w:sz w:val="22"/>
          <w:szCs w:val="22"/>
        </w:rPr>
      </w:pPr>
    </w:p>
    <w:p w14:paraId="2604EA6F" w14:textId="77777777" w:rsidR="006F0914" w:rsidRDefault="006F0914" w:rsidP="004D44FF">
      <w:pPr>
        <w:pStyle w:val="Style2"/>
        <w:jc w:val="both"/>
        <w:rPr>
          <w:rFonts w:ascii="Verdana" w:hAnsi="Verdana" w:cs="Times New Roman"/>
          <w:b w:val="0"/>
          <w:sz w:val="22"/>
          <w:szCs w:val="22"/>
        </w:rPr>
      </w:pPr>
    </w:p>
    <w:p w14:paraId="25A25867" w14:textId="77777777" w:rsidR="006F0914" w:rsidRDefault="006F0914">
      <w:pPr>
        <w:rPr>
          <w:rFonts w:asciiTheme="majorHAnsi" w:eastAsiaTheme="majorEastAsia" w:hAnsiTheme="majorHAnsi" w:cstheme="majorBidi"/>
          <w:color w:val="2E74B5" w:themeColor="accent1" w:themeShade="BF"/>
          <w:sz w:val="32"/>
          <w:szCs w:val="32"/>
          <w:lang w:val="en-GB" w:eastAsia="en-GB"/>
        </w:rPr>
      </w:pPr>
      <w:r>
        <w:rPr>
          <w:lang w:val="en-GB" w:eastAsia="en-GB"/>
        </w:rPr>
        <w:br w:type="page"/>
      </w:r>
    </w:p>
    <w:p w14:paraId="6026241C" w14:textId="77777777" w:rsidR="00F227D9" w:rsidRPr="008540C8" w:rsidRDefault="00F227D9" w:rsidP="00F227D9">
      <w:pPr>
        <w:pStyle w:val="Heading1"/>
        <w:rPr>
          <w:lang w:val="en-GB" w:eastAsia="en-GB"/>
        </w:rPr>
      </w:pPr>
      <w:bookmarkStart w:id="40" w:name="_Toc77095585"/>
      <w:r w:rsidRPr="008540C8">
        <w:rPr>
          <w:lang w:val="en-GB" w:eastAsia="en-GB"/>
        </w:rPr>
        <w:t>Glossary of Accounting Terms</w:t>
      </w:r>
      <w:bookmarkEnd w:id="40"/>
    </w:p>
    <w:p w14:paraId="324424F5" w14:textId="77777777" w:rsidR="00F227D9" w:rsidRDefault="00F227D9" w:rsidP="00F227D9">
      <w:pPr>
        <w:pStyle w:val="Normal0"/>
        <w:jc w:val="both"/>
        <w:rPr>
          <w:rFonts w:ascii="Verdana" w:eastAsia="Times New Roman" w:hAnsi="Verdana" w:cs="Arial"/>
          <w:sz w:val="22"/>
          <w:szCs w:val="22"/>
          <w:lang w:val="en-GB" w:eastAsia="en-GB"/>
        </w:rPr>
      </w:pPr>
    </w:p>
    <w:p w14:paraId="7B4A9C39" w14:textId="77777777" w:rsidR="00E900D0" w:rsidRPr="00314C46" w:rsidRDefault="00E900D0" w:rsidP="00E900D0">
      <w:pPr>
        <w:pStyle w:val="Normal00"/>
        <w:jc w:val="both"/>
        <w:rPr>
          <w:rFonts w:ascii="Verdana" w:hAnsi="Verdana"/>
          <w:sz w:val="22"/>
          <w:szCs w:val="22"/>
        </w:rPr>
      </w:pPr>
      <w:r w:rsidRPr="00314C46">
        <w:rPr>
          <w:rFonts w:ascii="Verdana" w:hAnsi="Verdana"/>
          <w:sz w:val="22"/>
          <w:szCs w:val="22"/>
        </w:rPr>
        <w:t>This section explains key terms and specialist financial language used in the Statement of Accounts</w:t>
      </w:r>
    </w:p>
    <w:p w14:paraId="78583303" w14:textId="77777777" w:rsidR="00E900D0" w:rsidRPr="00314C46" w:rsidRDefault="00E900D0" w:rsidP="00E900D0">
      <w:pPr>
        <w:pStyle w:val="Normal00"/>
        <w:jc w:val="both"/>
        <w:rPr>
          <w:rFonts w:ascii="Verdana" w:hAnsi="Verdana"/>
          <w:sz w:val="22"/>
          <w:szCs w:val="22"/>
        </w:rPr>
      </w:pPr>
    </w:p>
    <w:p w14:paraId="6AA9E11D" w14:textId="77777777" w:rsidR="008C26E5" w:rsidRPr="00F31699" w:rsidRDefault="008C26E5" w:rsidP="008C26E5">
      <w:pPr>
        <w:pStyle w:val="Normal0"/>
        <w:jc w:val="both"/>
        <w:rPr>
          <w:rFonts w:ascii="Verdana" w:hAnsi="Verdana"/>
          <w:b/>
          <w:sz w:val="22"/>
          <w:szCs w:val="22"/>
        </w:rPr>
      </w:pPr>
      <w:r w:rsidRPr="00F31699">
        <w:rPr>
          <w:rFonts w:ascii="Verdana" w:hAnsi="Verdana"/>
          <w:b/>
          <w:sz w:val="22"/>
          <w:szCs w:val="22"/>
        </w:rPr>
        <w:t>ACCRUAL</w:t>
      </w:r>
    </w:p>
    <w:p w14:paraId="122E0C73" w14:textId="77777777" w:rsidR="008C26E5" w:rsidRPr="00F31699" w:rsidRDefault="008C26E5" w:rsidP="008C26E5">
      <w:pPr>
        <w:pStyle w:val="Normal0"/>
        <w:jc w:val="both"/>
        <w:rPr>
          <w:rFonts w:ascii="Verdana" w:hAnsi="Verdana"/>
          <w:sz w:val="22"/>
          <w:szCs w:val="22"/>
        </w:rPr>
      </w:pPr>
      <w:r w:rsidRPr="00F31699">
        <w:rPr>
          <w:rFonts w:ascii="Verdana" w:hAnsi="Verdana"/>
          <w:sz w:val="22"/>
          <w:szCs w:val="22"/>
        </w:rPr>
        <w:t>An accrual is a liability for expenditure relating to goods and services that have been received or supplied but are not invoiced until the following financial year.</w:t>
      </w:r>
    </w:p>
    <w:p w14:paraId="0BA0555F" w14:textId="77777777" w:rsidR="008C26E5" w:rsidRPr="00F31699" w:rsidRDefault="008C26E5" w:rsidP="008C26E5">
      <w:pPr>
        <w:jc w:val="both"/>
        <w:rPr>
          <w:rFonts w:ascii="Verdana" w:hAnsi="Verdana" w:cs="Arial"/>
          <w:sz w:val="22"/>
          <w:szCs w:val="22"/>
        </w:rPr>
      </w:pPr>
    </w:p>
    <w:p w14:paraId="20F7DCD4"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ACCRUED INCOME</w:t>
      </w:r>
    </w:p>
    <w:p w14:paraId="5FDF7726"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Income earned in the financial year which has not yet been received.</w:t>
      </w:r>
    </w:p>
    <w:p w14:paraId="1AEAC73F" w14:textId="77777777" w:rsidR="008C26E5" w:rsidRPr="00F31699" w:rsidRDefault="008C26E5" w:rsidP="008C26E5">
      <w:pPr>
        <w:jc w:val="both"/>
        <w:rPr>
          <w:rFonts w:ascii="Verdana" w:hAnsi="Verdana" w:cs="Arial"/>
          <w:sz w:val="22"/>
          <w:szCs w:val="22"/>
        </w:rPr>
      </w:pPr>
    </w:p>
    <w:p w14:paraId="3BEA7894"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ACTUARIAL GAINS AND LOSSES</w:t>
      </w:r>
      <w:r w:rsidR="00A83F24">
        <w:rPr>
          <w:rFonts w:ascii="Verdana" w:hAnsi="Verdana" w:cs="Arial"/>
          <w:b/>
          <w:sz w:val="22"/>
          <w:szCs w:val="22"/>
        </w:rPr>
        <w:t xml:space="preserve"> (PENSIONS)</w:t>
      </w:r>
    </w:p>
    <w:p w14:paraId="2D20A48D"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For a defined benefit pension scheme, the changes in actuarial deficits or surpluses that arise because, either events have not coincided with the actuarial assumptions made for the last valuation (experience gains and losses), or the actuarial assumptions have changed.</w:t>
      </w:r>
    </w:p>
    <w:p w14:paraId="58558672" w14:textId="77777777" w:rsidR="008C26E5" w:rsidRPr="00F31699" w:rsidRDefault="008C26E5" w:rsidP="008C26E5">
      <w:pPr>
        <w:jc w:val="both"/>
        <w:rPr>
          <w:rFonts w:ascii="Verdana" w:hAnsi="Verdana" w:cs="Arial"/>
          <w:sz w:val="22"/>
          <w:szCs w:val="22"/>
        </w:rPr>
      </w:pPr>
    </w:p>
    <w:p w14:paraId="6413995B"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AMORTISATION</w:t>
      </w:r>
    </w:p>
    <w:p w14:paraId="5EEF1F02"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An annual charge made to the overall PCC budget, reducing the value of an asset to zero, over a period of time.</w:t>
      </w:r>
    </w:p>
    <w:p w14:paraId="16857F99" w14:textId="77777777" w:rsidR="008C26E5" w:rsidRPr="00F31699" w:rsidRDefault="008C26E5" w:rsidP="008C26E5">
      <w:pPr>
        <w:jc w:val="both"/>
        <w:rPr>
          <w:rFonts w:ascii="Verdana" w:hAnsi="Verdana" w:cs="Arial"/>
          <w:sz w:val="22"/>
          <w:szCs w:val="22"/>
        </w:rPr>
      </w:pPr>
    </w:p>
    <w:p w14:paraId="1A7CCB54"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ASSET</w:t>
      </w:r>
    </w:p>
    <w:p w14:paraId="40911894"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 xml:space="preserve">Tangible or intangible resources owned by the force and which have future economic value that can be measured and can be expressed in pounds. </w:t>
      </w:r>
    </w:p>
    <w:p w14:paraId="1968AF0C" w14:textId="77777777" w:rsidR="008C26E5" w:rsidRDefault="008C26E5" w:rsidP="008C26E5">
      <w:pPr>
        <w:jc w:val="both"/>
        <w:rPr>
          <w:rFonts w:ascii="Verdana" w:hAnsi="Verdana" w:cs="Arial"/>
          <w:sz w:val="22"/>
          <w:szCs w:val="22"/>
        </w:rPr>
      </w:pPr>
    </w:p>
    <w:p w14:paraId="60102B8F" w14:textId="77777777" w:rsidR="00E900D0" w:rsidRPr="00F31699" w:rsidRDefault="00E900D0" w:rsidP="00E900D0">
      <w:pPr>
        <w:pStyle w:val="Normal0"/>
        <w:jc w:val="both"/>
        <w:rPr>
          <w:rFonts w:ascii="Verdana" w:hAnsi="Verdana"/>
          <w:b/>
          <w:sz w:val="22"/>
          <w:szCs w:val="22"/>
          <w:lang w:val="en-GB" w:eastAsia="en-GB"/>
        </w:rPr>
      </w:pPr>
      <w:r w:rsidRPr="00F31699">
        <w:rPr>
          <w:rFonts w:ascii="Verdana" w:hAnsi="Verdana"/>
          <w:b/>
          <w:sz w:val="22"/>
          <w:szCs w:val="22"/>
          <w:lang w:val="en-GB" w:eastAsia="en-GB"/>
        </w:rPr>
        <w:t>C</w:t>
      </w:r>
      <w:r>
        <w:rPr>
          <w:rFonts w:ascii="Verdana" w:hAnsi="Verdana"/>
          <w:b/>
          <w:sz w:val="22"/>
          <w:szCs w:val="22"/>
          <w:lang w:val="en-GB" w:eastAsia="en-GB"/>
        </w:rPr>
        <w:t>C</w:t>
      </w:r>
    </w:p>
    <w:p w14:paraId="676402BC" w14:textId="77777777" w:rsidR="00E900D0" w:rsidRDefault="00E900D0" w:rsidP="00E900D0">
      <w:pPr>
        <w:jc w:val="both"/>
        <w:rPr>
          <w:rFonts w:ascii="Verdana" w:hAnsi="Verdana"/>
          <w:sz w:val="22"/>
          <w:szCs w:val="22"/>
          <w:lang w:val="en-GB" w:eastAsia="en-GB"/>
        </w:rPr>
      </w:pPr>
      <w:r>
        <w:rPr>
          <w:rFonts w:ascii="Verdana" w:hAnsi="Verdana"/>
          <w:sz w:val="22"/>
          <w:szCs w:val="22"/>
          <w:lang w:val="en-GB" w:eastAsia="en-GB"/>
        </w:rPr>
        <w:t>Chief Constable</w:t>
      </w:r>
    </w:p>
    <w:p w14:paraId="02C9D4D2" w14:textId="77777777" w:rsidR="00E900D0" w:rsidRPr="00F31699" w:rsidRDefault="00E900D0" w:rsidP="00E900D0">
      <w:pPr>
        <w:jc w:val="both"/>
        <w:rPr>
          <w:rFonts w:ascii="Verdana" w:hAnsi="Verdana" w:cs="Arial"/>
          <w:sz w:val="22"/>
          <w:szCs w:val="22"/>
        </w:rPr>
      </w:pPr>
    </w:p>
    <w:p w14:paraId="13F62CB2"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CIPFA</w:t>
      </w:r>
    </w:p>
    <w:p w14:paraId="661D692D"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 xml:space="preserve">The Chartered Institute of Public Finance and Accountancy is one of the professional accountancy bodies in the UK.  CIPFA specialises in the public services and has responsibility for setting accounting standards for these services.  More details can be found on the CIPFA website: </w:t>
      </w:r>
      <w:hyperlink r:id="rId19" w:history="1">
        <w:r w:rsidRPr="00F31699">
          <w:rPr>
            <w:rStyle w:val="Hyperlink"/>
            <w:rFonts w:ascii="Verdana" w:eastAsia="Times New Roman" w:hAnsi="Verdana" w:cs="Times New Roman"/>
            <w:sz w:val="22"/>
            <w:szCs w:val="22"/>
            <w:lang w:val="en-GB" w:eastAsia="en-GB"/>
          </w:rPr>
          <w:t>www.cipfa.org.uk</w:t>
        </w:r>
      </w:hyperlink>
    </w:p>
    <w:p w14:paraId="1158E341" w14:textId="77777777" w:rsidR="008C26E5" w:rsidRPr="00F31699" w:rsidRDefault="008C26E5" w:rsidP="008C26E5">
      <w:pPr>
        <w:jc w:val="both"/>
        <w:rPr>
          <w:rFonts w:ascii="Verdana" w:hAnsi="Verdana" w:cs="Arial"/>
          <w:sz w:val="22"/>
          <w:szCs w:val="22"/>
        </w:rPr>
      </w:pPr>
    </w:p>
    <w:p w14:paraId="1A12EA6A" w14:textId="77777777" w:rsidR="008C26E5" w:rsidRPr="00F31699" w:rsidRDefault="008C26E5" w:rsidP="008C26E5">
      <w:pPr>
        <w:jc w:val="both"/>
        <w:rPr>
          <w:rFonts w:ascii="Verdana" w:hAnsi="Verdana" w:cs="Arial"/>
          <w:sz w:val="22"/>
          <w:szCs w:val="22"/>
        </w:rPr>
      </w:pPr>
      <w:r w:rsidRPr="00F31699">
        <w:rPr>
          <w:rFonts w:ascii="Verdana" w:hAnsi="Verdana" w:cs="Arial"/>
          <w:b/>
          <w:sz w:val="22"/>
          <w:szCs w:val="22"/>
        </w:rPr>
        <w:t>COMPREHENSIVE INCOME AND EXPENDITURE STATEMENT</w:t>
      </w:r>
    </w:p>
    <w:p w14:paraId="62B7A804"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The main revenue fund of the CC showing accounting costs for the year.</w:t>
      </w:r>
    </w:p>
    <w:p w14:paraId="3AB5948B" w14:textId="77777777" w:rsidR="008C26E5" w:rsidRPr="00F31699" w:rsidRDefault="008C26E5" w:rsidP="008C26E5">
      <w:pPr>
        <w:jc w:val="both"/>
        <w:rPr>
          <w:rFonts w:ascii="Verdana" w:hAnsi="Verdana" w:cs="Arial"/>
          <w:sz w:val="22"/>
          <w:szCs w:val="22"/>
        </w:rPr>
      </w:pPr>
    </w:p>
    <w:p w14:paraId="63107255"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 xml:space="preserve">CODE </w:t>
      </w:r>
    </w:p>
    <w:p w14:paraId="08FF1EEB"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These practices primarily comprise the Code of Practice on Local Authority Accounting in the United Kingdom (The Code) and the Service Reporting Code of Practice, both issued by the Chartered Institute of Public Finance and Accountancy (CIPFA), and supported by International Financial Reporting Standards (</w:t>
      </w:r>
      <w:smartTag w:uri="urn:schemas-microsoft-com:office:smarttags" w:element="stockticker">
        <w:r w:rsidRPr="00F31699">
          <w:rPr>
            <w:rFonts w:ascii="Verdana" w:hAnsi="Verdana"/>
            <w:sz w:val="22"/>
            <w:szCs w:val="22"/>
            <w:lang w:val="en-GB" w:eastAsia="en-GB"/>
          </w:rPr>
          <w:t>IFRS</w:t>
        </w:r>
      </w:smartTag>
      <w:r w:rsidRPr="00F31699">
        <w:rPr>
          <w:rFonts w:ascii="Verdana" w:hAnsi="Verdana"/>
          <w:sz w:val="22"/>
          <w:szCs w:val="22"/>
          <w:lang w:val="en-GB" w:eastAsia="en-GB"/>
        </w:rPr>
        <w:t>) and statutory guidance issued under section 7 of the 2011 Regulations.  More details can be found on the CI</w:t>
      </w:r>
      <w:smartTag w:uri="urn:schemas-microsoft-com:office:smarttags" w:element="stockticker">
        <w:r w:rsidRPr="00F31699">
          <w:rPr>
            <w:rFonts w:ascii="Verdana" w:hAnsi="Verdana"/>
            <w:sz w:val="22"/>
            <w:szCs w:val="22"/>
            <w:lang w:val="en-GB" w:eastAsia="en-GB"/>
          </w:rPr>
          <w:t>PFA</w:t>
        </w:r>
      </w:smartTag>
      <w:r w:rsidRPr="00F31699">
        <w:rPr>
          <w:rFonts w:ascii="Verdana" w:hAnsi="Verdana"/>
          <w:sz w:val="22"/>
          <w:szCs w:val="22"/>
          <w:lang w:val="en-GB" w:eastAsia="en-GB"/>
        </w:rPr>
        <w:t xml:space="preserve"> website: </w:t>
      </w:r>
      <w:hyperlink r:id="rId20" w:history="1">
        <w:r w:rsidRPr="00F31699">
          <w:rPr>
            <w:rStyle w:val="Hyperlink"/>
            <w:rFonts w:ascii="Verdana" w:eastAsia="Times New Roman" w:hAnsi="Verdana" w:cs="Times New Roman"/>
            <w:sz w:val="22"/>
            <w:szCs w:val="22"/>
            <w:lang w:val="en-GB" w:eastAsia="en-GB"/>
          </w:rPr>
          <w:t>www.cipfa.org.uk</w:t>
        </w:r>
      </w:hyperlink>
    </w:p>
    <w:p w14:paraId="3E51D066" w14:textId="77777777" w:rsidR="009F62ED" w:rsidRDefault="009F62ED" w:rsidP="008C26E5">
      <w:pPr>
        <w:jc w:val="both"/>
        <w:rPr>
          <w:rFonts w:ascii="Verdana" w:hAnsi="Verdana" w:cs="Arial"/>
          <w:b/>
          <w:sz w:val="22"/>
          <w:szCs w:val="22"/>
        </w:rPr>
      </w:pPr>
    </w:p>
    <w:p w14:paraId="63B4A747"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CURRENT SERVICE COST (PENSIONS)</w:t>
      </w:r>
    </w:p>
    <w:p w14:paraId="248240E9"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The increase in the present value of a defined benefit scheme’s liabilities expected to arise from employee service in the current period.</w:t>
      </w:r>
    </w:p>
    <w:p w14:paraId="3400F69F" w14:textId="77777777" w:rsidR="008C26E5" w:rsidRPr="00F31699" w:rsidRDefault="008C26E5" w:rsidP="008C26E5">
      <w:pPr>
        <w:jc w:val="both"/>
        <w:rPr>
          <w:rFonts w:ascii="Verdana" w:hAnsi="Verdana" w:cs="Arial"/>
          <w:sz w:val="22"/>
          <w:szCs w:val="22"/>
        </w:rPr>
      </w:pPr>
    </w:p>
    <w:p w14:paraId="240212A5"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CURTAILMENT (PENSIONS)</w:t>
      </w:r>
    </w:p>
    <w:p w14:paraId="7E921875"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For a defined benefit scheme, an event that reduces the expected years of future service of present employees or reduces for a number of employees the accrual of defined benefits for some or all of their future service. Curtailments include:-</w:t>
      </w:r>
    </w:p>
    <w:p w14:paraId="45C13C83" w14:textId="77777777" w:rsidR="008C26E5" w:rsidRPr="00F31699" w:rsidRDefault="008C26E5" w:rsidP="008C26E5">
      <w:pPr>
        <w:jc w:val="both"/>
        <w:rPr>
          <w:rFonts w:ascii="Verdana" w:hAnsi="Verdana" w:cs="Arial"/>
          <w:sz w:val="22"/>
          <w:szCs w:val="22"/>
        </w:rPr>
      </w:pPr>
    </w:p>
    <w:p w14:paraId="213B38BF"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Termination of employees’ services earlier than expected, and</w:t>
      </w:r>
    </w:p>
    <w:p w14:paraId="77FCB1FA" w14:textId="77777777" w:rsidR="008C26E5" w:rsidRPr="00F31699" w:rsidRDefault="008C26E5" w:rsidP="008C26E5">
      <w:pPr>
        <w:ind w:left="720" w:hanging="720"/>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Termination of or amendment to the terms, of a defined benefit scheme so   that some or all future service by current employees will no longer qualify for benefits or will qualify only for reduced benefits.</w:t>
      </w:r>
    </w:p>
    <w:p w14:paraId="3444C5AC" w14:textId="77777777" w:rsidR="008C26E5" w:rsidRDefault="008C26E5" w:rsidP="008C26E5">
      <w:pPr>
        <w:jc w:val="both"/>
        <w:rPr>
          <w:rFonts w:ascii="Verdana" w:hAnsi="Verdana" w:cs="Arial"/>
          <w:b/>
          <w:sz w:val="22"/>
          <w:szCs w:val="22"/>
        </w:rPr>
      </w:pPr>
    </w:p>
    <w:p w14:paraId="4D602915" w14:textId="77777777" w:rsidR="008C26E5" w:rsidRPr="00F31699" w:rsidRDefault="008C26E5" w:rsidP="008C26E5">
      <w:pPr>
        <w:jc w:val="both"/>
        <w:rPr>
          <w:rFonts w:ascii="Verdana" w:hAnsi="Verdana" w:cs="Arial"/>
          <w:sz w:val="22"/>
          <w:szCs w:val="22"/>
        </w:rPr>
      </w:pPr>
      <w:r w:rsidRPr="00F31699">
        <w:rPr>
          <w:rFonts w:ascii="Verdana" w:hAnsi="Verdana" w:cs="Arial"/>
          <w:b/>
          <w:sz w:val="22"/>
          <w:szCs w:val="22"/>
        </w:rPr>
        <w:t>DEFINED BENEFIT SCHEME</w:t>
      </w:r>
    </w:p>
    <w:p w14:paraId="7D14DD0C"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A defined benefit scheme is 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14:paraId="24710E12" w14:textId="77777777" w:rsidR="008C26E5" w:rsidRPr="00F31699" w:rsidRDefault="008C26E5" w:rsidP="008C26E5">
      <w:pPr>
        <w:jc w:val="both"/>
        <w:rPr>
          <w:rFonts w:ascii="Verdana" w:hAnsi="Verdana" w:cs="Arial"/>
          <w:sz w:val="22"/>
          <w:szCs w:val="22"/>
        </w:rPr>
      </w:pPr>
    </w:p>
    <w:p w14:paraId="203593FE"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DEFINED CONTRIBUTION SCHEME</w:t>
      </w:r>
    </w:p>
    <w:p w14:paraId="427B4DBE"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p w14:paraId="0F623D08" w14:textId="77777777" w:rsidR="008C26E5" w:rsidRPr="00F31699" w:rsidRDefault="008C26E5" w:rsidP="008C26E5">
      <w:pPr>
        <w:jc w:val="both"/>
        <w:rPr>
          <w:rFonts w:ascii="Verdana" w:hAnsi="Verdana" w:cs="Arial"/>
          <w:sz w:val="22"/>
          <w:szCs w:val="22"/>
        </w:rPr>
      </w:pPr>
    </w:p>
    <w:p w14:paraId="46CC0890"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EXPECTED RATE OF RETURN ON PENSION ASSETS</w:t>
      </w:r>
    </w:p>
    <w:p w14:paraId="1C71600B"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For a funded defined benefit scheme, the average rate of return, including both income and changes in fair value but net of scheme expenses, expected over the remaining life of the related obligation on the actual assets held by the scheme.</w:t>
      </w:r>
    </w:p>
    <w:p w14:paraId="447E56C5" w14:textId="77777777" w:rsidR="008C26E5" w:rsidRPr="00F31699" w:rsidRDefault="008C26E5" w:rsidP="008C26E5">
      <w:pPr>
        <w:jc w:val="both"/>
        <w:rPr>
          <w:rFonts w:ascii="Verdana" w:hAnsi="Verdana" w:cs="Arial"/>
          <w:sz w:val="22"/>
          <w:szCs w:val="22"/>
        </w:rPr>
      </w:pPr>
    </w:p>
    <w:p w14:paraId="3DD39610"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EXPENSE</w:t>
      </w:r>
    </w:p>
    <w:p w14:paraId="7930BD20"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Money spent or cost incurred by the force to police and protect the county, representing the cost of policing.</w:t>
      </w:r>
    </w:p>
    <w:p w14:paraId="5DD4623E" w14:textId="77777777" w:rsidR="008C26E5" w:rsidRPr="00F31699" w:rsidRDefault="008C26E5" w:rsidP="008C26E5">
      <w:pPr>
        <w:jc w:val="both"/>
        <w:rPr>
          <w:rFonts w:ascii="Verdana" w:hAnsi="Verdana" w:cs="Arial"/>
          <w:sz w:val="22"/>
          <w:szCs w:val="22"/>
        </w:rPr>
      </w:pPr>
    </w:p>
    <w:p w14:paraId="37C9DAD6" w14:textId="77777777"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GOING CONCERN</w:t>
      </w:r>
    </w:p>
    <w:p w14:paraId="55DD1650"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The concept that the organisation will remain in operational existence for the foreseeable future, in particular that the revenue accounts and Balance Sheet assume no intention to curtail significantly the scale of the operations.</w:t>
      </w:r>
    </w:p>
    <w:p w14:paraId="1DADDB59" w14:textId="77777777" w:rsidR="008C26E5" w:rsidRPr="00F31699" w:rsidRDefault="008C26E5" w:rsidP="008C26E5">
      <w:pPr>
        <w:jc w:val="both"/>
        <w:rPr>
          <w:rFonts w:ascii="Verdana" w:hAnsi="Verdana" w:cs="Arial"/>
          <w:sz w:val="22"/>
          <w:szCs w:val="22"/>
        </w:rPr>
      </w:pPr>
    </w:p>
    <w:p w14:paraId="31C4A878" w14:textId="77777777" w:rsidR="00E900D0" w:rsidRDefault="00E900D0" w:rsidP="008C26E5">
      <w:pPr>
        <w:pStyle w:val="Normal0"/>
        <w:jc w:val="both"/>
        <w:rPr>
          <w:rFonts w:ascii="Verdana" w:eastAsia="Times New Roman" w:hAnsi="Verdana"/>
          <w:b/>
          <w:sz w:val="22"/>
          <w:szCs w:val="22"/>
        </w:rPr>
      </w:pPr>
    </w:p>
    <w:p w14:paraId="607FD3D7" w14:textId="77777777" w:rsidR="00E900D0" w:rsidRDefault="00E900D0" w:rsidP="008C26E5">
      <w:pPr>
        <w:pStyle w:val="Normal0"/>
        <w:jc w:val="both"/>
        <w:rPr>
          <w:rFonts w:ascii="Verdana" w:eastAsia="Times New Roman" w:hAnsi="Verdana"/>
          <w:b/>
          <w:sz w:val="22"/>
          <w:szCs w:val="22"/>
        </w:rPr>
      </w:pPr>
    </w:p>
    <w:p w14:paraId="22EECD8D"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b/>
          <w:sz w:val="22"/>
          <w:szCs w:val="22"/>
        </w:rPr>
        <w:t xml:space="preserve">IAS19 </w:t>
      </w:r>
    </w:p>
    <w:p w14:paraId="3E506A06"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International Accounting Standard 19 (IAS19) for Employee Benefits sets out the accounting treatment and disclosure for employee benefits and pensions.</w:t>
      </w:r>
    </w:p>
    <w:p w14:paraId="2E002CD1" w14:textId="77777777" w:rsidR="008C26E5" w:rsidRPr="00F31699" w:rsidRDefault="008C26E5" w:rsidP="008C26E5">
      <w:pPr>
        <w:pStyle w:val="Normal0"/>
        <w:jc w:val="both"/>
        <w:rPr>
          <w:rFonts w:ascii="Verdana" w:eastAsia="Times New Roman" w:hAnsi="Verdana"/>
          <w:sz w:val="22"/>
          <w:szCs w:val="22"/>
        </w:rPr>
      </w:pPr>
    </w:p>
    <w:p w14:paraId="57C41016" w14:textId="77777777"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IFRS</w:t>
      </w:r>
    </w:p>
    <w:p w14:paraId="17AA04BF"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International Financial Reporting Standards</w:t>
      </w:r>
    </w:p>
    <w:p w14:paraId="7084C450" w14:textId="77777777" w:rsidR="008C26E5" w:rsidRPr="00F31699" w:rsidRDefault="008C26E5" w:rsidP="008C26E5">
      <w:pPr>
        <w:pStyle w:val="Normal0"/>
        <w:jc w:val="both"/>
        <w:rPr>
          <w:rFonts w:ascii="Verdana" w:eastAsia="Times New Roman" w:hAnsi="Verdana"/>
          <w:sz w:val="22"/>
          <w:szCs w:val="22"/>
        </w:rPr>
      </w:pPr>
    </w:p>
    <w:p w14:paraId="306C225B"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b/>
          <w:sz w:val="22"/>
          <w:szCs w:val="22"/>
        </w:rPr>
        <w:t xml:space="preserve">INCOME </w:t>
      </w:r>
    </w:p>
    <w:p w14:paraId="3F6EC91C"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 xml:space="preserve">Income is money (or some equivalent value) that the force, usually receives in exchange for providing a police service.  </w:t>
      </w:r>
    </w:p>
    <w:p w14:paraId="18261F06" w14:textId="77777777" w:rsidR="00E900D0" w:rsidRDefault="00E900D0" w:rsidP="008C26E5">
      <w:pPr>
        <w:pStyle w:val="Normal0"/>
        <w:jc w:val="both"/>
        <w:rPr>
          <w:rFonts w:ascii="Verdana" w:eastAsia="Times New Roman" w:hAnsi="Verdana"/>
          <w:b/>
          <w:sz w:val="22"/>
          <w:szCs w:val="22"/>
        </w:rPr>
      </w:pPr>
    </w:p>
    <w:p w14:paraId="0980F995" w14:textId="77777777"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INTEREST COSTS (PENSIONS)</w:t>
      </w:r>
    </w:p>
    <w:p w14:paraId="33F378C9"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For a defined benefit scheme, the expected increase during the period in the present value of the scheme liabilities because the benefits are one period closer to settlement.</w:t>
      </w:r>
    </w:p>
    <w:p w14:paraId="1E6D7E94" w14:textId="77777777" w:rsidR="008C26E5" w:rsidRPr="00F31699" w:rsidRDefault="008C26E5" w:rsidP="008C26E5">
      <w:pPr>
        <w:pStyle w:val="Normal0"/>
        <w:jc w:val="both"/>
        <w:rPr>
          <w:rFonts w:ascii="Verdana" w:eastAsia="Times New Roman" w:hAnsi="Verdana"/>
          <w:b/>
          <w:sz w:val="22"/>
          <w:szCs w:val="22"/>
        </w:rPr>
      </w:pPr>
    </w:p>
    <w:p w14:paraId="699DB926" w14:textId="77777777" w:rsidR="008C26E5" w:rsidRPr="00F31699" w:rsidRDefault="008C26E5" w:rsidP="008C26E5">
      <w:pPr>
        <w:pStyle w:val="Normal0"/>
        <w:jc w:val="both"/>
        <w:rPr>
          <w:rFonts w:ascii="Verdana" w:eastAsia="Times New Roman" w:hAnsi="Verdana"/>
          <w:b/>
          <w:sz w:val="22"/>
          <w:szCs w:val="22"/>
        </w:rPr>
      </w:pPr>
      <w:r w:rsidRPr="00F31699">
        <w:rPr>
          <w:rFonts w:ascii="Verdana" w:eastAsia="Times New Roman" w:hAnsi="Verdana"/>
          <w:b/>
          <w:sz w:val="22"/>
          <w:szCs w:val="22"/>
        </w:rPr>
        <w:t>INVESTMENTS (PENSION FUND)</w:t>
      </w:r>
    </w:p>
    <w:p w14:paraId="62D4C849" w14:textId="77777777" w:rsidR="008C26E5" w:rsidRPr="00F31699" w:rsidRDefault="008C26E5" w:rsidP="008C26E5">
      <w:pPr>
        <w:pStyle w:val="Normal0"/>
        <w:jc w:val="both"/>
        <w:rPr>
          <w:rFonts w:ascii="Verdana" w:eastAsia="Times New Roman" w:hAnsi="Verdana"/>
          <w:sz w:val="22"/>
          <w:szCs w:val="22"/>
        </w:rPr>
      </w:pPr>
      <w:r w:rsidRPr="00F31699">
        <w:rPr>
          <w:rFonts w:ascii="Verdana" w:eastAsia="Times New Roman" w:hAnsi="Verdana"/>
          <w:sz w:val="22"/>
          <w:szCs w:val="22"/>
        </w:rPr>
        <w:t>The investments of the pensions fund will be accounted for in the statement of that fund. However, the PCC Group is also required to disclose, as part of the disclosures relating to retirement benefits, the attributable share of pension scheme assets associated with their underlying obligations.</w:t>
      </w:r>
    </w:p>
    <w:p w14:paraId="18147E6D" w14:textId="77777777" w:rsidR="008C26E5" w:rsidRPr="00F31699" w:rsidRDefault="008C26E5" w:rsidP="008C26E5">
      <w:pPr>
        <w:jc w:val="both"/>
        <w:rPr>
          <w:rFonts w:ascii="Verdana" w:hAnsi="Verdana" w:cs="Arial"/>
          <w:sz w:val="22"/>
          <w:szCs w:val="22"/>
        </w:rPr>
      </w:pPr>
    </w:p>
    <w:p w14:paraId="6542D045"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JOINT AUDIT COMMITTEE (JAC)</w:t>
      </w:r>
    </w:p>
    <w:p w14:paraId="4F3CDB81"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 JAC is an independent Joint External Audit Committee of the Su</w:t>
      </w:r>
      <w:r w:rsidR="003E44C5">
        <w:rPr>
          <w:rFonts w:ascii="Verdana" w:hAnsi="Verdana"/>
          <w:sz w:val="22"/>
          <w:szCs w:val="22"/>
          <w:lang w:val="en-GB" w:eastAsia="en-GB"/>
        </w:rPr>
        <w:t>rrey</w:t>
      </w:r>
      <w:r w:rsidRPr="00F31699">
        <w:rPr>
          <w:rFonts w:ascii="Verdana" w:hAnsi="Verdana"/>
          <w:sz w:val="22"/>
          <w:szCs w:val="22"/>
          <w:lang w:val="en-GB" w:eastAsia="en-GB"/>
        </w:rPr>
        <w:t xml:space="preserve"> Police and Crime Commissioner a</w:t>
      </w:r>
      <w:r w:rsidR="003E44C5">
        <w:rPr>
          <w:rFonts w:ascii="Verdana" w:hAnsi="Verdana"/>
          <w:sz w:val="22"/>
          <w:szCs w:val="22"/>
          <w:lang w:val="en-GB" w:eastAsia="en-GB"/>
        </w:rPr>
        <w:t>nd the Chief Constable of Surrey</w:t>
      </w:r>
      <w:r w:rsidRPr="00F31699">
        <w:rPr>
          <w:rFonts w:ascii="Verdana" w:hAnsi="Verdana"/>
          <w:sz w:val="22"/>
          <w:szCs w:val="22"/>
          <w:lang w:val="en-GB" w:eastAsia="en-GB"/>
        </w:rPr>
        <w:t xml:space="preserve"> providing a key component of corporate governance arrangements for both corporations sole.</w:t>
      </w:r>
    </w:p>
    <w:p w14:paraId="6CBDC80A" w14:textId="77777777" w:rsidR="008C26E5" w:rsidRPr="00F31699" w:rsidRDefault="008C26E5" w:rsidP="008C26E5">
      <w:pPr>
        <w:pStyle w:val="Normal0"/>
        <w:jc w:val="both"/>
        <w:rPr>
          <w:rFonts w:ascii="Verdana" w:hAnsi="Verdana"/>
          <w:sz w:val="22"/>
          <w:szCs w:val="22"/>
          <w:lang w:val="en-GB" w:eastAsia="en-GB"/>
        </w:rPr>
      </w:pPr>
    </w:p>
    <w:p w14:paraId="47B02237"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LAAP</w:t>
      </w:r>
    </w:p>
    <w:p w14:paraId="4B1D781D"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 Local Authority Accounting Panel issues LAAP Bulletins to assist practitioners with the application of the requirements of the Code of Practice on Local Authority Accounting and Prudential Code, and to provide advice on emerging or urgent accounting issues.  Bulletins provide influential guidance that is intended to be best practice, but are not prescriptive and do not have the formal status of the Code or Prudential Code.</w:t>
      </w:r>
    </w:p>
    <w:p w14:paraId="4495CC19" w14:textId="77777777" w:rsidR="008C26E5" w:rsidRPr="00F31699" w:rsidRDefault="008C26E5" w:rsidP="008C26E5">
      <w:pPr>
        <w:jc w:val="both"/>
        <w:rPr>
          <w:rFonts w:ascii="Verdana" w:hAnsi="Verdana" w:cs="Arial"/>
          <w:sz w:val="22"/>
          <w:szCs w:val="22"/>
        </w:rPr>
      </w:pPr>
    </w:p>
    <w:p w14:paraId="41C3B393"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LIABILITY</w:t>
      </w:r>
    </w:p>
    <w:p w14:paraId="0BCCD5BD" w14:textId="77777777" w:rsidR="008C26E5" w:rsidRPr="00F31699" w:rsidRDefault="008C26E5" w:rsidP="008C26E5">
      <w:pPr>
        <w:jc w:val="both"/>
        <w:rPr>
          <w:rFonts w:ascii="Verdana" w:hAnsi="Verdana" w:cs="Arial"/>
          <w:b/>
          <w:sz w:val="22"/>
          <w:szCs w:val="22"/>
        </w:rPr>
      </w:pPr>
      <w:r w:rsidRPr="00F31699">
        <w:rPr>
          <w:rFonts w:ascii="Verdana" w:hAnsi="Verdana" w:cs="Arial"/>
          <w:sz w:val="22"/>
          <w:szCs w:val="22"/>
        </w:rPr>
        <w:t xml:space="preserve">An obligation that legally binds an individual or company to settle a debt. </w:t>
      </w:r>
    </w:p>
    <w:p w14:paraId="4C306423" w14:textId="77777777" w:rsidR="008C26E5" w:rsidRPr="00F31699" w:rsidRDefault="008C26E5" w:rsidP="008C26E5">
      <w:pPr>
        <w:pStyle w:val="Normal0"/>
        <w:jc w:val="both"/>
        <w:rPr>
          <w:rFonts w:ascii="Verdana" w:hAnsi="Verdana"/>
          <w:sz w:val="22"/>
          <w:szCs w:val="22"/>
          <w:lang w:val="en-GB" w:eastAsia="en-GB"/>
        </w:rPr>
      </w:pPr>
    </w:p>
    <w:p w14:paraId="777E808F"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color w:val="000000"/>
          <w:sz w:val="22"/>
          <w:szCs w:val="22"/>
          <w:lang w:val="en-GB" w:eastAsia="en-GB"/>
        </w:rPr>
        <w:t>NET OPERATING EXPENDITURE</w:t>
      </w:r>
    </w:p>
    <w:p w14:paraId="4B16D2BA"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The total net expenditure before financing from Central Government grants or local Council Tax and before the movements shown in the Statement of Movement on the General Fund Balance.</w:t>
      </w:r>
    </w:p>
    <w:p w14:paraId="459F0F3F" w14:textId="77777777" w:rsidR="008C26E5" w:rsidRPr="00F31699" w:rsidRDefault="008C26E5" w:rsidP="008C26E5">
      <w:pPr>
        <w:pStyle w:val="Normal0"/>
        <w:jc w:val="both"/>
        <w:rPr>
          <w:rFonts w:ascii="Verdana" w:hAnsi="Verdana"/>
          <w:sz w:val="22"/>
          <w:szCs w:val="22"/>
          <w:lang w:val="en-GB" w:eastAsia="en-GB"/>
        </w:rPr>
      </w:pPr>
    </w:p>
    <w:p w14:paraId="0218D063"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PAST SERVICE COSTS (PENSIONS)</w:t>
      </w:r>
    </w:p>
    <w:p w14:paraId="0CFF1A0B"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For a defined benefit scheme, the increase in the present value of the scheme liabilities related to employee service in prior periods arising in the current period as a result of the introduction of, or improvement to, retirement benefits.</w:t>
      </w:r>
    </w:p>
    <w:p w14:paraId="3196D4B1" w14:textId="77777777" w:rsidR="008C26E5" w:rsidRPr="00F31699" w:rsidRDefault="008C26E5" w:rsidP="008C26E5">
      <w:pPr>
        <w:jc w:val="both"/>
        <w:rPr>
          <w:rFonts w:ascii="Verdana" w:hAnsi="Verdana" w:cs="Arial"/>
          <w:sz w:val="22"/>
          <w:szCs w:val="22"/>
        </w:rPr>
      </w:pPr>
    </w:p>
    <w:p w14:paraId="026A59B8"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PCC</w:t>
      </w:r>
    </w:p>
    <w:p w14:paraId="4500A0C0"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Police and Crime Commissioner</w:t>
      </w:r>
    </w:p>
    <w:p w14:paraId="4423D116" w14:textId="77777777" w:rsidR="008C26E5" w:rsidRPr="00F31699" w:rsidRDefault="008C26E5" w:rsidP="008C26E5">
      <w:pPr>
        <w:pStyle w:val="Normal0"/>
        <w:jc w:val="both"/>
        <w:rPr>
          <w:rFonts w:ascii="Verdana" w:hAnsi="Verdana"/>
          <w:sz w:val="22"/>
          <w:szCs w:val="22"/>
          <w:lang w:val="en-GB" w:eastAsia="en-GB"/>
        </w:rPr>
      </w:pPr>
    </w:p>
    <w:p w14:paraId="2D191E4C" w14:textId="77777777" w:rsidR="008C26E5" w:rsidRPr="00F31699" w:rsidRDefault="008C26E5" w:rsidP="008C26E5">
      <w:pPr>
        <w:pStyle w:val="Normal0"/>
        <w:jc w:val="both"/>
        <w:rPr>
          <w:rFonts w:ascii="Verdana" w:hAnsi="Verdana"/>
          <w:b/>
          <w:sz w:val="22"/>
          <w:szCs w:val="22"/>
          <w:lang w:val="en-GB" w:eastAsia="en-GB"/>
        </w:rPr>
      </w:pPr>
      <w:r w:rsidRPr="00F31699">
        <w:rPr>
          <w:rFonts w:ascii="Verdana" w:hAnsi="Verdana"/>
          <w:b/>
          <w:sz w:val="22"/>
          <w:szCs w:val="22"/>
          <w:lang w:val="en-GB" w:eastAsia="en-GB"/>
        </w:rPr>
        <w:t>POLICE GRANT</w:t>
      </w:r>
    </w:p>
    <w:p w14:paraId="37AC1344" w14:textId="77777777" w:rsidR="008C26E5" w:rsidRPr="00F31699" w:rsidRDefault="008C26E5" w:rsidP="008C26E5">
      <w:pPr>
        <w:pStyle w:val="Normal0"/>
        <w:jc w:val="both"/>
        <w:rPr>
          <w:rFonts w:ascii="Verdana" w:hAnsi="Verdana"/>
          <w:sz w:val="22"/>
          <w:szCs w:val="22"/>
          <w:lang w:val="en-GB" w:eastAsia="en-GB"/>
        </w:rPr>
      </w:pPr>
      <w:r w:rsidRPr="00F31699">
        <w:rPr>
          <w:rFonts w:ascii="Verdana" w:hAnsi="Verdana"/>
          <w:sz w:val="22"/>
          <w:szCs w:val="22"/>
          <w:lang w:val="en-GB" w:eastAsia="en-GB"/>
        </w:rPr>
        <w:t>A specific grant paid to the PCC by Central Government to support its revenue expenditure.  It is a fixed sum calculated by the Government on an assumed needs basis.</w:t>
      </w:r>
    </w:p>
    <w:p w14:paraId="5F6BE062" w14:textId="77777777" w:rsidR="008C26E5" w:rsidRDefault="008C26E5" w:rsidP="008C26E5">
      <w:pPr>
        <w:jc w:val="both"/>
        <w:rPr>
          <w:rFonts w:ascii="Verdana" w:hAnsi="Verdana" w:cs="Arial"/>
          <w:sz w:val="22"/>
          <w:szCs w:val="22"/>
        </w:rPr>
      </w:pPr>
    </w:p>
    <w:p w14:paraId="488BF0C9" w14:textId="77777777" w:rsidR="00355708" w:rsidRPr="00314C46" w:rsidRDefault="00355708" w:rsidP="00355708">
      <w:pPr>
        <w:pStyle w:val="Normal00"/>
        <w:jc w:val="both"/>
        <w:rPr>
          <w:rFonts w:ascii="Verdana" w:eastAsia="Times New Roman" w:hAnsi="Verdana"/>
          <w:b/>
          <w:sz w:val="22"/>
          <w:szCs w:val="22"/>
        </w:rPr>
      </w:pPr>
      <w:r w:rsidRPr="00314C46">
        <w:rPr>
          <w:rFonts w:ascii="Verdana" w:eastAsia="Times New Roman" w:hAnsi="Verdana"/>
          <w:b/>
          <w:sz w:val="22"/>
          <w:szCs w:val="22"/>
        </w:rPr>
        <w:t>PROJECTED UNIT METHOD (PENSIONS)</w:t>
      </w:r>
    </w:p>
    <w:p w14:paraId="3BA1190D" w14:textId="77777777" w:rsidR="00355708" w:rsidRPr="00355708" w:rsidRDefault="00355708" w:rsidP="00355708">
      <w:pPr>
        <w:pStyle w:val="Normal00"/>
        <w:jc w:val="both"/>
        <w:rPr>
          <w:rFonts w:ascii="Verdana" w:eastAsia="Times New Roman" w:hAnsi="Verdana"/>
          <w:sz w:val="22"/>
          <w:szCs w:val="22"/>
        </w:rPr>
      </w:pPr>
      <w:r w:rsidRPr="00355708">
        <w:rPr>
          <w:rFonts w:ascii="Verdana" w:eastAsia="Times New Roman" w:hAnsi="Verdana"/>
          <w:sz w:val="22"/>
          <w:szCs w:val="22"/>
        </w:rPr>
        <w:t>An accrued benefits valuation method in which the scheme liabilities make allowance for projected earnings. An accrued benefits valuation method is a valuation method in which the scheme liabilities at the valuation date relate to:</w:t>
      </w:r>
    </w:p>
    <w:p w14:paraId="2E4ACCE2" w14:textId="77777777" w:rsidR="00355708" w:rsidRPr="00355708" w:rsidRDefault="00355708" w:rsidP="005E3E6F">
      <w:pPr>
        <w:pStyle w:val="ListParagraph"/>
        <w:numPr>
          <w:ilvl w:val="0"/>
          <w:numId w:val="25"/>
        </w:numPr>
        <w:jc w:val="both"/>
        <w:rPr>
          <w:rFonts w:ascii="Verdana" w:hAnsi="Verdana"/>
          <w:sz w:val="22"/>
        </w:rPr>
      </w:pPr>
      <w:r w:rsidRPr="00355708">
        <w:rPr>
          <w:rFonts w:ascii="Verdana" w:hAnsi="Verdana"/>
          <w:sz w:val="22"/>
        </w:rPr>
        <w:t>The benefits for pensioners and deferred pensioners (i.e. individuals who have ceased to be active members but are entitled to benefits payable at</w:t>
      </w:r>
      <w:r w:rsidR="005E3E6F">
        <w:rPr>
          <w:rFonts w:ascii="Verdana" w:hAnsi="Verdana"/>
          <w:sz w:val="22"/>
        </w:rPr>
        <w:t xml:space="preserve"> a later date) and their depende</w:t>
      </w:r>
      <w:r w:rsidRPr="00355708">
        <w:rPr>
          <w:rFonts w:ascii="Verdana" w:hAnsi="Verdana"/>
          <w:sz w:val="22"/>
        </w:rPr>
        <w:t>nts, allowing where appropriate for future increases; and</w:t>
      </w:r>
    </w:p>
    <w:p w14:paraId="06A2C6AF" w14:textId="77777777" w:rsidR="00355708" w:rsidRPr="00355708" w:rsidRDefault="00355708" w:rsidP="005E3E6F">
      <w:pPr>
        <w:pStyle w:val="ListParagraph"/>
        <w:numPr>
          <w:ilvl w:val="0"/>
          <w:numId w:val="25"/>
        </w:numPr>
        <w:jc w:val="both"/>
        <w:rPr>
          <w:rFonts w:ascii="Verdana" w:hAnsi="Verdana"/>
          <w:sz w:val="22"/>
        </w:rPr>
      </w:pPr>
      <w:r w:rsidRPr="00355708">
        <w:rPr>
          <w:rFonts w:ascii="Verdana" w:hAnsi="Verdana"/>
          <w:sz w:val="22"/>
        </w:rPr>
        <w:t>The accrued benefits for member in service on the valuation date.</w:t>
      </w:r>
    </w:p>
    <w:p w14:paraId="2DACCD1D" w14:textId="77777777" w:rsidR="00355708" w:rsidRPr="00355708" w:rsidRDefault="00355708" w:rsidP="00355708">
      <w:pPr>
        <w:pStyle w:val="Normal00"/>
        <w:jc w:val="both"/>
        <w:rPr>
          <w:rFonts w:ascii="Verdana" w:hAnsi="Verdana"/>
          <w:sz w:val="22"/>
          <w:szCs w:val="22"/>
        </w:rPr>
      </w:pPr>
    </w:p>
    <w:p w14:paraId="5945AB73"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PROVISION</w:t>
      </w:r>
    </w:p>
    <w:p w14:paraId="60CF336A"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An amount set aside to provide for a liability which is likely to be incurred but the exact amount and the date on which it will arise is uncertain.</w:t>
      </w:r>
    </w:p>
    <w:p w14:paraId="07F46525" w14:textId="77777777" w:rsidR="008C26E5" w:rsidRPr="00F31699" w:rsidRDefault="008C26E5" w:rsidP="008C26E5">
      <w:pPr>
        <w:jc w:val="both"/>
        <w:rPr>
          <w:rFonts w:ascii="Verdana" w:hAnsi="Verdana" w:cs="Arial"/>
          <w:sz w:val="22"/>
          <w:szCs w:val="22"/>
        </w:rPr>
      </w:pPr>
    </w:p>
    <w:p w14:paraId="45D8E4AE"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RELATED PARTIES</w:t>
      </w:r>
    </w:p>
    <w:p w14:paraId="2CC9AF71"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Two or more parties are related parties when at any time during the financial period:</w:t>
      </w:r>
    </w:p>
    <w:p w14:paraId="505C5FC9" w14:textId="77777777" w:rsidR="008C26E5" w:rsidRPr="00F31699" w:rsidRDefault="008C26E5" w:rsidP="008C26E5">
      <w:pPr>
        <w:jc w:val="both"/>
        <w:rPr>
          <w:rFonts w:ascii="Verdana" w:hAnsi="Verdana" w:cs="Arial"/>
          <w:sz w:val="22"/>
          <w:szCs w:val="22"/>
        </w:rPr>
      </w:pPr>
    </w:p>
    <w:p w14:paraId="02D384C7" w14:textId="77777777" w:rsidR="008C26E5" w:rsidRPr="00355708" w:rsidRDefault="008C26E5" w:rsidP="005E3E6F">
      <w:pPr>
        <w:pStyle w:val="ListParagraph"/>
        <w:numPr>
          <w:ilvl w:val="0"/>
          <w:numId w:val="26"/>
        </w:numPr>
        <w:jc w:val="both"/>
        <w:rPr>
          <w:rFonts w:ascii="Verdana" w:hAnsi="Verdana" w:cs="Arial"/>
          <w:sz w:val="22"/>
          <w:szCs w:val="22"/>
        </w:rPr>
      </w:pPr>
      <w:r w:rsidRPr="00355708">
        <w:rPr>
          <w:rFonts w:ascii="Verdana" w:hAnsi="Verdana" w:cs="Arial"/>
          <w:sz w:val="22"/>
          <w:szCs w:val="22"/>
        </w:rPr>
        <w:t>one party has direct or indirect control of the other party, or</w:t>
      </w:r>
    </w:p>
    <w:p w14:paraId="07998935" w14:textId="77777777" w:rsidR="008C26E5" w:rsidRPr="00355708" w:rsidRDefault="008C26E5" w:rsidP="005E3E6F">
      <w:pPr>
        <w:pStyle w:val="ListParagraph"/>
        <w:numPr>
          <w:ilvl w:val="0"/>
          <w:numId w:val="26"/>
        </w:numPr>
        <w:jc w:val="both"/>
        <w:rPr>
          <w:rFonts w:ascii="Verdana" w:hAnsi="Verdana" w:cs="Arial"/>
          <w:sz w:val="22"/>
          <w:szCs w:val="22"/>
        </w:rPr>
      </w:pPr>
      <w:r w:rsidRPr="00355708">
        <w:rPr>
          <w:rFonts w:ascii="Verdana" w:hAnsi="Verdana" w:cs="Arial"/>
          <w:sz w:val="22"/>
          <w:szCs w:val="22"/>
        </w:rPr>
        <w:t>the parties are subject to common control from the same source, or</w:t>
      </w:r>
    </w:p>
    <w:p w14:paraId="2831719A" w14:textId="77777777" w:rsidR="008C26E5" w:rsidRPr="00355708" w:rsidRDefault="008C26E5" w:rsidP="005E3E6F">
      <w:pPr>
        <w:pStyle w:val="ListParagraph"/>
        <w:numPr>
          <w:ilvl w:val="0"/>
          <w:numId w:val="26"/>
        </w:numPr>
        <w:jc w:val="both"/>
        <w:rPr>
          <w:rFonts w:ascii="Verdana" w:hAnsi="Verdana" w:cs="Arial"/>
          <w:sz w:val="22"/>
          <w:szCs w:val="22"/>
        </w:rPr>
      </w:pPr>
      <w:r w:rsidRPr="00355708">
        <w:rPr>
          <w:rFonts w:ascii="Verdana" w:hAnsi="Verdana" w:cs="Arial"/>
          <w:sz w:val="22"/>
          <w:szCs w:val="22"/>
        </w:rPr>
        <w:t>one party has influence over the financial and operational policies of the other party to an extent that the other party might be inhibited from pursuing at all times its own separate interests, or</w:t>
      </w:r>
    </w:p>
    <w:p w14:paraId="0BDFE606" w14:textId="77777777" w:rsidR="008C26E5" w:rsidRPr="00355708" w:rsidRDefault="008C26E5" w:rsidP="005E3E6F">
      <w:pPr>
        <w:pStyle w:val="ListParagraph"/>
        <w:numPr>
          <w:ilvl w:val="0"/>
          <w:numId w:val="26"/>
        </w:numPr>
        <w:jc w:val="both"/>
        <w:rPr>
          <w:rFonts w:ascii="Verdana" w:hAnsi="Verdana" w:cs="Arial"/>
          <w:sz w:val="22"/>
          <w:szCs w:val="22"/>
        </w:rPr>
      </w:pPr>
      <w:r w:rsidRPr="00355708">
        <w:rPr>
          <w:rFonts w:ascii="Verdana" w:hAnsi="Verdana" w:cs="Arial"/>
          <w:sz w:val="22"/>
          <w:szCs w:val="22"/>
        </w:rPr>
        <w:t>the parties in entering a transaction, are subject to influence from the same source to such an extent that one of the parties to the transaction has subordinated its own separate interests.</w:t>
      </w:r>
    </w:p>
    <w:p w14:paraId="27882A8B" w14:textId="77777777" w:rsidR="008C26E5" w:rsidRPr="00F31699" w:rsidRDefault="008C26E5" w:rsidP="008C26E5">
      <w:pPr>
        <w:jc w:val="both"/>
        <w:rPr>
          <w:rFonts w:ascii="Verdana" w:hAnsi="Verdana" w:cs="Arial"/>
          <w:sz w:val="22"/>
          <w:szCs w:val="22"/>
        </w:rPr>
      </w:pPr>
    </w:p>
    <w:p w14:paraId="2DD4D4BA"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 xml:space="preserve">RELATED PARTY TRANSACTION </w:t>
      </w:r>
    </w:p>
    <w:p w14:paraId="58F1A492"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 xml:space="preserve">A related party transaction is the transfer of assets or liabilities or the performance of services by, to or for a related party irrespective of whether a charge is made. </w:t>
      </w:r>
    </w:p>
    <w:p w14:paraId="494351B0" w14:textId="77777777" w:rsidR="008C26E5" w:rsidRPr="00F31699" w:rsidRDefault="008C26E5" w:rsidP="008C26E5">
      <w:pPr>
        <w:jc w:val="both"/>
        <w:rPr>
          <w:rFonts w:ascii="Verdana" w:hAnsi="Verdana" w:cs="Arial"/>
          <w:sz w:val="22"/>
          <w:szCs w:val="22"/>
        </w:rPr>
      </w:pPr>
    </w:p>
    <w:p w14:paraId="36A1AA99" w14:textId="77777777" w:rsidR="00355708" w:rsidRDefault="00355708" w:rsidP="008C26E5">
      <w:pPr>
        <w:jc w:val="both"/>
        <w:rPr>
          <w:rFonts w:ascii="Verdana" w:hAnsi="Verdana" w:cs="Arial"/>
          <w:b/>
          <w:sz w:val="22"/>
          <w:szCs w:val="22"/>
        </w:rPr>
      </w:pPr>
    </w:p>
    <w:p w14:paraId="731A8B5E"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RESERVE</w:t>
      </w:r>
    </w:p>
    <w:p w14:paraId="5C61828B"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An amount set aside for a specific purpose and carried forward to meet expenditure in future years. General reserves represent accumulated balances which may be used to support future spending. Earmarked reserves are those reserves set aside to meet specific policy purposes.</w:t>
      </w:r>
    </w:p>
    <w:p w14:paraId="23D9EFD4" w14:textId="77777777" w:rsidR="008C26E5" w:rsidRPr="00F31699" w:rsidRDefault="008C26E5" w:rsidP="008C26E5">
      <w:pPr>
        <w:jc w:val="both"/>
        <w:rPr>
          <w:rFonts w:ascii="Verdana" w:hAnsi="Verdana" w:cs="Arial"/>
          <w:sz w:val="22"/>
          <w:szCs w:val="22"/>
        </w:rPr>
      </w:pPr>
    </w:p>
    <w:p w14:paraId="7AD26FFA" w14:textId="77777777" w:rsidR="008C26E5" w:rsidRPr="00F31699" w:rsidRDefault="008C26E5" w:rsidP="008C26E5">
      <w:pPr>
        <w:pStyle w:val="Normal0"/>
        <w:rPr>
          <w:rFonts w:ascii="Verdana" w:hAnsi="Verdana"/>
          <w:b/>
          <w:sz w:val="22"/>
          <w:szCs w:val="22"/>
          <w:lang w:val="en-GB" w:eastAsia="en-GB"/>
        </w:rPr>
      </w:pPr>
      <w:r w:rsidRPr="00F31699">
        <w:rPr>
          <w:rFonts w:ascii="Verdana" w:hAnsi="Verdana"/>
          <w:b/>
          <w:color w:val="000000"/>
          <w:sz w:val="22"/>
          <w:szCs w:val="22"/>
          <w:lang w:val="en-GB" w:eastAsia="en-GB"/>
        </w:rPr>
        <w:t>REVENUE BUDGET</w:t>
      </w:r>
    </w:p>
    <w:p w14:paraId="761ED376" w14:textId="77777777" w:rsidR="008C26E5" w:rsidRPr="00F31699" w:rsidRDefault="008C26E5" w:rsidP="008C26E5">
      <w:pPr>
        <w:pStyle w:val="Normal0"/>
        <w:rPr>
          <w:rFonts w:ascii="Verdana" w:hAnsi="Verdana"/>
          <w:sz w:val="22"/>
          <w:szCs w:val="22"/>
          <w:lang w:val="en-GB" w:eastAsia="en-GB"/>
        </w:rPr>
      </w:pPr>
      <w:r w:rsidRPr="00F31699">
        <w:rPr>
          <w:rFonts w:ascii="Verdana" w:hAnsi="Verdana" w:cs="ArialMT"/>
          <w:color w:val="000000"/>
          <w:sz w:val="22"/>
          <w:szCs w:val="22"/>
          <w:lang w:val="en-GB" w:eastAsia="en-GB"/>
        </w:rPr>
        <w:t>The Revenue Budget estimates annual income and expenditure requirements, and sets out the financial implications of the PCC Group policies and the basis of the annual precept to be levied on collection funds.</w:t>
      </w:r>
    </w:p>
    <w:p w14:paraId="17A349A2" w14:textId="77777777" w:rsidR="008C26E5" w:rsidRPr="00F31699" w:rsidRDefault="008C26E5" w:rsidP="008C26E5">
      <w:pPr>
        <w:jc w:val="both"/>
        <w:rPr>
          <w:rFonts w:ascii="Verdana" w:hAnsi="Verdana" w:cs="Arial"/>
          <w:sz w:val="22"/>
          <w:szCs w:val="22"/>
        </w:rPr>
      </w:pPr>
    </w:p>
    <w:p w14:paraId="6E4C97C0" w14:textId="77777777" w:rsidR="008C26E5" w:rsidRPr="00F31699" w:rsidRDefault="008C26E5" w:rsidP="008C26E5">
      <w:pPr>
        <w:pStyle w:val="Normal0"/>
        <w:rPr>
          <w:rFonts w:ascii="Verdana" w:hAnsi="Verdana"/>
          <w:b/>
          <w:sz w:val="22"/>
          <w:szCs w:val="22"/>
          <w:lang w:val="en-GB" w:eastAsia="en-GB"/>
        </w:rPr>
      </w:pPr>
      <w:r w:rsidRPr="00F31699">
        <w:rPr>
          <w:rFonts w:ascii="Verdana" w:hAnsi="Verdana"/>
          <w:b/>
          <w:sz w:val="22"/>
          <w:szCs w:val="22"/>
          <w:lang w:val="en-GB" w:eastAsia="en-GB"/>
        </w:rPr>
        <w:t>SCHEME LIABILITIES (PENSIONS)</w:t>
      </w:r>
    </w:p>
    <w:p w14:paraId="0B66A108" w14:textId="77777777" w:rsidR="008C26E5" w:rsidRPr="00F31699" w:rsidRDefault="008C26E5" w:rsidP="008C26E5">
      <w:pPr>
        <w:jc w:val="both"/>
        <w:rPr>
          <w:rFonts w:ascii="Verdana" w:hAnsi="Verdana" w:cs="Arial"/>
          <w:sz w:val="22"/>
          <w:szCs w:val="22"/>
        </w:rPr>
      </w:pPr>
      <w:r w:rsidRPr="00F31699">
        <w:rPr>
          <w:rFonts w:ascii="Verdana" w:hAnsi="Verdana"/>
          <w:sz w:val="22"/>
          <w:szCs w:val="22"/>
        </w:rPr>
        <w:t>The liabilities of a defined benefit scheme for outgoings due after the valuation date. Scheme liabilities measured using the projected unit method reflects the benefits that the employer is committed to provide for service up to the valuation date.</w:t>
      </w:r>
    </w:p>
    <w:p w14:paraId="7B3C622E" w14:textId="77777777" w:rsidR="008C26E5" w:rsidRPr="00F31699" w:rsidRDefault="008C26E5" w:rsidP="008C26E5">
      <w:pPr>
        <w:jc w:val="both"/>
        <w:rPr>
          <w:rFonts w:ascii="Verdana" w:hAnsi="Verdana" w:cs="Arial"/>
          <w:sz w:val="22"/>
          <w:szCs w:val="22"/>
        </w:rPr>
      </w:pPr>
    </w:p>
    <w:p w14:paraId="568F7A57" w14:textId="77777777" w:rsidR="008C26E5" w:rsidRPr="00F31699" w:rsidRDefault="008C26E5" w:rsidP="008C26E5">
      <w:pPr>
        <w:jc w:val="both"/>
        <w:rPr>
          <w:rFonts w:ascii="Verdana" w:hAnsi="Verdana" w:cs="Arial"/>
          <w:b/>
          <w:sz w:val="22"/>
          <w:szCs w:val="22"/>
        </w:rPr>
      </w:pPr>
      <w:r w:rsidRPr="00F31699">
        <w:rPr>
          <w:rFonts w:ascii="Verdana" w:hAnsi="Verdana" w:cs="Arial"/>
          <w:b/>
          <w:sz w:val="22"/>
          <w:szCs w:val="22"/>
        </w:rPr>
        <w:t>SETTLEMENT (PENSIONS)</w:t>
      </w:r>
    </w:p>
    <w:p w14:paraId="595550B8" w14:textId="77777777" w:rsidR="00355708" w:rsidRDefault="008C26E5" w:rsidP="008C26E5">
      <w:pPr>
        <w:jc w:val="both"/>
        <w:rPr>
          <w:rFonts w:ascii="Verdana" w:hAnsi="Verdana" w:cs="Arial"/>
          <w:sz w:val="22"/>
          <w:szCs w:val="22"/>
        </w:rPr>
      </w:pPr>
      <w:r w:rsidRPr="00F31699">
        <w:rPr>
          <w:rFonts w:ascii="Verdana" w:hAnsi="Verdana" w:cs="Arial"/>
          <w:sz w:val="22"/>
          <w:szCs w:val="22"/>
        </w:rPr>
        <w:t xml:space="preserve">An irrevocable action that relieves the employer (or the defined benefit scheme) of the primary responsibility for a pension obligation and eliminates significant risks relating to the obligation and the assets used to effect the settlement. </w:t>
      </w:r>
    </w:p>
    <w:p w14:paraId="39067903"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Settlements include:-</w:t>
      </w:r>
    </w:p>
    <w:p w14:paraId="485D3D95" w14:textId="77777777" w:rsidR="008C26E5" w:rsidRPr="00F31699" w:rsidRDefault="008C26E5" w:rsidP="008C26E5">
      <w:pPr>
        <w:ind w:left="720" w:hanging="720"/>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a lump sum cash payment to scheme members in exchange for their rights to receive specified pension benefits</w:t>
      </w:r>
    </w:p>
    <w:p w14:paraId="3C1060A2" w14:textId="77777777" w:rsidR="008C26E5" w:rsidRPr="00F31699" w:rsidRDefault="008C26E5" w:rsidP="008C26E5">
      <w:pPr>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purchase of an irrevocable annuity contract sufficient to cover vested benefits, and</w:t>
      </w:r>
    </w:p>
    <w:p w14:paraId="5B580915" w14:textId="77777777" w:rsidR="008C26E5" w:rsidRPr="00F31699" w:rsidRDefault="008C26E5" w:rsidP="008C26E5">
      <w:pPr>
        <w:ind w:left="720" w:hanging="720"/>
        <w:jc w:val="both"/>
        <w:rPr>
          <w:rFonts w:ascii="Verdana" w:hAnsi="Verdana" w:cs="Arial"/>
          <w:sz w:val="22"/>
          <w:szCs w:val="22"/>
        </w:rPr>
      </w:pPr>
      <w:r w:rsidRPr="00F31699">
        <w:rPr>
          <w:rFonts w:ascii="Verdana" w:hAnsi="Verdana" w:cs="Arial"/>
          <w:sz w:val="22"/>
          <w:szCs w:val="22"/>
        </w:rPr>
        <w:t>•</w:t>
      </w:r>
      <w:r w:rsidRPr="00F31699">
        <w:rPr>
          <w:rFonts w:ascii="Verdana" w:hAnsi="Verdana" w:cs="Arial"/>
          <w:sz w:val="22"/>
          <w:szCs w:val="22"/>
        </w:rPr>
        <w:tab/>
        <w:t>transfer of scheme assets and liabilities relating to a group of employees leaving the scheme.</w:t>
      </w:r>
    </w:p>
    <w:p w14:paraId="5B61497D" w14:textId="77777777" w:rsidR="008C26E5" w:rsidRPr="00F31699" w:rsidRDefault="008C26E5" w:rsidP="008C26E5">
      <w:pPr>
        <w:ind w:left="720" w:hanging="720"/>
        <w:jc w:val="both"/>
        <w:rPr>
          <w:rFonts w:ascii="Verdana" w:hAnsi="Verdana" w:cs="Arial"/>
          <w:sz w:val="22"/>
          <w:szCs w:val="22"/>
        </w:rPr>
      </w:pPr>
    </w:p>
    <w:p w14:paraId="3E4D189A" w14:textId="77777777" w:rsidR="008C26E5" w:rsidRPr="00F31699" w:rsidRDefault="008C26E5" w:rsidP="008C26E5">
      <w:pPr>
        <w:pStyle w:val="Normal0"/>
        <w:rPr>
          <w:rFonts w:ascii="Verdana" w:hAnsi="Verdana"/>
          <w:b/>
          <w:sz w:val="22"/>
          <w:szCs w:val="22"/>
          <w:lang w:val="en-GB" w:eastAsia="en-GB"/>
        </w:rPr>
      </w:pPr>
      <w:r w:rsidRPr="00F31699">
        <w:rPr>
          <w:rFonts w:ascii="Verdana" w:hAnsi="Verdana"/>
          <w:b/>
          <w:color w:val="000000"/>
          <w:sz w:val="22"/>
          <w:szCs w:val="22"/>
          <w:lang w:val="en-GB" w:eastAsia="en-GB"/>
        </w:rPr>
        <w:t>TOTAL NET EXPENDITURE</w:t>
      </w:r>
    </w:p>
    <w:p w14:paraId="2EB59DC5" w14:textId="77777777" w:rsidR="008C26E5" w:rsidRPr="00D5396C" w:rsidRDefault="008C26E5" w:rsidP="008C26E5">
      <w:pPr>
        <w:pStyle w:val="Normal0"/>
        <w:rPr>
          <w:rFonts w:ascii="Verdana" w:hAnsi="Verdana"/>
          <w:sz w:val="22"/>
          <w:szCs w:val="22"/>
          <w:lang w:val="en-GB" w:eastAsia="en-GB"/>
        </w:rPr>
      </w:pPr>
      <w:r w:rsidRPr="00F31699">
        <w:rPr>
          <w:rFonts w:ascii="Verdana" w:hAnsi="Verdana" w:cs="ArialMT"/>
          <w:color w:val="000000"/>
          <w:sz w:val="22"/>
          <w:szCs w:val="22"/>
          <w:lang w:val="en-GB" w:eastAsia="en-GB"/>
        </w:rPr>
        <w:t>Total net spending requirement after deducting specific grants and other local income is financed by Central Government grants and local Council Tax</w:t>
      </w:r>
      <w:r w:rsidRPr="00FA3F11">
        <w:rPr>
          <w:rFonts w:ascii="Verdana" w:hAnsi="Verdana" w:cs="Arial"/>
          <w:sz w:val="22"/>
          <w:szCs w:val="22"/>
        </w:rPr>
        <w:t>.</w:t>
      </w:r>
    </w:p>
    <w:p w14:paraId="08724F88" w14:textId="77777777" w:rsidR="008C26E5" w:rsidRDefault="008C26E5" w:rsidP="00F227D9">
      <w:pPr>
        <w:pStyle w:val="Normal0"/>
        <w:jc w:val="both"/>
        <w:rPr>
          <w:rFonts w:ascii="Verdana" w:eastAsia="Times New Roman" w:hAnsi="Verdana" w:cs="Arial"/>
          <w:sz w:val="22"/>
          <w:szCs w:val="22"/>
          <w:lang w:val="en-GB" w:eastAsia="en-GB"/>
        </w:rPr>
      </w:pPr>
    </w:p>
    <w:p w14:paraId="2461DA64" w14:textId="77777777" w:rsidR="008C26E5" w:rsidRDefault="008C26E5" w:rsidP="00F227D9">
      <w:pPr>
        <w:pStyle w:val="Normal0"/>
        <w:jc w:val="both"/>
        <w:rPr>
          <w:rFonts w:ascii="Verdana" w:eastAsia="Times New Roman" w:hAnsi="Verdana" w:cs="Arial"/>
          <w:sz w:val="22"/>
          <w:szCs w:val="22"/>
          <w:lang w:val="en-GB" w:eastAsia="en-GB"/>
        </w:rPr>
      </w:pPr>
    </w:p>
    <w:p w14:paraId="5903FAD4" w14:textId="77777777" w:rsidR="008C26E5" w:rsidRDefault="008C26E5" w:rsidP="00F227D9">
      <w:pPr>
        <w:pStyle w:val="Normal0"/>
        <w:jc w:val="both"/>
        <w:rPr>
          <w:rFonts w:ascii="Verdana" w:eastAsia="Times New Roman" w:hAnsi="Verdana" w:cs="Arial"/>
          <w:sz w:val="22"/>
          <w:szCs w:val="22"/>
          <w:lang w:val="en-GB" w:eastAsia="en-GB"/>
        </w:rPr>
      </w:pPr>
    </w:p>
    <w:p w14:paraId="08BA8251" w14:textId="77777777" w:rsidR="008C26E5" w:rsidRDefault="008C26E5" w:rsidP="00F227D9">
      <w:pPr>
        <w:pStyle w:val="Normal0"/>
        <w:jc w:val="both"/>
        <w:rPr>
          <w:rFonts w:ascii="Verdana" w:eastAsia="Times New Roman" w:hAnsi="Verdana" w:cs="Arial"/>
          <w:sz w:val="22"/>
          <w:szCs w:val="22"/>
          <w:lang w:val="en-GB" w:eastAsia="en-GB"/>
        </w:rPr>
      </w:pPr>
    </w:p>
    <w:p w14:paraId="76261518" w14:textId="77777777" w:rsidR="008C26E5" w:rsidRDefault="008C26E5" w:rsidP="00F227D9">
      <w:pPr>
        <w:pStyle w:val="Normal0"/>
        <w:jc w:val="both"/>
        <w:rPr>
          <w:rFonts w:ascii="Verdana" w:eastAsia="Times New Roman" w:hAnsi="Verdana" w:cs="Arial"/>
          <w:sz w:val="22"/>
          <w:szCs w:val="22"/>
          <w:lang w:val="en-GB" w:eastAsia="en-GB"/>
        </w:rPr>
      </w:pPr>
    </w:p>
    <w:p w14:paraId="2E043859" w14:textId="77777777" w:rsidR="008C26E5" w:rsidRDefault="008C26E5" w:rsidP="00F227D9">
      <w:pPr>
        <w:pStyle w:val="Normal0"/>
        <w:jc w:val="both"/>
        <w:rPr>
          <w:rFonts w:ascii="Verdana" w:eastAsia="Times New Roman" w:hAnsi="Verdana" w:cs="Arial"/>
          <w:sz w:val="22"/>
          <w:szCs w:val="22"/>
          <w:lang w:val="en-GB" w:eastAsia="en-GB"/>
        </w:rPr>
      </w:pPr>
    </w:p>
    <w:p w14:paraId="72F28745" w14:textId="77777777" w:rsidR="008C26E5" w:rsidRDefault="008C26E5" w:rsidP="00F227D9">
      <w:pPr>
        <w:pStyle w:val="Normal0"/>
        <w:jc w:val="both"/>
        <w:rPr>
          <w:rFonts w:ascii="Verdana" w:eastAsia="Times New Roman" w:hAnsi="Verdana" w:cs="Arial"/>
          <w:sz w:val="22"/>
          <w:szCs w:val="22"/>
          <w:lang w:val="en-GB" w:eastAsia="en-GB"/>
        </w:rPr>
      </w:pPr>
    </w:p>
    <w:p w14:paraId="5D3C5335" w14:textId="77777777" w:rsidR="008C26E5" w:rsidRDefault="008C26E5" w:rsidP="00F227D9">
      <w:pPr>
        <w:pStyle w:val="Normal0"/>
        <w:jc w:val="both"/>
        <w:rPr>
          <w:rFonts w:ascii="Verdana" w:eastAsia="Times New Roman" w:hAnsi="Verdana" w:cs="Arial"/>
          <w:sz w:val="22"/>
          <w:szCs w:val="22"/>
          <w:lang w:val="en-GB" w:eastAsia="en-GB"/>
        </w:rPr>
      </w:pPr>
    </w:p>
    <w:p w14:paraId="6E50FCE1" w14:textId="77777777" w:rsidR="008C26E5" w:rsidRDefault="008C26E5" w:rsidP="00F227D9">
      <w:pPr>
        <w:pStyle w:val="Normal0"/>
        <w:jc w:val="both"/>
        <w:rPr>
          <w:rFonts w:ascii="Verdana" w:eastAsia="Times New Roman" w:hAnsi="Verdana" w:cs="Arial"/>
          <w:sz w:val="22"/>
          <w:szCs w:val="22"/>
          <w:lang w:val="en-GB" w:eastAsia="en-GB"/>
        </w:rPr>
      </w:pPr>
    </w:p>
    <w:p w14:paraId="340241C5" w14:textId="77777777" w:rsidR="008C26E5" w:rsidRPr="00FA3F11" w:rsidRDefault="008C26E5" w:rsidP="00F227D9">
      <w:pPr>
        <w:pStyle w:val="Normal0"/>
        <w:jc w:val="both"/>
        <w:rPr>
          <w:rFonts w:ascii="Verdana" w:eastAsia="Times New Roman" w:hAnsi="Verdana" w:cs="Arial"/>
          <w:sz w:val="22"/>
          <w:szCs w:val="22"/>
          <w:lang w:val="en-GB" w:eastAsia="en-GB"/>
        </w:rPr>
      </w:pPr>
    </w:p>
    <w:sectPr w:rsidR="008C26E5" w:rsidRPr="00FA3F11" w:rsidSect="00B54A0C">
      <w:type w:val="nextColumn"/>
      <w:pgSz w:w="16840" w:h="11900" w:orient="landscape" w:code="9"/>
      <w:pgMar w:top="709" w:right="720" w:bottom="567"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5E07B" w14:textId="77777777" w:rsidR="00D50C5D" w:rsidRDefault="00D50C5D">
      <w:r>
        <w:separator/>
      </w:r>
    </w:p>
  </w:endnote>
  <w:endnote w:type="continuationSeparator" w:id="0">
    <w:p w14:paraId="2D66EA37" w14:textId="77777777" w:rsidR="00D50C5D" w:rsidRDefault="00D5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3CB5" w14:textId="77777777" w:rsidR="00D50C5D" w:rsidRDefault="00D50C5D">
    <w:pPr>
      <w:pStyle w:val="Footer"/>
      <w:jc w:val="center"/>
    </w:pPr>
  </w:p>
  <w:p w14:paraId="2037B9E8" w14:textId="77777777" w:rsidR="00D50C5D" w:rsidRDefault="00D50C5D" w:rsidP="00F227D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47922"/>
      <w:docPartObj>
        <w:docPartGallery w:val="Page Numbers (Bottom of Page)"/>
        <w:docPartUnique/>
      </w:docPartObj>
    </w:sdtPr>
    <w:sdtEndPr>
      <w:rPr>
        <w:noProof/>
      </w:rPr>
    </w:sdtEndPr>
    <w:sdtContent>
      <w:p w14:paraId="7FFF6245" w14:textId="4FCCF7D7" w:rsidR="00D50C5D" w:rsidRDefault="00D50C5D">
        <w:pPr>
          <w:pStyle w:val="Footer"/>
          <w:jc w:val="center"/>
        </w:pPr>
        <w:r>
          <w:fldChar w:fldCharType="begin"/>
        </w:r>
        <w:r>
          <w:instrText xml:space="preserve"> PAGE   \* MERGEFORMAT </w:instrText>
        </w:r>
        <w:r>
          <w:fldChar w:fldCharType="separate"/>
        </w:r>
        <w:r w:rsidR="0073748E">
          <w:rPr>
            <w:noProof/>
          </w:rPr>
          <w:t>1</w:t>
        </w:r>
        <w:r>
          <w:rPr>
            <w:noProof/>
          </w:rPr>
          <w:fldChar w:fldCharType="end"/>
        </w:r>
      </w:p>
    </w:sdtContent>
  </w:sdt>
  <w:p w14:paraId="0369F7F1" w14:textId="77777777" w:rsidR="00D50C5D" w:rsidRDefault="00D50C5D" w:rsidP="00F227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9588" w14:textId="77777777" w:rsidR="00D50C5D" w:rsidRDefault="00D50C5D">
      <w:r>
        <w:separator/>
      </w:r>
    </w:p>
  </w:footnote>
  <w:footnote w:type="continuationSeparator" w:id="0">
    <w:p w14:paraId="0F56302C" w14:textId="77777777" w:rsidR="00D50C5D" w:rsidRDefault="00D50C5D">
      <w:r>
        <w:continuationSeparator/>
      </w:r>
    </w:p>
  </w:footnote>
  <w:footnote w:id="1">
    <w:p w14:paraId="6923BBFE" w14:textId="77777777" w:rsidR="00D50C5D" w:rsidRDefault="00D50C5D" w:rsidP="00D835CC">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w:t>
      </w:r>
      <w:hyperlink r:id="rId1" w:history="1">
        <w:r w:rsidRPr="00345718">
          <w:rPr>
            <w:rStyle w:val="Hyperlink"/>
            <w:rFonts w:ascii="Calibri" w:hAnsi="Calibri"/>
            <w:sz w:val="18"/>
            <w:szCs w:val="18"/>
          </w:rPr>
          <w:t>Code of Corporate Governance</w:t>
        </w:r>
      </w:hyperlink>
      <w:r>
        <w:rPr>
          <w:rFonts w:ascii="Calibri" w:hAnsi="Calibri"/>
          <w:sz w:val="18"/>
          <w:szCs w:val="18"/>
        </w:rPr>
        <w:t>)</w:t>
      </w:r>
      <w:r w:rsidRPr="0000323E">
        <w:t xml:space="preserve"> </w:t>
      </w:r>
      <w:hyperlink r:id="rId2" w:history="1">
        <w:r w:rsidRPr="00ED0617">
          <w:rPr>
            <w:rStyle w:val="Hyperlink"/>
            <w:rFonts w:ascii="Calibri" w:hAnsi="Calibri"/>
            <w:sz w:val="18"/>
            <w:szCs w:val="18"/>
          </w:rPr>
          <w:t>https://www.</w:t>
        </w:r>
        <w:r>
          <w:rPr>
            <w:rStyle w:val="Hyperlink"/>
            <w:rFonts w:ascii="Calibri" w:hAnsi="Calibri"/>
            <w:sz w:val="18"/>
            <w:szCs w:val="18"/>
          </w:rPr>
          <w:t>Surrey</w:t>
        </w:r>
        <w:r w:rsidRPr="00ED0617">
          <w:rPr>
            <w:rStyle w:val="Hyperlink"/>
            <w:rFonts w:ascii="Calibri" w:hAnsi="Calibri"/>
            <w:sz w:val="18"/>
            <w:szCs w:val="18"/>
          </w:rPr>
          <w:t>-pcc.gov.uk/media/4781/code-of-corporate-governance-v9-2020.pdf</w:t>
        </w:r>
      </w:hyperlink>
    </w:p>
    <w:p w14:paraId="1AEFEAF3" w14:textId="77777777" w:rsidR="00D50C5D" w:rsidRPr="00E45E81" w:rsidRDefault="00D50C5D" w:rsidP="00D835CC">
      <w:pPr>
        <w:pStyle w:val="FootnoteText"/>
        <w:rPr>
          <w:rFonts w:ascii="Calibri" w:hAnsi="Calibri"/>
          <w:color w:val="FF0000"/>
          <w:sz w:val="18"/>
          <w:szCs w:val="18"/>
          <w:u w:val="single"/>
        </w:rPr>
      </w:pPr>
    </w:p>
  </w:footnote>
  <w:footnote w:id="2">
    <w:p w14:paraId="0115206E" w14:textId="77777777" w:rsidR="00D50C5D" w:rsidRPr="00345718" w:rsidRDefault="00D50C5D" w:rsidP="00D835CC">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iCs/>
          <w:sz w:val="18"/>
          <w:szCs w:val="18"/>
        </w:rPr>
        <w:t xml:space="preserve">  “Delivering Good</w:t>
      </w:r>
      <w:r w:rsidRPr="00345718">
        <w:rPr>
          <w:rFonts w:ascii="Calibri" w:hAnsi="Calibri"/>
          <w:sz w:val="18"/>
          <w:szCs w:val="18"/>
        </w:rPr>
        <w:t xml:space="preserve"> Go</w:t>
      </w:r>
      <w:r w:rsidRPr="00345718">
        <w:rPr>
          <w:rFonts w:ascii="Calibri" w:hAnsi="Calibri"/>
          <w:iCs/>
          <w:sz w:val="18"/>
          <w:szCs w:val="18"/>
        </w:rPr>
        <w:t>vernance in Local Government”</w:t>
      </w:r>
      <w:r w:rsidRPr="00345718">
        <w:rPr>
          <w:rFonts w:ascii="Calibri" w:hAnsi="Calibri"/>
          <w:sz w:val="18"/>
          <w:szCs w:val="18"/>
        </w:rPr>
        <w:t xml:space="preserve"> </w:t>
      </w:r>
      <w:hyperlink r:id="rId3" w:history="1">
        <w:r w:rsidRPr="00345718">
          <w:rPr>
            <w:rStyle w:val="Hyperlink"/>
            <w:rFonts w:ascii="Calibri" w:hAnsi="Calibri"/>
            <w:sz w:val="18"/>
            <w:szCs w:val="18"/>
          </w:rPr>
          <w:t>http://www.cipfa.org/policy-and-guidance/publications/d/delivering-good-governance-in-local-government-framework-2016-edition</w:t>
        </w:r>
      </w:hyperlink>
    </w:p>
  </w:footnote>
  <w:footnote w:id="3">
    <w:p w14:paraId="2289DFA0" w14:textId="77777777" w:rsidR="00D50C5D" w:rsidRPr="00345718" w:rsidRDefault="00D50C5D" w:rsidP="00D835CC">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w:t>
      </w:r>
      <w:r w:rsidRPr="00345718">
        <w:rPr>
          <w:rFonts w:ascii="Calibri" w:hAnsi="Calibri"/>
          <w:iCs/>
          <w:sz w:val="18"/>
          <w:szCs w:val="18"/>
        </w:rPr>
        <w:t>Delivering Good</w:t>
      </w:r>
      <w:r w:rsidRPr="00345718">
        <w:rPr>
          <w:rFonts w:ascii="Calibri" w:hAnsi="Calibri"/>
          <w:sz w:val="18"/>
          <w:szCs w:val="18"/>
        </w:rPr>
        <w:t xml:space="preserve"> Go</w:t>
      </w:r>
      <w:r w:rsidRPr="00345718">
        <w:rPr>
          <w:rFonts w:ascii="Calibri" w:hAnsi="Calibri"/>
          <w:iCs/>
          <w:sz w:val="18"/>
          <w:szCs w:val="18"/>
        </w:rPr>
        <w:t>vernance in Local Government”</w:t>
      </w:r>
      <w:r w:rsidRPr="00345718">
        <w:rPr>
          <w:rFonts w:ascii="Calibri" w:hAnsi="Calibri"/>
          <w:sz w:val="18"/>
          <w:szCs w:val="18"/>
        </w:rPr>
        <w:t xml:space="preserve"> and the guidance notes for policing bodies (revised 2016) </w:t>
      </w:r>
      <w:hyperlink r:id="rId4" w:history="1">
        <w:r w:rsidRPr="00345718">
          <w:rPr>
            <w:rStyle w:val="Hyperlink"/>
            <w:rFonts w:ascii="Calibri" w:hAnsi="Calibri"/>
            <w:sz w:val="18"/>
            <w:szCs w:val="18"/>
          </w:rPr>
          <w:t>http://www.cipfa.org/policy-and-guidance/publications/d/delivering-good-governance-guidance-notes-for-policing-bodies-in-england-and-wales-2016-edition</w:t>
        </w:r>
      </w:hyperlink>
    </w:p>
  </w:footnote>
  <w:footnote w:id="4">
    <w:p w14:paraId="1E54B16E" w14:textId="77777777" w:rsidR="00D50C5D" w:rsidRPr="000803AE" w:rsidRDefault="00D50C5D" w:rsidP="00D835CC">
      <w:pPr>
        <w:pStyle w:val="FootnoteText"/>
        <w:ind w:left="284" w:hanging="284"/>
        <w:rPr>
          <w:rFonts w:ascii="Calibri" w:hAnsi="Calibri"/>
          <w:sz w:val="18"/>
          <w:szCs w:val="18"/>
        </w:rPr>
      </w:pPr>
      <w:r w:rsidRPr="00954DC3">
        <w:rPr>
          <w:rStyle w:val="FootnoteReference"/>
          <w:sz w:val="18"/>
          <w:szCs w:val="18"/>
        </w:rPr>
        <w:footnoteRef/>
      </w:r>
      <w:r>
        <w:rPr>
          <w:sz w:val="18"/>
          <w:szCs w:val="18"/>
        </w:rPr>
        <w:t xml:space="preserve">   </w:t>
      </w:r>
      <w:r w:rsidRPr="000803AE">
        <w:rPr>
          <w:rFonts w:ascii="Calibri" w:hAnsi="Calibri"/>
          <w:sz w:val="18"/>
          <w:szCs w:val="18"/>
        </w:rPr>
        <w:t>The role of the Chief Finance Officer of the Police and Crime Commissioner and the Chief Finance</w:t>
      </w:r>
      <w:r>
        <w:rPr>
          <w:rFonts w:ascii="Calibri" w:hAnsi="Calibri"/>
          <w:sz w:val="18"/>
          <w:szCs w:val="18"/>
        </w:rPr>
        <w:t xml:space="preserve"> Officer of the Chief Constable </w:t>
      </w:r>
      <w:r w:rsidRPr="000803AE">
        <w:rPr>
          <w:rFonts w:ascii="Calibri" w:hAnsi="Calibri"/>
          <w:sz w:val="18"/>
          <w:szCs w:val="18"/>
        </w:rPr>
        <w:t xml:space="preserve">(July 2012) </w:t>
      </w:r>
      <w:hyperlink r:id="rId5" w:history="1">
        <w:r w:rsidRPr="002E26D5">
          <w:rPr>
            <w:rStyle w:val="Hyperlink"/>
            <w:rFonts w:ascii="Calibri" w:hAnsi="Calibri"/>
            <w:sz w:val="18"/>
            <w:szCs w:val="18"/>
          </w:rPr>
          <w:t>http://www.cipfa.org/policy-and-guidance/reports/cipfa-statement-on-the-role-of-the-chief-financial-officer-of-the-police-and-crime-commissioner-and-the-chief-finance-officer-of-the-chief-constable</w:t>
        </w:r>
      </w:hyperlink>
    </w:p>
  </w:footnote>
  <w:footnote w:id="5">
    <w:p w14:paraId="32277FB2" w14:textId="77777777" w:rsidR="00D50C5D" w:rsidRPr="000803AE" w:rsidRDefault="00D50C5D" w:rsidP="00D835CC">
      <w:pPr>
        <w:pStyle w:val="FootnoteText"/>
        <w:rPr>
          <w:rFonts w:ascii="Calibri" w:hAnsi="Calibri"/>
          <w:sz w:val="18"/>
          <w:szCs w:val="18"/>
        </w:rPr>
      </w:pPr>
      <w:r w:rsidRPr="000803AE">
        <w:rPr>
          <w:rStyle w:val="FootnoteReference"/>
          <w:rFonts w:ascii="Calibri" w:hAnsi="Calibri"/>
          <w:sz w:val="18"/>
          <w:szCs w:val="18"/>
        </w:rPr>
        <w:footnoteRef/>
      </w:r>
      <w:r>
        <w:rPr>
          <w:rFonts w:ascii="Calibri" w:hAnsi="Calibri"/>
          <w:sz w:val="18"/>
          <w:szCs w:val="18"/>
        </w:rPr>
        <w:t xml:space="preserve">    Police and Crime Plan</w:t>
      </w:r>
      <w:r w:rsidRPr="009D608A">
        <w:rPr>
          <w:rFonts w:ascii="Calibri" w:hAnsi="Calibri"/>
          <w:sz w:val="18"/>
          <w:szCs w:val="18"/>
        </w:rPr>
        <w:t>:</w:t>
      </w:r>
      <w:r w:rsidRPr="00A55878">
        <w:rPr>
          <w:rFonts w:ascii="Calibri" w:hAnsi="Calibri"/>
          <w:sz w:val="18"/>
          <w:szCs w:val="18"/>
        </w:rPr>
        <w:t xml:space="preserve"> </w:t>
      </w:r>
      <w:hyperlink r:id="rId6" w:history="1">
        <w:r w:rsidRPr="00A55878">
          <w:rPr>
            <w:rStyle w:val="Hyperlink"/>
            <w:rFonts w:ascii="Calibri" w:hAnsi="Calibri"/>
            <w:sz w:val="18"/>
            <w:szCs w:val="18"/>
          </w:rPr>
          <w:t>Police &amp; Crime Plan</w:t>
        </w:r>
      </w:hyperlink>
    </w:p>
  </w:footnote>
  <w:footnote w:id="6">
    <w:p w14:paraId="305AB0BC" w14:textId="77777777" w:rsidR="00D50C5D" w:rsidRPr="000803AE" w:rsidRDefault="00D50C5D" w:rsidP="00D835CC">
      <w:pPr>
        <w:pStyle w:val="FootnoteText"/>
        <w:rPr>
          <w:rFonts w:ascii="Calibri" w:hAnsi="Calibri"/>
          <w:sz w:val="18"/>
          <w:szCs w:val="18"/>
        </w:rPr>
      </w:pPr>
      <w:r w:rsidRPr="000803AE">
        <w:rPr>
          <w:rStyle w:val="FootnoteReference"/>
          <w:rFonts w:ascii="Calibri" w:hAnsi="Calibri"/>
          <w:sz w:val="18"/>
          <w:szCs w:val="18"/>
        </w:rPr>
        <w:footnoteRef/>
      </w:r>
      <w:r>
        <w:rPr>
          <w:rFonts w:ascii="Calibri" w:hAnsi="Calibri"/>
          <w:sz w:val="18"/>
          <w:szCs w:val="18"/>
        </w:rPr>
        <w:t xml:space="preserve">    </w:t>
      </w:r>
      <w:hyperlink r:id="rId7" w:history="1">
        <w:r w:rsidRPr="008034AE">
          <w:rPr>
            <w:rStyle w:val="Hyperlink"/>
            <w:rFonts w:ascii="Calibri" w:hAnsi="Calibri"/>
            <w:sz w:val="18"/>
            <w:szCs w:val="18"/>
          </w:rPr>
          <w:t>Strategic Policing Requirement</w:t>
        </w:r>
      </w:hyperlink>
      <w:r w:rsidRPr="008034AE">
        <w:rPr>
          <w:rFonts w:ascii="Calibri" w:hAnsi="Calibri"/>
          <w:sz w:val="18"/>
          <w:szCs w:val="18"/>
        </w:rPr>
        <w:t>:</w:t>
      </w:r>
      <w:r>
        <w:rPr>
          <w:rFonts w:ascii="Calibri" w:hAnsi="Calibri"/>
          <w:sz w:val="18"/>
          <w:szCs w:val="18"/>
          <w:u w:val="single"/>
        </w:rPr>
        <w:t xml:space="preserve"> </w:t>
      </w:r>
      <w:r>
        <w:rPr>
          <w:rFonts w:ascii="Calibri" w:hAnsi="Calibri"/>
          <w:sz w:val="18"/>
          <w:szCs w:val="18"/>
        </w:rPr>
        <w:t xml:space="preserve"> </w:t>
      </w:r>
      <w:hyperlink r:id="rId8" w:history="1">
        <w:r w:rsidRPr="008E0175">
          <w:rPr>
            <w:rStyle w:val="Hyperlink"/>
            <w:rFonts w:ascii="Calibri" w:hAnsi="Calibri"/>
            <w:sz w:val="18"/>
            <w:szCs w:val="18"/>
          </w:rPr>
          <w:t>https://www.gov.uk/government/publications/strategic-policing-requirement</w:t>
        </w:r>
      </w:hyperlink>
    </w:p>
  </w:footnote>
  <w:footnote w:id="7">
    <w:p w14:paraId="223AEF0F" w14:textId="77777777" w:rsidR="00D50C5D" w:rsidRPr="004F1B6A" w:rsidRDefault="00D50C5D" w:rsidP="00D835CC">
      <w:pPr>
        <w:pStyle w:val="FootnoteText"/>
        <w:rPr>
          <w:rFonts w:ascii="Calibri" w:hAnsi="Calibri"/>
          <w:sz w:val="18"/>
          <w:szCs w:val="18"/>
        </w:rPr>
      </w:pPr>
      <w:r w:rsidRPr="00E042A3">
        <w:rPr>
          <w:rStyle w:val="FootnoteReference"/>
          <w:rFonts w:ascii="Calibri" w:hAnsi="Calibri"/>
          <w:sz w:val="18"/>
          <w:szCs w:val="18"/>
        </w:rPr>
        <w:footnoteRef/>
      </w:r>
      <w:r w:rsidRPr="00E042A3">
        <w:rPr>
          <w:rFonts w:ascii="Calibri" w:hAnsi="Calibri"/>
          <w:sz w:val="18"/>
          <w:szCs w:val="18"/>
        </w:rPr>
        <w:t xml:space="preserve">    Governan</w:t>
      </w:r>
      <w:r w:rsidRPr="004F1B6A">
        <w:rPr>
          <w:rFonts w:ascii="Calibri" w:hAnsi="Calibri"/>
          <w:sz w:val="18"/>
          <w:szCs w:val="18"/>
        </w:rPr>
        <w:t xml:space="preserve">ce Documents: </w:t>
      </w:r>
      <w:hyperlink r:id="rId9" w:history="1">
        <w:r w:rsidRPr="00D4147B">
          <w:rPr>
            <w:rStyle w:val="Hyperlink"/>
            <w:rFonts w:ascii="Calibri" w:hAnsi="Calibri"/>
            <w:sz w:val="18"/>
            <w:szCs w:val="18"/>
          </w:rPr>
          <w:t>https://www.surrey-pcc.gov.uk/transparency/key-responsibilities/</w:t>
        </w:r>
      </w:hyperlink>
    </w:p>
  </w:footnote>
  <w:footnote w:id="8">
    <w:p w14:paraId="49F1CA9C" w14:textId="77777777" w:rsidR="00D50C5D" w:rsidRPr="004F1B6A" w:rsidRDefault="00D50C5D" w:rsidP="00D835CC">
      <w:pPr>
        <w:pStyle w:val="FootnoteText"/>
        <w:rPr>
          <w:sz w:val="18"/>
          <w:szCs w:val="18"/>
          <w:highlight w:val="yellow"/>
        </w:rPr>
      </w:pPr>
      <w:r w:rsidRPr="004F1B6A">
        <w:rPr>
          <w:rStyle w:val="FootnoteReference"/>
          <w:rFonts w:ascii="Calibri" w:hAnsi="Calibri"/>
          <w:sz w:val="18"/>
          <w:szCs w:val="18"/>
        </w:rPr>
        <w:footnoteRef/>
      </w:r>
      <w:r w:rsidRPr="004F1B6A">
        <w:rPr>
          <w:rFonts w:ascii="Calibri" w:hAnsi="Calibri"/>
          <w:sz w:val="18"/>
          <w:szCs w:val="18"/>
        </w:rPr>
        <w:t xml:space="preserve"> </w:t>
      </w:r>
      <w:r w:rsidRPr="004F1B6A">
        <w:rPr>
          <w:sz w:val="18"/>
          <w:szCs w:val="18"/>
        </w:rPr>
        <w:t xml:space="preserve">   </w:t>
      </w:r>
      <w:r w:rsidRPr="004F1B6A">
        <w:rPr>
          <w:rFonts w:ascii="Calibri" w:hAnsi="Calibri"/>
          <w:sz w:val="18"/>
          <w:szCs w:val="18"/>
        </w:rPr>
        <w:t>HMIC Crime Data Integrity inspection report 2018 Surrey Police:</w:t>
      </w:r>
      <w:r>
        <w:rPr>
          <w:sz w:val="18"/>
          <w:szCs w:val="18"/>
        </w:rPr>
        <w:t xml:space="preserve"> </w:t>
      </w:r>
      <w:hyperlink r:id="rId10" w:history="1">
        <w:r w:rsidRPr="00D4147B">
          <w:rPr>
            <w:rStyle w:val="Hyperlink"/>
            <w:rFonts w:ascii="Calibri" w:hAnsi="Calibri"/>
            <w:sz w:val="18"/>
            <w:szCs w:val="18"/>
          </w:rPr>
          <w:t>https://www.justiceinspectorates.gov.uk/hmicfrs/publications/surrey-crime-data-integrity-inspection-2018/</w:t>
        </w:r>
      </w:hyperlink>
    </w:p>
  </w:footnote>
  <w:footnote w:id="9">
    <w:p w14:paraId="5BF68EAF" w14:textId="77777777" w:rsidR="00D50C5D" w:rsidRPr="004E4D99" w:rsidRDefault="00D50C5D" w:rsidP="00D835CC">
      <w:pPr>
        <w:pStyle w:val="FootnoteText"/>
        <w:rPr>
          <w:rFonts w:ascii="Calibri" w:hAnsi="Calibri"/>
          <w:bCs/>
          <w:sz w:val="18"/>
          <w:szCs w:val="18"/>
        </w:rPr>
      </w:pPr>
      <w:r w:rsidRPr="006049F0">
        <w:rPr>
          <w:rStyle w:val="FootnoteReference"/>
          <w:rFonts w:ascii="Calibri" w:hAnsi="Calibri"/>
          <w:sz w:val="18"/>
          <w:szCs w:val="18"/>
        </w:rPr>
        <w:footnoteRef/>
      </w:r>
      <w:r w:rsidRPr="006049F0">
        <w:rPr>
          <w:rFonts w:ascii="Calibri" w:hAnsi="Calibri"/>
          <w:sz w:val="18"/>
          <w:szCs w:val="18"/>
        </w:rPr>
        <w:t xml:space="preserve"> </w:t>
      </w:r>
      <w:r w:rsidRPr="006049F0">
        <w:rPr>
          <w:rStyle w:val="style4b1"/>
          <w:rFonts w:ascii="Calibri" w:hAnsi="Calibri"/>
          <w:b w:val="0"/>
          <w:sz w:val="18"/>
          <w:szCs w:val="18"/>
        </w:rPr>
        <w:t>Anti-Fraud, Bribery an</w:t>
      </w:r>
      <w:r>
        <w:rPr>
          <w:rStyle w:val="style4b1"/>
          <w:rFonts w:ascii="Calibri" w:hAnsi="Calibri"/>
          <w:b w:val="0"/>
          <w:sz w:val="18"/>
          <w:szCs w:val="18"/>
        </w:rPr>
        <w:t xml:space="preserve">d Corruption Policy: </w:t>
      </w:r>
      <w:hyperlink r:id="rId11" w:history="1">
        <w:r w:rsidRPr="00D4147B">
          <w:rPr>
            <w:rStyle w:val="Hyperlink"/>
            <w:rFonts w:ascii="Calibri" w:hAnsi="Calibri"/>
            <w:sz w:val="18"/>
            <w:szCs w:val="18"/>
          </w:rPr>
          <w:t>https://www.surrey.police.uk/SysSiteAssets/foi-media/surrey/policies/anti-fraud-corruption-and-bribery-policy.pdf</w:t>
        </w:r>
      </w:hyperlink>
    </w:p>
  </w:footnote>
  <w:footnote w:id="10">
    <w:p w14:paraId="1CCCC72A" w14:textId="77777777" w:rsidR="00D50C5D" w:rsidRPr="004F5B05" w:rsidRDefault="00D50C5D" w:rsidP="00D835CC">
      <w:pPr>
        <w:pStyle w:val="FootnoteText"/>
        <w:rPr>
          <w:rFonts w:ascii="Calibri" w:hAnsi="Calibri"/>
          <w:sz w:val="18"/>
          <w:szCs w:val="18"/>
        </w:rPr>
      </w:pPr>
      <w:r w:rsidRPr="00F82AE8">
        <w:rPr>
          <w:rStyle w:val="FootnoteReference"/>
          <w:rFonts w:ascii="Calibri" w:hAnsi="Calibri"/>
          <w:sz w:val="18"/>
          <w:szCs w:val="18"/>
        </w:rPr>
        <w:footnoteRef/>
      </w:r>
      <w:r w:rsidRPr="00F82AE8">
        <w:rPr>
          <w:rFonts w:ascii="Calibri" w:hAnsi="Calibri"/>
          <w:sz w:val="18"/>
          <w:szCs w:val="18"/>
        </w:rPr>
        <w:t xml:space="preserve">   </w:t>
      </w:r>
      <w:r>
        <w:rPr>
          <w:rFonts w:ascii="Calibri" w:hAnsi="Calibri"/>
          <w:sz w:val="18"/>
          <w:szCs w:val="18"/>
        </w:rPr>
        <w:t xml:space="preserve"> IOPC U</w:t>
      </w:r>
      <w:r w:rsidRPr="00F82AE8">
        <w:rPr>
          <w:rFonts w:ascii="Calibri" w:hAnsi="Calibri"/>
          <w:sz w:val="18"/>
          <w:szCs w:val="18"/>
        </w:rPr>
        <w:t>se of Force</w:t>
      </w:r>
      <w:r>
        <w:rPr>
          <w:rFonts w:ascii="Calibri" w:hAnsi="Calibri"/>
          <w:sz w:val="18"/>
          <w:szCs w:val="18"/>
        </w:rPr>
        <w:t xml:space="preserve">: </w:t>
      </w:r>
      <w:r w:rsidRPr="00D41E4B">
        <w:t xml:space="preserve"> </w:t>
      </w:r>
      <w:hyperlink r:id="rId12" w:history="1">
        <w:r w:rsidRPr="006577DE">
          <w:rPr>
            <w:rStyle w:val="Hyperlink"/>
            <w:rFonts w:ascii="Calibri" w:hAnsi="Calibri"/>
            <w:sz w:val="18"/>
            <w:szCs w:val="18"/>
          </w:rPr>
          <w:t>https://www.policeconduct.gov.uk/sites/default/files/Documents/research-learning/IPCC_Use_Of_Force_Report.pdf</w:t>
        </w:r>
      </w:hyperlink>
    </w:p>
  </w:footnote>
  <w:footnote w:id="11">
    <w:p w14:paraId="770145D6" w14:textId="77777777" w:rsidR="00D50C5D" w:rsidRPr="00AE4602" w:rsidRDefault="00D50C5D" w:rsidP="00D835CC">
      <w:pPr>
        <w:pStyle w:val="FootnoteText"/>
        <w:rPr>
          <w:rFonts w:ascii="Calibri" w:hAnsi="Calibri"/>
          <w:sz w:val="18"/>
          <w:szCs w:val="18"/>
        </w:rPr>
      </w:pPr>
      <w:r w:rsidRPr="004F5B05">
        <w:rPr>
          <w:rStyle w:val="FootnoteReference"/>
          <w:rFonts w:ascii="Calibri" w:hAnsi="Calibri"/>
          <w:sz w:val="18"/>
          <w:szCs w:val="18"/>
        </w:rPr>
        <w:footnoteRef/>
      </w:r>
      <w:r w:rsidRPr="004F5B05">
        <w:rPr>
          <w:rFonts w:ascii="Calibri" w:hAnsi="Calibri"/>
          <w:sz w:val="18"/>
          <w:szCs w:val="18"/>
        </w:rPr>
        <w:t xml:space="preserve">  </w:t>
      </w:r>
      <w:r>
        <w:rPr>
          <w:rFonts w:ascii="Calibri" w:hAnsi="Calibri"/>
          <w:sz w:val="18"/>
          <w:szCs w:val="18"/>
        </w:rPr>
        <w:t xml:space="preserve">  </w:t>
      </w:r>
      <w:r w:rsidRPr="004F5B05">
        <w:rPr>
          <w:rFonts w:ascii="Calibri" w:hAnsi="Calibri"/>
          <w:sz w:val="18"/>
          <w:szCs w:val="18"/>
        </w:rPr>
        <w:t>HMIC</w:t>
      </w:r>
      <w:r>
        <w:rPr>
          <w:rFonts w:ascii="Calibri" w:hAnsi="Calibri"/>
          <w:sz w:val="18"/>
          <w:szCs w:val="18"/>
        </w:rPr>
        <w:t>FRS</w:t>
      </w:r>
      <w:r w:rsidRPr="004F5B05">
        <w:rPr>
          <w:rFonts w:ascii="Calibri" w:hAnsi="Calibri"/>
          <w:sz w:val="18"/>
          <w:szCs w:val="18"/>
        </w:rPr>
        <w:t xml:space="preserve"> PEEL assessment</w:t>
      </w:r>
      <w:r>
        <w:rPr>
          <w:rFonts w:ascii="Calibri" w:hAnsi="Calibri"/>
          <w:sz w:val="18"/>
          <w:szCs w:val="18"/>
        </w:rPr>
        <w:t>:</w:t>
      </w:r>
      <w:r w:rsidRPr="00351B0A">
        <w:t xml:space="preserve"> </w:t>
      </w:r>
      <w:hyperlink r:id="rId13" w:history="1">
        <w:r w:rsidRPr="00D4147B">
          <w:rPr>
            <w:rStyle w:val="Hyperlink"/>
            <w:rFonts w:ascii="Calibri" w:hAnsi="Calibri"/>
            <w:sz w:val="18"/>
            <w:szCs w:val="18"/>
          </w:rPr>
          <w:t>https://www.justiceinspectorates.gov.uk/hmicfrs/peel-assessments/peel-2018/surrey/</w:t>
        </w:r>
      </w:hyperlink>
    </w:p>
    <w:p w14:paraId="06E109B3" w14:textId="77777777" w:rsidR="00D50C5D" w:rsidRPr="00D4147B" w:rsidRDefault="00D50C5D" w:rsidP="00D835CC">
      <w:pPr>
        <w:pStyle w:val="FootnoteText"/>
        <w:rPr>
          <w:rFonts w:ascii="Calibri" w:hAnsi="Calibri"/>
          <w:sz w:val="18"/>
          <w:szCs w:val="18"/>
        </w:rPr>
      </w:pPr>
    </w:p>
  </w:footnote>
  <w:footnote w:id="12">
    <w:p w14:paraId="15480179" w14:textId="77777777" w:rsidR="00D50C5D" w:rsidRPr="00C715C8" w:rsidRDefault="00D50C5D" w:rsidP="00D835CC">
      <w:pPr>
        <w:spacing w:before="40" w:after="40"/>
        <w:rPr>
          <w:rFonts w:ascii="Calibri" w:eastAsia="Calibri" w:hAnsi="Calibri" w:cs="Times New Roman"/>
          <w:sz w:val="18"/>
          <w:szCs w:val="18"/>
        </w:rPr>
      </w:pPr>
      <w:r w:rsidRPr="00C715C8">
        <w:rPr>
          <w:rStyle w:val="FootnoteReference"/>
          <w:rFonts w:ascii="Calibri" w:hAnsi="Calibri"/>
          <w:sz w:val="18"/>
          <w:szCs w:val="18"/>
        </w:rPr>
        <w:footnoteRef/>
      </w:r>
      <w:r w:rsidRPr="00C715C8">
        <w:rPr>
          <w:rFonts w:ascii="Calibri" w:hAnsi="Calibri"/>
          <w:sz w:val="18"/>
          <w:szCs w:val="18"/>
        </w:rPr>
        <w:t xml:space="preserve">   Surrey Business Plan:  </w:t>
      </w:r>
      <w:hyperlink r:id="rId14" w:history="1">
        <w:r w:rsidRPr="00C715C8">
          <w:rPr>
            <w:rStyle w:val="Hyperlink"/>
            <w:rFonts w:ascii="Calibri" w:eastAsia="Calibri" w:hAnsi="Calibri" w:cs="Times New Roman"/>
            <w:sz w:val="18"/>
            <w:szCs w:val="18"/>
          </w:rPr>
          <w:t>https://www.surrey.police.uk/SysSiteAssets/media/downloads/surrey/about-us/business-plan-2017.pdf</w:t>
        </w:r>
      </w:hyperlink>
    </w:p>
  </w:footnote>
  <w:footnote w:id="13">
    <w:p w14:paraId="70AC9FCC" w14:textId="22B776FD" w:rsidR="00D50C5D" w:rsidRPr="00A050AB" w:rsidRDefault="00D50C5D" w:rsidP="00A050AB">
      <w:pPr>
        <w:pStyle w:val="FootnoteText"/>
        <w:rPr>
          <w:rFonts w:ascii="Calibri" w:hAnsi="Calibri"/>
          <w:color w:val="0000FF"/>
          <w:sz w:val="18"/>
          <w:szCs w:val="18"/>
          <w:u w:val="single"/>
        </w:rPr>
      </w:pPr>
      <w:r w:rsidRPr="00BF5E7C">
        <w:rPr>
          <w:rStyle w:val="FootnoteReference"/>
          <w:rFonts w:ascii="Calibri" w:hAnsi="Calibri"/>
          <w:sz w:val="18"/>
          <w:szCs w:val="18"/>
        </w:rPr>
        <w:footnoteRef/>
      </w:r>
      <w:r w:rsidRPr="00BF5E7C">
        <w:rPr>
          <w:rFonts w:ascii="Calibri" w:hAnsi="Calibri"/>
          <w:sz w:val="18"/>
          <w:szCs w:val="18"/>
        </w:rPr>
        <w:t xml:space="preserve">  Surrey Chief </w:t>
      </w:r>
      <w:r w:rsidRPr="00C715C8">
        <w:rPr>
          <w:rFonts w:ascii="Calibri" w:hAnsi="Calibri"/>
          <w:sz w:val="18"/>
          <w:szCs w:val="18"/>
        </w:rPr>
        <w:t>Constable’s ‘</w:t>
      </w:r>
      <w:r>
        <w:rPr>
          <w:rFonts w:ascii="Calibri" w:hAnsi="Calibri"/>
          <w:sz w:val="18"/>
          <w:szCs w:val="18"/>
        </w:rPr>
        <w:t>Our Commitment</w:t>
      </w:r>
      <w:r w:rsidRPr="00C715C8">
        <w:rPr>
          <w:rFonts w:ascii="Calibri" w:hAnsi="Calibri"/>
          <w:sz w:val="18"/>
          <w:szCs w:val="18"/>
        </w:rPr>
        <w:t xml:space="preserve">’ vision: </w:t>
      </w:r>
      <w:r w:rsidRPr="00872F75">
        <w:rPr>
          <w:rStyle w:val="Hyperlink"/>
          <w:rFonts w:ascii="Calibri" w:hAnsi="Calibri"/>
          <w:sz w:val="18"/>
          <w:szCs w:val="18"/>
        </w:rPr>
        <w:t>https://www.surrey.police.uk/SysSiteAssets/media/downloads/surrey/about-us/our-commitments/surrey_202009_ourcommitments.pdf</w:t>
      </w:r>
    </w:p>
  </w:footnote>
  <w:footnote w:id="14">
    <w:p w14:paraId="066D39C8" w14:textId="77777777" w:rsidR="00D50C5D" w:rsidRPr="00C715C8" w:rsidRDefault="00D50C5D" w:rsidP="00D835CC">
      <w:pPr>
        <w:pStyle w:val="FootnoteText"/>
        <w:rPr>
          <w:rFonts w:ascii="Calibri" w:hAnsi="Calibri"/>
          <w:sz w:val="18"/>
          <w:szCs w:val="18"/>
        </w:rPr>
      </w:pPr>
      <w:r w:rsidRPr="00C715C8">
        <w:rPr>
          <w:rStyle w:val="FootnoteReference"/>
          <w:sz w:val="18"/>
          <w:szCs w:val="18"/>
        </w:rPr>
        <w:footnoteRef/>
      </w:r>
      <w:r w:rsidRPr="00C715C8">
        <w:t xml:space="preserve"> </w:t>
      </w:r>
      <w:r w:rsidRPr="00C715C8">
        <w:rPr>
          <w:rFonts w:ascii="Calibri" w:hAnsi="Calibri"/>
          <w:sz w:val="18"/>
          <w:szCs w:val="18"/>
        </w:rPr>
        <w:t xml:space="preserve">Surrey police Force Management Statement 2018: </w:t>
      </w:r>
      <w:hyperlink r:id="rId15" w:history="1">
        <w:r w:rsidRPr="00C715C8">
          <w:rPr>
            <w:rStyle w:val="Hyperlink"/>
            <w:rFonts w:ascii="Calibri" w:hAnsi="Calibri"/>
            <w:sz w:val="18"/>
            <w:szCs w:val="18"/>
          </w:rPr>
          <w:t>https://www.Surrey.police.uk/SysSiteAssets/foi-media/Surrey/other_information/Surrey-police-force-management-statement-2019.pdf</w:t>
        </w:r>
      </w:hyperlink>
    </w:p>
    <w:p w14:paraId="274E6854" w14:textId="77777777" w:rsidR="00D50C5D" w:rsidRPr="00D4147B" w:rsidRDefault="0073748E" w:rsidP="00D835CC">
      <w:pPr>
        <w:pStyle w:val="FootnoteText"/>
        <w:rPr>
          <w:rFonts w:ascii="Calibri" w:hAnsi="Calibri"/>
          <w:sz w:val="18"/>
          <w:szCs w:val="18"/>
        </w:rPr>
      </w:pPr>
      <w:hyperlink r:id="rId16" w:history="1">
        <w:r w:rsidR="00D50C5D" w:rsidRPr="00D4147B">
          <w:rPr>
            <w:rStyle w:val="Hyperlink"/>
            <w:rFonts w:ascii="Calibri" w:hAnsi="Calibri"/>
            <w:sz w:val="18"/>
            <w:szCs w:val="18"/>
          </w:rPr>
          <w:t>https://www.surrey.police.uk/SysSiteAssets/media/downloads/surrey/about-us/sp_forcemanagementstatement.pdf</w:t>
        </w:r>
      </w:hyperlink>
    </w:p>
    <w:p w14:paraId="06051A9D" w14:textId="77777777" w:rsidR="00D50C5D" w:rsidRPr="00D4147B" w:rsidRDefault="00D50C5D" w:rsidP="00D835CC">
      <w:pPr>
        <w:pStyle w:val="FootnoteText"/>
        <w:rPr>
          <w:rFonts w:ascii="Calibri" w:hAnsi="Calibri"/>
          <w:sz w:val="18"/>
          <w:szCs w:val="18"/>
        </w:rPr>
      </w:pPr>
    </w:p>
  </w:footnote>
  <w:footnote w:id="15">
    <w:p w14:paraId="0CDAA014" w14:textId="77777777" w:rsidR="00D50C5D" w:rsidRPr="00B32F84" w:rsidRDefault="00D50C5D" w:rsidP="00D835CC">
      <w:pPr>
        <w:pStyle w:val="FootnoteText"/>
        <w:rPr>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The use of targets in policing: </w:t>
      </w:r>
      <w:hyperlink r:id="rId17" w:history="1">
        <w:r w:rsidRPr="00D15467">
          <w:rPr>
            <w:rStyle w:val="Hyperlink"/>
            <w:rFonts w:ascii="Calibri" w:hAnsi="Calibri"/>
            <w:sz w:val="18"/>
            <w:szCs w:val="18"/>
          </w:rPr>
          <w:t>https://www.gov.uk/government/uploads/system/uploads/attachment_data/file/466058/Review_Targets_2015.pdf</w:t>
        </w:r>
      </w:hyperlink>
    </w:p>
  </w:footnote>
  <w:footnote w:id="16">
    <w:p w14:paraId="3A3BC4BB" w14:textId="77777777" w:rsidR="00D50C5D" w:rsidRPr="004F5B05" w:rsidRDefault="00D50C5D" w:rsidP="00D835CC">
      <w:pPr>
        <w:pStyle w:val="FootnoteText"/>
        <w:rPr>
          <w:rFonts w:ascii="Calibri" w:hAnsi="Calibri"/>
          <w:sz w:val="18"/>
          <w:szCs w:val="18"/>
        </w:rPr>
      </w:pPr>
      <w:r w:rsidRPr="007C09D7">
        <w:rPr>
          <w:rStyle w:val="FootnoteReference"/>
          <w:rFonts w:ascii="Calibri" w:hAnsi="Calibri"/>
          <w:sz w:val="18"/>
          <w:szCs w:val="18"/>
          <w:highlight w:val="yellow"/>
        </w:rPr>
        <w:footnoteRef/>
      </w:r>
      <w:r w:rsidRPr="007C09D7">
        <w:rPr>
          <w:rFonts w:ascii="Calibri" w:hAnsi="Calibri"/>
          <w:sz w:val="18"/>
          <w:szCs w:val="18"/>
          <w:highlight w:val="yellow"/>
        </w:rPr>
        <w:t xml:space="preserve">   HMICFRS Value for Money profiles Surrey 2019: </w:t>
      </w:r>
      <w:hyperlink r:id="rId18" w:history="1">
        <w:r w:rsidRPr="007C09D7">
          <w:rPr>
            <w:rStyle w:val="Hyperlink"/>
            <w:rFonts w:ascii="Calibri" w:hAnsi="Calibri"/>
            <w:sz w:val="18"/>
            <w:szCs w:val="18"/>
            <w:highlight w:val="yellow"/>
          </w:rPr>
          <w:t>https://www.justiceinspectorates.gov.uk/hmicfrs/our-work/article/value-for-money-inspections/value-for-money-profiles/value-for-money-dashboards/</w:t>
        </w:r>
      </w:hyperlink>
    </w:p>
  </w:footnote>
  <w:footnote w:id="17">
    <w:p w14:paraId="21F70CE2" w14:textId="77777777" w:rsidR="00D50C5D" w:rsidRPr="00281E67" w:rsidRDefault="00D50C5D" w:rsidP="00D835CC">
      <w:pPr>
        <w:pStyle w:val="FootnoteText"/>
        <w:rPr>
          <w:rFonts w:ascii="Calibri" w:hAnsi="Calibri"/>
          <w:sz w:val="18"/>
          <w:szCs w:val="18"/>
        </w:rPr>
      </w:pPr>
      <w:r w:rsidRPr="00281E67">
        <w:rPr>
          <w:rStyle w:val="FootnoteReference"/>
          <w:rFonts w:ascii="Calibri" w:hAnsi="Calibri"/>
          <w:sz w:val="18"/>
          <w:szCs w:val="18"/>
        </w:rPr>
        <w:footnoteRef/>
      </w:r>
      <w:r w:rsidRPr="00281E67">
        <w:rPr>
          <w:rFonts w:ascii="Calibri" w:hAnsi="Calibri"/>
          <w:sz w:val="18"/>
          <w:szCs w:val="18"/>
        </w:rPr>
        <w:t xml:space="preserve">    Joint Audit Committee</w:t>
      </w:r>
      <w:r>
        <w:rPr>
          <w:rFonts w:ascii="Calibri" w:hAnsi="Calibri"/>
          <w:sz w:val="18"/>
          <w:szCs w:val="18"/>
        </w:rPr>
        <w:t>:</w:t>
      </w:r>
      <w:r w:rsidRPr="00281E67">
        <w:rPr>
          <w:rFonts w:ascii="Calibri" w:hAnsi="Calibri"/>
          <w:sz w:val="18"/>
          <w:szCs w:val="18"/>
        </w:rPr>
        <w:t xml:space="preserve"> </w:t>
      </w:r>
      <w:hyperlink r:id="rId19" w:history="1">
        <w:r w:rsidRPr="008A4B85">
          <w:rPr>
            <w:rStyle w:val="Hyperlink"/>
            <w:rFonts w:ascii="Calibri" w:hAnsi="Calibri"/>
            <w:sz w:val="18"/>
            <w:szCs w:val="18"/>
          </w:rPr>
          <w:t>https://www.surrey-pcc.gov.uk/transparency/meetings-agendas/</w:t>
        </w:r>
      </w:hyperlink>
    </w:p>
  </w:footnote>
  <w:footnote w:id="18">
    <w:p w14:paraId="1DB5F080" w14:textId="77777777" w:rsidR="00D50C5D" w:rsidRPr="004F5B05" w:rsidRDefault="00D50C5D" w:rsidP="00D835CC">
      <w:pPr>
        <w:pStyle w:val="FootnoteText"/>
        <w:rPr>
          <w:rFonts w:ascii="Calibri" w:hAnsi="Calibri"/>
          <w:sz w:val="18"/>
          <w:szCs w:val="18"/>
        </w:rPr>
      </w:pPr>
      <w:r w:rsidRPr="004F5B05">
        <w:rPr>
          <w:rStyle w:val="FootnoteReference"/>
          <w:rFonts w:ascii="Calibri" w:hAnsi="Calibri"/>
          <w:sz w:val="18"/>
          <w:szCs w:val="18"/>
        </w:rPr>
        <w:footnoteRef/>
      </w:r>
      <w:r>
        <w:rPr>
          <w:rFonts w:ascii="Calibri" w:hAnsi="Calibri"/>
          <w:sz w:val="18"/>
          <w:szCs w:val="18"/>
        </w:rPr>
        <w:t xml:space="preserve">    Surrey Police website: </w:t>
      </w:r>
      <w:hyperlink r:id="rId20" w:history="1">
        <w:r w:rsidRPr="008A4B85">
          <w:rPr>
            <w:rStyle w:val="Hyperlink"/>
            <w:rFonts w:ascii="Calibri" w:hAnsi="Calibri"/>
            <w:sz w:val="18"/>
            <w:szCs w:val="18"/>
          </w:rPr>
          <w:t>https://www.surrey.police.uk/foi-ai/af/accessing-information/</w:t>
        </w:r>
      </w:hyperlink>
      <w:r>
        <w:rPr>
          <w:rFonts w:ascii="Calibri" w:hAnsi="Calibri"/>
          <w:sz w:val="18"/>
          <w:szCs w:val="18"/>
        </w:rPr>
        <w:t xml:space="preserve"> </w:t>
      </w:r>
    </w:p>
  </w:footnote>
  <w:footnote w:id="19">
    <w:p w14:paraId="67D83364" w14:textId="77777777" w:rsidR="00D50C5D" w:rsidRDefault="00D50C5D" w:rsidP="00D835CC">
      <w:pPr>
        <w:pStyle w:val="FootnoteText"/>
        <w:rPr>
          <w:rFonts w:ascii="Calibri" w:hAnsi="Calibri"/>
          <w:sz w:val="18"/>
          <w:szCs w:val="18"/>
        </w:rPr>
      </w:pPr>
      <w:r w:rsidRPr="004F5B05">
        <w:rPr>
          <w:rStyle w:val="FootnoteReference"/>
          <w:rFonts w:ascii="Calibri" w:hAnsi="Calibri"/>
          <w:sz w:val="18"/>
          <w:szCs w:val="18"/>
        </w:rPr>
        <w:footnoteRef/>
      </w:r>
      <w:r w:rsidRPr="004F5B05">
        <w:rPr>
          <w:rFonts w:ascii="Calibri" w:hAnsi="Calibri"/>
          <w:sz w:val="18"/>
          <w:szCs w:val="18"/>
        </w:rPr>
        <w:t xml:space="preserve">   </w:t>
      </w:r>
      <w:r>
        <w:rPr>
          <w:rFonts w:ascii="Calibri" w:hAnsi="Calibri"/>
          <w:sz w:val="18"/>
          <w:szCs w:val="18"/>
        </w:rPr>
        <w:t xml:space="preserve"> </w:t>
      </w:r>
      <w:r w:rsidRPr="004F5B05">
        <w:rPr>
          <w:rFonts w:ascii="Calibri" w:hAnsi="Calibri"/>
          <w:sz w:val="18"/>
          <w:szCs w:val="18"/>
        </w:rPr>
        <w:t xml:space="preserve">Misconduct Hearings: </w:t>
      </w:r>
      <w:hyperlink r:id="rId21" w:history="1">
        <w:r w:rsidRPr="008A4B85">
          <w:rPr>
            <w:rStyle w:val="Hyperlink"/>
            <w:rFonts w:ascii="Calibri" w:hAnsi="Calibri"/>
            <w:sz w:val="18"/>
            <w:szCs w:val="18"/>
          </w:rPr>
          <w:t>https://www.surrey.police.uk/search?q=misconduct+meetings</w:t>
        </w:r>
      </w:hyperlink>
    </w:p>
    <w:p w14:paraId="6C387BCF" w14:textId="77777777" w:rsidR="00D50C5D" w:rsidRPr="004F5B05" w:rsidRDefault="00D50C5D" w:rsidP="00D835CC">
      <w:pPr>
        <w:pStyle w:val="FootnoteText"/>
        <w:rPr>
          <w:rFonts w:ascii="Calibri" w:hAnsi="Calibri"/>
          <w:sz w:val="18"/>
          <w:szCs w:val="18"/>
        </w:rPr>
      </w:pPr>
    </w:p>
  </w:footnote>
  <w:footnote w:id="20">
    <w:p w14:paraId="4DF2B766" w14:textId="77777777" w:rsidR="00D50C5D" w:rsidRPr="00B75DDA" w:rsidRDefault="00D50C5D" w:rsidP="00C5423F">
      <w:pPr>
        <w:pStyle w:val="FootnoteText"/>
        <w:rPr>
          <w:rFonts w:asciiTheme="minorHAnsi" w:hAnsiTheme="minorHAnsi"/>
          <w:sz w:val="18"/>
          <w:szCs w:val="18"/>
        </w:rPr>
      </w:pPr>
      <w:r w:rsidRPr="00B75DDA">
        <w:rPr>
          <w:rStyle w:val="FootnoteReference"/>
          <w:rFonts w:ascii="Calibri" w:hAnsi="Calibri"/>
          <w:sz w:val="18"/>
          <w:szCs w:val="18"/>
        </w:rPr>
        <w:footnoteRef/>
      </w:r>
      <w:r w:rsidRPr="00B75DDA">
        <w:rPr>
          <w:rFonts w:ascii="Calibri" w:hAnsi="Calibri"/>
          <w:sz w:val="18"/>
          <w:szCs w:val="18"/>
        </w:rPr>
        <w:t xml:space="preserve"> Annual Internal Audit Opin</w:t>
      </w:r>
      <w:r w:rsidRPr="00B75DDA">
        <w:rPr>
          <w:rFonts w:asciiTheme="minorHAnsi" w:hAnsiTheme="minorHAnsi"/>
          <w:sz w:val="18"/>
          <w:szCs w:val="18"/>
        </w:rPr>
        <w:t xml:space="preserve">ion 2019-20: </w:t>
      </w:r>
      <w:hyperlink r:id="rId22" w:history="1">
        <w:r w:rsidRPr="00B75DDA">
          <w:rPr>
            <w:rStyle w:val="Hyperlink"/>
            <w:rFonts w:asciiTheme="minorHAnsi" w:hAnsiTheme="minorHAnsi"/>
            <w:sz w:val="18"/>
            <w:szCs w:val="18"/>
          </w:rPr>
          <w:t>https://surrey-pcc.gov.uk/wp-content/uploads/2020/07/10a.pdf</w:t>
        </w:r>
      </w:hyperlink>
    </w:p>
    <w:p w14:paraId="73729FFD" w14:textId="77777777" w:rsidR="00D50C5D" w:rsidRPr="00B75DDA" w:rsidRDefault="00D50C5D" w:rsidP="00C5423F">
      <w:pPr>
        <w:pStyle w:val="FootnoteText"/>
        <w:rPr>
          <w:rFonts w:asciiTheme="minorHAnsi" w:hAnsiTheme="minorHAnsi"/>
          <w:color w:val="FF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300C2C"/>
    <w:lvl w:ilvl="0" w:tplc="8190E0E6">
      <w:start w:val="1"/>
      <w:numFmt w:val="decimal"/>
      <w:pStyle w:val="Style1"/>
      <w:lvlText w:val="%1."/>
      <w:lvlJc w:val="left"/>
      <w:pPr>
        <w:ind w:left="5606" w:hanging="360"/>
      </w:pPr>
      <w:rPr>
        <w:rFonts w:hint="default"/>
      </w:rPr>
    </w:lvl>
    <w:lvl w:ilvl="1" w:tplc="9B106274" w:tentative="1">
      <w:start w:val="1"/>
      <w:numFmt w:val="lowerLetter"/>
      <w:lvlText w:val="%2."/>
      <w:lvlJc w:val="left"/>
      <w:pPr>
        <w:ind w:left="1800" w:hanging="360"/>
      </w:pPr>
    </w:lvl>
    <w:lvl w:ilvl="2" w:tplc="81923730" w:tentative="1">
      <w:start w:val="1"/>
      <w:numFmt w:val="lowerRoman"/>
      <w:lvlText w:val="%3."/>
      <w:lvlJc w:val="right"/>
      <w:pPr>
        <w:ind w:left="2520" w:hanging="180"/>
      </w:pPr>
    </w:lvl>
    <w:lvl w:ilvl="3" w:tplc="86D62062" w:tentative="1">
      <w:start w:val="1"/>
      <w:numFmt w:val="decimal"/>
      <w:lvlText w:val="%4."/>
      <w:lvlJc w:val="left"/>
      <w:pPr>
        <w:ind w:left="3240" w:hanging="360"/>
      </w:pPr>
    </w:lvl>
    <w:lvl w:ilvl="4" w:tplc="B066EA7E" w:tentative="1">
      <w:start w:val="1"/>
      <w:numFmt w:val="lowerLetter"/>
      <w:lvlText w:val="%5."/>
      <w:lvlJc w:val="left"/>
      <w:pPr>
        <w:ind w:left="3960" w:hanging="360"/>
      </w:pPr>
    </w:lvl>
    <w:lvl w:ilvl="5" w:tplc="AB8C8D2A" w:tentative="1">
      <w:start w:val="1"/>
      <w:numFmt w:val="lowerRoman"/>
      <w:lvlText w:val="%6."/>
      <w:lvlJc w:val="right"/>
      <w:pPr>
        <w:ind w:left="4680" w:hanging="180"/>
      </w:pPr>
    </w:lvl>
    <w:lvl w:ilvl="6" w:tplc="F03CD366" w:tentative="1">
      <w:start w:val="1"/>
      <w:numFmt w:val="decimal"/>
      <w:lvlText w:val="%7."/>
      <w:lvlJc w:val="left"/>
      <w:pPr>
        <w:ind w:left="5400" w:hanging="360"/>
      </w:pPr>
    </w:lvl>
    <w:lvl w:ilvl="7" w:tplc="AD9E28B8" w:tentative="1">
      <w:start w:val="1"/>
      <w:numFmt w:val="lowerLetter"/>
      <w:lvlText w:val="%8."/>
      <w:lvlJc w:val="left"/>
      <w:pPr>
        <w:ind w:left="6120" w:hanging="360"/>
      </w:pPr>
    </w:lvl>
    <w:lvl w:ilvl="8" w:tplc="95A680AE" w:tentative="1">
      <w:start w:val="1"/>
      <w:numFmt w:val="lowerRoman"/>
      <w:lvlText w:val="%9."/>
      <w:lvlJc w:val="right"/>
      <w:pPr>
        <w:ind w:left="6840" w:hanging="180"/>
      </w:pPr>
    </w:lvl>
  </w:abstractNum>
  <w:abstractNum w:abstractNumId="1" w15:restartNumberingAfterBreak="0">
    <w:nsid w:val="00000002"/>
    <w:multiLevelType w:val="hybridMultilevel"/>
    <w:tmpl w:val="706AF5B0"/>
    <w:lvl w:ilvl="0" w:tplc="9D9E50B6">
      <w:start w:val="1"/>
      <w:numFmt w:val="bullet"/>
      <w:lvlText w:val=""/>
      <w:lvlJc w:val="left"/>
      <w:pPr>
        <w:ind w:left="1440" w:hanging="360"/>
      </w:pPr>
      <w:rPr>
        <w:rFonts w:ascii="Symbol" w:hAnsi="Symbol" w:hint="default"/>
      </w:rPr>
    </w:lvl>
    <w:lvl w:ilvl="1" w:tplc="AA9EF8E4" w:tentative="1">
      <w:start w:val="1"/>
      <w:numFmt w:val="bullet"/>
      <w:lvlText w:val="o"/>
      <w:lvlJc w:val="left"/>
      <w:pPr>
        <w:ind w:left="2160" w:hanging="360"/>
      </w:pPr>
      <w:rPr>
        <w:rFonts w:ascii="Courier New" w:hAnsi="Courier New" w:cs="Courier New" w:hint="default"/>
      </w:rPr>
    </w:lvl>
    <w:lvl w:ilvl="2" w:tplc="C6BA4404" w:tentative="1">
      <w:start w:val="1"/>
      <w:numFmt w:val="bullet"/>
      <w:lvlText w:val=""/>
      <w:lvlJc w:val="left"/>
      <w:pPr>
        <w:ind w:left="2880" w:hanging="360"/>
      </w:pPr>
      <w:rPr>
        <w:rFonts w:ascii="Wingdings" w:hAnsi="Wingdings" w:hint="default"/>
      </w:rPr>
    </w:lvl>
    <w:lvl w:ilvl="3" w:tplc="AFF8582C" w:tentative="1">
      <w:start w:val="1"/>
      <w:numFmt w:val="bullet"/>
      <w:lvlText w:val=""/>
      <w:lvlJc w:val="left"/>
      <w:pPr>
        <w:ind w:left="3600" w:hanging="360"/>
      </w:pPr>
      <w:rPr>
        <w:rFonts w:ascii="Symbol" w:hAnsi="Symbol" w:hint="default"/>
      </w:rPr>
    </w:lvl>
    <w:lvl w:ilvl="4" w:tplc="FA7885B8" w:tentative="1">
      <w:start w:val="1"/>
      <w:numFmt w:val="bullet"/>
      <w:lvlText w:val="o"/>
      <w:lvlJc w:val="left"/>
      <w:pPr>
        <w:ind w:left="4320" w:hanging="360"/>
      </w:pPr>
      <w:rPr>
        <w:rFonts w:ascii="Courier New" w:hAnsi="Courier New" w:cs="Courier New" w:hint="default"/>
      </w:rPr>
    </w:lvl>
    <w:lvl w:ilvl="5" w:tplc="7AEE8DF4" w:tentative="1">
      <w:start w:val="1"/>
      <w:numFmt w:val="bullet"/>
      <w:lvlText w:val=""/>
      <w:lvlJc w:val="left"/>
      <w:pPr>
        <w:ind w:left="5040" w:hanging="360"/>
      </w:pPr>
      <w:rPr>
        <w:rFonts w:ascii="Wingdings" w:hAnsi="Wingdings" w:hint="default"/>
      </w:rPr>
    </w:lvl>
    <w:lvl w:ilvl="6" w:tplc="5060E108" w:tentative="1">
      <w:start w:val="1"/>
      <w:numFmt w:val="bullet"/>
      <w:lvlText w:val=""/>
      <w:lvlJc w:val="left"/>
      <w:pPr>
        <w:ind w:left="5760" w:hanging="360"/>
      </w:pPr>
      <w:rPr>
        <w:rFonts w:ascii="Symbol" w:hAnsi="Symbol" w:hint="default"/>
      </w:rPr>
    </w:lvl>
    <w:lvl w:ilvl="7" w:tplc="7AB61FFE" w:tentative="1">
      <w:start w:val="1"/>
      <w:numFmt w:val="bullet"/>
      <w:lvlText w:val="o"/>
      <w:lvlJc w:val="left"/>
      <w:pPr>
        <w:ind w:left="6480" w:hanging="360"/>
      </w:pPr>
      <w:rPr>
        <w:rFonts w:ascii="Courier New" w:hAnsi="Courier New" w:cs="Courier New" w:hint="default"/>
      </w:rPr>
    </w:lvl>
    <w:lvl w:ilvl="8" w:tplc="D890CF72"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376C9D4E"/>
    <w:lvl w:ilvl="0" w:tplc="5C2A2F6C">
      <w:start w:val="1"/>
      <w:numFmt w:val="bullet"/>
      <w:lvlText w:val=""/>
      <w:lvlJc w:val="left"/>
      <w:pPr>
        <w:ind w:left="720" w:hanging="360"/>
      </w:pPr>
      <w:rPr>
        <w:rFonts w:ascii="Symbol" w:hAnsi="Symbol" w:hint="default"/>
      </w:rPr>
    </w:lvl>
    <w:lvl w:ilvl="1" w:tplc="976E01D2" w:tentative="1">
      <w:start w:val="1"/>
      <w:numFmt w:val="bullet"/>
      <w:lvlText w:val="o"/>
      <w:lvlJc w:val="left"/>
      <w:pPr>
        <w:ind w:left="1440" w:hanging="360"/>
      </w:pPr>
      <w:rPr>
        <w:rFonts w:ascii="Courier New" w:hAnsi="Courier New" w:cs="Courier New" w:hint="default"/>
      </w:rPr>
    </w:lvl>
    <w:lvl w:ilvl="2" w:tplc="207C9286" w:tentative="1">
      <w:start w:val="1"/>
      <w:numFmt w:val="bullet"/>
      <w:lvlText w:val=""/>
      <w:lvlJc w:val="left"/>
      <w:pPr>
        <w:ind w:left="2160" w:hanging="360"/>
      </w:pPr>
      <w:rPr>
        <w:rFonts w:ascii="Wingdings" w:hAnsi="Wingdings" w:hint="default"/>
      </w:rPr>
    </w:lvl>
    <w:lvl w:ilvl="3" w:tplc="A48AC2D0" w:tentative="1">
      <w:start w:val="1"/>
      <w:numFmt w:val="bullet"/>
      <w:lvlText w:val=""/>
      <w:lvlJc w:val="left"/>
      <w:pPr>
        <w:ind w:left="2880" w:hanging="360"/>
      </w:pPr>
      <w:rPr>
        <w:rFonts w:ascii="Symbol" w:hAnsi="Symbol" w:hint="default"/>
      </w:rPr>
    </w:lvl>
    <w:lvl w:ilvl="4" w:tplc="19EE07A8" w:tentative="1">
      <w:start w:val="1"/>
      <w:numFmt w:val="bullet"/>
      <w:lvlText w:val="o"/>
      <w:lvlJc w:val="left"/>
      <w:pPr>
        <w:ind w:left="3600" w:hanging="360"/>
      </w:pPr>
      <w:rPr>
        <w:rFonts w:ascii="Courier New" w:hAnsi="Courier New" w:cs="Courier New" w:hint="default"/>
      </w:rPr>
    </w:lvl>
    <w:lvl w:ilvl="5" w:tplc="164485C8" w:tentative="1">
      <w:start w:val="1"/>
      <w:numFmt w:val="bullet"/>
      <w:lvlText w:val=""/>
      <w:lvlJc w:val="left"/>
      <w:pPr>
        <w:ind w:left="4320" w:hanging="360"/>
      </w:pPr>
      <w:rPr>
        <w:rFonts w:ascii="Wingdings" w:hAnsi="Wingdings" w:hint="default"/>
      </w:rPr>
    </w:lvl>
    <w:lvl w:ilvl="6" w:tplc="B428DC5A" w:tentative="1">
      <w:start w:val="1"/>
      <w:numFmt w:val="bullet"/>
      <w:lvlText w:val=""/>
      <w:lvlJc w:val="left"/>
      <w:pPr>
        <w:ind w:left="5040" w:hanging="360"/>
      </w:pPr>
      <w:rPr>
        <w:rFonts w:ascii="Symbol" w:hAnsi="Symbol" w:hint="default"/>
      </w:rPr>
    </w:lvl>
    <w:lvl w:ilvl="7" w:tplc="2BDC2442" w:tentative="1">
      <w:start w:val="1"/>
      <w:numFmt w:val="bullet"/>
      <w:lvlText w:val="o"/>
      <w:lvlJc w:val="left"/>
      <w:pPr>
        <w:ind w:left="5760" w:hanging="360"/>
      </w:pPr>
      <w:rPr>
        <w:rFonts w:ascii="Courier New" w:hAnsi="Courier New" w:cs="Courier New" w:hint="default"/>
      </w:rPr>
    </w:lvl>
    <w:lvl w:ilvl="8" w:tplc="6DB2C606"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602FE84"/>
    <w:lvl w:ilvl="0" w:tplc="EA3A37F2">
      <w:start w:val="1"/>
      <w:numFmt w:val="bullet"/>
      <w:lvlText w:val=""/>
      <w:lvlJc w:val="left"/>
      <w:pPr>
        <w:ind w:left="1080" w:hanging="720"/>
      </w:pPr>
      <w:rPr>
        <w:rFonts w:ascii="Symbol" w:hAnsi="Symbol" w:hint="default"/>
      </w:rPr>
    </w:lvl>
    <w:lvl w:ilvl="1" w:tplc="C8C23EB6">
      <w:start w:val="1"/>
      <w:numFmt w:val="bullet"/>
      <w:lvlText w:val="o"/>
      <w:lvlJc w:val="left"/>
      <w:pPr>
        <w:ind w:left="1440" w:hanging="360"/>
      </w:pPr>
      <w:rPr>
        <w:rFonts w:ascii="Courier New" w:hAnsi="Courier New" w:cs="Courier New" w:hint="default"/>
      </w:rPr>
    </w:lvl>
    <w:lvl w:ilvl="2" w:tplc="4822C214" w:tentative="1">
      <w:start w:val="1"/>
      <w:numFmt w:val="bullet"/>
      <w:lvlText w:val=""/>
      <w:lvlJc w:val="left"/>
      <w:pPr>
        <w:ind w:left="2160" w:hanging="360"/>
      </w:pPr>
      <w:rPr>
        <w:rFonts w:ascii="Wingdings" w:hAnsi="Wingdings" w:hint="default"/>
      </w:rPr>
    </w:lvl>
    <w:lvl w:ilvl="3" w:tplc="340C02BA" w:tentative="1">
      <w:start w:val="1"/>
      <w:numFmt w:val="bullet"/>
      <w:lvlText w:val=""/>
      <w:lvlJc w:val="left"/>
      <w:pPr>
        <w:ind w:left="2880" w:hanging="360"/>
      </w:pPr>
      <w:rPr>
        <w:rFonts w:ascii="Symbol" w:hAnsi="Symbol" w:hint="default"/>
      </w:rPr>
    </w:lvl>
    <w:lvl w:ilvl="4" w:tplc="149AB72C" w:tentative="1">
      <w:start w:val="1"/>
      <w:numFmt w:val="bullet"/>
      <w:lvlText w:val="o"/>
      <w:lvlJc w:val="left"/>
      <w:pPr>
        <w:ind w:left="3600" w:hanging="360"/>
      </w:pPr>
      <w:rPr>
        <w:rFonts w:ascii="Courier New" w:hAnsi="Courier New" w:cs="Courier New" w:hint="default"/>
      </w:rPr>
    </w:lvl>
    <w:lvl w:ilvl="5" w:tplc="BAB2DB62" w:tentative="1">
      <w:start w:val="1"/>
      <w:numFmt w:val="bullet"/>
      <w:lvlText w:val=""/>
      <w:lvlJc w:val="left"/>
      <w:pPr>
        <w:ind w:left="4320" w:hanging="360"/>
      </w:pPr>
      <w:rPr>
        <w:rFonts w:ascii="Wingdings" w:hAnsi="Wingdings" w:hint="default"/>
      </w:rPr>
    </w:lvl>
    <w:lvl w:ilvl="6" w:tplc="D03AFBEA" w:tentative="1">
      <w:start w:val="1"/>
      <w:numFmt w:val="bullet"/>
      <w:lvlText w:val=""/>
      <w:lvlJc w:val="left"/>
      <w:pPr>
        <w:ind w:left="5040" w:hanging="360"/>
      </w:pPr>
      <w:rPr>
        <w:rFonts w:ascii="Symbol" w:hAnsi="Symbol" w:hint="default"/>
      </w:rPr>
    </w:lvl>
    <w:lvl w:ilvl="7" w:tplc="03682018" w:tentative="1">
      <w:start w:val="1"/>
      <w:numFmt w:val="bullet"/>
      <w:lvlText w:val="o"/>
      <w:lvlJc w:val="left"/>
      <w:pPr>
        <w:ind w:left="5760" w:hanging="360"/>
      </w:pPr>
      <w:rPr>
        <w:rFonts w:ascii="Courier New" w:hAnsi="Courier New" w:cs="Courier New" w:hint="default"/>
      </w:rPr>
    </w:lvl>
    <w:lvl w:ilvl="8" w:tplc="82BAC21A" w:tentative="1">
      <w:start w:val="1"/>
      <w:numFmt w:val="bullet"/>
      <w:lvlText w:val=""/>
      <w:lvlJc w:val="left"/>
      <w:pPr>
        <w:ind w:left="6480" w:hanging="360"/>
      </w:pPr>
      <w:rPr>
        <w:rFonts w:ascii="Wingdings" w:hAnsi="Wingdings" w:hint="default"/>
      </w:rPr>
    </w:lvl>
  </w:abstractNum>
  <w:abstractNum w:abstractNumId="4" w15:restartNumberingAfterBreak="0">
    <w:nsid w:val="00000007"/>
    <w:multiLevelType w:val="hybridMultilevel"/>
    <w:tmpl w:val="69881882"/>
    <w:lvl w:ilvl="0" w:tplc="CED2F3E6">
      <w:start w:val="1"/>
      <w:numFmt w:val="decimal"/>
      <w:lvlText w:val="%1."/>
      <w:lvlJc w:val="left"/>
      <w:pPr>
        <w:ind w:left="720" w:hanging="360"/>
      </w:pPr>
      <w:rPr>
        <w:rFonts w:hint="default"/>
      </w:rPr>
    </w:lvl>
    <w:lvl w:ilvl="1" w:tplc="6F94EDD4" w:tentative="1">
      <w:start w:val="1"/>
      <w:numFmt w:val="lowerLetter"/>
      <w:lvlText w:val="%2."/>
      <w:lvlJc w:val="left"/>
      <w:pPr>
        <w:ind w:left="1440" w:hanging="360"/>
      </w:pPr>
    </w:lvl>
    <w:lvl w:ilvl="2" w:tplc="6F8A6B56" w:tentative="1">
      <w:start w:val="1"/>
      <w:numFmt w:val="lowerRoman"/>
      <w:lvlText w:val="%3."/>
      <w:lvlJc w:val="right"/>
      <w:pPr>
        <w:ind w:left="2160" w:hanging="180"/>
      </w:pPr>
    </w:lvl>
    <w:lvl w:ilvl="3" w:tplc="42B2F20C" w:tentative="1">
      <w:start w:val="1"/>
      <w:numFmt w:val="decimal"/>
      <w:lvlText w:val="%4."/>
      <w:lvlJc w:val="left"/>
      <w:pPr>
        <w:ind w:left="2880" w:hanging="360"/>
      </w:pPr>
    </w:lvl>
    <w:lvl w:ilvl="4" w:tplc="5C967AE4" w:tentative="1">
      <w:start w:val="1"/>
      <w:numFmt w:val="lowerLetter"/>
      <w:lvlText w:val="%5."/>
      <w:lvlJc w:val="left"/>
      <w:pPr>
        <w:ind w:left="3600" w:hanging="360"/>
      </w:pPr>
    </w:lvl>
    <w:lvl w:ilvl="5" w:tplc="1CEE5694" w:tentative="1">
      <w:start w:val="1"/>
      <w:numFmt w:val="lowerRoman"/>
      <w:lvlText w:val="%6."/>
      <w:lvlJc w:val="right"/>
      <w:pPr>
        <w:ind w:left="4320" w:hanging="180"/>
      </w:pPr>
    </w:lvl>
    <w:lvl w:ilvl="6" w:tplc="DCCE70BC" w:tentative="1">
      <w:start w:val="1"/>
      <w:numFmt w:val="decimal"/>
      <w:lvlText w:val="%7."/>
      <w:lvlJc w:val="left"/>
      <w:pPr>
        <w:ind w:left="5040" w:hanging="360"/>
      </w:pPr>
    </w:lvl>
    <w:lvl w:ilvl="7" w:tplc="640A45D8" w:tentative="1">
      <w:start w:val="1"/>
      <w:numFmt w:val="lowerLetter"/>
      <w:lvlText w:val="%8."/>
      <w:lvlJc w:val="left"/>
      <w:pPr>
        <w:ind w:left="5760" w:hanging="360"/>
      </w:pPr>
    </w:lvl>
    <w:lvl w:ilvl="8" w:tplc="FAB0B5E8" w:tentative="1">
      <w:start w:val="1"/>
      <w:numFmt w:val="lowerRoman"/>
      <w:lvlText w:val="%9."/>
      <w:lvlJc w:val="right"/>
      <w:pPr>
        <w:ind w:left="6480" w:hanging="180"/>
      </w:pPr>
    </w:lvl>
  </w:abstractNum>
  <w:abstractNum w:abstractNumId="5" w15:restartNumberingAfterBreak="0">
    <w:nsid w:val="00000008"/>
    <w:multiLevelType w:val="hybridMultilevel"/>
    <w:tmpl w:val="38161D60"/>
    <w:lvl w:ilvl="0" w:tplc="E79AAADC">
      <w:start w:val="1"/>
      <w:numFmt w:val="bullet"/>
      <w:lvlText w:val=""/>
      <w:lvlJc w:val="left"/>
      <w:pPr>
        <w:ind w:left="720" w:hanging="360"/>
      </w:pPr>
      <w:rPr>
        <w:rFonts w:ascii="Symbol" w:hAnsi="Symbol" w:hint="default"/>
      </w:rPr>
    </w:lvl>
    <w:lvl w:ilvl="1" w:tplc="4F4A4012" w:tentative="1">
      <w:start w:val="1"/>
      <w:numFmt w:val="bullet"/>
      <w:lvlText w:val="o"/>
      <w:lvlJc w:val="left"/>
      <w:pPr>
        <w:ind w:left="1440" w:hanging="360"/>
      </w:pPr>
      <w:rPr>
        <w:rFonts w:ascii="Courier New" w:hAnsi="Courier New" w:cs="Courier New" w:hint="default"/>
      </w:rPr>
    </w:lvl>
    <w:lvl w:ilvl="2" w:tplc="6C7AFD54" w:tentative="1">
      <w:start w:val="1"/>
      <w:numFmt w:val="bullet"/>
      <w:lvlText w:val=""/>
      <w:lvlJc w:val="left"/>
      <w:pPr>
        <w:ind w:left="2160" w:hanging="360"/>
      </w:pPr>
      <w:rPr>
        <w:rFonts w:ascii="Wingdings" w:hAnsi="Wingdings" w:hint="default"/>
      </w:rPr>
    </w:lvl>
    <w:lvl w:ilvl="3" w:tplc="2BCA399A" w:tentative="1">
      <w:start w:val="1"/>
      <w:numFmt w:val="bullet"/>
      <w:lvlText w:val=""/>
      <w:lvlJc w:val="left"/>
      <w:pPr>
        <w:ind w:left="2880" w:hanging="360"/>
      </w:pPr>
      <w:rPr>
        <w:rFonts w:ascii="Symbol" w:hAnsi="Symbol" w:hint="default"/>
      </w:rPr>
    </w:lvl>
    <w:lvl w:ilvl="4" w:tplc="2604CB56" w:tentative="1">
      <w:start w:val="1"/>
      <w:numFmt w:val="bullet"/>
      <w:lvlText w:val="o"/>
      <w:lvlJc w:val="left"/>
      <w:pPr>
        <w:ind w:left="3600" w:hanging="360"/>
      </w:pPr>
      <w:rPr>
        <w:rFonts w:ascii="Courier New" w:hAnsi="Courier New" w:cs="Courier New" w:hint="default"/>
      </w:rPr>
    </w:lvl>
    <w:lvl w:ilvl="5" w:tplc="4710B6AA" w:tentative="1">
      <w:start w:val="1"/>
      <w:numFmt w:val="bullet"/>
      <w:lvlText w:val=""/>
      <w:lvlJc w:val="left"/>
      <w:pPr>
        <w:ind w:left="4320" w:hanging="360"/>
      </w:pPr>
      <w:rPr>
        <w:rFonts w:ascii="Wingdings" w:hAnsi="Wingdings" w:hint="default"/>
      </w:rPr>
    </w:lvl>
    <w:lvl w:ilvl="6" w:tplc="1200C94A" w:tentative="1">
      <w:start w:val="1"/>
      <w:numFmt w:val="bullet"/>
      <w:lvlText w:val=""/>
      <w:lvlJc w:val="left"/>
      <w:pPr>
        <w:ind w:left="5040" w:hanging="360"/>
      </w:pPr>
      <w:rPr>
        <w:rFonts w:ascii="Symbol" w:hAnsi="Symbol" w:hint="default"/>
      </w:rPr>
    </w:lvl>
    <w:lvl w:ilvl="7" w:tplc="97064702" w:tentative="1">
      <w:start w:val="1"/>
      <w:numFmt w:val="bullet"/>
      <w:lvlText w:val="o"/>
      <w:lvlJc w:val="left"/>
      <w:pPr>
        <w:ind w:left="5760" w:hanging="360"/>
      </w:pPr>
      <w:rPr>
        <w:rFonts w:ascii="Courier New" w:hAnsi="Courier New" w:cs="Courier New" w:hint="default"/>
      </w:rPr>
    </w:lvl>
    <w:lvl w:ilvl="8" w:tplc="79D6A3B0" w:tentative="1">
      <w:start w:val="1"/>
      <w:numFmt w:val="bullet"/>
      <w:lvlText w:val=""/>
      <w:lvlJc w:val="left"/>
      <w:pPr>
        <w:ind w:left="6480" w:hanging="360"/>
      </w:pPr>
      <w:rPr>
        <w:rFonts w:ascii="Wingdings" w:hAnsi="Wingdings" w:hint="default"/>
      </w:rPr>
    </w:lvl>
  </w:abstractNum>
  <w:abstractNum w:abstractNumId="6" w15:restartNumberingAfterBreak="0">
    <w:nsid w:val="00000009"/>
    <w:multiLevelType w:val="hybridMultilevel"/>
    <w:tmpl w:val="A71C76C6"/>
    <w:lvl w:ilvl="0" w:tplc="11EE4916">
      <w:start w:val="1"/>
      <w:numFmt w:val="bullet"/>
      <w:lvlText w:val=""/>
      <w:lvlJc w:val="left"/>
      <w:pPr>
        <w:ind w:left="720" w:hanging="360"/>
      </w:pPr>
      <w:rPr>
        <w:rFonts w:ascii="Symbol" w:hAnsi="Symbol" w:hint="default"/>
      </w:rPr>
    </w:lvl>
    <w:lvl w:ilvl="1" w:tplc="587050E6">
      <w:start w:val="1"/>
      <w:numFmt w:val="bullet"/>
      <w:lvlText w:val="o"/>
      <w:lvlJc w:val="left"/>
      <w:pPr>
        <w:ind w:left="1440" w:hanging="360"/>
      </w:pPr>
      <w:rPr>
        <w:rFonts w:ascii="Courier New" w:hAnsi="Courier New" w:cs="Courier New" w:hint="default"/>
      </w:rPr>
    </w:lvl>
    <w:lvl w:ilvl="2" w:tplc="0282B2FA" w:tentative="1">
      <w:start w:val="1"/>
      <w:numFmt w:val="bullet"/>
      <w:lvlText w:val=""/>
      <w:lvlJc w:val="left"/>
      <w:pPr>
        <w:ind w:left="2160" w:hanging="360"/>
      </w:pPr>
      <w:rPr>
        <w:rFonts w:ascii="Wingdings" w:hAnsi="Wingdings" w:hint="default"/>
      </w:rPr>
    </w:lvl>
    <w:lvl w:ilvl="3" w:tplc="9E360C68" w:tentative="1">
      <w:start w:val="1"/>
      <w:numFmt w:val="bullet"/>
      <w:lvlText w:val=""/>
      <w:lvlJc w:val="left"/>
      <w:pPr>
        <w:ind w:left="2880" w:hanging="360"/>
      </w:pPr>
      <w:rPr>
        <w:rFonts w:ascii="Symbol" w:hAnsi="Symbol" w:hint="default"/>
      </w:rPr>
    </w:lvl>
    <w:lvl w:ilvl="4" w:tplc="6794F986" w:tentative="1">
      <w:start w:val="1"/>
      <w:numFmt w:val="bullet"/>
      <w:lvlText w:val="o"/>
      <w:lvlJc w:val="left"/>
      <w:pPr>
        <w:ind w:left="3600" w:hanging="360"/>
      </w:pPr>
      <w:rPr>
        <w:rFonts w:ascii="Courier New" w:hAnsi="Courier New" w:cs="Courier New" w:hint="default"/>
      </w:rPr>
    </w:lvl>
    <w:lvl w:ilvl="5" w:tplc="3B8E1482" w:tentative="1">
      <w:start w:val="1"/>
      <w:numFmt w:val="bullet"/>
      <w:lvlText w:val=""/>
      <w:lvlJc w:val="left"/>
      <w:pPr>
        <w:ind w:left="4320" w:hanging="360"/>
      </w:pPr>
      <w:rPr>
        <w:rFonts w:ascii="Wingdings" w:hAnsi="Wingdings" w:hint="default"/>
      </w:rPr>
    </w:lvl>
    <w:lvl w:ilvl="6" w:tplc="1D7ECBEC" w:tentative="1">
      <w:start w:val="1"/>
      <w:numFmt w:val="bullet"/>
      <w:lvlText w:val=""/>
      <w:lvlJc w:val="left"/>
      <w:pPr>
        <w:ind w:left="5040" w:hanging="360"/>
      </w:pPr>
      <w:rPr>
        <w:rFonts w:ascii="Symbol" w:hAnsi="Symbol" w:hint="default"/>
      </w:rPr>
    </w:lvl>
    <w:lvl w:ilvl="7" w:tplc="AD2AC1AA" w:tentative="1">
      <w:start w:val="1"/>
      <w:numFmt w:val="bullet"/>
      <w:lvlText w:val="o"/>
      <w:lvlJc w:val="left"/>
      <w:pPr>
        <w:ind w:left="5760" w:hanging="360"/>
      </w:pPr>
      <w:rPr>
        <w:rFonts w:ascii="Courier New" w:hAnsi="Courier New" w:cs="Courier New" w:hint="default"/>
      </w:rPr>
    </w:lvl>
    <w:lvl w:ilvl="8" w:tplc="16344242" w:tentative="1">
      <w:start w:val="1"/>
      <w:numFmt w:val="bullet"/>
      <w:lvlText w:val=""/>
      <w:lvlJc w:val="left"/>
      <w:pPr>
        <w:ind w:left="6480" w:hanging="360"/>
      </w:pPr>
      <w:rPr>
        <w:rFonts w:ascii="Wingdings" w:hAnsi="Wingdings" w:hint="default"/>
      </w:rPr>
    </w:lvl>
  </w:abstractNum>
  <w:abstractNum w:abstractNumId="7" w15:restartNumberingAfterBreak="0">
    <w:nsid w:val="0000000A"/>
    <w:multiLevelType w:val="hybridMultilevel"/>
    <w:tmpl w:val="E0DAB9B2"/>
    <w:lvl w:ilvl="0" w:tplc="9DDC94C4">
      <w:start w:val="1"/>
      <w:numFmt w:val="bullet"/>
      <w:lvlText w:val=""/>
      <w:lvlJc w:val="left"/>
      <w:pPr>
        <w:ind w:left="1168" w:hanging="360"/>
      </w:pPr>
      <w:rPr>
        <w:rFonts w:ascii="Symbol" w:hAnsi="Symbol" w:hint="default"/>
      </w:rPr>
    </w:lvl>
    <w:lvl w:ilvl="1" w:tplc="8B387B0A" w:tentative="1">
      <w:start w:val="1"/>
      <w:numFmt w:val="bullet"/>
      <w:lvlText w:val="o"/>
      <w:lvlJc w:val="left"/>
      <w:pPr>
        <w:ind w:left="1888" w:hanging="360"/>
      </w:pPr>
      <w:rPr>
        <w:rFonts w:ascii="Courier New" w:hAnsi="Courier New" w:cs="Courier New" w:hint="default"/>
      </w:rPr>
    </w:lvl>
    <w:lvl w:ilvl="2" w:tplc="973C62C4" w:tentative="1">
      <w:start w:val="1"/>
      <w:numFmt w:val="bullet"/>
      <w:lvlText w:val=""/>
      <w:lvlJc w:val="left"/>
      <w:pPr>
        <w:ind w:left="2608" w:hanging="360"/>
      </w:pPr>
      <w:rPr>
        <w:rFonts w:ascii="Wingdings" w:hAnsi="Wingdings" w:hint="default"/>
      </w:rPr>
    </w:lvl>
    <w:lvl w:ilvl="3" w:tplc="9088504C" w:tentative="1">
      <w:start w:val="1"/>
      <w:numFmt w:val="bullet"/>
      <w:lvlText w:val=""/>
      <w:lvlJc w:val="left"/>
      <w:pPr>
        <w:ind w:left="3328" w:hanging="360"/>
      </w:pPr>
      <w:rPr>
        <w:rFonts w:ascii="Symbol" w:hAnsi="Symbol" w:hint="default"/>
      </w:rPr>
    </w:lvl>
    <w:lvl w:ilvl="4" w:tplc="C600936E" w:tentative="1">
      <w:start w:val="1"/>
      <w:numFmt w:val="bullet"/>
      <w:lvlText w:val="o"/>
      <w:lvlJc w:val="left"/>
      <w:pPr>
        <w:ind w:left="4048" w:hanging="360"/>
      </w:pPr>
      <w:rPr>
        <w:rFonts w:ascii="Courier New" w:hAnsi="Courier New" w:cs="Courier New" w:hint="default"/>
      </w:rPr>
    </w:lvl>
    <w:lvl w:ilvl="5" w:tplc="719E4B98" w:tentative="1">
      <w:start w:val="1"/>
      <w:numFmt w:val="bullet"/>
      <w:lvlText w:val=""/>
      <w:lvlJc w:val="left"/>
      <w:pPr>
        <w:ind w:left="4768" w:hanging="360"/>
      </w:pPr>
      <w:rPr>
        <w:rFonts w:ascii="Wingdings" w:hAnsi="Wingdings" w:hint="default"/>
      </w:rPr>
    </w:lvl>
    <w:lvl w:ilvl="6" w:tplc="8B76D548" w:tentative="1">
      <w:start w:val="1"/>
      <w:numFmt w:val="bullet"/>
      <w:lvlText w:val=""/>
      <w:lvlJc w:val="left"/>
      <w:pPr>
        <w:ind w:left="5488" w:hanging="360"/>
      </w:pPr>
      <w:rPr>
        <w:rFonts w:ascii="Symbol" w:hAnsi="Symbol" w:hint="default"/>
      </w:rPr>
    </w:lvl>
    <w:lvl w:ilvl="7" w:tplc="B61E3BEE" w:tentative="1">
      <w:start w:val="1"/>
      <w:numFmt w:val="bullet"/>
      <w:lvlText w:val="o"/>
      <w:lvlJc w:val="left"/>
      <w:pPr>
        <w:ind w:left="6208" w:hanging="360"/>
      </w:pPr>
      <w:rPr>
        <w:rFonts w:ascii="Courier New" w:hAnsi="Courier New" w:cs="Courier New" w:hint="default"/>
      </w:rPr>
    </w:lvl>
    <w:lvl w:ilvl="8" w:tplc="7ED65734" w:tentative="1">
      <w:start w:val="1"/>
      <w:numFmt w:val="bullet"/>
      <w:lvlText w:val=""/>
      <w:lvlJc w:val="left"/>
      <w:pPr>
        <w:ind w:left="6928" w:hanging="360"/>
      </w:pPr>
      <w:rPr>
        <w:rFonts w:ascii="Wingdings" w:hAnsi="Wingdings" w:hint="default"/>
      </w:rPr>
    </w:lvl>
  </w:abstractNum>
  <w:abstractNum w:abstractNumId="8" w15:restartNumberingAfterBreak="0">
    <w:nsid w:val="0000000B"/>
    <w:multiLevelType w:val="hybridMultilevel"/>
    <w:tmpl w:val="AC502834"/>
    <w:lvl w:ilvl="0" w:tplc="26CA5F74">
      <w:start w:val="6"/>
      <w:numFmt w:val="decimal"/>
      <w:lvlText w:val="%1"/>
      <w:lvlJc w:val="left"/>
      <w:pPr>
        <w:ind w:left="928" w:hanging="360"/>
      </w:pPr>
      <w:rPr>
        <w:rFonts w:hint="default"/>
      </w:rPr>
    </w:lvl>
    <w:lvl w:ilvl="1" w:tplc="48F2EBB8" w:tentative="1">
      <w:start w:val="1"/>
      <w:numFmt w:val="lowerLetter"/>
      <w:lvlText w:val="%2."/>
      <w:lvlJc w:val="left"/>
      <w:pPr>
        <w:ind w:left="1648" w:hanging="360"/>
      </w:pPr>
    </w:lvl>
    <w:lvl w:ilvl="2" w:tplc="B8563A36" w:tentative="1">
      <w:start w:val="1"/>
      <w:numFmt w:val="lowerRoman"/>
      <w:lvlText w:val="%3."/>
      <w:lvlJc w:val="right"/>
      <w:pPr>
        <w:ind w:left="2368" w:hanging="180"/>
      </w:pPr>
    </w:lvl>
    <w:lvl w:ilvl="3" w:tplc="A31CEB1A" w:tentative="1">
      <w:start w:val="1"/>
      <w:numFmt w:val="decimal"/>
      <w:lvlText w:val="%4."/>
      <w:lvlJc w:val="left"/>
      <w:pPr>
        <w:ind w:left="3088" w:hanging="360"/>
      </w:pPr>
    </w:lvl>
    <w:lvl w:ilvl="4" w:tplc="E1D44096" w:tentative="1">
      <w:start w:val="1"/>
      <w:numFmt w:val="lowerLetter"/>
      <w:lvlText w:val="%5."/>
      <w:lvlJc w:val="left"/>
      <w:pPr>
        <w:ind w:left="3808" w:hanging="360"/>
      </w:pPr>
    </w:lvl>
    <w:lvl w:ilvl="5" w:tplc="17C080BE" w:tentative="1">
      <w:start w:val="1"/>
      <w:numFmt w:val="lowerRoman"/>
      <w:lvlText w:val="%6."/>
      <w:lvlJc w:val="right"/>
      <w:pPr>
        <w:ind w:left="4528" w:hanging="180"/>
      </w:pPr>
    </w:lvl>
    <w:lvl w:ilvl="6" w:tplc="7A742444" w:tentative="1">
      <w:start w:val="1"/>
      <w:numFmt w:val="decimal"/>
      <w:lvlText w:val="%7."/>
      <w:lvlJc w:val="left"/>
      <w:pPr>
        <w:ind w:left="5248" w:hanging="360"/>
      </w:pPr>
    </w:lvl>
    <w:lvl w:ilvl="7" w:tplc="C8562344" w:tentative="1">
      <w:start w:val="1"/>
      <w:numFmt w:val="lowerLetter"/>
      <w:lvlText w:val="%8."/>
      <w:lvlJc w:val="left"/>
      <w:pPr>
        <w:ind w:left="5968" w:hanging="360"/>
      </w:pPr>
    </w:lvl>
    <w:lvl w:ilvl="8" w:tplc="74AEC62A" w:tentative="1">
      <w:start w:val="1"/>
      <w:numFmt w:val="lowerRoman"/>
      <w:lvlText w:val="%9."/>
      <w:lvlJc w:val="right"/>
      <w:pPr>
        <w:ind w:left="6688" w:hanging="180"/>
      </w:pPr>
    </w:lvl>
  </w:abstractNum>
  <w:abstractNum w:abstractNumId="9" w15:restartNumberingAfterBreak="0">
    <w:nsid w:val="0000000C"/>
    <w:multiLevelType w:val="multilevel"/>
    <w:tmpl w:val="26F26CE2"/>
    <w:name w:val="WW8Num12"/>
    <w:lvl w:ilvl="0">
      <w:start w:val="1"/>
      <w:numFmt w:val="bullet"/>
      <w:lvlText w:val=""/>
      <w:lvlJc w:val="left"/>
      <w:pPr>
        <w:tabs>
          <w:tab w:val="num" w:pos="1080"/>
        </w:tabs>
        <w:ind w:left="1080" w:hanging="360"/>
      </w:pPr>
      <w:rPr>
        <w:rFonts w:ascii="Symbol" w:hAnsi="Symbol" w:cs="Arial" w:hint="default"/>
      </w:rPr>
    </w:lvl>
    <w:lvl w:ilvl="1">
      <w:start w:val="4"/>
      <w:numFmt w:val="bullet"/>
      <w:lvlText w:val="-"/>
      <w:lvlJc w:val="left"/>
      <w:pPr>
        <w:tabs>
          <w:tab w:val="num" w:pos="1800"/>
        </w:tabs>
        <w:ind w:left="1800" w:hanging="360"/>
      </w:pPr>
      <w:rPr>
        <w:rFonts w:ascii="Verdana" w:eastAsia="Times New Roman" w:hAnsi="Verdana" w:cs="Arial" w:hint="default"/>
        <w:b w:val="0"/>
        <w:i w:val="0"/>
      </w:rPr>
    </w:lvl>
    <w:lvl w:ilvl="2">
      <w:start w:val="1"/>
      <w:numFmt w:val="bullet"/>
      <w:lvlText w:val=""/>
      <w:lvlJc w:val="left"/>
      <w:pPr>
        <w:tabs>
          <w:tab w:val="num" w:pos="2700"/>
        </w:tabs>
        <w:ind w:left="2700" w:hanging="360"/>
      </w:pPr>
      <w:rPr>
        <w:rFonts w:ascii="Symbol" w:hAnsi="Symbol" w:cs="Symbol" w:hint="default"/>
      </w:rPr>
    </w:lvl>
    <w:lvl w:ilvl="3">
      <w:start w:val="8"/>
      <w:numFmt w:val="decimal"/>
      <w:lvlText w:val="%4."/>
      <w:lvlJc w:val="left"/>
      <w:pPr>
        <w:tabs>
          <w:tab w:val="num" w:pos="72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CC4AE6"/>
    <w:multiLevelType w:val="hybridMultilevel"/>
    <w:tmpl w:val="2BD845B8"/>
    <w:lvl w:ilvl="0" w:tplc="08090001">
      <w:start w:val="1"/>
      <w:numFmt w:val="bullet"/>
      <w:lvlText w:val=""/>
      <w:lvlJc w:val="left"/>
      <w:pPr>
        <w:ind w:left="5606" w:hanging="360"/>
      </w:pPr>
      <w:rPr>
        <w:rFonts w:ascii="Symbol" w:hAnsi="Symbol" w:hint="default"/>
      </w:rPr>
    </w:lvl>
    <w:lvl w:ilvl="1" w:tplc="9B106274" w:tentative="1">
      <w:start w:val="1"/>
      <w:numFmt w:val="lowerLetter"/>
      <w:lvlText w:val="%2."/>
      <w:lvlJc w:val="left"/>
      <w:pPr>
        <w:ind w:left="1800" w:hanging="360"/>
      </w:pPr>
    </w:lvl>
    <w:lvl w:ilvl="2" w:tplc="81923730" w:tentative="1">
      <w:start w:val="1"/>
      <w:numFmt w:val="lowerRoman"/>
      <w:lvlText w:val="%3."/>
      <w:lvlJc w:val="right"/>
      <w:pPr>
        <w:ind w:left="2520" w:hanging="180"/>
      </w:pPr>
    </w:lvl>
    <w:lvl w:ilvl="3" w:tplc="86D62062" w:tentative="1">
      <w:start w:val="1"/>
      <w:numFmt w:val="decimal"/>
      <w:lvlText w:val="%4."/>
      <w:lvlJc w:val="left"/>
      <w:pPr>
        <w:ind w:left="3240" w:hanging="360"/>
      </w:pPr>
    </w:lvl>
    <w:lvl w:ilvl="4" w:tplc="B066EA7E" w:tentative="1">
      <w:start w:val="1"/>
      <w:numFmt w:val="lowerLetter"/>
      <w:lvlText w:val="%5."/>
      <w:lvlJc w:val="left"/>
      <w:pPr>
        <w:ind w:left="3960" w:hanging="360"/>
      </w:pPr>
    </w:lvl>
    <w:lvl w:ilvl="5" w:tplc="AB8C8D2A" w:tentative="1">
      <w:start w:val="1"/>
      <w:numFmt w:val="lowerRoman"/>
      <w:lvlText w:val="%6."/>
      <w:lvlJc w:val="right"/>
      <w:pPr>
        <w:ind w:left="4680" w:hanging="180"/>
      </w:pPr>
    </w:lvl>
    <w:lvl w:ilvl="6" w:tplc="F03CD366" w:tentative="1">
      <w:start w:val="1"/>
      <w:numFmt w:val="decimal"/>
      <w:lvlText w:val="%7."/>
      <w:lvlJc w:val="left"/>
      <w:pPr>
        <w:ind w:left="5400" w:hanging="360"/>
      </w:pPr>
    </w:lvl>
    <w:lvl w:ilvl="7" w:tplc="AD9E28B8" w:tentative="1">
      <w:start w:val="1"/>
      <w:numFmt w:val="lowerLetter"/>
      <w:lvlText w:val="%8."/>
      <w:lvlJc w:val="left"/>
      <w:pPr>
        <w:ind w:left="6120" w:hanging="360"/>
      </w:pPr>
    </w:lvl>
    <w:lvl w:ilvl="8" w:tplc="95A680AE" w:tentative="1">
      <w:start w:val="1"/>
      <w:numFmt w:val="lowerRoman"/>
      <w:lvlText w:val="%9."/>
      <w:lvlJc w:val="right"/>
      <w:pPr>
        <w:ind w:left="6840" w:hanging="180"/>
      </w:pPr>
    </w:lvl>
  </w:abstractNum>
  <w:abstractNum w:abstractNumId="11" w15:restartNumberingAfterBreak="0">
    <w:nsid w:val="02372D0B"/>
    <w:multiLevelType w:val="multilevel"/>
    <w:tmpl w:val="03507B0E"/>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1.%2"/>
      <w:lvlJc w:val="left"/>
      <w:pPr>
        <w:tabs>
          <w:tab w:val="num" w:pos="720"/>
        </w:tabs>
        <w:ind w:left="720" w:hanging="720"/>
      </w:pPr>
      <w:rPr>
        <w:rFonts w:ascii="Calibri" w:hAnsi="Calibri" w:cs="Arial" w:hint="default"/>
        <w:color w:val="auto"/>
        <w:sz w:val="22"/>
        <w:szCs w:val="22"/>
      </w:rPr>
    </w:lvl>
    <w:lvl w:ilvl="2">
      <w:start w:val="1"/>
      <w:numFmt w:val="decimal"/>
      <w:lvlText w:val="%1.%2.%3"/>
      <w:lvlJc w:val="left"/>
      <w:pPr>
        <w:tabs>
          <w:tab w:val="num" w:pos="720"/>
        </w:tabs>
        <w:ind w:left="720" w:hanging="720"/>
      </w:pPr>
      <w:rPr>
        <w:rFonts w:ascii="Symbol" w:hAnsi="Symbol" w:cs="Symbol" w:hint="default"/>
        <w:sz w:val="22"/>
        <w:szCs w:val="22"/>
      </w:rPr>
    </w:lvl>
    <w:lvl w:ilvl="3">
      <w:start w:val="1"/>
      <w:numFmt w:val="decimal"/>
      <w:lvlText w:val="%1.%2.%3.%4"/>
      <w:lvlJc w:val="left"/>
      <w:pPr>
        <w:tabs>
          <w:tab w:val="num" w:pos="1080"/>
        </w:tabs>
        <w:ind w:left="1080" w:hanging="1080"/>
      </w:pPr>
      <w:rPr>
        <w:rFonts w:ascii="Symbol" w:hAnsi="Symbol" w:cs="Symbol" w:hint="default"/>
        <w:sz w:val="22"/>
        <w:szCs w:val="22"/>
      </w:rPr>
    </w:lvl>
    <w:lvl w:ilvl="4">
      <w:start w:val="1"/>
      <w:numFmt w:val="decimal"/>
      <w:lvlText w:val="%1.%2.%3.%4.%5"/>
      <w:lvlJc w:val="left"/>
      <w:pPr>
        <w:tabs>
          <w:tab w:val="num" w:pos="1440"/>
        </w:tabs>
        <w:ind w:left="1440" w:hanging="1440"/>
      </w:pPr>
      <w:rPr>
        <w:rFonts w:ascii="Symbol" w:hAnsi="Symbol" w:cs="Symbol" w:hint="default"/>
        <w:sz w:val="22"/>
        <w:szCs w:val="22"/>
      </w:rPr>
    </w:lvl>
    <w:lvl w:ilvl="5">
      <w:start w:val="1"/>
      <w:numFmt w:val="decimal"/>
      <w:lvlText w:val="%1.%2.%3.%4.%5.%6"/>
      <w:lvlJc w:val="left"/>
      <w:pPr>
        <w:tabs>
          <w:tab w:val="num" w:pos="1800"/>
        </w:tabs>
        <w:ind w:left="1800" w:hanging="1800"/>
      </w:pPr>
      <w:rPr>
        <w:rFonts w:ascii="Symbol" w:hAnsi="Symbol" w:cs="Symbol" w:hint="default"/>
        <w:sz w:val="22"/>
        <w:szCs w:val="22"/>
      </w:rPr>
    </w:lvl>
    <w:lvl w:ilvl="6">
      <w:start w:val="1"/>
      <w:numFmt w:val="decimal"/>
      <w:lvlText w:val="%1.%2.%3.%4.%5.%6.%7"/>
      <w:lvlJc w:val="left"/>
      <w:pPr>
        <w:tabs>
          <w:tab w:val="num" w:pos="1800"/>
        </w:tabs>
        <w:ind w:left="1800" w:hanging="1800"/>
      </w:pPr>
      <w:rPr>
        <w:rFonts w:ascii="Symbol" w:hAnsi="Symbol" w:cs="Symbol" w:hint="default"/>
        <w:sz w:val="22"/>
        <w:szCs w:val="22"/>
      </w:rPr>
    </w:lvl>
    <w:lvl w:ilvl="7">
      <w:start w:val="1"/>
      <w:numFmt w:val="decimal"/>
      <w:lvlText w:val="%1.%2.%3.%4.%5.%6.%7.%8"/>
      <w:lvlJc w:val="left"/>
      <w:pPr>
        <w:tabs>
          <w:tab w:val="num" w:pos="2160"/>
        </w:tabs>
        <w:ind w:left="2160" w:hanging="2160"/>
      </w:pPr>
      <w:rPr>
        <w:rFonts w:ascii="Symbol" w:hAnsi="Symbol" w:cs="Symbol" w:hint="default"/>
        <w:sz w:val="22"/>
        <w:szCs w:val="22"/>
      </w:rPr>
    </w:lvl>
    <w:lvl w:ilvl="8">
      <w:start w:val="1"/>
      <w:numFmt w:val="decimal"/>
      <w:lvlText w:val="%1.%2.%3.%4.%5.%6.%7.%8.%9"/>
      <w:lvlJc w:val="left"/>
      <w:pPr>
        <w:tabs>
          <w:tab w:val="num" w:pos="2520"/>
        </w:tabs>
        <w:ind w:left="2520" w:hanging="2520"/>
      </w:pPr>
      <w:rPr>
        <w:rFonts w:ascii="Symbol" w:hAnsi="Symbol" w:cs="Symbol" w:hint="default"/>
        <w:sz w:val="22"/>
        <w:szCs w:val="22"/>
      </w:rPr>
    </w:lvl>
  </w:abstractNum>
  <w:abstractNum w:abstractNumId="12" w15:restartNumberingAfterBreak="0">
    <w:nsid w:val="0D954E5D"/>
    <w:multiLevelType w:val="hybridMultilevel"/>
    <w:tmpl w:val="21B23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12D1AF4"/>
    <w:multiLevelType w:val="hybridMultilevel"/>
    <w:tmpl w:val="53B6E696"/>
    <w:lvl w:ilvl="0" w:tplc="08090001">
      <w:start w:val="1"/>
      <w:numFmt w:val="bullet"/>
      <w:lvlText w:val=""/>
      <w:lvlJc w:val="left"/>
      <w:pPr>
        <w:ind w:left="1080" w:hanging="360"/>
      </w:pPr>
      <w:rPr>
        <w:rFonts w:ascii="Symbol" w:hAnsi="Symbol" w:hint="default"/>
      </w:rPr>
    </w:lvl>
    <w:lvl w:ilvl="1" w:tplc="48F2EBB8" w:tentative="1">
      <w:start w:val="1"/>
      <w:numFmt w:val="lowerLetter"/>
      <w:lvlText w:val="%2."/>
      <w:lvlJc w:val="left"/>
      <w:pPr>
        <w:ind w:left="1800" w:hanging="360"/>
      </w:pPr>
    </w:lvl>
    <w:lvl w:ilvl="2" w:tplc="B8563A36" w:tentative="1">
      <w:start w:val="1"/>
      <w:numFmt w:val="lowerRoman"/>
      <w:lvlText w:val="%3."/>
      <w:lvlJc w:val="right"/>
      <w:pPr>
        <w:ind w:left="2520" w:hanging="180"/>
      </w:pPr>
    </w:lvl>
    <w:lvl w:ilvl="3" w:tplc="A31CEB1A" w:tentative="1">
      <w:start w:val="1"/>
      <w:numFmt w:val="decimal"/>
      <w:lvlText w:val="%4."/>
      <w:lvlJc w:val="left"/>
      <w:pPr>
        <w:ind w:left="3240" w:hanging="360"/>
      </w:pPr>
    </w:lvl>
    <w:lvl w:ilvl="4" w:tplc="E1D44096" w:tentative="1">
      <w:start w:val="1"/>
      <w:numFmt w:val="lowerLetter"/>
      <w:lvlText w:val="%5."/>
      <w:lvlJc w:val="left"/>
      <w:pPr>
        <w:ind w:left="3960" w:hanging="360"/>
      </w:pPr>
    </w:lvl>
    <w:lvl w:ilvl="5" w:tplc="17C080BE" w:tentative="1">
      <w:start w:val="1"/>
      <w:numFmt w:val="lowerRoman"/>
      <w:lvlText w:val="%6."/>
      <w:lvlJc w:val="right"/>
      <w:pPr>
        <w:ind w:left="4680" w:hanging="180"/>
      </w:pPr>
    </w:lvl>
    <w:lvl w:ilvl="6" w:tplc="7A742444" w:tentative="1">
      <w:start w:val="1"/>
      <w:numFmt w:val="decimal"/>
      <w:lvlText w:val="%7."/>
      <w:lvlJc w:val="left"/>
      <w:pPr>
        <w:ind w:left="5400" w:hanging="360"/>
      </w:pPr>
    </w:lvl>
    <w:lvl w:ilvl="7" w:tplc="C8562344" w:tentative="1">
      <w:start w:val="1"/>
      <w:numFmt w:val="lowerLetter"/>
      <w:lvlText w:val="%8."/>
      <w:lvlJc w:val="left"/>
      <w:pPr>
        <w:ind w:left="6120" w:hanging="360"/>
      </w:pPr>
    </w:lvl>
    <w:lvl w:ilvl="8" w:tplc="74AEC62A" w:tentative="1">
      <w:start w:val="1"/>
      <w:numFmt w:val="lowerRoman"/>
      <w:lvlText w:val="%9."/>
      <w:lvlJc w:val="right"/>
      <w:pPr>
        <w:ind w:left="6840" w:hanging="180"/>
      </w:pPr>
    </w:lvl>
  </w:abstractNum>
  <w:abstractNum w:abstractNumId="14" w15:restartNumberingAfterBreak="0">
    <w:nsid w:val="120152D6"/>
    <w:multiLevelType w:val="hybridMultilevel"/>
    <w:tmpl w:val="582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05752"/>
    <w:multiLevelType w:val="hybridMultilevel"/>
    <w:tmpl w:val="3E163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A333AF5"/>
    <w:multiLevelType w:val="hybridMultilevel"/>
    <w:tmpl w:val="09D211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102C3A"/>
    <w:multiLevelType w:val="hybridMultilevel"/>
    <w:tmpl w:val="BD38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99306F"/>
    <w:multiLevelType w:val="hybridMultilevel"/>
    <w:tmpl w:val="90DCAE56"/>
    <w:name w:val="WW8Num42"/>
    <w:lvl w:ilvl="0" w:tplc="10620580">
      <w:start w:val="5"/>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7EB1C40"/>
    <w:multiLevelType w:val="hybridMultilevel"/>
    <w:tmpl w:val="E2D48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DB03CC"/>
    <w:multiLevelType w:val="hybridMultilevel"/>
    <w:tmpl w:val="A71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04A07"/>
    <w:multiLevelType w:val="hybridMultilevel"/>
    <w:tmpl w:val="73364AD4"/>
    <w:lvl w:ilvl="0" w:tplc="08090001">
      <w:start w:val="1"/>
      <w:numFmt w:val="bullet"/>
      <w:lvlText w:val=""/>
      <w:lvlJc w:val="left"/>
      <w:pPr>
        <w:ind w:left="360" w:hanging="360"/>
      </w:pPr>
      <w:rPr>
        <w:rFonts w:ascii="Symbol" w:hAnsi="Symbol" w:hint="default"/>
      </w:rPr>
    </w:lvl>
    <w:lvl w:ilvl="1" w:tplc="9B106274" w:tentative="1">
      <w:start w:val="1"/>
      <w:numFmt w:val="lowerLetter"/>
      <w:lvlText w:val="%2."/>
      <w:lvlJc w:val="left"/>
      <w:pPr>
        <w:ind w:left="-3446" w:hanging="360"/>
      </w:pPr>
    </w:lvl>
    <w:lvl w:ilvl="2" w:tplc="81923730" w:tentative="1">
      <w:start w:val="1"/>
      <w:numFmt w:val="lowerRoman"/>
      <w:lvlText w:val="%3."/>
      <w:lvlJc w:val="right"/>
      <w:pPr>
        <w:ind w:left="-2726" w:hanging="180"/>
      </w:pPr>
    </w:lvl>
    <w:lvl w:ilvl="3" w:tplc="86D62062" w:tentative="1">
      <w:start w:val="1"/>
      <w:numFmt w:val="decimal"/>
      <w:lvlText w:val="%4."/>
      <w:lvlJc w:val="left"/>
      <w:pPr>
        <w:ind w:left="-2006" w:hanging="360"/>
      </w:pPr>
    </w:lvl>
    <w:lvl w:ilvl="4" w:tplc="B066EA7E" w:tentative="1">
      <w:start w:val="1"/>
      <w:numFmt w:val="lowerLetter"/>
      <w:lvlText w:val="%5."/>
      <w:lvlJc w:val="left"/>
      <w:pPr>
        <w:ind w:left="-1286" w:hanging="360"/>
      </w:pPr>
    </w:lvl>
    <w:lvl w:ilvl="5" w:tplc="AB8C8D2A" w:tentative="1">
      <w:start w:val="1"/>
      <w:numFmt w:val="lowerRoman"/>
      <w:lvlText w:val="%6."/>
      <w:lvlJc w:val="right"/>
      <w:pPr>
        <w:ind w:left="-566" w:hanging="180"/>
      </w:pPr>
    </w:lvl>
    <w:lvl w:ilvl="6" w:tplc="F03CD366" w:tentative="1">
      <w:start w:val="1"/>
      <w:numFmt w:val="decimal"/>
      <w:lvlText w:val="%7."/>
      <w:lvlJc w:val="left"/>
      <w:pPr>
        <w:ind w:left="154" w:hanging="360"/>
      </w:pPr>
    </w:lvl>
    <w:lvl w:ilvl="7" w:tplc="AD9E28B8" w:tentative="1">
      <w:start w:val="1"/>
      <w:numFmt w:val="lowerLetter"/>
      <w:lvlText w:val="%8."/>
      <w:lvlJc w:val="left"/>
      <w:pPr>
        <w:ind w:left="874" w:hanging="360"/>
      </w:pPr>
    </w:lvl>
    <w:lvl w:ilvl="8" w:tplc="95A680AE" w:tentative="1">
      <w:start w:val="1"/>
      <w:numFmt w:val="lowerRoman"/>
      <w:lvlText w:val="%9."/>
      <w:lvlJc w:val="right"/>
      <w:pPr>
        <w:ind w:left="1594" w:hanging="180"/>
      </w:pPr>
    </w:lvl>
  </w:abstractNum>
  <w:abstractNum w:abstractNumId="22" w15:restartNumberingAfterBreak="0">
    <w:nsid w:val="385E299C"/>
    <w:multiLevelType w:val="hybridMultilevel"/>
    <w:tmpl w:val="69881882"/>
    <w:lvl w:ilvl="0" w:tplc="CED2F3E6">
      <w:start w:val="1"/>
      <w:numFmt w:val="decimal"/>
      <w:lvlText w:val="%1."/>
      <w:lvlJc w:val="left"/>
      <w:pPr>
        <w:ind w:left="720" w:hanging="360"/>
      </w:pPr>
      <w:rPr>
        <w:rFonts w:hint="default"/>
      </w:rPr>
    </w:lvl>
    <w:lvl w:ilvl="1" w:tplc="6F94EDD4" w:tentative="1">
      <w:start w:val="1"/>
      <w:numFmt w:val="lowerLetter"/>
      <w:lvlText w:val="%2."/>
      <w:lvlJc w:val="left"/>
      <w:pPr>
        <w:ind w:left="1440" w:hanging="360"/>
      </w:pPr>
    </w:lvl>
    <w:lvl w:ilvl="2" w:tplc="6F8A6B56" w:tentative="1">
      <w:start w:val="1"/>
      <w:numFmt w:val="lowerRoman"/>
      <w:lvlText w:val="%3."/>
      <w:lvlJc w:val="right"/>
      <w:pPr>
        <w:ind w:left="2160" w:hanging="180"/>
      </w:pPr>
    </w:lvl>
    <w:lvl w:ilvl="3" w:tplc="42B2F20C" w:tentative="1">
      <w:start w:val="1"/>
      <w:numFmt w:val="decimal"/>
      <w:lvlText w:val="%4."/>
      <w:lvlJc w:val="left"/>
      <w:pPr>
        <w:ind w:left="2880" w:hanging="360"/>
      </w:pPr>
    </w:lvl>
    <w:lvl w:ilvl="4" w:tplc="5C967AE4" w:tentative="1">
      <w:start w:val="1"/>
      <w:numFmt w:val="lowerLetter"/>
      <w:lvlText w:val="%5."/>
      <w:lvlJc w:val="left"/>
      <w:pPr>
        <w:ind w:left="3600" w:hanging="360"/>
      </w:pPr>
    </w:lvl>
    <w:lvl w:ilvl="5" w:tplc="1CEE5694" w:tentative="1">
      <w:start w:val="1"/>
      <w:numFmt w:val="lowerRoman"/>
      <w:lvlText w:val="%6."/>
      <w:lvlJc w:val="right"/>
      <w:pPr>
        <w:ind w:left="4320" w:hanging="180"/>
      </w:pPr>
    </w:lvl>
    <w:lvl w:ilvl="6" w:tplc="DCCE70BC" w:tentative="1">
      <w:start w:val="1"/>
      <w:numFmt w:val="decimal"/>
      <w:lvlText w:val="%7."/>
      <w:lvlJc w:val="left"/>
      <w:pPr>
        <w:ind w:left="5040" w:hanging="360"/>
      </w:pPr>
    </w:lvl>
    <w:lvl w:ilvl="7" w:tplc="640A45D8" w:tentative="1">
      <w:start w:val="1"/>
      <w:numFmt w:val="lowerLetter"/>
      <w:lvlText w:val="%8."/>
      <w:lvlJc w:val="left"/>
      <w:pPr>
        <w:ind w:left="5760" w:hanging="360"/>
      </w:pPr>
    </w:lvl>
    <w:lvl w:ilvl="8" w:tplc="FAB0B5E8" w:tentative="1">
      <w:start w:val="1"/>
      <w:numFmt w:val="lowerRoman"/>
      <w:lvlText w:val="%9."/>
      <w:lvlJc w:val="right"/>
      <w:pPr>
        <w:ind w:left="6480" w:hanging="180"/>
      </w:pPr>
    </w:lvl>
  </w:abstractNum>
  <w:abstractNum w:abstractNumId="23" w15:restartNumberingAfterBreak="0">
    <w:nsid w:val="40567474"/>
    <w:multiLevelType w:val="multilevel"/>
    <w:tmpl w:val="E25A1E64"/>
    <w:name w:val="WW8Num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49D0CCB"/>
    <w:multiLevelType w:val="hybridMultilevel"/>
    <w:tmpl w:val="19762CBC"/>
    <w:lvl w:ilvl="0" w:tplc="08090001">
      <w:start w:val="1"/>
      <w:numFmt w:val="bullet"/>
      <w:lvlText w:val=""/>
      <w:lvlJc w:val="left"/>
      <w:pPr>
        <w:ind w:left="1080" w:hanging="360"/>
      </w:pPr>
      <w:rPr>
        <w:rFonts w:ascii="Symbol" w:hAnsi="Symbol" w:hint="default"/>
      </w:rPr>
    </w:lvl>
    <w:lvl w:ilvl="1" w:tplc="48F2EBB8" w:tentative="1">
      <w:start w:val="1"/>
      <w:numFmt w:val="lowerLetter"/>
      <w:lvlText w:val="%2."/>
      <w:lvlJc w:val="left"/>
      <w:pPr>
        <w:ind w:left="1800" w:hanging="360"/>
      </w:pPr>
    </w:lvl>
    <w:lvl w:ilvl="2" w:tplc="B8563A36" w:tentative="1">
      <w:start w:val="1"/>
      <w:numFmt w:val="lowerRoman"/>
      <w:lvlText w:val="%3."/>
      <w:lvlJc w:val="right"/>
      <w:pPr>
        <w:ind w:left="2520" w:hanging="180"/>
      </w:pPr>
    </w:lvl>
    <w:lvl w:ilvl="3" w:tplc="A31CEB1A" w:tentative="1">
      <w:start w:val="1"/>
      <w:numFmt w:val="decimal"/>
      <w:lvlText w:val="%4."/>
      <w:lvlJc w:val="left"/>
      <w:pPr>
        <w:ind w:left="3240" w:hanging="360"/>
      </w:pPr>
    </w:lvl>
    <w:lvl w:ilvl="4" w:tplc="E1D44096" w:tentative="1">
      <w:start w:val="1"/>
      <w:numFmt w:val="lowerLetter"/>
      <w:lvlText w:val="%5."/>
      <w:lvlJc w:val="left"/>
      <w:pPr>
        <w:ind w:left="3960" w:hanging="360"/>
      </w:pPr>
    </w:lvl>
    <w:lvl w:ilvl="5" w:tplc="17C080BE" w:tentative="1">
      <w:start w:val="1"/>
      <w:numFmt w:val="lowerRoman"/>
      <w:lvlText w:val="%6."/>
      <w:lvlJc w:val="right"/>
      <w:pPr>
        <w:ind w:left="4680" w:hanging="180"/>
      </w:pPr>
    </w:lvl>
    <w:lvl w:ilvl="6" w:tplc="7A742444" w:tentative="1">
      <w:start w:val="1"/>
      <w:numFmt w:val="decimal"/>
      <w:lvlText w:val="%7."/>
      <w:lvlJc w:val="left"/>
      <w:pPr>
        <w:ind w:left="5400" w:hanging="360"/>
      </w:pPr>
    </w:lvl>
    <w:lvl w:ilvl="7" w:tplc="C8562344" w:tentative="1">
      <w:start w:val="1"/>
      <w:numFmt w:val="lowerLetter"/>
      <w:lvlText w:val="%8."/>
      <w:lvlJc w:val="left"/>
      <w:pPr>
        <w:ind w:left="6120" w:hanging="360"/>
      </w:pPr>
    </w:lvl>
    <w:lvl w:ilvl="8" w:tplc="74AEC62A" w:tentative="1">
      <w:start w:val="1"/>
      <w:numFmt w:val="lowerRoman"/>
      <w:lvlText w:val="%9."/>
      <w:lvlJc w:val="right"/>
      <w:pPr>
        <w:ind w:left="6840" w:hanging="180"/>
      </w:pPr>
    </w:lvl>
  </w:abstractNum>
  <w:abstractNum w:abstractNumId="25" w15:restartNumberingAfterBreak="0">
    <w:nsid w:val="4BD72A03"/>
    <w:multiLevelType w:val="hybridMultilevel"/>
    <w:tmpl w:val="E0DAB9B2"/>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26" w15:restartNumberingAfterBreak="0">
    <w:nsid w:val="54674DDE"/>
    <w:multiLevelType w:val="hybridMultilevel"/>
    <w:tmpl w:val="F5240A42"/>
    <w:lvl w:ilvl="0" w:tplc="08090001">
      <w:start w:val="1"/>
      <w:numFmt w:val="bullet"/>
      <w:lvlText w:val=""/>
      <w:lvlJc w:val="left"/>
      <w:pPr>
        <w:ind w:left="5606" w:hanging="360"/>
      </w:pPr>
      <w:rPr>
        <w:rFonts w:ascii="Symbol" w:hAnsi="Symbol" w:hint="default"/>
      </w:rPr>
    </w:lvl>
    <w:lvl w:ilvl="1" w:tplc="9B106274" w:tentative="1">
      <w:start w:val="1"/>
      <w:numFmt w:val="lowerLetter"/>
      <w:lvlText w:val="%2."/>
      <w:lvlJc w:val="left"/>
      <w:pPr>
        <w:ind w:left="1800" w:hanging="360"/>
      </w:pPr>
    </w:lvl>
    <w:lvl w:ilvl="2" w:tplc="81923730" w:tentative="1">
      <w:start w:val="1"/>
      <w:numFmt w:val="lowerRoman"/>
      <w:lvlText w:val="%3."/>
      <w:lvlJc w:val="right"/>
      <w:pPr>
        <w:ind w:left="2520" w:hanging="180"/>
      </w:pPr>
    </w:lvl>
    <w:lvl w:ilvl="3" w:tplc="86D62062" w:tentative="1">
      <w:start w:val="1"/>
      <w:numFmt w:val="decimal"/>
      <w:lvlText w:val="%4."/>
      <w:lvlJc w:val="left"/>
      <w:pPr>
        <w:ind w:left="3240" w:hanging="360"/>
      </w:pPr>
    </w:lvl>
    <w:lvl w:ilvl="4" w:tplc="B066EA7E" w:tentative="1">
      <w:start w:val="1"/>
      <w:numFmt w:val="lowerLetter"/>
      <w:lvlText w:val="%5."/>
      <w:lvlJc w:val="left"/>
      <w:pPr>
        <w:ind w:left="3960" w:hanging="360"/>
      </w:pPr>
    </w:lvl>
    <w:lvl w:ilvl="5" w:tplc="AB8C8D2A" w:tentative="1">
      <w:start w:val="1"/>
      <w:numFmt w:val="lowerRoman"/>
      <w:lvlText w:val="%6."/>
      <w:lvlJc w:val="right"/>
      <w:pPr>
        <w:ind w:left="4680" w:hanging="180"/>
      </w:pPr>
    </w:lvl>
    <w:lvl w:ilvl="6" w:tplc="F03CD366" w:tentative="1">
      <w:start w:val="1"/>
      <w:numFmt w:val="decimal"/>
      <w:lvlText w:val="%7."/>
      <w:lvlJc w:val="left"/>
      <w:pPr>
        <w:ind w:left="5400" w:hanging="360"/>
      </w:pPr>
    </w:lvl>
    <w:lvl w:ilvl="7" w:tplc="AD9E28B8" w:tentative="1">
      <w:start w:val="1"/>
      <w:numFmt w:val="lowerLetter"/>
      <w:lvlText w:val="%8."/>
      <w:lvlJc w:val="left"/>
      <w:pPr>
        <w:ind w:left="6120" w:hanging="360"/>
      </w:pPr>
    </w:lvl>
    <w:lvl w:ilvl="8" w:tplc="95A680AE" w:tentative="1">
      <w:start w:val="1"/>
      <w:numFmt w:val="lowerRoman"/>
      <w:lvlText w:val="%9."/>
      <w:lvlJc w:val="right"/>
      <w:pPr>
        <w:ind w:left="6840" w:hanging="180"/>
      </w:pPr>
    </w:lvl>
  </w:abstractNum>
  <w:abstractNum w:abstractNumId="27" w15:restartNumberingAfterBreak="0">
    <w:nsid w:val="6BAE36FE"/>
    <w:multiLevelType w:val="hybridMultilevel"/>
    <w:tmpl w:val="C07AA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D869F2"/>
    <w:multiLevelType w:val="hybridMultilevel"/>
    <w:tmpl w:val="597AF598"/>
    <w:lvl w:ilvl="0" w:tplc="08090001">
      <w:start w:val="1"/>
      <w:numFmt w:val="bullet"/>
      <w:lvlText w:val=""/>
      <w:lvlJc w:val="left"/>
      <w:pPr>
        <w:ind w:left="5606" w:hanging="360"/>
      </w:pPr>
      <w:rPr>
        <w:rFonts w:ascii="Symbol" w:hAnsi="Symbol" w:hint="default"/>
      </w:rPr>
    </w:lvl>
    <w:lvl w:ilvl="1" w:tplc="9B106274" w:tentative="1">
      <w:start w:val="1"/>
      <w:numFmt w:val="lowerLetter"/>
      <w:lvlText w:val="%2."/>
      <w:lvlJc w:val="left"/>
      <w:pPr>
        <w:ind w:left="1800" w:hanging="360"/>
      </w:pPr>
    </w:lvl>
    <w:lvl w:ilvl="2" w:tplc="81923730" w:tentative="1">
      <w:start w:val="1"/>
      <w:numFmt w:val="lowerRoman"/>
      <w:lvlText w:val="%3."/>
      <w:lvlJc w:val="right"/>
      <w:pPr>
        <w:ind w:left="2520" w:hanging="180"/>
      </w:pPr>
    </w:lvl>
    <w:lvl w:ilvl="3" w:tplc="86D62062" w:tentative="1">
      <w:start w:val="1"/>
      <w:numFmt w:val="decimal"/>
      <w:lvlText w:val="%4."/>
      <w:lvlJc w:val="left"/>
      <w:pPr>
        <w:ind w:left="3240" w:hanging="360"/>
      </w:pPr>
    </w:lvl>
    <w:lvl w:ilvl="4" w:tplc="B066EA7E" w:tentative="1">
      <w:start w:val="1"/>
      <w:numFmt w:val="lowerLetter"/>
      <w:lvlText w:val="%5."/>
      <w:lvlJc w:val="left"/>
      <w:pPr>
        <w:ind w:left="3960" w:hanging="360"/>
      </w:pPr>
    </w:lvl>
    <w:lvl w:ilvl="5" w:tplc="AB8C8D2A" w:tentative="1">
      <w:start w:val="1"/>
      <w:numFmt w:val="lowerRoman"/>
      <w:lvlText w:val="%6."/>
      <w:lvlJc w:val="right"/>
      <w:pPr>
        <w:ind w:left="4680" w:hanging="180"/>
      </w:pPr>
    </w:lvl>
    <w:lvl w:ilvl="6" w:tplc="F03CD366" w:tentative="1">
      <w:start w:val="1"/>
      <w:numFmt w:val="decimal"/>
      <w:lvlText w:val="%7."/>
      <w:lvlJc w:val="left"/>
      <w:pPr>
        <w:ind w:left="5400" w:hanging="360"/>
      </w:pPr>
    </w:lvl>
    <w:lvl w:ilvl="7" w:tplc="AD9E28B8" w:tentative="1">
      <w:start w:val="1"/>
      <w:numFmt w:val="lowerLetter"/>
      <w:lvlText w:val="%8."/>
      <w:lvlJc w:val="left"/>
      <w:pPr>
        <w:ind w:left="6120" w:hanging="360"/>
      </w:pPr>
    </w:lvl>
    <w:lvl w:ilvl="8" w:tplc="95A680AE" w:tentative="1">
      <w:start w:val="1"/>
      <w:numFmt w:val="lowerRoman"/>
      <w:lvlText w:val="%9."/>
      <w:lvlJc w:val="right"/>
      <w:pPr>
        <w:ind w:left="6840" w:hanging="180"/>
      </w:pPr>
    </w:lvl>
  </w:abstractNum>
  <w:abstractNum w:abstractNumId="29" w15:restartNumberingAfterBreak="0">
    <w:nsid w:val="6D826529"/>
    <w:multiLevelType w:val="hybridMultilevel"/>
    <w:tmpl w:val="4F66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736C7"/>
    <w:multiLevelType w:val="hybridMultilevel"/>
    <w:tmpl w:val="706AF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CE0D54"/>
    <w:multiLevelType w:val="hybridMultilevel"/>
    <w:tmpl w:val="F300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50918"/>
    <w:multiLevelType w:val="hybridMultilevel"/>
    <w:tmpl w:val="20B4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0"/>
  </w:num>
  <w:num w:numId="11">
    <w:abstractNumId w:val="20"/>
  </w:num>
  <w:num w:numId="12">
    <w:abstractNumId w:val="25"/>
  </w:num>
  <w:num w:numId="13">
    <w:abstractNumId w:val="9"/>
  </w:num>
  <w:num w:numId="14">
    <w:abstractNumId w:val="23"/>
  </w:num>
  <w:num w:numId="15">
    <w:abstractNumId w:val="12"/>
  </w:num>
  <w:num w:numId="16">
    <w:abstractNumId w:val="11"/>
  </w:num>
  <w:num w:numId="17">
    <w:abstractNumId w:val="27"/>
  </w:num>
  <w:num w:numId="18">
    <w:abstractNumId w:val="13"/>
  </w:num>
  <w:num w:numId="19">
    <w:abstractNumId w:val="24"/>
  </w:num>
  <w:num w:numId="20">
    <w:abstractNumId w:val="15"/>
  </w:num>
  <w:num w:numId="21">
    <w:abstractNumId w:val="28"/>
  </w:num>
  <w:num w:numId="22">
    <w:abstractNumId w:val="26"/>
  </w:num>
  <w:num w:numId="23">
    <w:abstractNumId w:val="10"/>
  </w:num>
  <w:num w:numId="24">
    <w:abstractNumId w:val="16"/>
  </w:num>
  <w:num w:numId="25">
    <w:abstractNumId w:val="21"/>
  </w:num>
  <w:num w:numId="26">
    <w:abstractNumId w:val="19"/>
  </w:num>
  <w:num w:numId="27">
    <w:abstractNumId w:val="32"/>
  </w:num>
  <w:num w:numId="28">
    <w:abstractNumId w:val="29"/>
  </w:num>
  <w:num w:numId="29">
    <w:abstractNumId w:val="22"/>
  </w:num>
  <w:num w:numId="30">
    <w:abstractNumId w:val="31"/>
  </w:num>
  <w:num w:numId="31">
    <w:abstractNumId w:val="14"/>
  </w:num>
  <w:num w:numId="3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6B"/>
    <w:rsid w:val="000029AE"/>
    <w:rsid w:val="00012441"/>
    <w:rsid w:val="000142E0"/>
    <w:rsid w:val="00031705"/>
    <w:rsid w:val="0004065E"/>
    <w:rsid w:val="000438B0"/>
    <w:rsid w:val="00050307"/>
    <w:rsid w:val="000528E2"/>
    <w:rsid w:val="00054281"/>
    <w:rsid w:val="000545F4"/>
    <w:rsid w:val="000620F7"/>
    <w:rsid w:val="000672D5"/>
    <w:rsid w:val="0007251E"/>
    <w:rsid w:val="00072FB1"/>
    <w:rsid w:val="000737C6"/>
    <w:rsid w:val="00080023"/>
    <w:rsid w:val="0008344D"/>
    <w:rsid w:val="00085308"/>
    <w:rsid w:val="00090245"/>
    <w:rsid w:val="00093F70"/>
    <w:rsid w:val="00097018"/>
    <w:rsid w:val="000B6F36"/>
    <w:rsid w:val="000C2D29"/>
    <w:rsid w:val="000C5C8B"/>
    <w:rsid w:val="000C615A"/>
    <w:rsid w:val="000C6A1E"/>
    <w:rsid w:val="000D2EE4"/>
    <w:rsid w:val="000D3639"/>
    <w:rsid w:val="000D380F"/>
    <w:rsid w:val="000D4B72"/>
    <w:rsid w:val="000E382F"/>
    <w:rsid w:val="000E7D0A"/>
    <w:rsid w:val="000F36B5"/>
    <w:rsid w:val="000F42F2"/>
    <w:rsid w:val="000F4F3E"/>
    <w:rsid w:val="001022EE"/>
    <w:rsid w:val="0011175D"/>
    <w:rsid w:val="00112634"/>
    <w:rsid w:val="0011744A"/>
    <w:rsid w:val="00117F6A"/>
    <w:rsid w:val="00121FED"/>
    <w:rsid w:val="00136908"/>
    <w:rsid w:val="001373EC"/>
    <w:rsid w:val="001541FD"/>
    <w:rsid w:val="00154A58"/>
    <w:rsid w:val="0015627F"/>
    <w:rsid w:val="001624A9"/>
    <w:rsid w:val="00171FA9"/>
    <w:rsid w:val="00175CB5"/>
    <w:rsid w:val="00177720"/>
    <w:rsid w:val="00177F85"/>
    <w:rsid w:val="00177FD7"/>
    <w:rsid w:val="00181561"/>
    <w:rsid w:val="00185C26"/>
    <w:rsid w:val="001873B6"/>
    <w:rsid w:val="0019097B"/>
    <w:rsid w:val="00192B82"/>
    <w:rsid w:val="00197032"/>
    <w:rsid w:val="001A0AA1"/>
    <w:rsid w:val="001A1AFD"/>
    <w:rsid w:val="001A532F"/>
    <w:rsid w:val="001A7830"/>
    <w:rsid w:val="001A7BEB"/>
    <w:rsid w:val="001B1F72"/>
    <w:rsid w:val="001B2874"/>
    <w:rsid w:val="001B4357"/>
    <w:rsid w:val="001B5749"/>
    <w:rsid w:val="001B66A5"/>
    <w:rsid w:val="001C3F6C"/>
    <w:rsid w:val="001C5D42"/>
    <w:rsid w:val="001D1CA8"/>
    <w:rsid w:val="001E6651"/>
    <w:rsid w:val="001F0E31"/>
    <w:rsid w:val="001F28E8"/>
    <w:rsid w:val="001F2A9E"/>
    <w:rsid w:val="001F3AA9"/>
    <w:rsid w:val="00201546"/>
    <w:rsid w:val="0020651E"/>
    <w:rsid w:val="002070F1"/>
    <w:rsid w:val="00212174"/>
    <w:rsid w:val="0021382D"/>
    <w:rsid w:val="00215C2F"/>
    <w:rsid w:val="00220628"/>
    <w:rsid w:val="00227503"/>
    <w:rsid w:val="00227875"/>
    <w:rsid w:val="00232962"/>
    <w:rsid w:val="00232DC8"/>
    <w:rsid w:val="0023575A"/>
    <w:rsid w:val="00236CEC"/>
    <w:rsid w:val="0024288B"/>
    <w:rsid w:val="00253338"/>
    <w:rsid w:val="00254C6C"/>
    <w:rsid w:val="00263ED1"/>
    <w:rsid w:val="00265A51"/>
    <w:rsid w:val="00270B3E"/>
    <w:rsid w:val="0027176B"/>
    <w:rsid w:val="002767E5"/>
    <w:rsid w:val="00276E38"/>
    <w:rsid w:val="00277A9F"/>
    <w:rsid w:val="002829E7"/>
    <w:rsid w:val="0028489A"/>
    <w:rsid w:val="002A45A6"/>
    <w:rsid w:val="002A4C55"/>
    <w:rsid w:val="002A683F"/>
    <w:rsid w:val="002A69A9"/>
    <w:rsid w:val="002A7782"/>
    <w:rsid w:val="002B0C61"/>
    <w:rsid w:val="002B1CF9"/>
    <w:rsid w:val="002B5AAF"/>
    <w:rsid w:val="002C0D61"/>
    <w:rsid w:val="002C1306"/>
    <w:rsid w:val="002C4AB1"/>
    <w:rsid w:val="002C62BB"/>
    <w:rsid w:val="002E2671"/>
    <w:rsid w:val="002E4563"/>
    <w:rsid w:val="002E4C7E"/>
    <w:rsid w:val="002E6C3C"/>
    <w:rsid w:val="002E77B2"/>
    <w:rsid w:val="00302602"/>
    <w:rsid w:val="003063F1"/>
    <w:rsid w:val="0031733F"/>
    <w:rsid w:val="00317718"/>
    <w:rsid w:val="0032137A"/>
    <w:rsid w:val="00321D4F"/>
    <w:rsid w:val="003250E3"/>
    <w:rsid w:val="003267F1"/>
    <w:rsid w:val="003331E5"/>
    <w:rsid w:val="00335488"/>
    <w:rsid w:val="0033722E"/>
    <w:rsid w:val="003375BB"/>
    <w:rsid w:val="00337681"/>
    <w:rsid w:val="00344348"/>
    <w:rsid w:val="0034498D"/>
    <w:rsid w:val="00346AD0"/>
    <w:rsid w:val="0035365D"/>
    <w:rsid w:val="00354335"/>
    <w:rsid w:val="00355708"/>
    <w:rsid w:val="00355738"/>
    <w:rsid w:val="00373459"/>
    <w:rsid w:val="00374FBB"/>
    <w:rsid w:val="0038214B"/>
    <w:rsid w:val="003823CA"/>
    <w:rsid w:val="00385AF4"/>
    <w:rsid w:val="0039141E"/>
    <w:rsid w:val="003916CE"/>
    <w:rsid w:val="003A1330"/>
    <w:rsid w:val="003A37E3"/>
    <w:rsid w:val="003A6CBF"/>
    <w:rsid w:val="003B2596"/>
    <w:rsid w:val="003C0064"/>
    <w:rsid w:val="003C15B1"/>
    <w:rsid w:val="003C74C4"/>
    <w:rsid w:val="003D2925"/>
    <w:rsid w:val="003D5B85"/>
    <w:rsid w:val="003E0F60"/>
    <w:rsid w:val="003E3C0D"/>
    <w:rsid w:val="003E44C5"/>
    <w:rsid w:val="003E513C"/>
    <w:rsid w:val="003F16E2"/>
    <w:rsid w:val="003F4F65"/>
    <w:rsid w:val="003F61FD"/>
    <w:rsid w:val="00400721"/>
    <w:rsid w:val="00406EFB"/>
    <w:rsid w:val="00426AD6"/>
    <w:rsid w:val="004342FC"/>
    <w:rsid w:val="0043540B"/>
    <w:rsid w:val="00435DBD"/>
    <w:rsid w:val="00436A3C"/>
    <w:rsid w:val="00436BA4"/>
    <w:rsid w:val="004379CE"/>
    <w:rsid w:val="0044102F"/>
    <w:rsid w:val="00443FC8"/>
    <w:rsid w:val="00444662"/>
    <w:rsid w:val="004453B1"/>
    <w:rsid w:val="00446E9E"/>
    <w:rsid w:val="00451C18"/>
    <w:rsid w:val="00452707"/>
    <w:rsid w:val="00454A1F"/>
    <w:rsid w:val="00457B5C"/>
    <w:rsid w:val="0046391D"/>
    <w:rsid w:val="004648C0"/>
    <w:rsid w:val="00467BD0"/>
    <w:rsid w:val="004734F1"/>
    <w:rsid w:val="004736D4"/>
    <w:rsid w:val="00473EE8"/>
    <w:rsid w:val="00477DD8"/>
    <w:rsid w:val="004815E2"/>
    <w:rsid w:val="004856EB"/>
    <w:rsid w:val="00490CB1"/>
    <w:rsid w:val="00496A86"/>
    <w:rsid w:val="004972FF"/>
    <w:rsid w:val="00497DB1"/>
    <w:rsid w:val="004A4C67"/>
    <w:rsid w:val="004A7F8B"/>
    <w:rsid w:val="004C09A6"/>
    <w:rsid w:val="004D08FC"/>
    <w:rsid w:val="004D3EF6"/>
    <w:rsid w:val="004D44FF"/>
    <w:rsid w:val="004D57BE"/>
    <w:rsid w:val="004E070E"/>
    <w:rsid w:val="004E1B9C"/>
    <w:rsid w:val="004E5A2A"/>
    <w:rsid w:val="004F51FC"/>
    <w:rsid w:val="004F5584"/>
    <w:rsid w:val="004F65BF"/>
    <w:rsid w:val="004F6B37"/>
    <w:rsid w:val="00501B5D"/>
    <w:rsid w:val="00503675"/>
    <w:rsid w:val="00507CF4"/>
    <w:rsid w:val="00510C86"/>
    <w:rsid w:val="00514B3B"/>
    <w:rsid w:val="00514C09"/>
    <w:rsid w:val="005151AB"/>
    <w:rsid w:val="00520257"/>
    <w:rsid w:val="00530ABE"/>
    <w:rsid w:val="0053376B"/>
    <w:rsid w:val="005359A3"/>
    <w:rsid w:val="005361F9"/>
    <w:rsid w:val="005433C3"/>
    <w:rsid w:val="00547260"/>
    <w:rsid w:val="005524DE"/>
    <w:rsid w:val="00567D01"/>
    <w:rsid w:val="005707BD"/>
    <w:rsid w:val="00571F84"/>
    <w:rsid w:val="0058231B"/>
    <w:rsid w:val="00583AB9"/>
    <w:rsid w:val="00584083"/>
    <w:rsid w:val="00584BCB"/>
    <w:rsid w:val="00590FCA"/>
    <w:rsid w:val="00591B0B"/>
    <w:rsid w:val="005958DC"/>
    <w:rsid w:val="00596D6E"/>
    <w:rsid w:val="005A35AA"/>
    <w:rsid w:val="005A4A0F"/>
    <w:rsid w:val="005B22FA"/>
    <w:rsid w:val="005B4F75"/>
    <w:rsid w:val="005B5F07"/>
    <w:rsid w:val="005B6986"/>
    <w:rsid w:val="005C32F2"/>
    <w:rsid w:val="005C3491"/>
    <w:rsid w:val="005C4547"/>
    <w:rsid w:val="005C5262"/>
    <w:rsid w:val="005D2A39"/>
    <w:rsid w:val="005E1900"/>
    <w:rsid w:val="005E3587"/>
    <w:rsid w:val="005E3E6F"/>
    <w:rsid w:val="005E4528"/>
    <w:rsid w:val="005F0609"/>
    <w:rsid w:val="005F0DF3"/>
    <w:rsid w:val="005F4054"/>
    <w:rsid w:val="005F4361"/>
    <w:rsid w:val="005F440C"/>
    <w:rsid w:val="0060449C"/>
    <w:rsid w:val="006047C6"/>
    <w:rsid w:val="00611449"/>
    <w:rsid w:val="006115FB"/>
    <w:rsid w:val="00613419"/>
    <w:rsid w:val="00615773"/>
    <w:rsid w:val="00616CA4"/>
    <w:rsid w:val="006173EE"/>
    <w:rsid w:val="006224E3"/>
    <w:rsid w:val="0062407F"/>
    <w:rsid w:val="00645BB6"/>
    <w:rsid w:val="00661521"/>
    <w:rsid w:val="00663E1C"/>
    <w:rsid w:val="00664CC3"/>
    <w:rsid w:val="00671E75"/>
    <w:rsid w:val="006803CF"/>
    <w:rsid w:val="00681A8F"/>
    <w:rsid w:val="00687614"/>
    <w:rsid w:val="00693255"/>
    <w:rsid w:val="00696AC1"/>
    <w:rsid w:val="00696CB6"/>
    <w:rsid w:val="006A00DA"/>
    <w:rsid w:val="006A2722"/>
    <w:rsid w:val="006A6CB8"/>
    <w:rsid w:val="006B6027"/>
    <w:rsid w:val="006B769E"/>
    <w:rsid w:val="006C1B44"/>
    <w:rsid w:val="006C3F16"/>
    <w:rsid w:val="006C620C"/>
    <w:rsid w:val="006C6FEF"/>
    <w:rsid w:val="006D0B9D"/>
    <w:rsid w:val="006D0F96"/>
    <w:rsid w:val="006D15D3"/>
    <w:rsid w:val="006D52D2"/>
    <w:rsid w:val="006E1B73"/>
    <w:rsid w:val="006E4155"/>
    <w:rsid w:val="006F0914"/>
    <w:rsid w:val="007026D3"/>
    <w:rsid w:val="00710DB0"/>
    <w:rsid w:val="00713E05"/>
    <w:rsid w:val="00717940"/>
    <w:rsid w:val="00721848"/>
    <w:rsid w:val="00726941"/>
    <w:rsid w:val="00730D03"/>
    <w:rsid w:val="00735DCD"/>
    <w:rsid w:val="00736699"/>
    <w:rsid w:val="00736E5C"/>
    <w:rsid w:val="0073748E"/>
    <w:rsid w:val="00740960"/>
    <w:rsid w:val="00742A40"/>
    <w:rsid w:val="00743189"/>
    <w:rsid w:val="00744CE5"/>
    <w:rsid w:val="00745B47"/>
    <w:rsid w:val="00745D0C"/>
    <w:rsid w:val="0074769D"/>
    <w:rsid w:val="007573D7"/>
    <w:rsid w:val="00762E78"/>
    <w:rsid w:val="00764626"/>
    <w:rsid w:val="0076589E"/>
    <w:rsid w:val="00766375"/>
    <w:rsid w:val="00776DBF"/>
    <w:rsid w:val="007969D0"/>
    <w:rsid w:val="007A0243"/>
    <w:rsid w:val="007A3A39"/>
    <w:rsid w:val="007A7597"/>
    <w:rsid w:val="007B1C64"/>
    <w:rsid w:val="007B6813"/>
    <w:rsid w:val="007B6F2E"/>
    <w:rsid w:val="007C09D7"/>
    <w:rsid w:val="007C11F3"/>
    <w:rsid w:val="007C1A0A"/>
    <w:rsid w:val="007C4BA6"/>
    <w:rsid w:val="007C4FDE"/>
    <w:rsid w:val="007D1189"/>
    <w:rsid w:val="007D3A46"/>
    <w:rsid w:val="007D3C35"/>
    <w:rsid w:val="007D4CC4"/>
    <w:rsid w:val="007F1F79"/>
    <w:rsid w:val="007F44AB"/>
    <w:rsid w:val="007F47E3"/>
    <w:rsid w:val="008001F5"/>
    <w:rsid w:val="008016F5"/>
    <w:rsid w:val="0080433C"/>
    <w:rsid w:val="00805C41"/>
    <w:rsid w:val="008217D1"/>
    <w:rsid w:val="00826A1F"/>
    <w:rsid w:val="00832FB0"/>
    <w:rsid w:val="008512CC"/>
    <w:rsid w:val="008515EF"/>
    <w:rsid w:val="00855EC7"/>
    <w:rsid w:val="008622A1"/>
    <w:rsid w:val="008624EF"/>
    <w:rsid w:val="00862FFE"/>
    <w:rsid w:val="00864372"/>
    <w:rsid w:val="00865B75"/>
    <w:rsid w:val="00866AC5"/>
    <w:rsid w:val="00866EC6"/>
    <w:rsid w:val="00872F75"/>
    <w:rsid w:val="008810EB"/>
    <w:rsid w:val="00884CD8"/>
    <w:rsid w:val="00887212"/>
    <w:rsid w:val="00887D0E"/>
    <w:rsid w:val="008911AE"/>
    <w:rsid w:val="00893122"/>
    <w:rsid w:val="008932D4"/>
    <w:rsid w:val="008979A0"/>
    <w:rsid w:val="008A5F28"/>
    <w:rsid w:val="008A6955"/>
    <w:rsid w:val="008A6FEA"/>
    <w:rsid w:val="008B3697"/>
    <w:rsid w:val="008B4EB4"/>
    <w:rsid w:val="008C239A"/>
    <w:rsid w:val="008C26E5"/>
    <w:rsid w:val="008C791E"/>
    <w:rsid w:val="008D05AC"/>
    <w:rsid w:val="008D12F3"/>
    <w:rsid w:val="008E58B6"/>
    <w:rsid w:val="008E5B11"/>
    <w:rsid w:val="008F2072"/>
    <w:rsid w:val="0090634C"/>
    <w:rsid w:val="009110B2"/>
    <w:rsid w:val="0091266F"/>
    <w:rsid w:val="0091312C"/>
    <w:rsid w:val="0092209F"/>
    <w:rsid w:val="00926AE3"/>
    <w:rsid w:val="009271E3"/>
    <w:rsid w:val="00927BDD"/>
    <w:rsid w:val="00932742"/>
    <w:rsid w:val="00932918"/>
    <w:rsid w:val="0093439D"/>
    <w:rsid w:val="00934F62"/>
    <w:rsid w:val="0093622A"/>
    <w:rsid w:val="00943794"/>
    <w:rsid w:val="0095140D"/>
    <w:rsid w:val="00951FF1"/>
    <w:rsid w:val="009550E1"/>
    <w:rsid w:val="00966C77"/>
    <w:rsid w:val="00967D9B"/>
    <w:rsid w:val="0097003A"/>
    <w:rsid w:val="0097306C"/>
    <w:rsid w:val="0097481A"/>
    <w:rsid w:val="0098668E"/>
    <w:rsid w:val="0098712B"/>
    <w:rsid w:val="00992C4B"/>
    <w:rsid w:val="00994FDF"/>
    <w:rsid w:val="009A0D79"/>
    <w:rsid w:val="009A63FC"/>
    <w:rsid w:val="009B0797"/>
    <w:rsid w:val="009B5BC9"/>
    <w:rsid w:val="009C5CA9"/>
    <w:rsid w:val="009C61C8"/>
    <w:rsid w:val="009D2F7C"/>
    <w:rsid w:val="009D3BDC"/>
    <w:rsid w:val="009D3E0B"/>
    <w:rsid w:val="009D4BFD"/>
    <w:rsid w:val="009E213D"/>
    <w:rsid w:val="009E4823"/>
    <w:rsid w:val="009E4C9E"/>
    <w:rsid w:val="009E50B1"/>
    <w:rsid w:val="009E7DC5"/>
    <w:rsid w:val="009F62ED"/>
    <w:rsid w:val="00A01A5C"/>
    <w:rsid w:val="00A0232C"/>
    <w:rsid w:val="00A04602"/>
    <w:rsid w:val="00A050AB"/>
    <w:rsid w:val="00A14B96"/>
    <w:rsid w:val="00A16BF1"/>
    <w:rsid w:val="00A17307"/>
    <w:rsid w:val="00A2403F"/>
    <w:rsid w:val="00A24E94"/>
    <w:rsid w:val="00A252D1"/>
    <w:rsid w:val="00A30DA8"/>
    <w:rsid w:val="00A324B5"/>
    <w:rsid w:val="00A42AC5"/>
    <w:rsid w:val="00A450DF"/>
    <w:rsid w:val="00A50EF4"/>
    <w:rsid w:val="00A55AC7"/>
    <w:rsid w:val="00A57D3D"/>
    <w:rsid w:val="00A62237"/>
    <w:rsid w:val="00A63A01"/>
    <w:rsid w:val="00A70670"/>
    <w:rsid w:val="00A725E1"/>
    <w:rsid w:val="00A74714"/>
    <w:rsid w:val="00A76D92"/>
    <w:rsid w:val="00A83C9C"/>
    <w:rsid w:val="00A83F24"/>
    <w:rsid w:val="00A857C9"/>
    <w:rsid w:val="00A94DE1"/>
    <w:rsid w:val="00A96FCD"/>
    <w:rsid w:val="00AA24E9"/>
    <w:rsid w:val="00AA2A89"/>
    <w:rsid w:val="00AB41DA"/>
    <w:rsid w:val="00AB777F"/>
    <w:rsid w:val="00AC2334"/>
    <w:rsid w:val="00AC5A2C"/>
    <w:rsid w:val="00AC6398"/>
    <w:rsid w:val="00AD00AE"/>
    <w:rsid w:val="00AD449C"/>
    <w:rsid w:val="00AE1C10"/>
    <w:rsid w:val="00AE7D24"/>
    <w:rsid w:val="00B0056C"/>
    <w:rsid w:val="00B03559"/>
    <w:rsid w:val="00B11A10"/>
    <w:rsid w:val="00B12066"/>
    <w:rsid w:val="00B1227F"/>
    <w:rsid w:val="00B24845"/>
    <w:rsid w:val="00B30C50"/>
    <w:rsid w:val="00B33563"/>
    <w:rsid w:val="00B33F2E"/>
    <w:rsid w:val="00B35A15"/>
    <w:rsid w:val="00B36FFE"/>
    <w:rsid w:val="00B44CEC"/>
    <w:rsid w:val="00B461E8"/>
    <w:rsid w:val="00B46CDC"/>
    <w:rsid w:val="00B52D92"/>
    <w:rsid w:val="00B54A0C"/>
    <w:rsid w:val="00B60B19"/>
    <w:rsid w:val="00B631B1"/>
    <w:rsid w:val="00B634E7"/>
    <w:rsid w:val="00B75802"/>
    <w:rsid w:val="00B8692E"/>
    <w:rsid w:val="00B9211A"/>
    <w:rsid w:val="00B9279C"/>
    <w:rsid w:val="00B93478"/>
    <w:rsid w:val="00B938F3"/>
    <w:rsid w:val="00BA06A8"/>
    <w:rsid w:val="00BA7F4D"/>
    <w:rsid w:val="00BB14F6"/>
    <w:rsid w:val="00BB7271"/>
    <w:rsid w:val="00BC7EDF"/>
    <w:rsid w:val="00BD023B"/>
    <w:rsid w:val="00BD457F"/>
    <w:rsid w:val="00BD4D89"/>
    <w:rsid w:val="00BD5D66"/>
    <w:rsid w:val="00BE1D27"/>
    <w:rsid w:val="00BF2A6C"/>
    <w:rsid w:val="00BF4E08"/>
    <w:rsid w:val="00C06223"/>
    <w:rsid w:val="00C06862"/>
    <w:rsid w:val="00C10622"/>
    <w:rsid w:val="00C10852"/>
    <w:rsid w:val="00C11BE7"/>
    <w:rsid w:val="00C13F01"/>
    <w:rsid w:val="00C158F9"/>
    <w:rsid w:val="00C20BD8"/>
    <w:rsid w:val="00C338AE"/>
    <w:rsid w:val="00C35C1F"/>
    <w:rsid w:val="00C36CEE"/>
    <w:rsid w:val="00C372B0"/>
    <w:rsid w:val="00C4690D"/>
    <w:rsid w:val="00C53179"/>
    <w:rsid w:val="00C5423F"/>
    <w:rsid w:val="00C56350"/>
    <w:rsid w:val="00C76394"/>
    <w:rsid w:val="00C77E48"/>
    <w:rsid w:val="00C80D83"/>
    <w:rsid w:val="00C835F5"/>
    <w:rsid w:val="00C9670E"/>
    <w:rsid w:val="00CA25CE"/>
    <w:rsid w:val="00CA7D42"/>
    <w:rsid w:val="00CB30C3"/>
    <w:rsid w:val="00CB3842"/>
    <w:rsid w:val="00CB78A4"/>
    <w:rsid w:val="00CB7CD9"/>
    <w:rsid w:val="00CC2317"/>
    <w:rsid w:val="00CC3D11"/>
    <w:rsid w:val="00CC5491"/>
    <w:rsid w:val="00CC67D1"/>
    <w:rsid w:val="00CC6A30"/>
    <w:rsid w:val="00CC6FE1"/>
    <w:rsid w:val="00CD2033"/>
    <w:rsid w:val="00CD5AAA"/>
    <w:rsid w:val="00CE22AD"/>
    <w:rsid w:val="00CF2A30"/>
    <w:rsid w:val="00CF309E"/>
    <w:rsid w:val="00CF527C"/>
    <w:rsid w:val="00D00EAB"/>
    <w:rsid w:val="00D02B10"/>
    <w:rsid w:val="00D04E08"/>
    <w:rsid w:val="00D114B9"/>
    <w:rsid w:val="00D13699"/>
    <w:rsid w:val="00D13754"/>
    <w:rsid w:val="00D1426A"/>
    <w:rsid w:val="00D20C66"/>
    <w:rsid w:val="00D244D6"/>
    <w:rsid w:val="00D26C06"/>
    <w:rsid w:val="00D31247"/>
    <w:rsid w:val="00D32A15"/>
    <w:rsid w:val="00D34E94"/>
    <w:rsid w:val="00D40303"/>
    <w:rsid w:val="00D462EF"/>
    <w:rsid w:val="00D47A6C"/>
    <w:rsid w:val="00D50C5D"/>
    <w:rsid w:val="00D51113"/>
    <w:rsid w:val="00D54323"/>
    <w:rsid w:val="00D54BAF"/>
    <w:rsid w:val="00D62DC7"/>
    <w:rsid w:val="00D636AF"/>
    <w:rsid w:val="00D64483"/>
    <w:rsid w:val="00D715B5"/>
    <w:rsid w:val="00D81043"/>
    <w:rsid w:val="00D82E50"/>
    <w:rsid w:val="00D835CC"/>
    <w:rsid w:val="00D83D1A"/>
    <w:rsid w:val="00D842D6"/>
    <w:rsid w:val="00D8454A"/>
    <w:rsid w:val="00D877E6"/>
    <w:rsid w:val="00D96C82"/>
    <w:rsid w:val="00DA1BE1"/>
    <w:rsid w:val="00DA1CBF"/>
    <w:rsid w:val="00DA3253"/>
    <w:rsid w:val="00DA4E8D"/>
    <w:rsid w:val="00DB05DC"/>
    <w:rsid w:val="00DB179E"/>
    <w:rsid w:val="00DB2760"/>
    <w:rsid w:val="00DB7E44"/>
    <w:rsid w:val="00DC1077"/>
    <w:rsid w:val="00DC495E"/>
    <w:rsid w:val="00DC535E"/>
    <w:rsid w:val="00DD578C"/>
    <w:rsid w:val="00DD66F7"/>
    <w:rsid w:val="00DE0E02"/>
    <w:rsid w:val="00DE3A4D"/>
    <w:rsid w:val="00DE3AB2"/>
    <w:rsid w:val="00DE6A27"/>
    <w:rsid w:val="00DF1D30"/>
    <w:rsid w:val="00DF2096"/>
    <w:rsid w:val="00DF3DA2"/>
    <w:rsid w:val="00DF3F46"/>
    <w:rsid w:val="00DF5955"/>
    <w:rsid w:val="00DF7ACC"/>
    <w:rsid w:val="00E0209D"/>
    <w:rsid w:val="00E0281D"/>
    <w:rsid w:val="00E10A30"/>
    <w:rsid w:val="00E1508C"/>
    <w:rsid w:val="00E1691B"/>
    <w:rsid w:val="00E1695D"/>
    <w:rsid w:val="00E30927"/>
    <w:rsid w:val="00E36FD2"/>
    <w:rsid w:val="00E4301E"/>
    <w:rsid w:val="00E43044"/>
    <w:rsid w:val="00E430AD"/>
    <w:rsid w:val="00E5180B"/>
    <w:rsid w:val="00E529DE"/>
    <w:rsid w:val="00E57D4B"/>
    <w:rsid w:val="00E60D4E"/>
    <w:rsid w:val="00E60EB5"/>
    <w:rsid w:val="00E716C1"/>
    <w:rsid w:val="00E7271B"/>
    <w:rsid w:val="00E72A2D"/>
    <w:rsid w:val="00E73C9B"/>
    <w:rsid w:val="00E843CF"/>
    <w:rsid w:val="00E85CCB"/>
    <w:rsid w:val="00E8718E"/>
    <w:rsid w:val="00E900D0"/>
    <w:rsid w:val="00E9330B"/>
    <w:rsid w:val="00E96EFD"/>
    <w:rsid w:val="00E972C9"/>
    <w:rsid w:val="00EA23A9"/>
    <w:rsid w:val="00EA424E"/>
    <w:rsid w:val="00EA7E62"/>
    <w:rsid w:val="00EB0483"/>
    <w:rsid w:val="00EC08AA"/>
    <w:rsid w:val="00ED12F8"/>
    <w:rsid w:val="00EE0265"/>
    <w:rsid w:val="00EF6C4E"/>
    <w:rsid w:val="00F02451"/>
    <w:rsid w:val="00F07523"/>
    <w:rsid w:val="00F146A6"/>
    <w:rsid w:val="00F16347"/>
    <w:rsid w:val="00F16983"/>
    <w:rsid w:val="00F17092"/>
    <w:rsid w:val="00F2064C"/>
    <w:rsid w:val="00F21C6A"/>
    <w:rsid w:val="00F221D9"/>
    <w:rsid w:val="00F227CD"/>
    <w:rsid w:val="00F227D9"/>
    <w:rsid w:val="00F24B38"/>
    <w:rsid w:val="00F408BC"/>
    <w:rsid w:val="00F4160A"/>
    <w:rsid w:val="00F435C1"/>
    <w:rsid w:val="00F52015"/>
    <w:rsid w:val="00F5442C"/>
    <w:rsid w:val="00F65DB2"/>
    <w:rsid w:val="00F667D8"/>
    <w:rsid w:val="00F7117B"/>
    <w:rsid w:val="00F73C86"/>
    <w:rsid w:val="00F742F5"/>
    <w:rsid w:val="00F77E2A"/>
    <w:rsid w:val="00F81412"/>
    <w:rsid w:val="00F87184"/>
    <w:rsid w:val="00F8777F"/>
    <w:rsid w:val="00F9000A"/>
    <w:rsid w:val="00F93CA0"/>
    <w:rsid w:val="00F94C14"/>
    <w:rsid w:val="00F96F86"/>
    <w:rsid w:val="00FA298C"/>
    <w:rsid w:val="00FA2C94"/>
    <w:rsid w:val="00FA504F"/>
    <w:rsid w:val="00FB2B90"/>
    <w:rsid w:val="00FB5DC4"/>
    <w:rsid w:val="00FB713E"/>
    <w:rsid w:val="00FC158C"/>
    <w:rsid w:val="00FF156A"/>
    <w:rsid w:val="00FF1FF9"/>
    <w:rsid w:val="00FF3D29"/>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039C0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A0"/>
  </w:style>
  <w:style w:type="paragraph" w:styleId="Heading1">
    <w:name w:val="heading 1"/>
    <w:basedOn w:val="Normal"/>
    <w:next w:val="Normal"/>
    <w:link w:val="Heading1Char"/>
    <w:uiPriority w:val="9"/>
    <w:qFormat/>
    <w:rsid w:val="008615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ED4B63"/>
    <w:pPr>
      <w:tabs>
        <w:tab w:val="center" w:pos="4513"/>
        <w:tab w:val="right" w:pos="9026"/>
      </w:tabs>
    </w:pPr>
  </w:style>
  <w:style w:type="character" w:customStyle="1" w:styleId="HeaderChar">
    <w:name w:val="Header Char"/>
    <w:basedOn w:val="DefaultParagraphFont"/>
    <w:link w:val="Header"/>
    <w:uiPriority w:val="99"/>
    <w:rsid w:val="00ED4B63"/>
  </w:style>
  <w:style w:type="paragraph" w:styleId="Footer">
    <w:name w:val="footer"/>
    <w:basedOn w:val="Normal"/>
    <w:link w:val="FooterChar"/>
    <w:uiPriority w:val="99"/>
    <w:unhideWhenUsed/>
    <w:rsid w:val="00ED4B63"/>
    <w:pPr>
      <w:tabs>
        <w:tab w:val="center" w:pos="4513"/>
        <w:tab w:val="right" w:pos="9026"/>
      </w:tabs>
    </w:pPr>
  </w:style>
  <w:style w:type="character" w:customStyle="1" w:styleId="FooterChar">
    <w:name w:val="Footer Char"/>
    <w:basedOn w:val="DefaultParagraphFont"/>
    <w:link w:val="Footer"/>
    <w:uiPriority w:val="99"/>
    <w:rsid w:val="00ED4B63"/>
  </w:style>
  <w:style w:type="paragraph" w:styleId="TOCHeading">
    <w:name w:val="TOC Heading"/>
    <w:basedOn w:val="Heading1"/>
    <w:next w:val="Normal"/>
    <w:uiPriority w:val="39"/>
    <w:unhideWhenUsed/>
    <w:qFormat/>
    <w:rsid w:val="008615E5"/>
    <w:pPr>
      <w:spacing w:line="259" w:lineRule="auto"/>
      <w:outlineLvl w:val="9"/>
    </w:pPr>
    <w:rPr>
      <w:rFonts w:ascii="Arial" w:hAnsi="Arial"/>
      <w:b/>
      <w:color w:val="800080"/>
      <w:sz w:val="22"/>
    </w:rPr>
  </w:style>
  <w:style w:type="paragraph" w:customStyle="1" w:styleId="T1TableStyle">
    <w:name w:val="T1TableStyle"/>
    <w:uiPriority w:val="99"/>
    <w:rPr>
      <w:rFonts w:ascii="Times New Roman" w:eastAsia="Times New Roman" w:hAnsi="Times New Roman"/>
      <w:sz w:val="20"/>
      <w:szCs w:val="20"/>
    </w:rPr>
  </w:style>
  <w:style w:type="paragraph" w:customStyle="1" w:styleId="Normal0">
    <w:name w:val="Normal_0"/>
    <w:qFormat/>
    <w:rsid w:val="003B1431"/>
    <w:pPr>
      <w:spacing w:line="256" w:lineRule="auto"/>
    </w:pPr>
    <w:rPr>
      <w:sz w:val="20"/>
      <w:szCs w:val="20"/>
    </w:rPr>
  </w:style>
  <w:style w:type="paragraph" w:styleId="TOC1">
    <w:name w:val="toc 1"/>
    <w:basedOn w:val="Normal"/>
    <w:next w:val="Normal"/>
    <w:autoRedefine/>
    <w:uiPriority w:val="39"/>
    <w:rsid w:val="00805BCE"/>
  </w:style>
  <w:style w:type="character" w:styleId="Hyperlink">
    <w:name w:val="Hyperlink"/>
    <w:basedOn w:val="DefaultParagraphFont"/>
    <w:uiPriority w:val="99"/>
    <w:rsid w:val="00EF7B96"/>
    <w:rPr>
      <w:color w:val="0000FF"/>
      <w:u w:val="single"/>
    </w:rPr>
  </w:style>
  <w:style w:type="paragraph" w:customStyle="1" w:styleId="Style2">
    <w:name w:val="Style2"/>
    <w:basedOn w:val="Normal0"/>
    <w:link w:val="Style2Char"/>
    <w:qFormat/>
    <w:rsid w:val="00582E12"/>
    <w:pPr>
      <w:spacing w:line="240" w:lineRule="auto"/>
    </w:pPr>
    <w:rPr>
      <w:rFonts w:ascii="Arial" w:eastAsia="Times New Roman" w:hAnsi="Arial" w:cs="Arial"/>
      <w:b/>
    </w:rPr>
  </w:style>
  <w:style w:type="character" w:customStyle="1" w:styleId="Style2Char">
    <w:name w:val="Style2 Char"/>
    <w:basedOn w:val="DefaultParagraphFont"/>
    <w:link w:val="Style2"/>
    <w:rsid w:val="00582E12"/>
    <w:rPr>
      <w:rFonts w:ascii="Times New Roman" w:eastAsia="Times New Roman" w:hAnsi="Times New Roman" w:cs="Arial"/>
      <w:b/>
      <w:sz w:val="20"/>
      <w:szCs w:val="20"/>
    </w:rPr>
  </w:style>
  <w:style w:type="paragraph" w:customStyle="1" w:styleId="Style1">
    <w:name w:val="Style1"/>
    <w:basedOn w:val="ListParagraph"/>
    <w:link w:val="Style1Char"/>
    <w:qFormat/>
    <w:rsid w:val="00763C50"/>
    <w:pPr>
      <w:numPr>
        <w:numId w:val="1"/>
      </w:numPr>
      <w:jc w:val="both"/>
    </w:pPr>
    <w:rPr>
      <w:rFonts w:cs="Arial"/>
      <w:b/>
    </w:rPr>
  </w:style>
  <w:style w:type="paragraph" w:styleId="ListParagraph">
    <w:name w:val="List Paragraph"/>
    <w:basedOn w:val="Normal0"/>
    <w:link w:val="ListParagraphChar"/>
    <w:uiPriority w:val="34"/>
    <w:qFormat/>
    <w:rsid w:val="00B81A65"/>
    <w:pPr>
      <w:spacing w:line="240" w:lineRule="auto"/>
      <w:ind w:left="720"/>
      <w:contextualSpacing/>
    </w:pPr>
    <w:rPr>
      <w:rFonts w:ascii="Arial" w:eastAsia="Times New Roman" w:hAnsi="Arial"/>
    </w:rPr>
  </w:style>
  <w:style w:type="character" w:customStyle="1" w:styleId="ListParagraphChar">
    <w:name w:val="List Paragraph Char"/>
    <w:basedOn w:val="DefaultParagraphFont"/>
    <w:link w:val="ListParagraph"/>
    <w:uiPriority w:val="34"/>
    <w:rsid w:val="00763C50"/>
    <w:rPr>
      <w:rFonts w:ascii="Times New Roman" w:eastAsia="Times New Roman" w:hAnsi="Times New Roman"/>
      <w:sz w:val="20"/>
      <w:szCs w:val="20"/>
    </w:rPr>
  </w:style>
  <w:style w:type="character" w:customStyle="1" w:styleId="Style1Char">
    <w:name w:val="Style1 Char"/>
    <w:basedOn w:val="ListParagraphChar"/>
    <w:link w:val="Style1"/>
    <w:rsid w:val="00763C50"/>
    <w:rPr>
      <w:rFonts w:ascii="Arial" w:eastAsia="Times New Roman" w:hAnsi="Arial" w:cs="Arial"/>
      <w:b/>
      <w:sz w:val="20"/>
      <w:szCs w:val="20"/>
    </w:rPr>
  </w:style>
  <w:style w:type="paragraph" w:customStyle="1" w:styleId="Normal00">
    <w:name w:val="Normal_0_0"/>
    <w:qFormat/>
    <w:rsid w:val="00385C1D"/>
  </w:style>
  <w:style w:type="character" w:styleId="Strong">
    <w:name w:val="Strong"/>
    <w:uiPriority w:val="22"/>
    <w:qFormat/>
    <w:rsid w:val="00961C9C"/>
    <w:rPr>
      <w:rFonts w:ascii="Arial" w:hAnsi="Arial"/>
      <w:b/>
      <w:bCs/>
    </w:rPr>
  </w:style>
  <w:style w:type="character" w:customStyle="1" w:styleId="WW8Num1z0">
    <w:name w:val="WW8Num1z0"/>
    <w:rsid w:val="00D835CC"/>
    <w:rPr>
      <w:rFonts w:hint="default"/>
    </w:rPr>
  </w:style>
  <w:style w:type="character" w:customStyle="1" w:styleId="WW8Num1z1">
    <w:name w:val="WW8Num1z1"/>
    <w:rsid w:val="00D835CC"/>
    <w:rPr>
      <w:rFonts w:ascii="Verdana" w:hAnsi="Verdana" w:cs="Verdana" w:hint="default"/>
      <w:b w:val="0"/>
      <w:i w:val="0"/>
      <w:color w:val="auto"/>
      <w:sz w:val="22"/>
      <w:szCs w:val="22"/>
    </w:rPr>
  </w:style>
  <w:style w:type="character" w:customStyle="1" w:styleId="WW8Num2z0">
    <w:name w:val="WW8Num2z0"/>
    <w:rsid w:val="00D835CC"/>
    <w:rPr>
      <w:rFonts w:cs="Arial" w:hint="default"/>
    </w:rPr>
  </w:style>
  <w:style w:type="character" w:customStyle="1" w:styleId="WW8Num2z1">
    <w:name w:val="WW8Num2z1"/>
    <w:rsid w:val="00D835CC"/>
  </w:style>
  <w:style w:type="character" w:customStyle="1" w:styleId="WW8Num2z2">
    <w:name w:val="WW8Num2z2"/>
    <w:rsid w:val="00D835CC"/>
    <w:rPr>
      <w:rFonts w:ascii="Symbol" w:hAnsi="Symbol" w:cs="Symbol" w:hint="default"/>
    </w:rPr>
  </w:style>
  <w:style w:type="character" w:customStyle="1" w:styleId="WW8Num3z0">
    <w:name w:val="WW8Num3z0"/>
    <w:rsid w:val="00D835CC"/>
    <w:rPr>
      <w:rFonts w:cs="Arial" w:hint="default"/>
    </w:rPr>
  </w:style>
  <w:style w:type="character" w:customStyle="1" w:styleId="WW8Num4z0">
    <w:name w:val="WW8Num4z0"/>
    <w:rsid w:val="00D835CC"/>
    <w:rPr>
      <w:rFonts w:cs="Arial" w:hint="default"/>
    </w:rPr>
  </w:style>
  <w:style w:type="character" w:customStyle="1" w:styleId="WW8Num5z0">
    <w:name w:val="WW8Num5z0"/>
    <w:rsid w:val="00D835CC"/>
    <w:rPr>
      <w:rFonts w:ascii="Symbol" w:hAnsi="Symbol" w:cs="Symbol" w:hint="default"/>
      <w:sz w:val="22"/>
      <w:szCs w:val="22"/>
    </w:rPr>
  </w:style>
  <w:style w:type="character" w:customStyle="1" w:styleId="WW8Num6z0">
    <w:name w:val="WW8Num6z0"/>
    <w:rsid w:val="00D835CC"/>
    <w:rPr>
      <w:rFonts w:ascii="Symbol" w:hAnsi="Symbol" w:cs="Symbol" w:hint="default"/>
      <w:sz w:val="22"/>
      <w:szCs w:val="22"/>
    </w:rPr>
  </w:style>
  <w:style w:type="character" w:customStyle="1" w:styleId="WW8Num7z0">
    <w:name w:val="WW8Num7z0"/>
    <w:rsid w:val="00D835CC"/>
    <w:rPr>
      <w:rFonts w:cs="Verdana" w:hint="default"/>
    </w:rPr>
  </w:style>
  <w:style w:type="character" w:customStyle="1" w:styleId="WW8Num8z0">
    <w:name w:val="WW8Num8z0"/>
    <w:rsid w:val="00D835CC"/>
    <w:rPr>
      <w:rFonts w:ascii="Symbol" w:hAnsi="Symbol" w:cs="Symbol" w:hint="default"/>
      <w:sz w:val="22"/>
      <w:szCs w:val="22"/>
    </w:rPr>
  </w:style>
  <w:style w:type="character" w:customStyle="1" w:styleId="WW8Num8z3">
    <w:name w:val="WW8Num8z3"/>
    <w:rsid w:val="00D835CC"/>
  </w:style>
  <w:style w:type="character" w:customStyle="1" w:styleId="WW8Num8z4">
    <w:name w:val="WW8Num8z4"/>
    <w:rsid w:val="00D835CC"/>
  </w:style>
  <w:style w:type="character" w:customStyle="1" w:styleId="WW8Num8z5">
    <w:name w:val="WW8Num8z5"/>
    <w:rsid w:val="00D835CC"/>
  </w:style>
  <w:style w:type="character" w:customStyle="1" w:styleId="WW8Num8z6">
    <w:name w:val="WW8Num8z6"/>
    <w:rsid w:val="00D835CC"/>
  </w:style>
  <w:style w:type="character" w:customStyle="1" w:styleId="WW8Num8z7">
    <w:name w:val="WW8Num8z7"/>
    <w:rsid w:val="00D835CC"/>
  </w:style>
  <w:style w:type="character" w:customStyle="1" w:styleId="WW8Num8z8">
    <w:name w:val="WW8Num8z8"/>
    <w:rsid w:val="00D835CC"/>
  </w:style>
  <w:style w:type="character" w:customStyle="1" w:styleId="WW8Num9z0">
    <w:name w:val="WW8Num9z0"/>
    <w:rsid w:val="00D835CC"/>
    <w:rPr>
      <w:rFonts w:cs="Times New Roman" w:hint="default"/>
    </w:rPr>
  </w:style>
  <w:style w:type="character" w:customStyle="1" w:styleId="WW8Num10z0">
    <w:name w:val="WW8Num10z0"/>
    <w:rsid w:val="00D835CC"/>
    <w:rPr>
      <w:rFonts w:cs="Arial" w:hint="default"/>
    </w:rPr>
  </w:style>
  <w:style w:type="character" w:customStyle="1" w:styleId="WW8Num11z0">
    <w:name w:val="WW8Num11z0"/>
    <w:rsid w:val="00D835CC"/>
    <w:rPr>
      <w:rFonts w:cs="Arial" w:hint="default"/>
    </w:rPr>
  </w:style>
  <w:style w:type="character" w:customStyle="1" w:styleId="WW8Num12z0">
    <w:name w:val="WW8Num12z0"/>
    <w:rsid w:val="00D835CC"/>
    <w:rPr>
      <w:rFonts w:cs="Arial" w:hint="default"/>
    </w:rPr>
  </w:style>
  <w:style w:type="character" w:customStyle="1" w:styleId="WW8Num12z1">
    <w:name w:val="WW8Num12z1"/>
    <w:rsid w:val="00D835CC"/>
    <w:rPr>
      <w:rFonts w:hint="default"/>
      <w:b w:val="0"/>
      <w:i w:val="0"/>
    </w:rPr>
  </w:style>
  <w:style w:type="character" w:customStyle="1" w:styleId="WW8Num12z2">
    <w:name w:val="WW8Num12z2"/>
    <w:rsid w:val="00D835CC"/>
    <w:rPr>
      <w:rFonts w:ascii="Symbol" w:hAnsi="Symbol" w:cs="Symbol" w:hint="default"/>
    </w:rPr>
  </w:style>
  <w:style w:type="character" w:customStyle="1" w:styleId="WW8Num12z3">
    <w:name w:val="WW8Num12z3"/>
    <w:rsid w:val="00D835CC"/>
    <w:rPr>
      <w:rFonts w:hint="default"/>
    </w:rPr>
  </w:style>
  <w:style w:type="character" w:customStyle="1" w:styleId="WW8Num12z4">
    <w:name w:val="WW8Num12z4"/>
    <w:rsid w:val="00D835CC"/>
  </w:style>
  <w:style w:type="character" w:customStyle="1" w:styleId="WW8Num12z5">
    <w:name w:val="WW8Num12z5"/>
    <w:rsid w:val="00D835CC"/>
  </w:style>
  <w:style w:type="character" w:customStyle="1" w:styleId="WW8Num12z6">
    <w:name w:val="WW8Num12z6"/>
    <w:rsid w:val="00D835CC"/>
  </w:style>
  <w:style w:type="character" w:customStyle="1" w:styleId="WW8Num12z7">
    <w:name w:val="WW8Num12z7"/>
    <w:rsid w:val="00D835CC"/>
  </w:style>
  <w:style w:type="character" w:customStyle="1" w:styleId="WW8Num12z8">
    <w:name w:val="WW8Num12z8"/>
    <w:rsid w:val="00D835CC"/>
  </w:style>
  <w:style w:type="character" w:customStyle="1" w:styleId="WW8Num13z0">
    <w:name w:val="WW8Num13z0"/>
    <w:rsid w:val="00D835CC"/>
    <w:rPr>
      <w:rFonts w:hint="default"/>
    </w:rPr>
  </w:style>
  <w:style w:type="character" w:customStyle="1" w:styleId="WW8Num13z1">
    <w:name w:val="WW8Num13z1"/>
    <w:rsid w:val="00D835CC"/>
    <w:rPr>
      <w:rFonts w:hint="default"/>
      <w:b w:val="0"/>
      <w:i w:val="0"/>
      <w:color w:val="auto"/>
    </w:rPr>
  </w:style>
  <w:style w:type="character" w:customStyle="1" w:styleId="WW8Num13z2">
    <w:name w:val="WW8Num13z2"/>
    <w:rsid w:val="00D835CC"/>
  </w:style>
  <w:style w:type="character" w:customStyle="1" w:styleId="WW8Num13z3">
    <w:name w:val="WW8Num13z3"/>
    <w:rsid w:val="00D835CC"/>
  </w:style>
  <w:style w:type="character" w:customStyle="1" w:styleId="WW8Num13z4">
    <w:name w:val="WW8Num13z4"/>
    <w:rsid w:val="00D835CC"/>
  </w:style>
  <w:style w:type="character" w:customStyle="1" w:styleId="WW8Num13z5">
    <w:name w:val="WW8Num13z5"/>
    <w:rsid w:val="00D835CC"/>
  </w:style>
  <w:style w:type="character" w:customStyle="1" w:styleId="WW8Num13z6">
    <w:name w:val="WW8Num13z6"/>
    <w:rsid w:val="00D835CC"/>
  </w:style>
  <w:style w:type="character" w:customStyle="1" w:styleId="WW8Num13z7">
    <w:name w:val="WW8Num13z7"/>
    <w:rsid w:val="00D835CC"/>
  </w:style>
  <w:style w:type="character" w:customStyle="1" w:styleId="WW8Num13z8">
    <w:name w:val="WW8Num13z8"/>
    <w:rsid w:val="00D835CC"/>
  </w:style>
  <w:style w:type="character" w:customStyle="1" w:styleId="WW8Num2z3">
    <w:name w:val="WW8Num2z3"/>
    <w:rsid w:val="00D835CC"/>
  </w:style>
  <w:style w:type="character" w:customStyle="1" w:styleId="WW8Num2z4">
    <w:name w:val="WW8Num2z4"/>
    <w:rsid w:val="00D835CC"/>
  </w:style>
  <w:style w:type="character" w:customStyle="1" w:styleId="WW8Num2z5">
    <w:name w:val="WW8Num2z5"/>
    <w:rsid w:val="00D835CC"/>
  </w:style>
  <w:style w:type="character" w:customStyle="1" w:styleId="WW8Num2z6">
    <w:name w:val="WW8Num2z6"/>
    <w:rsid w:val="00D835CC"/>
  </w:style>
  <w:style w:type="character" w:customStyle="1" w:styleId="WW8Num2z7">
    <w:name w:val="WW8Num2z7"/>
    <w:rsid w:val="00D835CC"/>
  </w:style>
  <w:style w:type="character" w:customStyle="1" w:styleId="WW8Num2z8">
    <w:name w:val="WW8Num2z8"/>
    <w:rsid w:val="00D835CC"/>
  </w:style>
  <w:style w:type="character" w:customStyle="1" w:styleId="WW8Num4z1">
    <w:name w:val="WW8Num4z1"/>
    <w:rsid w:val="00D835CC"/>
  </w:style>
  <w:style w:type="character" w:customStyle="1" w:styleId="WW8Num4z2">
    <w:name w:val="WW8Num4z2"/>
    <w:rsid w:val="00D835CC"/>
  </w:style>
  <w:style w:type="character" w:customStyle="1" w:styleId="WW8Num4z3">
    <w:name w:val="WW8Num4z3"/>
    <w:rsid w:val="00D835CC"/>
  </w:style>
  <w:style w:type="character" w:customStyle="1" w:styleId="WW8Num4z4">
    <w:name w:val="WW8Num4z4"/>
    <w:rsid w:val="00D835CC"/>
  </w:style>
  <w:style w:type="character" w:customStyle="1" w:styleId="WW8Num4z5">
    <w:name w:val="WW8Num4z5"/>
    <w:rsid w:val="00D835CC"/>
  </w:style>
  <w:style w:type="character" w:customStyle="1" w:styleId="WW8Num4z6">
    <w:name w:val="WW8Num4z6"/>
    <w:rsid w:val="00D835CC"/>
  </w:style>
  <w:style w:type="character" w:customStyle="1" w:styleId="WW8Num4z7">
    <w:name w:val="WW8Num4z7"/>
    <w:rsid w:val="00D835CC"/>
  </w:style>
  <w:style w:type="character" w:customStyle="1" w:styleId="WW8Num4z8">
    <w:name w:val="WW8Num4z8"/>
    <w:rsid w:val="00D835CC"/>
  </w:style>
  <w:style w:type="character" w:customStyle="1" w:styleId="WW8Num5z1">
    <w:name w:val="WW8Num5z1"/>
    <w:rsid w:val="00D835CC"/>
    <w:rPr>
      <w:rFonts w:hint="default"/>
      <w:b w:val="0"/>
      <w:i w:val="0"/>
    </w:rPr>
  </w:style>
  <w:style w:type="character" w:customStyle="1" w:styleId="WW8Num5z2">
    <w:name w:val="WW8Num5z2"/>
    <w:rsid w:val="00D835CC"/>
    <w:rPr>
      <w:rFonts w:hint="default"/>
    </w:rPr>
  </w:style>
  <w:style w:type="character" w:customStyle="1" w:styleId="WW8Num6z1">
    <w:name w:val="WW8Num6z1"/>
    <w:rsid w:val="00D835CC"/>
    <w:rPr>
      <w:rFonts w:ascii="Courier New" w:hAnsi="Courier New" w:cs="Courier New" w:hint="default"/>
    </w:rPr>
  </w:style>
  <w:style w:type="character" w:customStyle="1" w:styleId="WW8Num6z2">
    <w:name w:val="WW8Num6z2"/>
    <w:rsid w:val="00D835CC"/>
    <w:rPr>
      <w:rFonts w:ascii="Wingdings" w:hAnsi="Wingdings" w:cs="Wingdings" w:hint="default"/>
    </w:rPr>
  </w:style>
  <w:style w:type="character" w:customStyle="1" w:styleId="WW8Num7z1">
    <w:name w:val="WW8Num7z1"/>
    <w:rsid w:val="00D835CC"/>
  </w:style>
  <w:style w:type="character" w:customStyle="1" w:styleId="WW8Num7z2">
    <w:name w:val="WW8Num7z2"/>
    <w:rsid w:val="00D835CC"/>
    <w:rPr>
      <w:rFonts w:ascii="Symbol" w:hAnsi="Symbol" w:cs="Symbol" w:hint="default"/>
    </w:rPr>
  </w:style>
  <w:style w:type="character" w:customStyle="1" w:styleId="WW8Num7z3">
    <w:name w:val="WW8Num7z3"/>
    <w:rsid w:val="00D835CC"/>
  </w:style>
  <w:style w:type="character" w:customStyle="1" w:styleId="WW8Num7z4">
    <w:name w:val="WW8Num7z4"/>
    <w:rsid w:val="00D835CC"/>
  </w:style>
  <w:style w:type="character" w:customStyle="1" w:styleId="WW8Num7z5">
    <w:name w:val="WW8Num7z5"/>
    <w:rsid w:val="00D835CC"/>
  </w:style>
  <w:style w:type="character" w:customStyle="1" w:styleId="WW8Num7z6">
    <w:name w:val="WW8Num7z6"/>
    <w:rsid w:val="00D835CC"/>
  </w:style>
  <w:style w:type="character" w:customStyle="1" w:styleId="WW8Num7z7">
    <w:name w:val="WW8Num7z7"/>
    <w:rsid w:val="00D835CC"/>
  </w:style>
  <w:style w:type="character" w:customStyle="1" w:styleId="WW8Num7z8">
    <w:name w:val="WW8Num7z8"/>
    <w:rsid w:val="00D835CC"/>
  </w:style>
  <w:style w:type="character" w:customStyle="1" w:styleId="WW8Num8z1">
    <w:name w:val="WW8Num8z1"/>
    <w:rsid w:val="00D835CC"/>
    <w:rPr>
      <w:rFonts w:ascii="Courier New" w:hAnsi="Courier New" w:cs="Courier New" w:hint="default"/>
    </w:rPr>
  </w:style>
  <w:style w:type="character" w:customStyle="1" w:styleId="WW8Num8z2">
    <w:name w:val="WW8Num8z2"/>
    <w:rsid w:val="00D835CC"/>
    <w:rPr>
      <w:rFonts w:ascii="Wingdings" w:hAnsi="Wingdings" w:cs="Wingdings" w:hint="default"/>
    </w:rPr>
  </w:style>
  <w:style w:type="character" w:customStyle="1" w:styleId="WW8Num10z1">
    <w:name w:val="WW8Num10z1"/>
    <w:rsid w:val="00D835CC"/>
  </w:style>
  <w:style w:type="character" w:customStyle="1" w:styleId="WW8Num10z2">
    <w:name w:val="WW8Num10z2"/>
    <w:rsid w:val="00D835CC"/>
  </w:style>
  <w:style w:type="character" w:customStyle="1" w:styleId="WW8Num10z3">
    <w:name w:val="WW8Num10z3"/>
    <w:rsid w:val="00D835CC"/>
  </w:style>
  <w:style w:type="character" w:customStyle="1" w:styleId="WW8Num10z4">
    <w:name w:val="WW8Num10z4"/>
    <w:rsid w:val="00D835CC"/>
  </w:style>
  <w:style w:type="character" w:customStyle="1" w:styleId="WW8Num10z5">
    <w:name w:val="WW8Num10z5"/>
    <w:rsid w:val="00D835CC"/>
  </w:style>
  <w:style w:type="character" w:customStyle="1" w:styleId="WW8Num10z6">
    <w:name w:val="WW8Num10z6"/>
    <w:rsid w:val="00D835CC"/>
  </w:style>
  <w:style w:type="character" w:customStyle="1" w:styleId="WW8Num10z7">
    <w:name w:val="WW8Num10z7"/>
    <w:rsid w:val="00D835CC"/>
  </w:style>
  <w:style w:type="character" w:customStyle="1" w:styleId="WW8Num10z8">
    <w:name w:val="WW8Num10z8"/>
    <w:rsid w:val="00D835CC"/>
  </w:style>
  <w:style w:type="character" w:customStyle="1" w:styleId="WW8Num11z1">
    <w:name w:val="WW8Num11z1"/>
    <w:rsid w:val="00D835CC"/>
    <w:rPr>
      <w:rFonts w:ascii="Symbol" w:hAnsi="Symbol" w:cs="Symbol" w:hint="default"/>
    </w:rPr>
  </w:style>
  <w:style w:type="character" w:customStyle="1" w:styleId="WW8Num11z3">
    <w:name w:val="WW8Num11z3"/>
    <w:rsid w:val="00D835CC"/>
  </w:style>
  <w:style w:type="character" w:customStyle="1" w:styleId="WW8Num11z4">
    <w:name w:val="WW8Num11z4"/>
    <w:rsid w:val="00D835CC"/>
  </w:style>
  <w:style w:type="character" w:customStyle="1" w:styleId="WW8Num11z5">
    <w:name w:val="WW8Num11z5"/>
    <w:rsid w:val="00D835CC"/>
  </w:style>
  <w:style w:type="character" w:customStyle="1" w:styleId="WW8Num11z6">
    <w:name w:val="WW8Num11z6"/>
    <w:rsid w:val="00D835CC"/>
  </w:style>
  <w:style w:type="character" w:customStyle="1" w:styleId="WW8Num11z7">
    <w:name w:val="WW8Num11z7"/>
    <w:rsid w:val="00D835CC"/>
  </w:style>
  <w:style w:type="character" w:customStyle="1" w:styleId="WW8Num11z8">
    <w:name w:val="WW8Num11z8"/>
    <w:rsid w:val="00D835CC"/>
  </w:style>
  <w:style w:type="character" w:customStyle="1" w:styleId="WW8Num14z0">
    <w:name w:val="WW8Num14z0"/>
    <w:rsid w:val="00D835CC"/>
    <w:rPr>
      <w:rFonts w:ascii="Symbol" w:hAnsi="Symbol" w:cs="Symbol" w:hint="default"/>
    </w:rPr>
  </w:style>
  <w:style w:type="character" w:customStyle="1" w:styleId="WW8Num14z3">
    <w:name w:val="WW8Num14z3"/>
    <w:rsid w:val="00D835CC"/>
  </w:style>
  <w:style w:type="character" w:customStyle="1" w:styleId="WW8Num14z4">
    <w:name w:val="WW8Num14z4"/>
    <w:rsid w:val="00D835CC"/>
  </w:style>
  <w:style w:type="character" w:customStyle="1" w:styleId="WW8Num14z5">
    <w:name w:val="WW8Num14z5"/>
    <w:rsid w:val="00D835CC"/>
  </w:style>
  <w:style w:type="character" w:customStyle="1" w:styleId="WW8Num14z6">
    <w:name w:val="WW8Num14z6"/>
    <w:rsid w:val="00D835CC"/>
  </w:style>
  <w:style w:type="character" w:customStyle="1" w:styleId="WW8Num14z7">
    <w:name w:val="WW8Num14z7"/>
    <w:rsid w:val="00D835CC"/>
  </w:style>
  <w:style w:type="character" w:customStyle="1" w:styleId="WW8Num14z8">
    <w:name w:val="WW8Num14z8"/>
    <w:rsid w:val="00D835CC"/>
  </w:style>
  <w:style w:type="character" w:customStyle="1" w:styleId="WW8Num15z0">
    <w:name w:val="WW8Num15z0"/>
    <w:rsid w:val="00D835CC"/>
    <w:rPr>
      <w:rFonts w:ascii="Symbol" w:hAnsi="Symbol" w:cs="Symbol" w:hint="default"/>
    </w:rPr>
  </w:style>
  <w:style w:type="character" w:customStyle="1" w:styleId="WW8Num15z1">
    <w:name w:val="WW8Num15z1"/>
    <w:rsid w:val="00D835CC"/>
    <w:rPr>
      <w:rFonts w:ascii="Courier New" w:hAnsi="Courier New" w:cs="Courier New" w:hint="default"/>
    </w:rPr>
  </w:style>
  <w:style w:type="character" w:customStyle="1" w:styleId="WW8Num15z2">
    <w:name w:val="WW8Num15z2"/>
    <w:rsid w:val="00D835CC"/>
    <w:rPr>
      <w:rFonts w:ascii="Wingdings" w:hAnsi="Wingdings" w:cs="Wingdings" w:hint="default"/>
    </w:rPr>
  </w:style>
  <w:style w:type="character" w:customStyle="1" w:styleId="WW8Num16z0">
    <w:name w:val="WW8Num16z0"/>
    <w:rsid w:val="00D835CC"/>
    <w:rPr>
      <w:rFonts w:ascii="Symbol" w:hAnsi="Symbol" w:cs="Symbol" w:hint="default"/>
      <w:color w:val="000000"/>
    </w:rPr>
  </w:style>
  <w:style w:type="character" w:customStyle="1" w:styleId="WW8Num16z1">
    <w:name w:val="WW8Num16z1"/>
    <w:rsid w:val="00D835CC"/>
    <w:rPr>
      <w:rFonts w:ascii="Courier New" w:hAnsi="Courier New" w:cs="Courier New" w:hint="default"/>
    </w:rPr>
  </w:style>
  <w:style w:type="character" w:customStyle="1" w:styleId="WW8Num16z2">
    <w:name w:val="WW8Num16z2"/>
    <w:rsid w:val="00D835CC"/>
    <w:rPr>
      <w:rFonts w:ascii="Wingdings" w:hAnsi="Wingdings" w:cs="Wingdings" w:hint="default"/>
    </w:rPr>
  </w:style>
  <w:style w:type="character" w:customStyle="1" w:styleId="WW8Num16z3">
    <w:name w:val="WW8Num16z3"/>
    <w:rsid w:val="00D835CC"/>
    <w:rPr>
      <w:rFonts w:ascii="Symbol" w:hAnsi="Symbol" w:cs="Symbol" w:hint="default"/>
    </w:rPr>
  </w:style>
  <w:style w:type="character" w:customStyle="1" w:styleId="WW8Num17z0">
    <w:name w:val="WW8Num17z0"/>
    <w:rsid w:val="00D835CC"/>
    <w:rPr>
      <w:rFonts w:ascii="Verdana" w:hAnsi="Verdana" w:cs="Arial" w:hint="default"/>
      <w:sz w:val="22"/>
      <w:szCs w:val="22"/>
    </w:rPr>
  </w:style>
  <w:style w:type="character" w:customStyle="1" w:styleId="WW8Num18z0">
    <w:name w:val="WW8Num18z0"/>
    <w:rsid w:val="00D835CC"/>
    <w:rPr>
      <w:rFonts w:ascii="Symbol" w:hAnsi="Symbol" w:cs="Symbol" w:hint="default"/>
      <w:color w:val="auto"/>
      <w:sz w:val="22"/>
      <w:szCs w:val="22"/>
    </w:rPr>
  </w:style>
  <w:style w:type="character" w:customStyle="1" w:styleId="WW8Num18z1">
    <w:name w:val="WW8Num18z1"/>
    <w:rsid w:val="00D835CC"/>
    <w:rPr>
      <w:rFonts w:ascii="Courier New" w:hAnsi="Courier New" w:cs="Courier New" w:hint="default"/>
    </w:rPr>
  </w:style>
  <w:style w:type="character" w:customStyle="1" w:styleId="WW8Num18z2">
    <w:name w:val="WW8Num18z2"/>
    <w:rsid w:val="00D835CC"/>
    <w:rPr>
      <w:rFonts w:ascii="Wingdings" w:hAnsi="Wingdings" w:cs="Wingdings" w:hint="default"/>
    </w:rPr>
  </w:style>
  <w:style w:type="character" w:customStyle="1" w:styleId="WW8Num18z3">
    <w:name w:val="WW8Num18z3"/>
    <w:rsid w:val="00D835CC"/>
    <w:rPr>
      <w:rFonts w:ascii="Symbol" w:hAnsi="Symbol" w:cs="Symbol" w:hint="default"/>
    </w:rPr>
  </w:style>
  <w:style w:type="character" w:customStyle="1" w:styleId="WW8Num19z0">
    <w:name w:val="WW8Num19z0"/>
    <w:rsid w:val="00D835CC"/>
    <w:rPr>
      <w:rFonts w:ascii="Symbol" w:hAnsi="Symbol" w:cs="Symbol" w:hint="default"/>
      <w:sz w:val="22"/>
      <w:szCs w:val="22"/>
    </w:rPr>
  </w:style>
  <w:style w:type="character" w:customStyle="1" w:styleId="WW8Num19z1">
    <w:name w:val="WW8Num19z1"/>
    <w:rsid w:val="00D835CC"/>
    <w:rPr>
      <w:rFonts w:ascii="Courier New" w:hAnsi="Courier New" w:cs="Courier New" w:hint="default"/>
    </w:rPr>
  </w:style>
  <w:style w:type="character" w:customStyle="1" w:styleId="WW8Num19z2">
    <w:name w:val="WW8Num19z2"/>
    <w:rsid w:val="00D835CC"/>
    <w:rPr>
      <w:rFonts w:ascii="Wingdings" w:hAnsi="Wingdings" w:cs="Wingdings" w:hint="default"/>
    </w:rPr>
  </w:style>
  <w:style w:type="character" w:customStyle="1" w:styleId="WW8Num20z0">
    <w:name w:val="WW8Num20z0"/>
    <w:rsid w:val="00D835CC"/>
    <w:rPr>
      <w:rFonts w:ascii="Symbol" w:hAnsi="Symbol" w:cs="Symbol" w:hint="default"/>
    </w:rPr>
  </w:style>
  <w:style w:type="character" w:customStyle="1" w:styleId="WW8Num20z1">
    <w:name w:val="WW8Num20z1"/>
    <w:rsid w:val="00D835CC"/>
    <w:rPr>
      <w:rFonts w:ascii="Courier New" w:hAnsi="Courier New" w:cs="Courier New" w:hint="default"/>
    </w:rPr>
  </w:style>
  <w:style w:type="character" w:customStyle="1" w:styleId="WW8Num20z2">
    <w:name w:val="WW8Num20z2"/>
    <w:rsid w:val="00D835CC"/>
    <w:rPr>
      <w:rFonts w:ascii="Wingdings" w:hAnsi="Wingdings" w:cs="Wingdings" w:hint="default"/>
    </w:rPr>
  </w:style>
  <w:style w:type="character" w:customStyle="1" w:styleId="WW8Num21z0">
    <w:name w:val="WW8Num21z0"/>
    <w:rsid w:val="00D835CC"/>
    <w:rPr>
      <w:rFonts w:ascii="Symbol" w:hAnsi="Symbol" w:cs="Symbol" w:hint="default"/>
    </w:rPr>
  </w:style>
  <w:style w:type="character" w:customStyle="1" w:styleId="WW8Num21z1">
    <w:name w:val="WW8Num21z1"/>
    <w:rsid w:val="00D835CC"/>
    <w:rPr>
      <w:rFonts w:ascii="Courier New" w:hAnsi="Courier New" w:cs="Courier New" w:hint="default"/>
    </w:rPr>
  </w:style>
  <w:style w:type="character" w:customStyle="1" w:styleId="WW8Num21z2">
    <w:name w:val="WW8Num21z2"/>
    <w:rsid w:val="00D835CC"/>
    <w:rPr>
      <w:rFonts w:ascii="Wingdings" w:hAnsi="Wingdings" w:cs="Wingdings" w:hint="default"/>
    </w:rPr>
  </w:style>
  <w:style w:type="character" w:customStyle="1" w:styleId="WW8Num22z0">
    <w:name w:val="WW8Num22z0"/>
    <w:rsid w:val="00D835CC"/>
    <w:rPr>
      <w:rFonts w:hint="default"/>
    </w:rPr>
  </w:style>
  <w:style w:type="character" w:customStyle="1" w:styleId="WW8Num22z1">
    <w:name w:val="WW8Num22z1"/>
    <w:rsid w:val="00D835CC"/>
    <w:rPr>
      <w:rFonts w:ascii="Symbol" w:hAnsi="Symbol" w:cs="Symbol" w:hint="default"/>
    </w:rPr>
  </w:style>
  <w:style w:type="character" w:customStyle="1" w:styleId="WW8Num22z2">
    <w:name w:val="WW8Num22z2"/>
    <w:rsid w:val="00D835CC"/>
  </w:style>
  <w:style w:type="character" w:customStyle="1" w:styleId="WW8Num22z3">
    <w:name w:val="WW8Num22z3"/>
    <w:rsid w:val="00D835CC"/>
  </w:style>
  <w:style w:type="character" w:customStyle="1" w:styleId="WW8Num22z4">
    <w:name w:val="WW8Num22z4"/>
    <w:rsid w:val="00D835CC"/>
  </w:style>
  <w:style w:type="character" w:customStyle="1" w:styleId="WW8Num22z5">
    <w:name w:val="WW8Num22z5"/>
    <w:rsid w:val="00D835CC"/>
  </w:style>
  <w:style w:type="character" w:customStyle="1" w:styleId="WW8Num22z6">
    <w:name w:val="WW8Num22z6"/>
    <w:rsid w:val="00D835CC"/>
  </w:style>
  <w:style w:type="character" w:customStyle="1" w:styleId="WW8Num22z7">
    <w:name w:val="WW8Num22z7"/>
    <w:rsid w:val="00D835CC"/>
  </w:style>
  <w:style w:type="character" w:customStyle="1" w:styleId="WW8Num22z8">
    <w:name w:val="WW8Num22z8"/>
    <w:rsid w:val="00D835CC"/>
  </w:style>
  <w:style w:type="character" w:customStyle="1" w:styleId="WW8Num23z0">
    <w:name w:val="WW8Num23z0"/>
    <w:rsid w:val="00D835CC"/>
    <w:rPr>
      <w:rFonts w:ascii="Symbol" w:hAnsi="Symbol" w:cs="Symbol" w:hint="default"/>
      <w:color w:val="auto"/>
      <w:sz w:val="22"/>
      <w:szCs w:val="22"/>
    </w:rPr>
  </w:style>
  <w:style w:type="character" w:customStyle="1" w:styleId="WW8Num23z1">
    <w:name w:val="WW8Num23z1"/>
    <w:rsid w:val="00D835CC"/>
  </w:style>
  <w:style w:type="character" w:customStyle="1" w:styleId="WW8Num23z2">
    <w:name w:val="WW8Num23z2"/>
    <w:rsid w:val="00D835CC"/>
    <w:rPr>
      <w:rFonts w:ascii="Symbol" w:hAnsi="Symbol" w:cs="Symbol" w:hint="default"/>
    </w:rPr>
  </w:style>
  <w:style w:type="character" w:customStyle="1" w:styleId="WW8Num23z3">
    <w:name w:val="WW8Num23z3"/>
    <w:rsid w:val="00D835CC"/>
    <w:rPr>
      <w:rFonts w:hint="default"/>
    </w:rPr>
  </w:style>
  <w:style w:type="character" w:customStyle="1" w:styleId="WW8Num23z4">
    <w:name w:val="WW8Num23z4"/>
    <w:rsid w:val="00D835CC"/>
  </w:style>
  <w:style w:type="character" w:customStyle="1" w:styleId="WW8Num23z5">
    <w:name w:val="WW8Num23z5"/>
    <w:rsid w:val="00D835CC"/>
  </w:style>
  <w:style w:type="character" w:customStyle="1" w:styleId="WW8Num23z6">
    <w:name w:val="WW8Num23z6"/>
    <w:rsid w:val="00D835CC"/>
  </w:style>
  <w:style w:type="character" w:customStyle="1" w:styleId="WW8Num23z7">
    <w:name w:val="WW8Num23z7"/>
    <w:rsid w:val="00D835CC"/>
  </w:style>
  <w:style w:type="character" w:customStyle="1" w:styleId="WW8Num23z8">
    <w:name w:val="WW8Num23z8"/>
    <w:rsid w:val="00D835CC"/>
  </w:style>
  <w:style w:type="character" w:customStyle="1" w:styleId="FootnoteCharacters">
    <w:name w:val="Footnote Characters"/>
    <w:rsid w:val="00D835CC"/>
    <w:rPr>
      <w:vertAlign w:val="superscript"/>
    </w:rPr>
  </w:style>
  <w:style w:type="character" w:styleId="FollowedHyperlink">
    <w:name w:val="FollowedHyperlink"/>
    <w:uiPriority w:val="99"/>
    <w:rsid w:val="00D835CC"/>
    <w:rPr>
      <w:color w:val="800080"/>
      <w:u w:val="single"/>
    </w:rPr>
  </w:style>
  <w:style w:type="character" w:styleId="FootnoteReference">
    <w:name w:val="footnote reference"/>
    <w:rsid w:val="00D835CC"/>
    <w:rPr>
      <w:vertAlign w:val="superscript"/>
    </w:rPr>
  </w:style>
  <w:style w:type="character" w:customStyle="1" w:styleId="EndnoteCharacters">
    <w:name w:val="Endnote Characters"/>
    <w:rsid w:val="00D835CC"/>
    <w:rPr>
      <w:vertAlign w:val="superscript"/>
    </w:rPr>
  </w:style>
  <w:style w:type="character" w:customStyle="1" w:styleId="WW-EndnoteCharacters">
    <w:name w:val="WW-Endnote Characters"/>
    <w:rsid w:val="00D835CC"/>
  </w:style>
  <w:style w:type="character" w:styleId="EndnoteReference">
    <w:name w:val="endnote reference"/>
    <w:rsid w:val="00D835CC"/>
    <w:rPr>
      <w:vertAlign w:val="superscript"/>
    </w:rPr>
  </w:style>
  <w:style w:type="paragraph" w:customStyle="1" w:styleId="Heading">
    <w:name w:val="Heading"/>
    <w:basedOn w:val="Normal"/>
    <w:next w:val="BodyText"/>
    <w:rsid w:val="00D835CC"/>
    <w:pPr>
      <w:keepNext/>
      <w:suppressAutoHyphens/>
      <w:spacing w:before="240" w:after="120"/>
    </w:pPr>
    <w:rPr>
      <w:rFonts w:ascii="Arial" w:eastAsia="Microsoft YaHei" w:hAnsi="Arial" w:cs="Mangal"/>
      <w:sz w:val="28"/>
      <w:szCs w:val="28"/>
      <w:lang w:val="en-GB" w:eastAsia="ar-SA"/>
    </w:rPr>
  </w:style>
  <w:style w:type="paragraph" w:styleId="BodyText">
    <w:name w:val="Body Text"/>
    <w:basedOn w:val="Normal"/>
    <w:link w:val="BodyTextChar"/>
    <w:rsid w:val="00D835CC"/>
    <w:pPr>
      <w:suppressAutoHyphens/>
      <w:spacing w:after="120"/>
    </w:pPr>
    <w:rPr>
      <w:rFonts w:ascii="Arial" w:eastAsia="Times New Roman" w:hAnsi="Arial" w:cs="Arial"/>
      <w:sz w:val="20"/>
      <w:szCs w:val="20"/>
      <w:lang w:val="en-GB" w:eastAsia="ar-SA"/>
    </w:rPr>
  </w:style>
  <w:style w:type="character" w:customStyle="1" w:styleId="BodyTextChar">
    <w:name w:val="Body Text Char"/>
    <w:basedOn w:val="DefaultParagraphFont"/>
    <w:link w:val="BodyText"/>
    <w:rsid w:val="00D835CC"/>
    <w:rPr>
      <w:rFonts w:ascii="Arial" w:eastAsia="Times New Roman" w:hAnsi="Arial" w:cs="Arial"/>
      <w:sz w:val="20"/>
      <w:szCs w:val="20"/>
      <w:lang w:val="en-GB" w:eastAsia="ar-SA"/>
    </w:rPr>
  </w:style>
  <w:style w:type="paragraph" w:styleId="List">
    <w:name w:val="List"/>
    <w:basedOn w:val="BodyText"/>
    <w:rsid w:val="00D835CC"/>
    <w:rPr>
      <w:rFonts w:cs="Mangal"/>
    </w:rPr>
  </w:style>
  <w:style w:type="paragraph" w:styleId="Caption">
    <w:name w:val="caption"/>
    <w:basedOn w:val="Normal"/>
    <w:qFormat/>
    <w:rsid w:val="00D835CC"/>
    <w:pPr>
      <w:suppressLineNumbers/>
      <w:suppressAutoHyphens/>
      <w:spacing w:before="120" w:after="120"/>
    </w:pPr>
    <w:rPr>
      <w:rFonts w:ascii="Arial" w:eastAsia="Times New Roman" w:hAnsi="Arial" w:cs="Mangal"/>
      <w:i/>
      <w:iCs/>
      <w:lang w:val="en-GB" w:eastAsia="ar-SA"/>
    </w:rPr>
  </w:style>
  <w:style w:type="paragraph" w:customStyle="1" w:styleId="Index">
    <w:name w:val="Index"/>
    <w:basedOn w:val="Normal"/>
    <w:rsid w:val="00D835CC"/>
    <w:pPr>
      <w:suppressLineNumbers/>
      <w:suppressAutoHyphens/>
    </w:pPr>
    <w:rPr>
      <w:rFonts w:ascii="Arial" w:eastAsia="Times New Roman" w:hAnsi="Arial" w:cs="Mangal"/>
      <w:sz w:val="20"/>
      <w:szCs w:val="20"/>
      <w:lang w:val="en-GB" w:eastAsia="ar-SA"/>
    </w:rPr>
  </w:style>
  <w:style w:type="paragraph" w:customStyle="1" w:styleId="CharCharChar">
    <w:name w:val="Char Char Char"/>
    <w:basedOn w:val="Normal"/>
    <w:rsid w:val="00D835CC"/>
    <w:pPr>
      <w:suppressAutoHyphens/>
      <w:spacing w:after="120" w:line="240" w:lineRule="exact"/>
    </w:pPr>
    <w:rPr>
      <w:rFonts w:ascii="Verdana" w:eastAsia="Times New Roman" w:hAnsi="Verdana" w:cs="Verdana"/>
      <w:sz w:val="20"/>
      <w:szCs w:val="20"/>
      <w:lang w:eastAsia="ar-SA"/>
    </w:rPr>
  </w:style>
  <w:style w:type="paragraph" w:customStyle="1" w:styleId="NormalWeb1">
    <w:name w:val="Normal (Web)1"/>
    <w:basedOn w:val="Normal"/>
    <w:rsid w:val="00D835CC"/>
    <w:pPr>
      <w:suppressAutoHyphens/>
    </w:pPr>
    <w:rPr>
      <w:rFonts w:ascii="Times New Roman" w:eastAsia="Times New Roman" w:hAnsi="Times New Roman" w:cs="Times New Roman"/>
      <w:lang w:val="en-GB" w:eastAsia="ar-SA"/>
    </w:rPr>
  </w:style>
  <w:style w:type="paragraph" w:styleId="FootnoteText">
    <w:name w:val="footnote text"/>
    <w:basedOn w:val="Normal"/>
    <w:link w:val="FootnoteTextChar"/>
    <w:rsid w:val="00D835CC"/>
    <w:pPr>
      <w:suppressAutoHyphens/>
    </w:pPr>
    <w:rPr>
      <w:rFonts w:ascii="Arial" w:eastAsia="Times New Roman" w:hAnsi="Arial" w:cs="Arial"/>
      <w:sz w:val="20"/>
      <w:szCs w:val="20"/>
      <w:lang w:val="en-GB" w:eastAsia="ar-SA"/>
    </w:rPr>
  </w:style>
  <w:style w:type="character" w:customStyle="1" w:styleId="FootnoteTextChar">
    <w:name w:val="Footnote Text Char"/>
    <w:basedOn w:val="DefaultParagraphFont"/>
    <w:link w:val="FootnoteText"/>
    <w:rsid w:val="00D835CC"/>
    <w:rPr>
      <w:rFonts w:ascii="Arial" w:eastAsia="Times New Roman" w:hAnsi="Arial" w:cs="Arial"/>
      <w:sz w:val="20"/>
      <w:szCs w:val="20"/>
      <w:lang w:val="en-GB" w:eastAsia="ar-SA"/>
    </w:rPr>
  </w:style>
  <w:style w:type="paragraph" w:styleId="BalloonText">
    <w:name w:val="Balloon Text"/>
    <w:basedOn w:val="Normal"/>
    <w:link w:val="BalloonTextChar"/>
    <w:rsid w:val="00D835CC"/>
    <w:pPr>
      <w:suppressAutoHyphens/>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uiPriority w:val="99"/>
    <w:rsid w:val="00D835CC"/>
    <w:rPr>
      <w:rFonts w:ascii="Tahoma" w:eastAsia="Times New Roman" w:hAnsi="Tahoma" w:cs="Tahoma"/>
      <w:sz w:val="16"/>
      <w:szCs w:val="16"/>
      <w:lang w:val="en-GB" w:eastAsia="ar-SA"/>
    </w:rPr>
  </w:style>
  <w:style w:type="character" w:customStyle="1" w:styleId="CommentTextChar">
    <w:name w:val="Comment Text Char"/>
    <w:basedOn w:val="DefaultParagraphFont"/>
    <w:link w:val="CommentText"/>
    <w:semiHidden/>
    <w:rsid w:val="00D835CC"/>
    <w:rPr>
      <w:rFonts w:ascii="Arial" w:eastAsia="Times New Roman" w:hAnsi="Arial" w:cs="Arial"/>
      <w:sz w:val="20"/>
      <w:szCs w:val="20"/>
      <w:lang w:val="en-GB" w:eastAsia="ar-SA"/>
    </w:rPr>
  </w:style>
  <w:style w:type="paragraph" w:styleId="CommentText">
    <w:name w:val="annotation text"/>
    <w:basedOn w:val="Normal"/>
    <w:link w:val="CommentTextChar"/>
    <w:semiHidden/>
    <w:rsid w:val="00D835CC"/>
    <w:pPr>
      <w:suppressAutoHyphens/>
    </w:pPr>
    <w:rPr>
      <w:rFonts w:ascii="Arial" w:eastAsia="Times New Roman" w:hAnsi="Arial" w:cs="Arial"/>
      <w:sz w:val="20"/>
      <w:szCs w:val="20"/>
      <w:lang w:val="en-GB" w:eastAsia="ar-SA"/>
    </w:rPr>
  </w:style>
  <w:style w:type="character" w:customStyle="1" w:styleId="CommentSubjectChar">
    <w:name w:val="Comment Subject Char"/>
    <w:basedOn w:val="CommentTextChar"/>
    <w:link w:val="CommentSubject"/>
    <w:semiHidden/>
    <w:rsid w:val="00D835CC"/>
    <w:rPr>
      <w:rFonts w:ascii="Arial" w:eastAsia="Times New Roman" w:hAnsi="Arial" w:cs="Arial"/>
      <w:b/>
      <w:bCs/>
      <w:sz w:val="20"/>
      <w:szCs w:val="20"/>
      <w:lang w:val="en-GB" w:eastAsia="ar-SA"/>
    </w:rPr>
  </w:style>
  <w:style w:type="paragraph" w:styleId="CommentSubject">
    <w:name w:val="annotation subject"/>
    <w:basedOn w:val="CommentText"/>
    <w:next w:val="CommentText"/>
    <w:link w:val="CommentSubjectChar"/>
    <w:semiHidden/>
    <w:rsid w:val="00D835CC"/>
    <w:rPr>
      <w:b/>
      <w:bCs/>
    </w:rPr>
  </w:style>
  <w:style w:type="character" w:styleId="PageNumber">
    <w:name w:val="page number"/>
    <w:basedOn w:val="DefaultParagraphFont"/>
    <w:rsid w:val="00D835CC"/>
  </w:style>
  <w:style w:type="character" w:customStyle="1" w:styleId="DocumentMapChar">
    <w:name w:val="Document Map Char"/>
    <w:basedOn w:val="DefaultParagraphFont"/>
    <w:link w:val="DocumentMap"/>
    <w:semiHidden/>
    <w:rsid w:val="00D835CC"/>
    <w:rPr>
      <w:rFonts w:ascii="Tahoma" w:eastAsia="Times New Roman" w:hAnsi="Tahoma" w:cs="Tahoma"/>
      <w:sz w:val="20"/>
      <w:szCs w:val="20"/>
      <w:shd w:val="clear" w:color="auto" w:fill="000080"/>
      <w:lang w:val="en-GB" w:eastAsia="ar-SA"/>
    </w:rPr>
  </w:style>
  <w:style w:type="paragraph" w:styleId="DocumentMap">
    <w:name w:val="Document Map"/>
    <w:basedOn w:val="Normal"/>
    <w:link w:val="DocumentMapChar"/>
    <w:semiHidden/>
    <w:rsid w:val="00D835CC"/>
    <w:pPr>
      <w:shd w:val="clear" w:color="auto" w:fill="000080"/>
      <w:suppressAutoHyphens/>
    </w:pPr>
    <w:rPr>
      <w:rFonts w:ascii="Tahoma" w:eastAsia="Times New Roman" w:hAnsi="Tahoma" w:cs="Tahoma"/>
      <w:sz w:val="20"/>
      <w:szCs w:val="20"/>
      <w:lang w:val="en-GB" w:eastAsia="ar-SA"/>
    </w:rPr>
  </w:style>
  <w:style w:type="paragraph" w:styleId="NormalWeb">
    <w:name w:val="Normal (Web)"/>
    <w:basedOn w:val="Normal"/>
    <w:rsid w:val="00D835CC"/>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rsid w:val="00D835CC"/>
    <w:pPr>
      <w:suppressAutoHyphens/>
    </w:pPr>
    <w:rPr>
      <w:rFonts w:ascii="Arial" w:eastAsia="Times New Roman" w:hAnsi="Arial" w:cs="Arial"/>
      <w:sz w:val="20"/>
      <w:szCs w:val="20"/>
      <w:lang w:val="en-GB" w:eastAsia="ar-SA"/>
    </w:rPr>
  </w:style>
  <w:style w:type="character" w:customStyle="1" w:styleId="EndnoteTextChar">
    <w:name w:val="Endnote Text Char"/>
    <w:basedOn w:val="DefaultParagraphFont"/>
    <w:link w:val="EndnoteText"/>
    <w:rsid w:val="00D835CC"/>
    <w:rPr>
      <w:rFonts w:ascii="Arial" w:eastAsia="Times New Roman" w:hAnsi="Arial" w:cs="Arial"/>
      <w:sz w:val="20"/>
      <w:szCs w:val="20"/>
      <w:lang w:val="en-GB" w:eastAsia="ar-SA"/>
    </w:rPr>
  </w:style>
  <w:style w:type="character" w:styleId="Emphasis">
    <w:name w:val="Emphasis"/>
    <w:uiPriority w:val="20"/>
    <w:qFormat/>
    <w:rsid w:val="00D835CC"/>
    <w:rPr>
      <w:b/>
      <w:bCs/>
      <w:i w:val="0"/>
      <w:iCs w:val="0"/>
    </w:rPr>
  </w:style>
  <w:style w:type="character" w:customStyle="1" w:styleId="st1">
    <w:name w:val="st1"/>
    <w:rsid w:val="00D835CC"/>
  </w:style>
  <w:style w:type="paragraph" w:customStyle="1" w:styleId="Default">
    <w:name w:val="Default"/>
    <w:rsid w:val="00D835CC"/>
    <w:pPr>
      <w:autoSpaceDE w:val="0"/>
      <w:autoSpaceDN w:val="0"/>
      <w:adjustRightInd w:val="0"/>
    </w:pPr>
    <w:rPr>
      <w:rFonts w:ascii="Arial" w:eastAsia="Times New Roman" w:hAnsi="Arial" w:cs="Arial"/>
      <w:color w:val="000000"/>
      <w:lang w:val="en-GB" w:eastAsia="en-GB"/>
    </w:rPr>
  </w:style>
  <w:style w:type="character" w:customStyle="1" w:styleId="style4b1">
    <w:name w:val="style4b1"/>
    <w:rsid w:val="00D835CC"/>
    <w:rPr>
      <w:b/>
      <w:bCs/>
      <w:color w:val="003366"/>
      <w:sz w:val="24"/>
      <w:szCs w:val="24"/>
    </w:rPr>
  </w:style>
  <w:style w:type="paragraph" w:styleId="NoSpacing">
    <w:name w:val="No Spacing"/>
    <w:basedOn w:val="Normal0"/>
    <w:next w:val="Normal0"/>
    <w:uiPriority w:val="1"/>
    <w:qFormat/>
    <w:rsid w:val="00C20BD8"/>
    <w:pPr>
      <w:spacing w:line="240" w:lineRule="auto"/>
    </w:pPr>
    <w:rPr>
      <w:rFonts w:ascii="Verdana" w:eastAsia="Calibri" w:hAnsi="Verdana"/>
      <w:sz w:val="16"/>
      <w:szCs w:val="22"/>
    </w:rPr>
  </w:style>
  <w:style w:type="paragraph" w:customStyle="1" w:styleId="Normal000">
    <w:name w:val="Normal_0_0_0"/>
    <w:basedOn w:val="Normal00"/>
    <w:next w:val="Normal00"/>
    <w:qFormat/>
    <w:rsid w:val="003F4F65"/>
    <w:pPr>
      <w:jc w:val="both"/>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1668">
      <w:bodyDiv w:val="1"/>
      <w:marLeft w:val="0"/>
      <w:marRight w:val="0"/>
      <w:marTop w:val="0"/>
      <w:marBottom w:val="0"/>
      <w:divBdr>
        <w:top w:val="none" w:sz="0" w:space="0" w:color="auto"/>
        <w:left w:val="none" w:sz="0" w:space="0" w:color="auto"/>
        <w:bottom w:val="none" w:sz="0" w:space="0" w:color="auto"/>
        <w:right w:val="none" w:sz="0" w:space="0" w:color="auto"/>
      </w:divBdr>
    </w:div>
    <w:div w:id="111752611">
      <w:bodyDiv w:val="1"/>
      <w:marLeft w:val="0"/>
      <w:marRight w:val="0"/>
      <w:marTop w:val="0"/>
      <w:marBottom w:val="0"/>
      <w:divBdr>
        <w:top w:val="none" w:sz="0" w:space="0" w:color="auto"/>
        <w:left w:val="none" w:sz="0" w:space="0" w:color="auto"/>
        <w:bottom w:val="none" w:sz="0" w:space="0" w:color="auto"/>
        <w:right w:val="none" w:sz="0" w:space="0" w:color="auto"/>
      </w:divBdr>
    </w:div>
    <w:div w:id="163859958">
      <w:bodyDiv w:val="1"/>
      <w:marLeft w:val="0"/>
      <w:marRight w:val="0"/>
      <w:marTop w:val="0"/>
      <w:marBottom w:val="0"/>
      <w:divBdr>
        <w:top w:val="none" w:sz="0" w:space="0" w:color="auto"/>
        <w:left w:val="none" w:sz="0" w:space="0" w:color="auto"/>
        <w:bottom w:val="none" w:sz="0" w:space="0" w:color="auto"/>
        <w:right w:val="none" w:sz="0" w:space="0" w:color="auto"/>
      </w:divBdr>
    </w:div>
    <w:div w:id="176968061">
      <w:bodyDiv w:val="1"/>
      <w:marLeft w:val="0"/>
      <w:marRight w:val="0"/>
      <w:marTop w:val="0"/>
      <w:marBottom w:val="0"/>
      <w:divBdr>
        <w:top w:val="none" w:sz="0" w:space="0" w:color="auto"/>
        <w:left w:val="none" w:sz="0" w:space="0" w:color="auto"/>
        <w:bottom w:val="none" w:sz="0" w:space="0" w:color="auto"/>
        <w:right w:val="none" w:sz="0" w:space="0" w:color="auto"/>
      </w:divBdr>
    </w:div>
    <w:div w:id="200870785">
      <w:bodyDiv w:val="1"/>
      <w:marLeft w:val="0"/>
      <w:marRight w:val="0"/>
      <w:marTop w:val="0"/>
      <w:marBottom w:val="0"/>
      <w:divBdr>
        <w:top w:val="none" w:sz="0" w:space="0" w:color="auto"/>
        <w:left w:val="none" w:sz="0" w:space="0" w:color="auto"/>
        <w:bottom w:val="none" w:sz="0" w:space="0" w:color="auto"/>
        <w:right w:val="none" w:sz="0" w:space="0" w:color="auto"/>
      </w:divBdr>
    </w:div>
    <w:div w:id="237372885">
      <w:bodyDiv w:val="1"/>
      <w:marLeft w:val="0"/>
      <w:marRight w:val="0"/>
      <w:marTop w:val="0"/>
      <w:marBottom w:val="0"/>
      <w:divBdr>
        <w:top w:val="none" w:sz="0" w:space="0" w:color="auto"/>
        <w:left w:val="none" w:sz="0" w:space="0" w:color="auto"/>
        <w:bottom w:val="none" w:sz="0" w:space="0" w:color="auto"/>
        <w:right w:val="none" w:sz="0" w:space="0" w:color="auto"/>
      </w:divBdr>
    </w:div>
    <w:div w:id="255480868">
      <w:bodyDiv w:val="1"/>
      <w:marLeft w:val="0"/>
      <w:marRight w:val="0"/>
      <w:marTop w:val="0"/>
      <w:marBottom w:val="0"/>
      <w:divBdr>
        <w:top w:val="none" w:sz="0" w:space="0" w:color="auto"/>
        <w:left w:val="none" w:sz="0" w:space="0" w:color="auto"/>
        <w:bottom w:val="none" w:sz="0" w:space="0" w:color="auto"/>
        <w:right w:val="none" w:sz="0" w:space="0" w:color="auto"/>
      </w:divBdr>
    </w:div>
    <w:div w:id="288903507">
      <w:bodyDiv w:val="1"/>
      <w:marLeft w:val="0"/>
      <w:marRight w:val="0"/>
      <w:marTop w:val="0"/>
      <w:marBottom w:val="0"/>
      <w:divBdr>
        <w:top w:val="none" w:sz="0" w:space="0" w:color="auto"/>
        <w:left w:val="none" w:sz="0" w:space="0" w:color="auto"/>
        <w:bottom w:val="none" w:sz="0" w:space="0" w:color="auto"/>
        <w:right w:val="none" w:sz="0" w:space="0" w:color="auto"/>
      </w:divBdr>
    </w:div>
    <w:div w:id="306787486">
      <w:bodyDiv w:val="1"/>
      <w:marLeft w:val="0"/>
      <w:marRight w:val="0"/>
      <w:marTop w:val="0"/>
      <w:marBottom w:val="0"/>
      <w:divBdr>
        <w:top w:val="none" w:sz="0" w:space="0" w:color="auto"/>
        <w:left w:val="none" w:sz="0" w:space="0" w:color="auto"/>
        <w:bottom w:val="none" w:sz="0" w:space="0" w:color="auto"/>
        <w:right w:val="none" w:sz="0" w:space="0" w:color="auto"/>
      </w:divBdr>
    </w:div>
    <w:div w:id="320432785">
      <w:bodyDiv w:val="1"/>
      <w:marLeft w:val="0"/>
      <w:marRight w:val="0"/>
      <w:marTop w:val="0"/>
      <w:marBottom w:val="0"/>
      <w:divBdr>
        <w:top w:val="none" w:sz="0" w:space="0" w:color="auto"/>
        <w:left w:val="none" w:sz="0" w:space="0" w:color="auto"/>
        <w:bottom w:val="none" w:sz="0" w:space="0" w:color="auto"/>
        <w:right w:val="none" w:sz="0" w:space="0" w:color="auto"/>
      </w:divBdr>
    </w:div>
    <w:div w:id="442193809">
      <w:bodyDiv w:val="1"/>
      <w:marLeft w:val="0"/>
      <w:marRight w:val="0"/>
      <w:marTop w:val="0"/>
      <w:marBottom w:val="0"/>
      <w:divBdr>
        <w:top w:val="none" w:sz="0" w:space="0" w:color="auto"/>
        <w:left w:val="none" w:sz="0" w:space="0" w:color="auto"/>
        <w:bottom w:val="none" w:sz="0" w:space="0" w:color="auto"/>
        <w:right w:val="none" w:sz="0" w:space="0" w:color="auto"/>
      </w:divBdr>
    </w:div>
    <w:div w:id="457336677">
      <w:bodyDiv w:val="1"/>
      <w:marLeft w:val="0"/>
      <w:marRight w:val="0"/>
      <w:marTop w:val="0"/>
      <w:marBottom w:val="0"/>
      <w:divBdr>
        <w:top w:val="none" w:sz="0" w:space="0" w:color="auto"/>
        <w:left w:val="none" w:sz="0" w:space="0" w:color="auto"/>
        <w:bottom w:val="none" w:sz="0" w:space="0" w:color="auto"/>
        <w:right w:val="none" w:sz="0" w:space="0" w:color="auto"/>
      </w:divBdr>
    </w:div>
    <w:div w:id="461774439">
      <w:bodyDiv w:val="1"/>
      <w:marLeft w:val="0"/>
      <w:marRight w:val="0"/>
      <w:marTop w:val="0"/>
      <w:marBottom w:val="0"/>
      <w:divBdr>
        <w:top w:val="none" w:sz="0" w:space="0" w:color="auto"/>
        <w:left w:val="none" w:sz="0" w:space="0" w:color="auto"/>
        <w:bottom w:val="none" w:sz="0" w:space="0" w:color="auto"/>
        <w:right w:val="none" w:sz="0" w:space="0" w:color="auto"/>
      </w:divBdr>
    </w:div>
    <w:div w:id="465246644">
      <w:bodyDiv w:val="1"/>
      <w:marLeft w:val="0"/>
      <w:marRight w:val="0"/>
      <w:marTop w:val="0"/>
      <w:marBottom w:val="0"/>
      <w:divBdr>
        <w:top w:val="none" w:sz="0" w:space="0" w:color="auto"/>
        <w:left w:val="none" w:sz="0" w:space="0" w:color="auto"/>
        <w:bottom w:val="none" w:sz="0" w:space="0" w:color="auto"/>
        <w:right w:val="none" w:sz="0" w:space="0" w:color="auto"/>
      </w:divBdr>
    </w:div>
    <w:div w:id="495389539">
      <w:bodyDiv w:val="1"/>
      <w:marLeft w:val="0"/>
      <w:marRight w:val="0"/>
      <w:marTop w:val="0"/>
      <w:marBottom w:val="0"/>
      <w:divBdr>
        <w:top w:val="none" w:sz="0" w:space="0" w:color="auto"/>
        <w:left w:val="none" w:sz="0" w:space="0" w:color="auto"/>
        <w:bottom w:val="none" w:sz="0" w:space="0" w:color="auto"/>
        <w:right w:val="none" w:sz="0" w:space="0" w:color="auto"/>
      </w:divBdr>
    </w:div>
    <w:div w:id="515851291">
      <w:bodyDiv w:val="1"/>
      <w:marLeft w:val="0"/>
      <w:marRight w:val="0"/>
      <w:marTop w:val="0"/>
      <w:marBottom w:val="0"/>
      <w:divBdr>
        <w:top w:val="none" w:sz="0" w:space="0" w:color="auto"/>
        <w:left w:val="none" w:sz="0" w:space="0" w:color="auto"/>
        <w:bottom w:val="none" w:sz="0" w:space="0" w:color="auto"/>
        <w:right w:val="none" w:sz="0" w:space="0" w:color="auto"/>
      </w:divBdr>
    </w:div>
    <w:div w:id="533546100">
      <w:bodyDiv w:val="1"/>
      <w:marLeft w:val="0"/>
      <w:marRight w:val="0"/>
      <w:marTop w:val="0"/>
      <w:marBottom w:val="0"/>
      <w:divBdr>
        <w:top w:val="none" w:sz="0" w:space="0" w:color="auto"/>
        <w:left w:val="none" w:sz="0" w:space="0" w:color="auto"/>
        <w:bottom w:val="none" w:sz="0" w:space="0" w:color="auto"/>
        <w:right w:val="none" w:sz="0" w:space="0" w:color="auto"/>
      </w:divBdr>
    </w:div>
    <w:div w:id="643776462">
      <w:bodyDiv w:val="1"/>
      <w:marLeft w:val="0"/>
      <w:marRight w:val="0"/>
      <w:marTop w:val="0"/>
      <w:marBottom w:val="0"/>
      <w:divBdr>
        <w:top w:val="none" w:sz="0" w:space="0" w:color="auto"/>
        <w:left w:val="none" w:sz="0" w:space="0" w:color="auto"/>
        <w:bottom w:val="none" w:sz="0" w:space="0" w:color="auto"/>
        <w:right w:val="none" w:sz="0" w:space="0" w:color="auto"/>
      </w:divBdr>
    </w:div>
    <w:div w:id="733626526">
      <w:bodyDiv w:val="1"/>
      <w:marLeft w:val="0"/>
      <w:marRight w:val="0"/>
      <w:marTop w:val="0"/>
      <w:marBottom w:val="0"/>
      <w:divBdr>
        <w:top w:val="none" w:sz="0" w:space="0" w:color="auto"/>
        <w:left w:val="none" w:sz="0" w:space="0" w:color="auto"/>
        <w:bottom w:val="none" w:sz="0" w:space="0" w:color="auto"/>
        <w:right w:val="none" w:sz="0" w:space="0" w:color="auto"/>
      </w:divBdr>
    </w:div>
    <w:div w:id="739789403">
      <w:bodyDiv w:val="1"/>
      <w:marLeft w:val="0"/>
      <w:marRight w:val="0"/>
      <w:marTop w:val="0"/>
      <w:marBottom w:val="0"/>
      <w:divBdr>
        <w:top w:val="none" w:sz="0" w:space="0" w:color="auto"/>
        <w:left w:val="none" w:sz="0" w:space="0" w:color="auto"/>
        <w:bottom w:val="none" w:sz="0" w:space="0" w:color="auto"/>
        <w:right w:val="none" w:sz="0" w:space="0" w:color="auto"/>
      </w:divBdr>
    </w:div>
    <w:div w:id="745344488">
      <w:bodyDiv w:val="1"/>
      <w:marLeft w:val="0"/>
      <w:marRight w:val="0"/>
      <w:marTop w:val="0"/>
      <w:marBottom w:val="0"/>
      <w:divBdr>
        <w:top w:val="none" w:sz="0" w:space="0" w:color="auto"/>
        <w:left w:val="none" w:sz="0" w:space="0" w:color="auto"/>
        <w:bottom w:val="none" w:sz="0" w:space="0" w:color="auto"/>
        <w:right w:val="none" w:sz="0" w:space="0" w:color="auto"/>
      </w:divBdr>
    </w:div>
    <w:div w:id="758328792">
      <w:bodyDiv w:val="1"/>
      <w:marLeft w:val="0"/>
      <w:marRight w:val="0"/>
      <w:marTop w:val="0"/>
      <w:marBottom w:val="0"/>
      <w:divBdr>
        <w:top w:val="none" w:sz="0" w:space="0" w:color="auto"/>
        <w:left w:val="none" w:sz="0" w:space="0" w:color="auto"/>
        <w:bottom w:val="none" w:sz="0" w:space="0" w:color="auto"/>
        <w:right w:val="none" w:sz="0" w:space="0" w:color="auto"/>
      </w:divBdr>
    </w:div>
    <w:div w:id="764688021">
      <w:bodyDiv w:val="1"/>
      <w:marLeft w:val="0"/>
      <w:marRight w:val="0"/>
      <w:marTop w:val="0"/>
      <w:marBottom w:val="0"/>
      <w:divBdr>
        <w:top w:val="none" w:sz="0" w:space="0" w:color="auto"/>
        <w:left w:val="none" w:sz="0" w:space="0" w:color="auto"/>
        <w:bottom w:val="none" w:sz="0" w:space="0" w:color="auto"/>
        <w:right w:val="none" w:sz="0" w:space="0" w:color="auto"/>
      </w:divBdr>
    </w:div>
    <w:div w:id="789974204">
      <w:bodyDiv w:val="1"/>
      <w:marLeft w:val="0"/>
      <w:marRight w:val="0"/>
      <w:marTop w:val="0"/>
      <w:marBottom w:val="0"/>
      <w:divBdr>
        <w:top w:val="none" w:sz="0" w:space="0" w:color="auto"/>
        <w:left w:val="none" w:sz="0" w:space="0" w:color="auto"/>
        <w:bottom w:val="none" w:sz="0" w:space="0" w:color="auto"/>
        <w:right w:val="none" w:sz="0" w:space="0" w:color="auto"/>
      </w:divBdr>
    </w:div>
    <w:div w:id="813571680">
      <w:bodyDiv w:val="1"/>
      <w:marLeft w:val="0"/>
      <w:marRight w:val="0"/>
      <w:marTop w:val="0"/>
      <w:marBottom w:val="0"/>
      <w:divBdr>
        <w:top w:val="none" w:sz="0" w:space="0" w:color="auto"/>
        <w:left w:val="none" w:sz="0" w:space="0" w:color="auto"/>
        <w:bottom w:val="none" w:sz="0" w:space="0" w:color="auto"/>
        <w:right w:val="none" w:sz="0" w:space="0" w:color="auto"/>
      </w:divBdr>
    </w:div>
    <w:div w:id="819420224">
      <w:bodyDiv w:val="1"/>
      <w:marLeft w:val="0"/>
      <w:marRight w:val="0"/>
      <w:marTop w:val="0"/>
      <w:marBottom w:val="0"/>
      <w:divBdr>
        <w:top w:val="none" w:sz="0" w:space="0" w:color="auto"/>
        <w:left w:val="none" w:sz="0" w:space="0" w:color="auto"/>
        <w:bottom w:val="none" w:sz="0" w:space="0" w:color="auto"/>
        <w:right w:val="none" w:sz="0" w:space="0" w:color="auto"/>
      </w:divBdr>
    </w:div>
    <w:div w:id="826673518">
      <w:bodyDiv w:val="1"/>
      <w:marLeft w:val="0"/>
      <w:marRight w:val="0"/>
      <w:marTop w:val="0"/>
      <w:marBottom w:val="0"/>
      <w:divBdr>
        <w:top w:val="none" w:sz="0" w:space="0" w:color="auto"/>
        <w:left w:val="none" w:sz="0" w:space="0" w:color="auto"/>
        <w:bottom w:val="none" w:sz="0" w:space="0" w:color="auto"/>
        <w:right w:val="none" w:sz="0" w:space="0" w:color="auto"/>
      </w:divBdr>
    </w:div>
    <w:div w:id="839194417">
      <w:bodyDiv w:val="1"/>
      <w:marLeft w:val="0"/>
      <w:marRight w:val="0"/>
      <w:marTop w:val="0"/>
      <w:marBottom w:val="0"/>
      <w:divBdr>
        <w:top w:val="none" w:sz="0" w:space="0" w:color="auto"/>
        <w:left w:val="none" w:sz="0" w:space="0" w:color="auto"/>
        <w:bottom w:val="none" w:sz="0" w:space="0" w:color="auto"/>
        <w:right w:val="none" w:sz="0" w:space="0" w:color="auto"/>
      </w:divBdr>
    </w:div>
    <w:div w:id="857237479">
      <w:bodyDiv w:val="1"/>
      <w:marLeft w:val="0"/>
      <w:marRight w:val="0"/>
      <w:marTop w:val="0"/>
      <w:marBottom w:val="0"/>
      <w:divBdr>
        <w:top w:val="none" w:sz="0" w:space="0" w:color="auto"/>
        <w:left w:val="none" w:sz="0" w:space="0" w:color="auto"/>
        <w:bottom w:val="none" w:sz="0" w:space="0" w:color="auto"/>
        <w:right w:val="none" w:sz="0" w:space="0" w:color="auto"/>
      </w:divBdr>
    </w:div>
    <w:div w:id="904872553">
      <w:bodyDiv w:val="1"/>
      <w:marLeft w:val="0"/>
      <w:marRight w:val="0"/>
      <w:marTop w:val="0"/>
      <w:marBottom w:val="0"/>
      <w:divBdr>
        <w:top w:val="none" w:sz="0" w:space="0" w:color="auto"/>
        <w:left w:val="none" w:sz="0" w:space="0" w:color="auto"/>
        <w:bottom w:val="none" w:sz="0" w:space="0" w:color="auto"/>
        <w:right w:val="none" w:sz="0" w:space="0" w:color="auto"/>
      </w:divBdr>
    </w:div>
    <w:div w:id="938876625">
      <w:bodyDiv w:val="1"/>
      <w:marLeft w:val="0"/>
      <w:marRight w:val="0"/>
      <w:marTop w:val="0"/>
      <w:marBottom w:val="0"/>
      <w:divBdr>
        <w:top w:val="none" w:sz="0" w:space="0" w:color="auto"/>
        <w:left w:val="none" w:sz="0" w:space="0" w:color="auto"/>
        <w:bottom w:val="none" w:sz="0" w:space="0" w:color="auto"/>
        <w:right w:val="none" w:sz="0" w:space="0" w:color="auto"/>
      </w:divBdr>
    </w:div>
    <w:div w:id="945234905">
      <w:bodyDiv w:val="1"/>
      <w:marLeft w:val="0"/>
      <w:marRight w:val="0"/>
      <w:marTop w:val="0"/>
      <w:marBottom w:val="0"/>
      <w:divBdr>
        <w:top w:val="none" w:sz="0" w:space="0" w:color="auto"/>
        <w:left w:val="none" w:sz="0" w:space="0" w:color="auto"/>
        <w:bottom w:val="none" w:sz="0" w:space="0" w:color="auto"/>
        <w:right w:val="none" w:sz="0" w:space="0" w:color="auto"/>
      </w:divBdr>
    </w:div>
    <w:div w:id="975068284">
      <w:bodyDiv w:val="1"/>
      <w:marLeft w:val="0"/>
      <w:marRight w:val="0"/>
      <w:marTop w:val="0"/>
      <w:marBottom w:val="0"/>
      <w:divBdr>
        <w:top w:val="none" w:sz="0" w:space="0" w:color="auto"/>
        <w:left w:val="none" w:sz="0" w:space="0" w:color="auto"/>
        <w:bottom w:val="none" w:sz="0" w:space="0" w:color="auto"/>
        <w:right w:val="none" w:sz="0" w:space="0" w:color="auto"/>
      </w:divBdr>
    </w:div>
    <w:div w:id="985816966">
      <w:bodyDiv w:val="1"/>
      <w:marLeft w:val="0"/>
      <w:marRight w:val="0"/>
      <w:marTop w:val="0"/>
      <w:marBottom w:val="0"/>
      <w:divBdr>
        <w:top w:val="none" w:sz="0" w:space="0" w:color="auto"/>
        <w:left w:val="none" w:sz="0" w:space="0" w:color="auto"/>
        <w:bottom w:val="none" w:sz="0" w:space="0" w:color="auto"/>
        <w:right w:val="none" w:sz="0" w:space="0" w:color="auto"/>
      </w:divBdr>
    </w:div>
    <w:div w:id="1024794989">
      <w:bodyDiv w:val="1"/>
      <w:marLeft w:val="0"/>
      <w:marRight w:val="0"/>
      <w:marTop w:val="0"/>
      <w:marBottom w:val="0"/>
      <w:divBdr>
        <w:top w:val="none" w:sz="0" w:space="0" w:color="auto"/>
        <w:left w:val="none" w:sz="0" w:space="0" w:color="auto"/>
        <w:bottom w:val="none" w:sz="0" w:space="0" w:color="auto"/>
        <w:right w:val="none" w:sz="0" w:space="0" w:color="auto"/>
      </w:divBdr>
    </w:div>
    <w:div w:id="1105349470">
      <w:bodyDiv w:val="1"/>
      <w:marLeft w:val="0"/>
      <w:marRight w:val="0"/>
      <w:marTop w:val="0"/>
      <w:marBottom w:val="0"/>
      <w:divBdr>
        <w:top w:val="none" w:sz="0" w:space="0" w:color="auto"/>
        <w:left w:val="none" w:sz="0" w:space="0" w:color="auto"/>
        <w:bottom w:val="none" w:sz="0" w:space="0" w:color="auto"/>
        <w:right w:val="none" w:sz="0" w:space="0" w:color="auto"/>
      </w:divBdr>
    </w:div>
    <w:div w:id="1107769270">
      <w:bodyDiv w:val="1"/>
      <w:marLeft w:val="0"/>
      <w:marRight w:val="0"/>
      <w:marTop w:val="0"/>
      <w:marBottom w:val="0"/>
      <w:divBdr>
        <w:top w:val="none" w:sz="0" w:space="0" w:color="auto"/>
        <w:left w:val="none" w:sz="0" w:space="0" w:color="auto"/>
        <w:bottom w:val="none" w:sz="0" w:space="0" w:color="auto"/>
        <w:right w:val="none" w:sz="0" w:space="0" w:color="auto"/>
      </w:divBdr>
    </w:div>
    <w:div w:id="1153793364">
      <w:bodyDiv w:val="1"/>
      <w:marLeft w:val="0"/>
      <w:marRight w:val="0"/>
      <w:marTop w:val="0"/>
      <w:marBottom w:val="0"/>
      <w:divBdr>
        <w:top w:val="none" w:sz="0" w:space="0" w:color="auto"/>
        <w:left w:val="none" w:sz="0" w:space="0" w:color="auto"/>
        <w:bottom w:val="none" w:sz="0" w:space="0" w:color="auto"/>
        <w:right w:val="none" w:sz="0" w:space="0" w:color="auto"/>
      </w:divBdr>
    </w:div>
    <w:div w:id="1164319034">
      <w:bodyDiv w:val="1"/>
      <w:marLeft w:val="0"/>
      <w:marRight w:val="0"/>
      <w:marTop w:val="0"/>
      <w:marBottom w:val="0"/>
      <w:divBdr>
        <w:top w:val="none" w:sz="0" w:space="0" w:color="auto"/>
        <w:left w:val="none" w:sz="0" w:space="0" w:color="auto"/>
        <w:bottom w:val="none" w:sz="0" w:space="0" w:color="auto"/>
        <w:right w:val="none" w:sz="0" w:space="0" w:color="auto"/>
      </w:divBdr>
    </w:div>
    <w:div w:id="1196043079">
      <w:bodyDiv w:val="1"/>
      <w:marLeft w:val="0"/>
      <w:marRight w:val="0"/>
      <w:marTop w:val="0"/>
      <w:marBottom w:val="0"/>
      <w:divBdr>
        <w:top w:val="none" w:sz="0" w:space="0" w:color="auto"/>
        <w:left w:val="none" w:sz="0" w:space="0" w:color="auto"/>
        <w:bottom w:val="none" w:sz="0" w:space="0" w:color="auto"/>
        <w:right w:val="none" w:sz="0" w:space="0" w:color="auto"/>
      </w:divBdr>
    </w:div>
    <w:div w:id="1234586236">
      <w:bodyDiv w:val="1"/>
      <w:marLeft w:val="0"/>
      <w:marRight w:val="0"/>
      <w:marTop w:val="0"/>
      <w:marBottom w:val="0"/>
      <w:divBdr>
        <w:top w:val="none" w:sz="0" w:space="0" w:color="auto"/>
        <w:left w:val="none" w:sz="0" w:space="0" w:color="auto"/>
        <w:bottom w:val="none" w:sz="0" w:space="0" w:color="auto"/>
        <w:right w:val="none" w:sz="0" w:space="0" w:color="auto"/>
      </w:divBdr>
    </w:div>
    <w:div w:id="1259799580">
      <w:bodyDiv w:val="1"/>
      <w:marLeft w:val="0"/>
      <w:marRight w:val="0"/>
      <w:marTop w:val="0"/>
      <w:marBottom w:val="0"/>
      <w:divBdr>
        <w:top w:val="none" w:sz="0" w:space="0" w:color="auto"/>
        <w:left w:val="none" w:sz="0" w:space="0" w:color="auto"/>
        <w:bottom w:val="none" w:sz="0" w:space="0" w:color="auto"/>
        <w:right w:val="none" w:sz="0" w:space="0" w:color="auto"/>
      </w:divBdr>
    </w:div>
    <w:div w:id="1287353155">
      <w:bodyDiv w:val="1"/>
      <w:marLeft w:val="0"/>
      <w:marRight w:val="0"/>
      <w:marTop w:val="0"/>
      <w:marBottom w:val="0"/>
      <w:divBdr>
        <w:top w:val="none" w:sz="0" w:space="0" w:color="auto"/>
        <w:left w:val="none" w:sz="0" w:space="0" w:color="auto"/>
        <w:bottom w:val="none" w:sz="0" w:space="0" w:color="auto"/>
        <w:right w:val="none" w:sz="0" w:space="0" w:color="auto"/>
      </w:divBdr>
    </w:div>
    <w:div w:id="1295597007">
      <w:bodyDiv w:val="1"/>
      <w:marLeft w:val="0"/>
      <w:marRight w:val="0"/>
      <w:marTop w:val="0"/>
      <w:marBottom w:val="0"/>
      <w:divBdr>
        <w:top w:val="none" w:sz="0" w:space="0" w:color="auto"/>
        <w:left w:val="none" w:sz="0" w:space="0" w:color="auto"/>
        <w:bottom w:val="none" w:sz="0" w:space="0" w:color="auto"/>
        <w:right w:val="none" w:sz="0" w:space="0" w:color="auto"/>
      </w:divBdr>
    </w:div>
    <w:div w:id="1327896762">
      <w:bodyDiv w:val="1"/>
      <w:marLeft w:val="0"/>
      <w:marRight w:val="0"/>
      <w:marTop w:val="0"/>
      <w:marBottom w:val="0"/>
      <w:divBdr>
        <w:top w:val="none" w:sz="0" w:space="0" w:color="auto"/>
        <w:left w:val="none" w:sz="0" w:space="0" w:color="auto"/>
        <w:bottom w:val="none" w:sz="0" w:space="0" w:color="auto"/>
        <w:right w:val="none" w:sz="0" w:space="0" w:color="auto"/>
      </w:divBdr>
    </w:div>
    <w:div w:id="1351568838">
      <w:bodyDiv w:val="1"/>
      <w:marLeft w:val="0"/>
      <w:marRight w:val="0"/>
      <w:marTop w:val="0"/>
      <w:marBottom w:val="0"/>
      <w:divBdr>
        <w:top w:val="none" w:sz="0" w:space="0" w:color="auto"/>
        <w:left w:val="none" w:sz="0" w:space="0" w:color="auto"/>
        <w:bottom w:val="none" w:sz="0" w:space="0" w:color="auto"/>
        <w:right w:val="none" w:sz="0" w:space="0" w:color="auto"/>
      </w:divBdr>
    </w:div>
    <w:div w:id="1374043073">
      <w:bodyDiv w:val="1"/>
      <w:marLeft w:val="0"/>
      <w:marRight w:val="0"/>
      <w:marTop w:val="0"/>
      <w:marBottom w:val="0"/>
      <w:divBdr>
        <w:top w:val="none" w:sz="0" w:space="0" w:color="auto"/>
        <w:left w:val="none" w:sz="0" w:space="0" w:color="auto"/>
        <w:bottom w:val="none" w:sz="0" w:space="0" w:color="auto"/>
        <w:right w:val="none" w:sz="0" w:space="0" w:color="auto"/>
      </w:divBdr>
    </w:div>
    <w:div w:id="1388718901">
      <w:bodyDiv w:val="1"/>
      <w:marLeft w:val="0"/>
      <w:marRight w:val="0"/>
      <w:marTop w:val="0"/>
      <w:marBottom w:val="0"/>
      <w:divBdr>
        <w:top w:val="none" w:sz="0" w:space="0" w:color="auto"/>
        <w:left w:val="none" w:sz="0" w:space="0" w:color="auto"/>
        <w:bottom w:val="none" w:sz="0" w:space="0" w:color="auto"/>
        <w:right w:val="none" w:sz="0" w:space="0" w:color="auto"/>
      </w:divBdr>
    </w:div>
    <w:div w:id="1397320766">
      <w:bodyDiv w:val="1"/>
      <w:marLeft w:val="0"/>
      <w:marRight w:val="0"/>
      <w:marTop w:val="0"/>
      <w:marBottom w:val="0"/>
      <w:divBdr>
        <w:top w:val="none" w:sz="0" w:space="0" w:color="auto"/>
        <w:left w:val="none" w:sz="0" w:space="0" w:color="auto"/>
        <w:bottom w:val="none" w:sz="0" w:space="0" w:color="auto"/>
        <w:right w:val="none" w:sz="0" w:space="0" w:color="auto"/>
      </w:divBdr>
    </w:div>
    <w:div w:id="1424178847">
      <w:bodyDiv w:val="1"/>
      <w:marLeft w:val="0"/>
      <w:marRight w:val="0"/>
      <w:marTop w:val="0"/>
      <w:marBottom w:val="0"/>
      <w:divBdr>
        <w:top w:val="none" w:sz="0" w:space="0" w:color="auto"/>
        <w:left w:val="none" w:sz="0" w:space="0" w:color="auto"/>
        <w:bottom w:val="none" w:sz="0" w:space="0" w:color="auto"/>
        <w:right w:val="none" w:sz="0" w:space="0" w:color="auto"/>
      </w:divBdr>
    </w:div>
    <w:div w:id="1432435507">
      <w:bodyDiv w:val="1"/>
      <w:marLeft w:val="0"/>
      <w:marRight w:val="0"/>
      <w:marTop w:val="0"/>
      <w:marBottom w:val="0"/>
      <w:divBdr>
        <w:top w:val="none" w:sz="0" w:space="0" w:color="auto"/>
        <w:left w:val="none" w:sz="0" w:space="0" w:color="auto"/>
        <w:bottom w:val="none" w:sz="0" w:space="0" w:color="auto"/>
        <w:right w:val="none" w:sz="0" w:space="0" w:color="auto"/>
      </w:divBdr>
    </w:div>
    <w:div w:id="1466199705">
      <w:bodyDiv w:val="1"/>
      <w:marLeft w:val="0"/>
      <w:marRight w:val="0"/>
      <w:marTop w:val="0"/>
      <w:marBottom w:val="0"/>
      <w:divBdr>
        <w:top w:val="none" w:sz="0" w:space="0" w:color="auto"/>
        <w:left w:val="none" w:sz="0" w:space="0" w:color="auto"/>
        <w:bottom w:val="none" w:sz="0" w:space="0" w:color="auto"/>
        <w:right w:val="none" w:sz="0" w:space="0" w:color="auto"/>
      </w:divBdr>
    </w:div>
    <w:div w:id="1501311990">
      <w:bodyDiv w:val="1"/>
      <w:marLeft w:val="0"/>
      <w:marRight w:val="0"/>
      <w:marTop w:val="0"/>
      <w:marBottom w:val="0"/>
      <w:divBdr>
        <w:top w:val="none" w:sz="0" w:space="0" w:color="auto"/>
        <w:left w:val="none" w:sz="0" w:space="0" w:color="auto"/>
        <w:bottom w:val="none" w:sz="0" w:space="0" w:color="auto"/>
        <w:right w:val="none" w:sz="0" w:space="0" w:color="auto"/>
      </w:divBdr>
    </w:div>
    <w:div w:id="1508252554">
      <w:bodyDiv w:val="1"/>
      <w:marLeft w:val="0"/>
      <w:marRight w:val="0"/>
      <w:marTop w:val="0"/>
      <w:marBottom w:val="0"/>
      <w:divBdr>
        <w:top w:val="none" w:sz="0" w:space="0" w:color="auto"/>
        <w:left w:val="none" w:sz="0" w:space="0" w:color="auto"/>
        <w:bottom w:val="none" w:sz="0" w:space="0" w:color="auto"/>
        <w:right w:val="none" w:sz="0" w:space="0" w:color="auto"/>
      </w:divBdr>
    </w:div>
    <w:div w:id="1578392755">
      <w:bodyDiv w:val="1"/>
      <w:marLeft w:val="0"/>
      <w:marRight w:val="0"/>
      <w:marTop w:val="0"/>
      <w:marBottom w:val="0"/>
      <w:divBdr>
        <w:top w:val="none" w:sz="0" w:space="0" w:color="auto"/>
        <w:left w:val="none" w:sz="0" w:space="0" w:color="auto"/>
        <w:bottom w:val="none" w:sz="0" w:space="0" w:color="auto"/>
        <w:right w:val="none" w:sz="0" w:space="0" w:color="auto"/>
      </w:divBdr>
    </w:div>
    <w:div w:id="1582907882">
      <w:bodyDiv w:val="1"/>
      <w:marLeft w:val="0"/>
      <w:marRight w:val="0"/>
      <w:marTop w:val="0"/>
      <w:marBottom w:val="0"/>
      <w:divBdr>
        <w:top w:val="none" w:sz="0" w:space="0" w:color="auto"/>
        <w:left w:val="none" w:sz="0" w:space="0" w:color="auto"/>
        <w:bottom w:val="none" w:sz="0" w:space="0" w:color="auto"/>
        <w:right w:val="none" w:sz="0" w:space="0" w:color="auto"/>
      </w:divBdr>
    </w:div>
    <w:div w:id="1596088516">
      <w:bodyDiv w:val="1"/>
      <w:marLeft w:val="0"/>
      <w:marRight w:val="0"/>
      <w:marTop w:val="0"/>
      <w:marBottom w:val="0"/>
      <w:divBdr>
        <w:top w:val="none" w:sz="0" w:space="0" w:color="auto"/>
        <w:left w:val="none" w:sz="0" w:space="0" w:color="auto"/>
        <w:bottom w:val="none" w:sz="0" w:space="0" w:color="auto"/>
        <w:right w:val="none" w:sz="0" w:space="0" w:color="auto"/>
      </w:divBdr>
    </w:div>
    <w:div w:id="1687901641">
      <w:bodyDiv w:val="1"/>
      <w:marLeft w:val="0"/>
      <w:marRight w:val="0"/>
      <w:marTop w:val="0"/>
      <w:marBottom w:val="0"/>
      <w:divBdr>
        <w:top w:val="none" w:sz="0" w:space="0" w:color="auto"/>
        <w:left w:val="none" w:sz="0" w:space="0" w:color="auto"/>
        <w:bottom w:val="none" w:sz="0" w:space="0" w:color="auto"/>
        <w:right w:val="none" w:sz="0" w:space="0" w:color="auto"/>
      </w:divBdr>
    </w:div>
    <w:div w:id="1746611059">
      <w:bodyDiv w:val="1"/>
      <w:marLeft w:val="0"/>
      <w:marRight w:val="0"/>
      <w:marTop w:val="0"/>
      <w:marBottom w:val="0"/>
      <w:divBdr>
        <w:top w:val="none" w:sz="0" w:space="0" w:color="auto"/>
        <w:left w:val="none" w:sz="0" w:space="0" w:color="auto"/>
        <w:bottom w:val="none" w:sz="0" w:space="0" w:color="auto"/>
        <w:right w:val="none" w:sz="0" w:space="0" w:color="auto"/>
      </w:divBdr>
    </w:div>
    <w:div w:id="1828858455">
      <w:bodyDiv w:val="1"/>
      <w:marLeft w:val="0"/>
      <w:marRight w:val="0"/>
      <w:marTop w:val="0"/>
      <w:marBottom w:val="0"/>
      <w:divBdr>
        <w:top w:val="none" w:sz="0" w:space="0" w:color="auto"/>
        <w:left w:val="none" w:sz="0" w:space="0" w:color="auto"/>
        <w:bottom w:val="none" w:sz="0" w:space="0" w:color="auto"/>
        <w:right w:val="none" w:sz="0" w:space="0" w:color="auto"/>
      </w:divBdr>
    </w:div>
    <w:div w:id="1831486169">
      <w:bodyDiv w:val="1"/>
      <w:marLeft w:val="0"/>
      <w:marRight w:val="0"/>
      <w:marTop w:val="0"/>
      <w:marBottom w:val="0"/>
      <w:divBdr>
        <w:top w:val="none" w:sz="0" w:space="0" w:color="auto"/>
        <w:left w:val="none" w:sz="0" w:space="0" w:color="auto"/>
        <w:bottom w:val="none" w:sz="0" w:space="0" w:color="auto"/>
        <w:right w:val="none" w:sz="0" w:space="0" w:color="auto"/>
      </w:divBdr>
    </w:div>
    <w:div w:id="1886793895">
      <w:bodyDiv w:val="1"/>
      <w:marLeft w:val="0"/>
      <w:marRight w:val="0"/>
      <w:marTop w:val="0"/>
      <w:marBottom w:val="0"/>
      <w:divBdr>
        <w:top w:val="none" w:sz="0" w:space="0" w:color="auto"/>
        <w:left w:val="none" w:sz="0" w:space="0" w:color="auto"/>
        <w:bottom w:val="none" w:sz="0" w:space="0" w:color="auto"/>
        <w:right w:val="none" w:sz="0" w:space="0" w:color="auto"/>
      </w:divBdr>
    </w:div>
    <w:div w:id="1958953159">
      <w:bodyDiv w:val="1"/>
      <w:marLeft w:val="0"/>
      <w:marRight w:val="0"/>
      <w:marTop w:val="0"/>
      <w:marBottom w:val="0"/>
      <w:divBdr>
        <w:top w:val="none" w:sz="0" w:space="0" w:color="auto"/>
        <w:left w:val="none" w:sz="0" w:space="0" w:color="auto"/>
        <w:bottom w:val="none" w:sz="0" w:space="0" w:color="auto"/>
        <w:right w:val="none" w:sz="0" w:space="0" w:color="auto"/>
      </w:divBdr>
    </w:div>
    <w:div w:id="1972784501">
      <w:bodyDiv w:val="1"/>
      <w:marLeft w:val="0"/>
      <w:marRight w:val="0"/>
      <w:marTop w:val="0"/>
      <w:marBottom w:val="0"/>
      <w:divBdr>
        <w:top w:val="none" w:sz="0" w:space="0" w:color="auto"/>
        <w:left w:val="none" w:sz="0" w:space="0" w:color="auto"/>
        <w:bottom w:val="none" w:sz="0" w:space="0" w:color="auto"/>
        <w:right w:val="none" w:sz="0" w:space="0" w:color="auto"/>
      </w:divBdr>
    </w:div>
    <w:div w:id="1996758863">
      <w:bodyDiv w:val="1"/>
      <w:marLeft w:val="0"/>
      <w:marRight w:val="0"/>
      <w:marTop w:val="0"/>
      <w:marBottom w:val="0"/>
      <w:divBdr>
        <w:top w:val="none" w:sz="0" w:space="0" w:color="auto"/>
        <w:left w:val="none" w:sz="0" w:space="0" w:color="auto"/>
        <w:bottom w:val="none" w:sz="0" w:space="0" w:color="auto"/>
        <w:right w:val="none" w:sz="0" w:space="0" w:color="auto"/>
      </w:divBdr>
    </w:div>
    <w:div w:id="2094668927">
      <w:bodyDiv w:val="1"/>
      <w:marLeft w:val="0"/>
      <w:marRight w:val="0"/>
      <w:marTop w:val="0"/>
      <w:marBottom w:val="0"/>
      <w:divBdr>
        <w:top w:val="none" w:sz="0" w:space="0" w:color="auto"/>
        <w:left w:val="none" w:sz="0" w:space="0" w:color="auto"/>
        <w:bottom w:val="none" w:sz="0" w:space="0" w:color="auto"/>
        <w:right w:val="none" w:sz="0" w:space="0" w:color="auto"/>
      </w:divBdr>
    </w:div>
    <w:div w:id="2097482327">
      <w:bodyDiv w:val="1"/>
      <w:marLeft w:val="0"/>
      <w:marRight w:val="0"/>
      <w:marTop w:val="0"/>
      <w:marBottom w:val="0"/>
      <w:divBdr>
        <w:top w:val="none" w:sz="0" w:space="0" w:color="auto"/>
        <w:left w:val="none" w:sz="0" w:space="0" w:color="auto"/>
        <w:bottom w:val="none" w:sz="0" w:space="0" w:color="auto"/>
        <w:right w:val="none" w:sz="0" w:space="0" w:color="auto"/>
      </w:divBdr>
    </w:div>
    <w:div w:id="2112699024">
      <w:bodyDiv w:val="1"/>
      <w:marLeft w:val="0"/>
      <w:marRight w:val="0"/>
      <w:marTop w:val="0"/>
      <w:marBottom w:val="0"/>
      <w:divBdr>
        <w:top w:val="none" w:sz="0" w:space="0" w:color="auto"/>
        <w:left w:val="none" w:sz="0" w:space="0" w:color="auto"/>
        <w:bottom w:val="none" w:sz="0" w:space="0" w:color="auto"/>
        <w:right w:val="none" w:sz="0" w:space="0" w:color="auto"/>
      </w:divBdr>
    </w:div>
    <w:div w:id="2136756859">
      <w:bodyDiv w:val="1"/>
      <w:marLeft w:val="0"/>
      <w:marRight w:val="0"/>
      <w:marTop w:val="0"/>
      <w:marBottom w:val="0"/>
      <w:divBdr>
        <w:top w:val="none" w:sz="0" w:space="0" w:color="auto"/>
        <w:left w:val="none" w:sz="0" w:space="0" w:color="auto"/>
        <w:bottom w:val="none" w:sz="0" w:space="0" w:color="auto"/>
        <w:right w:val="none" w:sz="0" w:space="0" w:color="auto"/>
      </w:divBdr>
    </w:div>
    <w:div w:id="2136871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porateFinance@Surrey.pnn.police.uk" TargetMode="External"/><Relationship Id="rId18" Type="http://schemas.openxmlformats.org/officeDocument/2006/relationships/hyperlink" Target="mailto:Peter.Gillett@Surrey.pnn.police.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file://\\int\finance\Financedata\SHARED\Local%20Settings\Temporary%20Internet%20Files\KADWE_M\KADWE_M\Local%20Settings\Temporary%20Internet%20Files\Application%20Data\majer_s\Application%20Data\Microsoft\rowe_ms\Application%20Data\Microsoft\Year%20end%202011%2012\Year%20end%202011%2012\(Q)%20Statement%20of%20Accounts\Year%20end%202009%2010\Accounts%2009-10\(P)%20Statement%20of%20Accounts\www.cipf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hyperlink" Target="file://\\int\finance\Financedata\SHARED\Local%20Settings\Temporary%20Internet%20Files\KADWE_M\KADWE_M\Local%20Settings\Temporary%20Internet%20Files\Application%20Data\majer_s\Application%20Data\Microsoft\rowe_ms\Application%20Data\Microsoft\Year%20end%202011%2012\Year%20end%202011%2012\(Q)%20Statement%20of%20Accounts\Year%20end%202009%2010\Accounts%2009-10\(P)%20Statement%20of%20Accounts\www.cipfa.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trategic-policing-requirement" TargetMode="External"/><Relationship Id="rId13" Type="http://schemas.openxmlformats.org/officeDocument/2006/relationships/hyperlink" Target="https://www.justiceinspectorates.gov.uk/hmicfrs/peel-assessments/peel-2018/surrey/" TargetMode="External"/><Relationship Id="rId18" Type="http://schemas.openxmlformats.org/officeDocument/2006/relationships/hyperlink" Target="https://www.justiceinspectorates.gov.uk/hmicfrs/our-work/article/value-for-money-inspections/value-for-money-profiles/value-for-money-dashboards/" TargetMode="External"/><Relationship Id="rId3" Type="http://schemas.openxmlformats.org/officeDocument/2006/relationships/hyperlink" Target="http://www.cipfa.org/policy-and-guidance/publications/d/delivering-good-governance-in-local-government-framework-2016-edition" TargetMode="External"/><Relationship Id="rId21" Type="http://schemas.openxmlformats.org/officeDocument/2006/relationships/hyperlink" Target="https://www.surrey.police.uk/search?q=misconduct+meetings" TargetMode="External"/><Relationship Id="rId7" Type="http://schemas.openxmlformats.org/officeDocument/2006/relationships/hyperlink" Target="https://www.gov.uk/government/publications/strategic-policing-requirement" TargetMode="External"/><Relationship Id="rId12" Type="http://schemas.openxmlformats.org/officeDocument/2006/relationships/hyperlink" Target="https://www.policeconduct.gov.uk/sites/default/files/Documents/research-learning/IPCC_Use_Of_Force_Report.pdf" TargetMode="External"/><Relationship Id="rId17" Type="http://schemas.openxmlformats.org/officeDocument/2006/relationships/hyperlink" Target="https://www.gov.uk/government/uploads/system/uploads/attachment_data/file/466058/Review_Targets_2015.pdf" TargetMode="External"/><Relationship Id="rId2" Type="http://schemas.openxmlformats.org/officeDocument/2006/relationships/hyperlink" Target="https://www.sussex-pcc.gov.uk/media/4781/code-of-corporate-governance-v9-2020.pdf" TargetMode="External"/><Relationship Id="rId16" Type="http://schemas.openxmlformats.org/officeDocument/2006/relationships/hyperlink" Target="https://www.surrey.police.uk/SysSiteAssets/media/downloads/surrey/about-us/sp_forcemanagementstatement.pdf" TargetMode="External"/><Relationship Id="rId20" Type="http://schemas.openxmlformats.org/officeDocument/2006/relationships/hyperlink" Target="https://www.surrey.police.uk/foi-ai/af/accessing-information/" TargetMode="External"/><Relationship Id="rId1" Type="http://schemas.openxmlformats.org/officeDocument/2006/relationships/hyperlink" Target="https://www.sussex-pcc.gov.uk/media/2995/code-of-governance-v5.pdf" TargetMode="External"/><Relationship Id="rId6" Type="http://schemas.openxmlformats.org/officeDocument/2006/relationships/hyperlink" Target="http://www.surrey-pcc.gov.uk/plan/" TargetMode="External"/><Relationship Id="rId11" Type="http://schemas.openxmlformats.org/officeDocument/2006/relationships/hyperlink" Target="https://www.surrey.police.uk/SysSiteAssets/foi-media/surrey/policies/anti-fraud-corruption-and-bribery-policy.pdf" TargetMode="External"/><Relationship Id="rId5" Type="http://schemas.openxmlformats.org/officeDocument/2006/relationships/hyperlink" Target="http://www.cipfa.org/policy-and-guidance/reports/cipfa-statement-on-the-role-of-the-chief-financial-officer-of-the-police-and-crime-commissioner-and-the-chief-finance-officer-of-the-chief-constable" TargetMode="External"/><Relationship Id="rId15" Type="http://schemas.openxmlformats.org/officeDocument/2006/relationships/hyperlink" Target="https://www.sussex.police.uk/SysSiteAssets/foi-media/sussex/other_information/sussex-police-force-management-statement-2019.pdf" TargetMode="External"/><Relationship Id="rId10" Type="http://schemas.openxmlformats.org/officeDocument/2006/relationships/hyperlink" Target="https://www.justiceinspectorates.gov.uk/hmicfrs/publications/surrey-crime-data-integrity-inspection-2018/" TargetMode="External"/><Relationship Id="rId19" Type="http://schemas.openxmlformats.org/officeDocument/2006/relationships/hyperlink" Target="https://www.surrey-pcc.gov.uk/transparency/meetings-agendas/" TargetMode="External"/><Relationship Id="rId4" Type="http://schemas.openxmlformats.org/officeDocument/2006/relationships/hyperlink" Target="http://www.cipfa.org/policy-and-guidance/publications/d/delivering-good-governance-guidance-notes-for-policing-bodies-in-england-and-wales-2016-edition" TargetMode="External"/><Relationship Id="rId9" Type="http://schemas.openxmlformats.org/officeDocument/2006/relationships/hyperlink" Target="https://www.surrey-pcc.gov.uk/transparency/key-responsibilities/" TargetMode="External"/><Relationship Id="rId14" Type="http://schemas.openxmlformats.org/officeDocument/2006/relationships/hyperlink" Target="https://www.surrey.police.uk/SysSiteAssets/media/downloads/surrey/about-us/business-plan-2017.pdf" TargetMode="External"/><Relationship Id="rId22" Type="http://schemas.openxmlformats.org/officeDocument/2006/relationships/hyperlink" Target="https://surrey-pcc.gov.uk/wp-content/uploads/2020/07/10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DWE_M\AppData\Local\Microsoft\Windows\Temporary%20Internet%20Files\Content.Outlook\SYKH8T31\Budget%20Chart%20for%20Chief%20Narrativ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ub1mntbrowne\Public\Finance&amp;Admin\ACCOUNT\Final%20Accounts%20All%20Years\Final%20Accounts%202020-2021\(Q)%20Statement%20of%20Accounts\CC\Outturn%20Split%20for%20Narrative%20Report%202106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2020-21 Revenue Budget by Cost Category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D75-4380-876B-DD6525F007A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D75-4380-876B-DD6525F007A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D75-4380-876B-DD6525F007A1}"/>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D75-4380-876B-DD6525F007A1}"/>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D75-4380-876B-DD6525F007A1}"/>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D75-4380-876B-DD6525F007A1}"/>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D75-4380-876B-DD6525F007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'[Budget Chart for Chief Narrative.xlsx]Sheet1'!$D$5:$D$11</c:f>
              <c:strCache>
                <c:ptCount val="7"/>
                <c:pt idx="0">
                  <c:v>Pay &amp; Employee Costs</c:v>
                </c:pt>
                <c:pt idx="1">
                  <c:v>Premises</c:v>
                </c:pt>
                <c:pt idx="2">
                  <c:v>Transport</c:v>
                </c:pt>
                <c:pt idx="3">
                  <c:v>Supplies &amp; Services</c:v>
                </c:pt>
                <c:pt idx="4">
                  <c:v>Third Party Payments</c:v>
                </c:pt>
                <c:pt idx="5">
                  <c:v>Other</c:v>
                </c:pt>
                <c:pt idx="6">
                  <c:v>Income</c:v>
                </c:pt>
              </c:strCache>
            </c:strRef>
          </c:cat>
          <c:val>
            <c:numRef>
              <c:f>'[Budget Chart for Chief Narrative.xlsx]Sheet1'!$E$5:$E$11</c:f>
              <c:numCache>
                <c:formatCode>0%</c:formatCode>
                <c:ptCount val="7"/>
                <c:pt idx="0">
                  <c:v>0.83267233529130769</c:v>
                </c:pt>
                <c:pt idx="1">
                  <c:v>4.1746903087001137E-2</c:v>
                </c:pt>
                <c:pt idx="2">
                  <c:v>2.1305994738412094E-2</c:v>
                </c:pt>
                <c:pt idx="3">
                  <c:v>0.12253446189043841</c:v>
                </c:pt>
                <c:pt idx="4">
                  <c:v>1.4194054165914009E-2</c:v>
                </c:pt>
                <c:pt idx="5">
                  <c:v>2.4617417395037401E-2</c:v>
                </c:pt>
                <c:pt idx="6">
                  <c:v>-5.7071166568110704E-2</c:v>
                </c:pt>
              </c:numCache>
            </c:numRef>
          </c:val>
          <c:extLst xmlns:c16r2="http://schemas.microsoft.com/office/drawing/2015/06/chart">
            <c:ext xmlns:c16="http://schemas.microsoft.com/office/drawing/2014/chart" uri="{C3380CC4-5D6E-409C-BE32-E72D297353CC}">
              <c16:uniqueId val="{0000000E-DD75-4380-876B-DD6525F007A1}"/>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2020/21</a:t>
            </a:r>
            <a:r>
              <a:rPr lang="en-GB" baseline="0"/>
              <a:t> Chief Constable Outturn</a:t>
            </a:r>
            <a:endParaRPr lang="en-GB"/>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'Split Outturn Report CC'!$B$58:$B$63</c:f>
              <c:strCache>
                <c:ptCount val="6"/>
                <c:pt idx="0">
                  <c:v>Police Payroll</c:v>
                </c:pt>
                <c:pt idx="1">
                  <c:v>Staff Payroll</c:v>
                </c:pt>
                <c:pt idx="2">
                  <c:v>Other Employee Costs</c:v>
                </c:pt>
                <c:pt idx="3">
                  <c:v>Premises </c:v>
                </c:pt>
                <c:pt idx="4">
                  <c:v>Transport</c:v>
                </c:pt>
                <c:pt idx="5">
                  <c:v>Supplies &amp; Services</c:v>
                </c:pt>
              </c:strCache>
            </c:strRef>
          </c:cat>
          <c:val>
            <c:numRef>
              <c:f>'Split Outturn Report CC'!$C$58:$C$63</c:f>
            </c:numRef>
          </c:val>
          <c:extLst xmlns:c16r2="http://schemas.microsoft.com/office/drawing/2015/06/chart">
            <c:ext xmlns:c16="http://schemas.microsoft.com/office/drawing/2014/chart" uri="{C3380CC4-5D6E-409C-BE32-E72D297353CC}">
              <c16:uniqueId val="{00000000-5B1E-4444-BD15-2F5E78391964}"/>
            </c:ext>
          </c:extLst>
        </c:ser>
        <c:ser>
          <c:idx val="1"/>
          <c:order val="1"/>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'Split Outturn Report CC'!$B$58:$B$63</c:f>
              <c:strCache>
                <c:ptCount val="6"/>
                <c:pt idx="0">
                  <c:v>Police Payroll</c:v>
                </c:pt>
                <c:pt idx="1">
                  <c:v>Staff Payroll</c:v>
                </c:pt>
                <c:pt idx="2">
                  <c:v>Other Employee Costs</c:v>
                </c:pt>
                <c:pt idx="3">
                  <c:v>Premises </c:v>
                </c:pt>
                <c:pt idx="4">
                  <c:v>Transport</c:v>
                </c:pt>
                <c:pt idx="5">
                  <c:v>Supplies &amp; Services</c:v>
                </c:pt>
              </c:strCache>
            </c:strRef>
          </c:cat>
          <c:val>
            <c:numRef>
              <c:f>'Split Outturn Report CC'!$D$58:$D$63</c:f>
            </c:numRef>
          </c:val>
          <c:extLst xmlns:c16r2="http://schemas.microsoft.com/office/drawing/2015/06/chart">
            <c:ext xmlns:c16="http://schemas.microsoft.com/office/drawing/2014/chart" uri="{C3380CC4-5D6E-409C-BE32-E72D297353CC}">
              <c16:uniqueId val="{00000001-5B1E-4444-BD15-2F5E78391964}"/>
            </c:ext>
          </c:extLst>
        </c:ser>
        <c:ser>
          <c:idx val="2"/>
          <c:order val="2"/>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5B1E-4444-BD15-2F5E78391964}"/>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5B1E-4444-BD15-2F5E78391964}"/>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5B1E-4444-BD15-2F5E78391964}"/>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5B1E-4444-BD15-2F5E78391964}"/>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5B1E-4444-BD15-2F5E78391964}"/>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D-5B1E-4444-BD15-2F5E7839196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'Split Outturn Report CC'!$B$58:$B$63</c:f>
              <c:strCache>
                <c:ptCount val="6"/>
                <c:pt idx="0">
                  <c:v>Police Payroll</c:v>
                </c:pt>
                <c:pt idx="1">
                  <c:v>Staff Payroll</c:v>
                </c:pt>
                <c:pt idx="2">
                  <c:v>Other Employee Costs</c:v>
                </c:pt>
                <c:pt idx="3">
                  <c:v>Premises </c:v>
                </c:pt>
                <c:pt idx="4">
                  <c:v>Transport</c:v>
                </c:pt>
                <c:pt idx="5">
                  <c:v>Supplies &amp; Services</c:v>
                </c:pt>
              </c:strCache>
            </c:strRef>
          </c:cat>
          <c:val>
            <c:numRef>
              <c:f>'Split Outturn Report CC'!$E$58:$E$63</c:f>
              <c:numCache>
                <c:formatCode>#,##0;\(#,##0\)</c:formatCode>
                <c:ptCount val="6"/>
                <c:pt idx="0">
                  <c:v>125.511771</c:v>
                </c:pt>
                <c:pt idx="1">
                  <c:v>75.446230830000005</c:v>
                </c:pt>
                <c:pt idx="2">
                  <c:v>7.3950110999999996</c:v>
                </c:pt>
                <c:pt idx="3">
                  <c:v>9.8555420100000006</c:v>
                </c:pt>
                <c:pt idx="4">
                  <c:v>5.0098633299999999</c:v>
                </c:pt>
                <c:pt idx="5">
                  <c:v>30.504678310000003</c:v>
                </c:pt>
              </c:numCache>
            </c:numRef>
          </c:val>
          <c:extLst xmlns:c16r2="http://schemas.microsoft.com/office/drawing/2015/06/chart">
            <c:ext xmlns:c16="http://schemas.microsoft.com/office/drawing/2014/chart" uri="{C3380CC4-5D6E-409C-BE32-E72D297353CC}">
              <c16:uniqueId val="{0000000E-5B1E-4444-BD15-2F5E78391964}"/>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7F44-E796-4C93-BB9C-4DBE48DD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91</Pages>
  <Words>28660</Words>
  <Characters>163365</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Thompson</dc:creator>
  <cp:lastModifiedBy>Kadwell Miranda 29434</cp:lastModifiedBy>
  <cp:revision>17</cp:revision>
  <dcterms:created xsi:type="dcterms:W3CDTF">2021-07-06T19:50:00Z</dcterms:created>
  <dcterms:modified xsi:type="dcterms:W3CDTF">2021-07-14T15:35:00Z</dcterms:modified>
</cp:coreProperties>
</file>